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0" w:leftChars="0" w:firstLine="0" w:firstLineChars="0"/>
        <w:sectPr>
          <w:headerReference r:id="rId6" w:type="first"/>
          <w:footerReference r:id="rId8" w:type="first"/>
          <w:headerReference r:id="rId5" w:type="default"/>
          <w:footerReference r:id="rId7" w:type="default"/>
          <w:pgSz w:w="11906" w:h="16838"/>
          <w:pgMar w:top="1440" w:right="1800" w:bottom="1440" w:left="1800" w:header="851" w:footer="794" w:gutter="0"/>
          <w:pgNumType w:start="2"/>
          <w:cols w:space="720" w:num="1"/>
          <w:titlePg/>
          <w:docGrid w:linePitch="381" w:charSpace="0"/>
        </w:sectPr>
      </w:pPr>
    </w:p>
    <w:p>
      <w:pPr>
        <w:ind w:firstLine="0" w:firstLineChars="0"/>
        <w:jc w:val="center"/>
        <w:rPr>
          <w:b/>
          <w:sz w:val="36"/>
          <w:szCs w:val="36"/>
        </w:rPr>
      </w:pPr>
      <w:r>
        <w:rPr>
          <w:b/>
          <w:sz w:val="36"/>
          <w:szCs w:val="36"/>
        </w:rPr>
        <w:t>柞水县科学技术局2021年部门整体支出</w:t>
      </w:r>
    </w:p>
    <w:p>
      <w:pPr>
        <w:spacing w:after="120" w:afterLines="50"/>
        <w:ind w:firstLine="0" w:firstLineChars="0"/>
        <w:jc w:val="center"/>
        <w:rPr>
          <w:b/>
          <w:sz w:val="36"/>
          <w:szCs w:val="36"/>
        </w:rPr>
      </w:pPr>
      <w:r>
        <w:rPr>
          <w:b/>
          <w:sz w:val="36"/>
          <w:szCs w:val="36"/>
        </w:rPr>
        <w:t>绩效评价报告</w:t>
      </w:r>
      <w:bookmarkStart w:id="53" w:name="_GoBack"/>
      <w:bookmarkEnd w:id="53"/>
    </w:p>
    <w:p>
      <w:pPr>
        <w:pStyle w:val="2"/>
        <w:spacing w:after="240" w:afterLines="100" w:line="360" w:lineRule="auto"/>
        <w:ind w:left="0" w:leftChars="0" w:firstLine="0" w:firstLineChars="0"/>
        <w:jc w:val="center"/>
        <w:rPr>
          <w:rFonts w:hAnsi="Times New Roman" w:eastAsia="仿宋"/>
          <w:b/>
          <w:bCs/>
          <w:sz w:val="24"/>
          <w:szCs w:val="24"/>
        </w:rPr>
      </w:pPr>
    </w:p>
    <w:p>
      <w:pPr>
        <w:pStyle w:val="30"/>
        <w:ind w:firstLine="560"/>
      </w:pPr>
      <w:bookmarkStart w:id="0" w:name="_Toc16556"/>
      <w:r>
        <w:t>为进一步规范财政资金管理，强化部门责任意识，切实提高财政资金使用效益，根据商洛市委市政府《关于全面推进预算绩效管理的具体措施》（商发〔2019〕119号）文件精神，结合财政支出管理的实际情况，受柞水县财政局的委托，柞水县智信财务有限公司承担起柞水县科学技术局2021年部门整体支出绩效评价报告工作。我公司特开展本次评价，经过资金使用情况核查、项目数据采集、访谈等必要的评价程序，运用绩效分析和统计方法，在梳理、分析评价数据资料的基础上，形成本绩效评价报告。</w:t>
      </w:r>
    </w:p>
    <w:p>
      <w:pPr>
        <w:pStyle w:val="2"/>
        <w:ind w:left="560" w:firstLine="560"/>
        <w:rPr>
          <w:rFonts w:hAnsi="Times New Roman"/>
        </w:rPr>
      </w:pPr>
    </w:p>
    <w:p>
      <w:pPr>
        <w:pStyle w:val="4"/>
        <w:ind w:firstLine="643"/>
      </w:pPr>
      <w:bookmarkStart w:id="1" w:name="_Toc28968"/>
      <w:r>
        <w:t>一、项目</w:t>
      </w:r>
      <w:r>
        <w:rPr>
          <w:rFonts w:hint="eastAsia"/>
          <w:lang w:val="en-US" w:eastAsia="zh-CN"/>
        </w:rPr>
        <w:t>及单位</w:t>
      </w:r>
      <w:r>
        <w:t>概况</w:t>
      </w:r>
      <w:bookmarkEnd w:id="1"/>
    </w:p>
    <w:p>
      <w:pPr>
        <w:pStyle w:val="30"/>
        <w:ind w:firstLine="560"/>
        <w:rPr>
          <w:rFonts w:hint="eastAsia"/>
          <w:b/>
          <w:bCs/>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概况</w:t>
      </w:r>
    </w:p>
    <w:p>
      <w:pPr>
        <w:pStyle w:val="30"/>
        <w:ind w:firstLine="560"/>
      </w:pPr>
      <w:r>
        <w:t>柞水县科学技术局</w:t>
      </w:r>
      <w:bookmarkEnd w:id="0"/>
      <w:bookmarkStart w:id="2" w:name="_Toc464047309"/>
      <w:r>
        <w:rPr>
          <w:rFonts w:hint="eastAsia"/>
          <w:lang w:val="en-US" w:eastAsia="zh-CN"/>
        </w:rPr>
        <w:t>职责是</w:t>
      </w:r>
      <w:r>
        <w:rPr>
          <w:kern w:val="0"/>
          <w:szCs w:val="28"/>
        </w:rPr>
        <w:t>贯彻执行科技发展的法律法规和方针政策，拟定本县科技发展总体规划、中长期规划和年度科技发展计划，起草有关科学技术管理的规范性文件，并组织实施和开展监督检查；组织全县经济与社会发展重要领域的重大关键技术攻关；管理县域科技型企业和科技特派员；负责科技预决算和“科技三项费用”的使用管理，牵头组织实施科技计划项目，负责科技项目的征集论证、组织实施和项目结题等工作，参与指导产业结构调整和科技创新工作。</w:t>
      </w:r>
      <w:r>
        <w:rPr>
          <w:rFonts w:eastAsia="仿宋_GB2312"/>
        </w:rPr>
        <w:t>柞水县科学技术局隶属柞水县科技与教育体育局管理，属财政全额拨款事业单位，正科级规格。</w:t>
      </w:r>
      <w:bookmarkEnd w:id="2"/>
      <w:r>
        <w:t>截至2021年底，柞水县科学技术局人员编制13人，其中行政编制0人、事业编制13人；实有人员8人，其中行政</w:t>
      </w:r>
      <w:r>
        <w:rPr>
          <w:rFonts w:hint="eastAsia"/>
        </w:rPr>
        <w:t>编制</w:t>
      </w:r>
      <w:r>
        <w:t>0人、事业</w:t>
      </w:r>
      <w:r>
        <w:rPr>
          <w:rFonts w:hint="eastAsia"/>
        </w:rPr>
        <w:t>编制</w:t>
      </w:r>
      <w:r>
        <w:t>8人，单位管理的离退休人员0人。</w:t>
      </w:r>
    </w:p>
    <w:p>
      <w:pPr>
        <w:pStyle w:val="5"/>
        <w:ind w:firstLine="602"/>
      </w:pPr>
      <w:bookmarkStart w:id="3" w:name="_Toc26340"/>
      <w:r>
        <w:t>（</w:t>
      </w:r>
      <w:r>
        <w:rPr>
          <w:rFonts w:hint="eastAsia"/>
          <w:lang w:val="en-US" w:eastAsia="zh-CN"/>
        </w:rPr>
        <w:t>二</w:t>
      </w:r>
      <w:r>
        <w:t>）部门预决算</w:t>
      </w:r>
      <w:bookmarkEnd w:id="3"/>
    </w:p>
    <w:p>
      <w:pPr>
        <w:pStyle w:val="30"/>
        <w:ind w:firstLine="560"/>
      </w:pPr>
      <w:r>
        <w:t>柞水县科学技术局2021年部门年初预算</w:t>
      </w:r>
      <w:r>
        <w:rPr>
          <w:rFonts w:hint="eastAsia"/>
          <w:lang w:val="en-US" w:eastAsia="zh-CN"/>
        </w:rPr>
        <w:t>1381.82</w:t>
      </w:r>
      <w:r>
        <w:t>万元，预算调整数1381.82万元，2021年部门决算数1381.82万元，其中基本支出168.32万元，项目支出1213.50万元。</w:t>
      </w:r>
    </w:p>
    <w:p>
      <w:pPr>
        <w:pStyle w:val="5"/>
        <w:ind w:firstLine="602"/>
      </w:pPr>
      <w:bookmarkStart w:id="4" w:name="_Toc10343"/>
      <w:r>
        <w:t>（</w:t>
      </w:r>
      <w:r>
        <w:rPr>
          <w:rFonts w:hint="eastAsia"/>
          <w:lang w:val="en-US" w:eastAsia="zh-CN"/>
        </w:rPr>
        <w:t>三</w:t>
      </w:r>
      <w:r>
        <w:t>）部门整体支出绩效目标</w:t>
      </w:r>
      <w:bookmarkEnd w:id="4"/>
    </w:p>
    <w:p>
      <w:pPr>
        <w:pStyle w:val="30"/>
        <w:ind w:firstLine="560"/>
      </w:pPr>
      <w:r>
        <w:t>1.部门研发支出与地区生产总值之比达0.05%。</w:t>
      </w:r>
    </w:p>
    <w:p>
      <w:pPr>
        <w:pStyle w:val="30"/>
        <w:ind w:firstLine="560"/>
      </w:pPr>
      <w:r>
        <w:t>2.技术合同成交额与地区生产总值之比为0.2%。</w:t>
      </w:r>
    </w:p>
    <w:p>
      <w:pPr>
        <w:pStyle w:val="30"/>
        <w:ind w:firstLine="560"/>
      </w:pPr>
      <w:r>
        <w:t>3.累计认定高新技术企业5家，科技型中小企业25家，每千家法人企业中高新技术企业占比大于0.3%，科技型中小企业占比大于60%。</w:t>
      </w:r>
    </w:p>
    <w:p>
      <w:pPr>
        <w:pStyle w:val="30"/>
        <w:ind w:firstLine="560"/>
        <w:rPr>
          <w:highlight w:val="yellow"/>
        </w:rPr>
      </w:pPr>
      <w:r>
        <w:t>4.争取</w:t>
      </w:r>
      <w:r>
        <w:rPr>
          <w:rFonts w:hint="eastAsia"/>
        </w:rPr>
        <w:t>其他投入</w:t>
      </w:r>
      <w:r>
        <w:t>资金800万元。</w:t>
      </w:r>
    </w:p>
    <w:p>
      <w:pPr>
        <w:pStyle w:val="30"/>
        <w:ind w:firstLine="560"/>
      </w:pPr>
      <w:r>
        <w:t>5.</w:t>
      </w:r>
      <w:r>
        <w:rPr>
          <w:rFonts w:hint="eastAsia"/>
        </w:rPr>
        <w:t>对外招商5亿元</w:t>
      </w:r>
      <w:r>
        <w:t>。</w:t>
      </w:r>
    </w:p>
    <w:p>
      <w:pPr>
        <w:pStyle w:val="30"/>
        <w:ind w:firstLine="560"/>
      </w:pPr>
      <w:r>
        <w:t>6.新引进项目2个，开工项目1个。</w:t>
      </w:r>
    </w:p>
    <w:p>
      <w:pPr>
        <w:pStyle w:val="30"/>
        <w:ind w:firstLine="560"/>
      </w:pPr>
      <w:r>
        <w:t>7.完成建设食（药）用菌技术试验示范平台建设及产业化开发项目、木耳产品精深加工关键技术研究及产业化示范、柞水县道地中药材产地加工生产线建设、柞水县高山茶试验示范基地建设等四个重点项目。</w:t>
      </w:r>
    </w:p>
    <w:p>
      <w:pPr>
        <w:pStyle w:val="30"/>
        <w:ind w:firstLine="560"/>
      </w:pPr>
      <w:r>
        <w:t>8.推进国家数字乡村试点县建设，并邀请省内外环境保护方面的专家指导开展秦岭生态保护工作，为秦岭生态保护工作提供了有力的科技支撑。</w:t>
      </w:r>
    </w:p>
    <w:p>
      <w:pPr>
        <w:pStyle w:val="30"/>
        <w:ind w:firstLine="560"/>
      </w:pPr>
      <w:r>
        <w:t>9.木耳高质量发展任务完善李玉院士工作站设施设备，建设柞水木耳质量检验检测中心，提升木耳大数据中心功能，选育柞水木耳地方品种1个，研究和推广木耳标准化生产关键技术。</w:t>
      </w:r>
    </w:p>
    <w:p>
      <w:pPr>
        <w:pStyle w:val="4"/>
        <w:ind w:firstLine="643"/>
      </w:pPr>
      <w:bookmarkStart w:id="5" w:name="_Toc5600"/>
      <w:bookmarkStart w:id="6" w:name="_Toc17429"/>
      <w:r>
        <w:t>二、绩效评价</w:t>
      </w:r>
      <w:bookmarkEnd w:id="5"/>
      <w:r>
        <w:t>工作情况</w:t>
      </w:r>
      <w:bookmarkEnd w:id="6"/>
    </w:p>
    <w:p>
      <w:pPr>
        <w:pStyle w:val="5"/>
        <w:ind w:firstLine="602"/>
      </w:pPr>
      <w:bookmarkStart w:id="7" w:name="_Toc25750"/>
      <w:bookmarkStart w:id="8" w:name="_Toc31285"/>
      <w:r>
        <w:t>（一）绩效评价目的</w:t>
      </w:r>
      <w:bookmarkEnd w:id="7"/>
      <w:bookmarkEnd w:id="8"/>
    </w:p>
    <w:p>
      <w:pPr>
        <w:pStyle w:val="30"/>
        <w:ind w:firstLine="560"/>
      </w:pPr>
      <w:r>
        <w:t>严格落实《预算法》及省、市、县绩效管理工作的有关规定，对柞水县科学技术局2021年整体支出情况进行绩效评价，全面分析和综合评价绩效目标的设置情况、资金使用情况、项目实施管理情况、项目绩效表现情况等，评价资金使用是否达到了预期目标、资金管理是否规范、使用是否有效，分析存在问题及原因，研究提出改进措施，增强财政支出绩效理念，提高预算绩效管理水平，科学合理编制年度预算，加强项目和资金管理，切实发挥财政资金资源配置作用，切实提高预算资金使用效率。</w:t>
      </w:r>
    </w:p>
    <w:p>
      <w:pPr>
        <w:pStyle w:val="5"/>
        <w:ind w:firstLine="602"/>
      </w:pPr>
      <w:bookmarkStart w:id="9" w:name="_Toc20106"/>
      <w:bookmarkStart w:id="10" w:name="_Toc28286"/>
      <w:r>
        <w:t>（</w:t>
      </w:r>
      <w:r>
        <w:rPr>
          <w:rFonts w:hint="eastAsia"/>
          <w:lang w:val="en-US" w:eastAsia="zh-CN"/>
        </w:rPr>
        <w:t>二</w:t>
      </w:r>
      <w:r>
        <w:t>）绩效评价实施过程</w:t>
      </w:r>
      <w:bookmarkEnd w:id="9"/>
      <w:bookmarkEnd w:id="10"/>
      <w:bookmarkStart w:id="11" w:name="_Toc465241551"/>
    </w:p>
    <w:p>
      <w:pPr>
        <w:pStyle w:val="30"/>
        <w:ind w:firstLine="560"/>
      </w:pPr>
      <w:r>
        <w:t>根据商洛市委市政府《关于全面推进预算绩效管理的具体措施》（商发〔2019〕119号）文件要求，受柞水县财政局的委托，我公司制定了部门整体支出绩效评价的工作方案、评价指标并成立专门的绩效评价小组。绩效评价工作主要如下：</w:t>
      </w:r>
    </w:p>
    <w:p>
      <w:pPr>
        <w:pStyle w:val="30"/>
        <w:ind w:firstLine="560"/>
      </w:pPr>
      <w:r>
        <w:t>1.核实数据。对2021年度部门整体支出数据的准确性、真实性进行核实。</w:t>
      </w:r>
    </w:p>
    <w:p>
      <w:pPr>
        <w:pStyle w:val="30"/>
        <w:ind w:firstLine="560"/>
      </w:pPr>
      <w:r>
        <w:t>2.查阅资料。查阅2021年度预算安排、预算追加、资金管理、经费支出、资产管理等相关文件资料和财务凭证。</w:t>
      </w:r>
    </w:p>
    <w:p>
      <w:pPr>
        <w:pStyle w:val="30"/>
        <w:ind w:firstLine="560"/>
      </w:pPr>
      <w:r>
        <w:t>3.发放调查问卷。就部门履行职责情况向社会群众、服务对象、单位员工进行满意度调查。</w:t>
      </w:r>
    </w:p>
    <w:p>
      <w:pPr>
        <w:pStyle w:val="30"/>
        <w:ind w:firstLine="560"/>
      </w:pPr>
      <w:r>
        <w:t>4.归纳汇总。对收集的评价材料进行综合分析、归纳汇总。</w:t>
      </w:r>
    </w:p>
    <w:p>
      <w:pPr>
        <w:pStyle w:val="30"/>
        <w:ind w:firstLine="560"/>
      </w:pPr>
      <w:r>
        <w:t>5.根据评价材料结合各项评价指标进行分析评分。</w:t>
      </w:r>
    </w:p>
    <w:p>
      <w:pPr>
        <w:pStyle w:val="30"/>
        <w:ind w:firstLine="560"/>
      </w:pPr>
      <w:r>
        <w:t>6.形成绩效评价报告。</w:t>
      </w:r>
      <w:bookmarkEnd w:id="11"/>
    </w:p>
    <w:p>
      <w:pPr>
        <w:pStyle w:val="4"/>
        <w:ind w:firstLine="643"/>
      </w:pPr>
      <w:bookmarkStart w:id="12" w:name="_Toc398133849"/>
      <w:bookmarkStart w:id="13" w:name="_Toc404933877"/>
      <w:bookmarkStart w:id="14" w:name="_Toc513"/>
      <w:bookmarkStart w:id="15" w:name="_Toc20486"/>
      <w:bookmarkStart w:id="16" w:name="_Toc12791"/>
      <w:r>
        <w:t>三、</w:t>
      </w:r>
      <w:bookmarkEnd w:id="12"/>
      <w:bookmarkEnd w:id="13"/>
      <w:r>
        <w:t>评价结论与绩效分析</w:t>
      </w:r>
      <w:bookmarkEnd w:id="14"/>
      <w:bookmarkEnd w:id="15"/>
      <w:bookmarkEnd w:id="16"/>
    </w:p>
    <w:p>
      <w:pPr>
        <w:pStyle w:val="5"/>
        <w:ind w:firstLine="602"/>
      </w:pPr>
      <w:bookmarkStart w:id="17" w:name="_Toc404933878"/>
      <w:bookmarkStart w:id="18" w:name="_Toc19398"/>
      <w:bookmarkStart w:id="19" w:name="_Toc398133850"/>
      <w:bookmarkStart w:id="20" w:name="_Toc17704"/>
      <w:bookmarkStart w:id="21" w:name="_Toc23794"/>
      <w:r>
        <w:t>（一）基本评价结论</w:t>
      </w:r>
      <w:bookmarkEnd w:id="17"/>
      <w:bookmarkEnd w:id="18"/>
      <w:bookmarkEnd w:id="19"/>
      <w:bookmarkEnd w:id="20"/>
      <w:bookmarkEnd w:id="21"/>
    </w:p>
    <w:p>
      <w:pPr>
        <w:pStyle w:val="30"/>
        <w:ind w:firstLine="560"/>
      </w:pPr>
      <w:r>
        <w:t>柞水县科学技术局2021年部门整体支出绩效评分结果为</w:t>
      </w:r>
      <w:r>
        <w:rPr>
          <w:rFonts w:hint="eastAsia"/>
          <w:lang w:val="en-US" w:eastAsia="zh-CN"/>
        </w:rPr>
        <w:t>97.92</w:t>
      </w:r>
      <w:r>
        <w:t>分，根据相关规定，其绩效评级为</w:t>
      </w:r>
      <w:r>
        <w:rPr>
          <w:rFonts w:hint="eastAsia"/>
        </w:rPr>
        <w:t>“</w:t>
      </w:r>
      <w:r>
        <w:rPr>
          <w:rFonts w:hint="eastAsia"/>
          <w:lang w:val="en-US" w:eastAsia="zh-CN"/>
        </w:rPr>
        <w:t>优</w:t>
      </w:r>
      <w:r>
        <w:rPr>
          <w:rFonts w:hint="eastAsia"/>
        </w:rPr>
        <w:t>”</w:t>
      </w:r>
      <w:r>
        <w:t>。</w:t>
      </w:r>
    </w:p>
    <w:p>
      <w:pPr>
        <w:pStyle w:val="30"/>
        <w:ind w:firstLine="560"/>
      </w:pPr>
      <w:r>
        <w:t>具体得分详见附件一：柞水县科学技术局2021年部门整体支出绩效指标评分表。</w:t>
      </w:r>
    </w:p>
    <w:p>
      <w:pPr>
        <w:pStyle w:val="5"/>
        <w:ind w:firstLine="602"/>
      </w:pPr>
      <w:bookmarkStart w:id="22" w:name="_Toc17474124"/>
      <w:bookmarkStart w:id="23" w:name="_Toc11970"/>
      <w:bookmarkStart w:id="24" w:name="_Toc17599"/>
      <w:bookmarkStart w:id="25" w:name="_Toc31865"/>
      <w:r>
        <w:t>（二）绩效分析</w:t>
      </w:r>
      <w:bookmarkEnd w:id="22"/>
      <w:bookmarkEnd w:id="23"/>
      <w:bookmarkEnd w:id="24"/>
      <w:bookmarkEnd w:id="25"/>
    </w:p>
    <w:p>
      <w:pPr>
        <w:pStyle w:val="5"/>
        <w:keepNext w:val="0"/>
        <w:keepLines w:val="0"/>
        <w:adjustRightInd w:val="0"/>
        <w:snapToGrid w:val="0"/>
        <w:ind w:firstLine="562"/>
        <w:rPr>
          <w:sz w:val="28"/>
          <w:szCs w:val="28"/>
        </w:rPr>
      </w:pPr>
      <w:bookmarkStart w:id="26" w:name="_Toc5875"/>
      <w:bookmarkStart w:id="27" w:name="_Toc16001"/>
      <w:bookmarkStart w:id="28" w:name="_Toc107493249"/>
      <w:bookmarkStart w:id="29" w:name="_Toc90038666"/>
      <w:bookmarkStart w:id="30" w:name="_Toc1036"/>
      <w:bookmarkStart w:id="31" w:name="_Toc1268"/>
      <w:bookmarkStart w:id="32" w:name="_Toc105682955"/>
      <w:bookmarkStart w:id="33" w:name="_Toc11392"/>
      <w:bookmarkStart w:id="34" w:name="_Toc109653504"/>
      <w:r>
        <w:rPr>
          <w:sz w:val="28"/>
          <w:szCs w:val="28"/>
        </w:rPr>
        <w:t>1.A投入</w:t>
      </w:r>
      <w:bookmarkEnd w:id="26"/>
      <w:bookmarkEnd w:id="27"/>
      <w:bookmarkEnd w:id="28"/>
      <w:bookmarkEnd w:id="29"/>
      <w:bookmarkEnd w:id="30"/>
      <w:bookmarkEnd w:id="31"/>
      <w:bookmarkEnd w:id="32"/>
      <w:bookmarkEnd w:id="33"/>
      <w:bookmarkEnd w:id="34"/>
    </w:p>
    <w:p>
      <w:pPr>
        <w:pStyle w:val="30"/>
        <w:ind w:firstLine="560"/>
      </w:pPr>
      <w:r>
        <w:t>投入类指标从目标设定、预算配置这个方面对项目进行考察，投入类指标分值共计15.00分，实际得分为</w:t>
      </w:r>
      <w:r>
        <w:rPr>
          <w:rFonts w:hint="eastAsia"/>
          <w:lang w:val="en-US" w:eastAsia="zh-CN"/>
        </w:rPr>
        <w:t>13</w:t>
      </w:r>
      <w:r>
        <w:t>分。各项指标的实际得分情况见表3-1。</w:t>
      </w:r>
    </w:p>
    <w:p>
      <w:pPr>
        <w:pStyle w:val="9"/>
        <w:ind w:firstLine="0" w:firstLineChars="0"/>
        <w:jc w:val="center"/>
        <w:rPr>
          <w:rFonts w:ascii="Times New Roman" w:hAnsi="Times New Roman" w:eastAsia="仿宋"/>
          <w:sz w:val="24"/>
          <w:szCs w:val="24"/>
        </w:rPr>
      </w:pPr>
      <w:r>
        <w:rPr>
          <w:rFonts w:ascii="Times New Roman" w:hAnsi="Times New Roman" w:eastAsia="仿宋"/>
          <w:sz w:val="24"/>
          <w:szCs w:val="24"/>
        </w:rPr>
        <w:t>表3-</w:t>
      </w:r>
      <w:r>
        <w:rPr>
          <w:rFonts w:ascii="Times New Roman" w:hAnsi="Times New Roman" w:eastAsia="仿宋"/>
          <w:sz w:val="24"/>
          <w:szCs w:val="24"/>
        </w:rPr>
        <w:fldChar w:fldCharType="begin"/>
      </w:r>
      <w:r>
        <w:rPr>
          <w:rFonts w:ascii="Times New Roman" w:hAnsi="Times New Roman" w:eastAsia="仿宋"/>
          <w:sz w:val="24"/>
          <w:szCs w:val="24"/>
        </w:rPr>
        <w:instrText xml:space="preserve"> SEQ 表 \* ARABIC \s 1 </w:instrText>
      </w:r>
      <w:r>
        <w:rPr>
          <w:rFonts w:ascii="Times New Roman" w:hAnsi="Times New Roman" w:eastAsia="仿宋"/>
          <w:sz w:val="24"/>
          <w:szCs w:val="24"/>
        </w:rPr>
        <w:fldChar w:fldCharType="separate"/>
      </w:r>
      <w:r>
        <w:rPr>
          <w:rFonts w:ascii="Times New Roman" w:hAnsi="Times New Roman" w:eastAsia="仿宋"/>
          <w:sz w:val="24"/>
          <w:szCs w:val="24"/>
        </w:rPr>
        <w:t>1</w:t>
      </w:r>
      <w:r>
        <w:rPr>
          <w:rFonts w:ascii="Times New Roman" w:hAnsi="Times New Roman" w:eastAsia="仿宋"/>
          <w:sz w:val="24"/>
          <w:szCs w:val="24"/>
        </w:rPr>
        <w:fldChar w:fldCharType="end"/>
      </w:r>
      <w:r>
        <w:rPr>
          <w:rFonts w:ascii="Times New Roman" w:hAnsi="Times New Roman" w:eastAsia="仿宋"/>
          <w:sz w:val="24"/>
          <w:szCs w:val="24"/>
        </w:rPr>
        <w:t>：投入类指标评分结果汇总表</w:t>
      </w:r>
    </w:p>
    <w:tbl>
      <w:tblPr>
        <w:tblStyle w:val="24"/>
        <w:tblW w:w="4999" w:type="pct"/>
        <w:jc w:val="center"/>
        <w:tblLayout w:type="autofit"/>
        <w:tblCellMar>
          <w:top w:w="0" w:type="dxa"/>
          <w:left w:w="108" w:type="dxa"/>
          <w:bottom w:w="0" w:type="dxa"/>
          <w:right w:w="108" w:type="dxa"/>
        </w:tblCellMar>
      </w:tblPr>
      <w:tblGrid>
        <w:gridCol w:w="3278"/>
        <w:gridCol w:w="1488"/>
        <w:gridCol w:w="3285"/>
        <w:gridCol w:w="1189"/>
      </w:tblGrid>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bookmarkStart w:id="35" w:name="_Toc2189"/>
            <w:r>
              <w:rPr>
                <w:b/>
                <w:bCs/>
                <w:color w:val="000000"/>
                <w:kern w:val="0"/>
                <w:sz w:val="21"/>
                <w:szCs w:val="21"/>
                <w:lang w:bidi="ar"/>
              </w:rPr>
              <w:t>指标名称</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指标权重</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业绩值</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绩效值</w:t>
            </w:r>
          </w:p>
        </w:tc>
      </w:tr>
      <w:tr>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1"/>
                <w:szCs w:val="21"/>
              </w:rPr>
            </w:pPr>
            <w:r>
              <w:rPr>
                <w:b/>
                <w:bCs/>
                <w:color w:val="000000"/>
                <w:kern w:val="0"/>
                <w:sz w:val="21"/>
                <w:szCs w:val="21"/>
                <w:lang w:bidi="ar"/>
              </w:rPr>
              <w:t>A1目标设定</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1"/>
                <w:szCs w:val="21"/>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sz w:val="21"/>
                <w:szCs w:val="21"/>
              </w:rPr>
              <w:t>4</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color w:val="000000"/>
                <w:kern w:val="0"/>
                <w:sz w:val="21"/>
                <w:szCs w:val="21"/>
                <w:lang w:bidi="ar"/>
              </w:rPr>
              <w:t>A11部门职责明确性</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color w:val="000000"/>
                <w:sz w:val="21"/>
                <w:szCs w:val="21"/>
              </w:rPr>
            </w:pPr>
            <w:r>
              <w:rPr>
                <w:color w:val="000000"/>
                <w:sz w:val="21"/>
                <w:szCs w:val="21"/>
              </w:rPr>
              <w:t>合规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2</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333333"/>
                <w:sz w:val="21"/>
                <w:szCs w:val="21"/>
              </w:rPr>
            </w:pPr>
            <w:r>
              <w:rPr>
                <w:color w:val="333333"/>
                <w:kern w:val="0"/>
                <w:sz w:val="21"/>
                <w:szCs w:val="21"/>
                <w:lang w:bidi="ar"/>
              </w:rPr>
              <w:t>A12绩效目标合规性</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合理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333333"/>
                <w:sz w:val="21"/>
                <w:szCs w:val="21"/>
              </w:rPr>
            </w:pPr>
            <w:r>
              <w:rPr>
                <w:color w:val="333333"/>
                <w:kern w:val="0"/>
                <w:sz w:val="21"/>
                <w:szCs w:val="21"/>
                <w:lang w:bidi="ar"/>
              </w:rPr>
              <w:t>A13绩效指标合理性</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未制定部门绩效目标表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0</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1"/>
                <w:szCs w:val="21"/>
              </w:rPr>
            </w:pPr>
            <w:r>
              <w:rPr>
                <w:b/>
                <w:bCs/>
                <w:color w:val="000000"/>
                <w:kern w:val="0"/>
                <w:sz w:val="21"/>
                <w:szCs w:val="21"/>
                <w:lang w:bidi="ar"/>
              </w:rPr>
              <w:t>A2预算配置</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1"/>
                <w:szCs w:val="21"/>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sz w:val="21"/>
                <w:szCs w:val="21"/>
              </w:rPr>
              <w:t>9</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333333"/>
                <w:sz w:val="21"/>
                <w:szCs w:val="21"/>
              </w:rPr>
            </w:pPr>
            <w:r>
              <w:rPr>
                <w:color w:val="333333"/>
                <w:kern w:val="0"/>
                <w:sz w:val="21"/>
                <w:szCs w:val="21"/>
                <w:lang w:bidi="ar"/>
              </w:rPr>
              <w:t>A21在职人员控制率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61.54</w:t>
            </w:r>
            <w:r>
              <w:rPr>
                <w:color w:val="000000"/>
                <w:sz w:val="21"/>
                <w:szCs w:val="21"/>
              </w:rPr>
              <w:t>%</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3</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333333"/>
                <w:sz w:val="21"/>
                <w:szCs w:val="21"/>
              </w:rPr>
            </w:pPr>
            <w:r>
              <w:rPr>
                <w:color w:val="333333"/>
                <w:kern w:val="0"/>
                <w:sz w:val="21"/>
                <w:szCs w:val="21"/>
                <w:lang w:bidi="ar"/>
              </w:rPr>
              <w:t>A22“三公经费”变动率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highlight w:val="yellow"/>
              </w:rPr>
            </w:pPr>
            <w:r>
              <w:rPr>
                <w:rFonts w:hint="eastAsia"/>
                <w:color w:val="000000"/>
                <w:sz w:val="21"/>
                <w:szCs w:val="21"/>
              </w:rPr>
              <w:t>3</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333333"/>
                <w:kern w:val="0"/>
                <w:sz w:val="21"/>
                <w:szCs w:val="21"/>
                <w:lang w:bidi="ar"/>
              </w:rPr>
            </w:pPr>
            <w:r>
              <w:rPr>
                <w:color w:val="333333"/>
                <w:kern w:val="0"/>
                <w:sz w:val="21"/>
                <w:szCs w:val="21"/>
                <w:lang w:bidi="ar"/>
              </w:rPr>
              <w:t>A23重点支出安排率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100</w:t>
            </w:r>
            <w:r>
              <w:rPr>
                <w:color w:val="000000"/>
                <w:kern w:val="0"/>
                <w:sz w:val="21"/>
                <w:szCs w:val="21"/>
                <w:lang w:bidi="ar"/>
              </w:rPr>
              <w:t>%</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3</w:t>
            </w:r>
          </w:p>
        </w:tc>
      </w:tr>
      <w:tr>
        <w:tblPrEx>
          <w:tblCellMar>
            <w:top w:w="0" w:type="dxa"/>
            <w:left w:w="108" w:type="dxa"/>
            <w:bottom w:w="0" w:type="dxa"/>
            <w:right w:w="108" w:type="dxa"/>
          </w:tblCellMar>
        </w:tblPrEx>
        <w:trPr>
          <w:trHeight w:val="397"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合计</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15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1"/>
                <w:szCs w:val="21"/>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sz w:val="21"/>
                <w:szCs w:val="21"/>
              </w:rPr>
              <w:t>13</w:t>
            </w:r>
          </w:p>
        </w:tc>
      </w:tr>
    </w:tbl>
    <w:p>
      <w:pPr>
        <w:pStyle w:val="30"/>
        <w:ind w:firstLine="560"/>
      </w:pPr>
      <w:r>
        <w:t>柞水县科学技术局贯彻执行科技发展的法律法规和方针政策，拟定</w:t>
      </w:r>
      <w:r>
        <w:rPr>
          <w:rFonts w:hint="eastAsia"/>
        </w:rPr>
        <w:t>柞水</w:t>
      </w:r>
      <w:r>
        <w:t>县科技发展总体规划、中长期规划和年度科技发展计划，起草有关科学技术管理的规范性文件，并组织实施和开展监督检查；组织全县经济与社会发展重要领域的重大关键技术攻关；管理县域科技型企业和科技特派员；负责科技预决算和</w:t>
      </w:r>
      <w:r>
        <w:rPr>
          <w:rFonts w:hint="eastAsia"/>
        </w:rPr>
        <w:t>“</w:t>
      </w:r>
      <w:r>
        <w:t>科技三项费用</w:t>
      </w:r>
      <w:r>
        <w:rPr>
          <w:rFonts w:hint="eastAsia"/>
        </w:rPr>
        <w:t>”</w:t>
      </w:r>
      <w:r>
        <w:t>的使用管理，牵头组织实施科技计划项目，负责科技项目的征集论证、组织实施和项目结题等工作，参与指导产业结构调整和科技创新工作。</w:t>
      </w:r>
    </w:p>
    <w:p>
      <w:pPr>
        <w:ind w:firstLine="560"/>
      </w:pPr>
      <w:r>
        <w:t>结合</w:t>
      </w:r>
      <w:r>
        <w:rPr>
          <w:rFonts w:hint="eastAsia"/>
        </w:rPr>
        <w:t>柞水县科学技术局</w:t>
      </w:r>
      <w:r>
        <w:t>2021年工作计划，</w:t>
      </w:r>
      <w:r>
        <w:rPr>
          <w:rFonts w:hint="eastAsia"/>
        </w:rPr>
        <w:t>科学技术局</w:t>
      </w:r>
      <w:r>
        <w:t>2021年整体绩效目标具体分为</w:t>
      </w:r>
      <w:r>
        <w:rPr>
          <w:rFonts w:hint="eastAsia"/>
        </w:rPr>
        <w:t>九</w:t>
      </w:r>
      <w:r>
        <w:t>大类，</w:t>
      </w:r>
      <w:r>
        <w:rPr>
          <w:rFonts w:hint="eastAsia"/>
        </w:rPr>
        <w:t>一是</w:t>
      </w:r>
      <w:r>
        <w:t>部门研发支出与地区生产总值之比达0.05%。</w:t>
      </w:r>
      <w:r>
        <w:rPr>
          <w:rFonts w:hint="eastAsia"/>
        </w:rPr>
        <w:t>；二是</w:t>
      </w:r>
      <w:r>
        <w:t>技术合同成交额与地区生产总值之比为0.2%</w:t>
      </w:r>
      <w:r>
        <w:rPr>
          <w:rFonts w:hint="eastAsia"/>
        </w:rPr>
        <w:t>；三是</w:t>
      </w:r>
      <w:r>
        <w:t>累计认定高新技术企业5家，科技型中小企业25家，每千家法人企业中高新技术企业占比大于0.3%，科技型中小企业占比大于60%</w:t>
      </w:r>
      <w:r>
        <w:rPr>
          <w:rFonts w:hint="eastAsia"/>
        </w:rPr>
        <w:t>；四是</w:t>
      </w:r>
      <w:r>
        <w:t>争取</w:t>
      </w:r>
      <w:r>
        <w:rPr>
          <w:rFonts w:hint="eastAsia"/>
        </w:rPr>
        <w:t>其他投入</w:t>
      </w:r>
      <w:r>
        <w:t>资金800万元</w:t>
      </w:r>
      <w:r>
        <w:rPr>
          <w:rFonts w:hint="eastAsia"/>
        </w:rPr>
        <w:t>；五是对外招商5亿元；六是</w:t>
      </w:r>
      <w:r>
        <w:t>新引进项目2个，开工项目1个</w:t>
      </w:r>
      <w:r>
        <w:rPr>
          <w:rFonts w:hint="eastAsia"/>
        </w:rPr>
        <w:t>；七是</w:t>
      </w:r>
      <w:r>
        <w:t>完成建设食（药）用菌技术试验示范平台建设及产业化开发项目、木耳产品精深加工关键技术研究及产业化示范、柞水县道地中药材产地加工生产线建设、柞水县高山茶试验示范基地建设等四个重点项目</w:t>
      </w:r>
      <w:r>
        <w:rPr>
          <w:rFonts w:hint="eastAsia"/>
        </w:rPr>
        <w:t>；八是</w:t>
      </w:r>
      <w:r>
        <w:t>推进国家数字乡村试点县建设，并邀请省内外环境保护方面的专家指导开展秦岭生态保护工作，为秦岭生态保护工作提供了有力的科技支撑</w:t>
      </w:r>
      <w:r>
        <w:rPr>
          <w:rFonts w:hint="eastAsia"/>
        </w:rPr>
        <w:t>；九是</w:t>
      </w:r>
      <w:r>
        <w:t>木耳高质量发展任务完善李玉院士工作站设施设备，建设柞水木耳质量检验检测中心，提升木耳大数据中心功能，选育柞水木耳地方品种1个，研究和推广木耳标准化生产关键技术。</w:t>
      </w:r>
    </w:p>
    <w:bookmarkEnd w:id="35"/>
    <w:p>
      <w:pPr>
        <w:pStyle w:val="30"/>
        <w:ind w:firstLine="560"/>
      </w:pPr>
      <w:r>
        <w:t>过程类指标从预算执行、预算管理两个方面对项目进行考察，过程类指标分值共计38.00分，实际得分为</w:t>
      </w:r>
      <w:r>
        <w:rPr>
          <w:rFonts w:hint="eastAsia"/>
          <w:lang w:val="en-US" w:eastAsia="zh-CN"/>
        </w:rPr>
        <w:t>38</w:t>
      </w:r>
      <w:r>
        <w:t>分。各指标的实际得分情况见表3-2。</w:t>
      </w:r>
    </w:p>
    <w:p>
      <w:pPr>
        <w:pStyle w:val="9"/>
        <w:ind w:firstLine="0" w:firstLineChars="0"/>
        <w:jc w:val="center"/>
        <w:rPr>
          <w:rFonts w:ascii="Times New Roman" w:hAnsi="Times New Roman" w:eastAsia="仿宋"/>
          <w:sz w:val="24"/>
          <w:szCs w:val="24"/>
        </w:rPr>
      </w:pPr>
      <w:r>
        <w:rPr>
          <w:rFonts w:ascii="Times New Roman" w:hAnsi="Times New Roman" w:eastAsia="仿宋"/>
          <w:sz w:val="24"/>
          <w:szCs w:val="24"/>
        </w:rPr>
        <w:t>表3-</w:t>
      </w:r>
      <w:r>
        <w:rPr>
          <w:rFonts w:ascii="Times New Roman" w:hAnsi="Times New Roman" w:eastAsia="仿宋"/>
          <w:sz w:val="24"/>
          <w:szCs w:val="24"/>
        </w:rPr>
        <w:fldChar w:fldCharType="begin"/>
      </w:r>
      <w:r>
        <w:rPr>
          <w:rFonts w:ascii="Times New Roman" w:hAnsi="Times New Roman" w:eastAsia="仿宋"/>
          <w:sz w:val="24"/>
          <w:szCs w:val="24"/>
        </w:rPr>
        <w:instrText xml:space="preserve"> SEQ 表 \* ARABIC \s 1 </w:instrText>
      </w:r>
      <w:r>
        <w:rPr>
          <w:rFonts w:ascii="Times New Roman" w:hAnsi="Times New Roman" w:eastAsia="仿宋"/>
          <w:sz w:val="24"/>
          <w:szCs w:val="24"/>
        </w:rPr>
        <w:fldChar w:fldCharType="separate"/>
      </w:r>
      <w:r>
        <w:rPr>
          <w:rFonts w:ascii="Times New Roman" w:hAnsi="Times New Roman" w:eastAsia="仿宋"/>
          <w:sz w:val="24"/>
          <w:szCs w:val="24"/>
        </w:rPr>
        <w:t>2</w:t>
      </w:r>
      <w:r>
        <w:rPr>
          <w:rFonts w:ascii="Times New Roman" w:hAnsi="Times New Roman" w:eastAsia="仿宋"/>
          <w:sz w:val="24"/>
          <w:szCs w:val="24"/>
        </w:rPr>
        <w:fldChar w:fldCharType="end"/>
      </w:r>
      <w:r>
        <w:rPr>
          <w:rFonts w:ascii="Times New Roman" w:hAnsi="Times New Roman" w:eastAsia="仿宋"/>
          <w:sz w:val="24"/>
          <w:szCs w:val="24"/>
        </w:rPr>
        <w:t>：过程类指标评分结果汇总表</w:t>
      </w:r>
    </w:p>
    <w:tbl>
      <w:tblPr>
        <w:tblStyle w:val="24"/>
        <w:tblW w:w="4997" w:type="pct"/>
        <w:tblInd w:w="0" w:type="dxa"/>
        <w:tblLayout w:type="autofit"/>
        <w:tblCellMar>
          <w:top w:w="0" w:type="dxa"/>
          <w:left w:w="108" w:type="dxa"/>
          <w:bottom w:w="0" w:type="dxa"/>
          <w:right w:w="108" w:type="dxa"/>
        </w:tblCellMar>
      </w:tblPr>
      <w:tblGrid>
        <w:gridCol w:w="4384"/>
        <w:gridCol w:w="1534"/>
        <w:gridCol w:w="1824"/>
        <w:gridCol w:w="1494"/>
      </w:tblGrid>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bookmarkStart w:id="36" w:name="_Toc225"/>
            <w:r>
              <w:rPr>
                <w:b/>
                <w:bCs/>
                <w:color w:val="000000"/>
                <w:kern w:val="0"/>
                <w:sz w:val="22"/>
                <w:lang w:bidi="ar"/>
              </w:rPr>
              <w:t>指标名称</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r>
              <w:rPr>
                <w:b/>
                <w:bCs/>
                <w:color w:val="000000"/>
                <w:kern w:val="0"/>
                <w:sz w:val="22"/>
                <w:lang w:bidi="ar"/>
              </w:rPr>
              <w:t>指标权重</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r>
              <w:rPr>
                <w:b/>
                <w:bCs/>
                <w:color w:val="000000"/>
                <w:kern w:val="0"/>
                <w:sz w:val="22"/>
                <w:lang w:bidi="ar"/>
              </w:rPr>
              <w:t>业绩值</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r>
              <w:rPr>
                <w:b/>
                <w:bCs/>
                <w:color w:val="000000"/>
                <w:kern w:val="0"/>
                <w:sz w:val="22"/>
                <w:lang w:bidi="ar"/>
              </w:rPr>
              <w:t>绩效值</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2"/>
              </w:rPr>
            </w:pPr>
            <w:r>
              <w:rPr>
                <w:b/>
                <w:bCs/>
                <w:color w:val="000000"/>
                <w:kern w:val="0"/>
                <w:sz w:val="22"/>
                <w:lang w:bidi="ar"/>
              </w:rPr>
              <w:t>B1预算执行</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18</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42"/>
              <w:jc w:val="center"/>
              <w:rPr>
                <w:b/>
                <w:bCs/>
                <w:color w:val="000000"/>
                <w:sz w:val="22"/>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rFonts w:hint="eastAsia"/>
                <w:b/>
                <w:bCs/>
                <w:color w:val="333333"/>
                <w:sz w:val="21"/>
                <w:szCs w:val="21"/>
              </w:rPr>
              <w:t>18</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B11预算完成率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4</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100%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4</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B12预算调整率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3</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604.25%</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3</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kern w:val="0"/>
                <w:sz w:val="22"/>
                <w:lang w:bidi="ar"/>
              </w:rPr>
            </w:pPr>
            <w:r>
              <w:rPr>
                <w:color w:val="000000"/>
                <w:kern w:val="0"/>
                <w:sz w:val="22"/>
                <w:lang w:bidi="ar"/>
              </w:rPr>
              <w:t>B13结转结余率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color w:val="333333"/>
                <w:kern w:val="0"/>
                <w:sz w:val="21"/>
                <w:szCs w:val="21"/>
                <w:lang w:bidi="ar"/>
              </w:rPr>
              <w:t>3</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2"/>
                <w:lang w:bidi="ar"/>
              </w:rPr>
            </w:pPr>
            <w:r>
              <w:rPr>
                <w:color w:val="000000"/>
                <w:kern w:val="0"/>
                <w:sz w:val="22"/>
                <w:lang w:bidi="ar"/>
              </w:rPr>
              <w:t>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3</w:t>
            </w:r>
          </w:p>
        </w:tc>
      </w:tr>
      <w:tr>
        <w:tblPrEx>
          <w:tblCellMar>
            <w:top w:w="0" w:type="dxa"/>
            <w:left w:w="108" w:type="dxa"/>
            <w:bottom w:w="0" w:type="dxa"/>
            <w:right w:w="108" w:type="dxa"/>
          </w:tblCellMar>
        </w:tblPrEx>
        <w:trPr>
          <w:trHeight w:val="404"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kern w:val="0"/>
                <w:sz w:val="22"/>
                <w:highlight w:val="yellow"/>
                <w:lang w:bidi="ar"/>
              </w:rPr>
            </w:pPr>
            <w:r>
              <w:rPr>
                <w:color w:val="000000"/>
                <w:kern w:val="0"/>
                <w:sz w:val="22"/>
                <w:lang w:bidi="ar"/>
              </w:rPr>
              <w:t>B14结转结余变动率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color w:val="333333"/>
                <w:kern w:val="0"/>
                <w:sz w:val="21"/>
                <w:szCs w:val="21"/>
                <w:lang w:bidi="ar"/>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2"/>
                <w:lang w:bidi="ar"/>
              </w:rPr>
            </w:pPr>
            <w:r>
              <w:rPr>
                <w:rFonts w:hint="eastAsia"/>
                <w:color w:val="000000"/>
                <w:kern w:val="0"/>
                <w:sz w:val="22"/>
                <w:lang w:bidi="ar"/>
              </w:rPr>
              <w:t>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2</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B15公用经费控制率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100%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2</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B16“三公经费”控制率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kern w:val="0"/>
                <w:sz w:val="22"/>
                <w:lang w:bidi="ar"/>
              </w:rPr>
              <w:t>96.67</w:t>
            </w:r>
            <w:r>
              <w:rPr>
                <w:color w:val="000000"/>
                <w:kern w:val="0"/>
                <w:sz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2</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B17政府采购执行率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100%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2</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2"/>
              </w:rPr>
            </w:pPr>
            <w:r>
              <w:rPr>
                <w:b/>
                <w:bCs/>
                <w:color w:val="000000"/>
                <w:kern w:val="0"/>
                <w:sz w:val="22"/>
                <w:lang w:bidi="ar"/>
              </w:rPr>
              <w:t>B2预算管理</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12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2"/>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rFonts w:hint="eastAsia"/>
                <w:b/>
                <w:bCs/>
                <w:color w:val="333333"/>
                <w:sz w:val="21"/>
                <w:szCs w:val="21"/>
              </w:rPr>
              <w:t>12</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B21管理制度健全性</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3</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kern w:val="0"/>
                <w:sz w:val="22"/>
                <w:lang w:bidi="ar"/>
              </w:rPr>
              <w:t>健全</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3</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B22资金使用合规性</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kern w:val="0"/>
                <w:sz w:val="22"/>
                <w:lang w:bidi="ar"/>
              </w:rPr>
              <w:t>合规</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5</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B23预决算信息公开性</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4</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预决算均公开</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rFonts w:hint="eastAsia"/>
                <w:color w:val="000000"/>
                <w:sz w:val="22"/>
              </w:rPr>
              <w:t>4</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2"/>
              </w:rPr>
            </w:pPr>
            <w:r>
              <w:rPr>
                <w:b/>
                <w:bCs/>
                <w:color w:val="000000"/>
                <w:kern w:val="0"/>
                <w:sz w:val="22"/>
                <w:lang w:bidi="ar"/>
              </w:rPr>
              <w:t>B3资产管理</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8</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2"/>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r>
              <w:rPr>
                <w:b/>
                <w:bCs/>
                <w:color w:val="000000"/>
                <w:sz w:val="22"/>
              </w:rPr>
              <w:t>8</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B31管理制度健全性</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3</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kern w:val="0"/>
                <w:sz w:val="22"/>
                <w:lang w:bidi="ar"/>
              </w:rPr>
              <w:t>健全</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3</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B32资产管理完全性</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3</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kern w:val="0"/>
                <w:sz w:val="22"/>
                <w:lang w:bidi="ar"/>
              </w:rPr>
              <w:t>完全</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3</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textAlignment w:val="center"/>
              <w:rPr>
                <w:color w:val="000000"/>
                <w:sz w:val="22"/>
              </w:rPr>
            </w:pPr>
            <w:r>
              <w:rPr>
                <w:color w:val="000000"/>
                <w:kern w:val="0"/>
                <w:sz w:val="22"/>
                <w:lang w:bidi="ar"/>
              </w:rPr>
              <w:t>B33固定资产利用率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color w:val="333333"/>
                <w:kern w:val="0"/>
                <w:sz w:val="21"/>
                <w:szCs w:val="21"/>
                <w:lang w:bidi="ar"/>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kern w:val="0"/>
                <w:sz w:val="22"/>
                <w:lang w:bidi="ar"/>
              </w:rPr>
              <w:t>100%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2"/>
              </w:rPr>
            </w:pPr>
            <w:r>
              <w:rPr>
                <w:color w:val="000000"/>
                <w:sz w:val="22"/>
              </w:rPr>
              <w:t>2</w:t>
            </w:r>
          </w:p>
        </w:tc>
      </w:tr>
      <w:tr>
        <w:tblPrEx>
          <w:tblCellMar>
            <w:top w:w="0" w:type="dxa"/>
            <w:left w:w="108" w:type="dxa"/>
            <w:bottom w:w="0" w:type="dxa"/>
            <w:right w:w="108" w:type="dxa"/>
          </w:tblCellMar>
        </w:tblPrEx>
        <w:trPr>
          <w:trHeight w:val="397" w:hRule="atLeast"/>
        </w:trPr>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合计</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r>
              <w:rPr>
                <w:b/>
                <w:bCs/>
                <w:color w:val="000000"/>
                <w:kern w:val="0"/>
                <w:sz w:val="22"/>
                <w:lang w:bidi="ar"/>
              </w:rPr>
              <w:t>38</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color w:val="000000"/>
                <w:sz w:val="22"/>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2"/>
              </w:rPr>
            </w:pPr>
            <w:r>
              <w:rPr>
                <w:rFonts w:hint="eastAsia"/>
                <w:b/>
                <w:bCs/>
                <w:color w:val="000000"/>
                <w:sz w:val="22"/>
              </w:rPr>
              <w:t>38</w:t>
            </w:r>
          </w:p>
        </w:tc>
      </w:tr>
    </w:tbl>
    <w:p>
      <w:pPr>
        <w:pStyle w:val="30"/>
        <w:ind w:firstLine="560"/>
      </w:pPr>
    </w:p>
    <w:p>
      <w:pPr>
        <w:pStyle w:val="30"/>
        <w:ind w:firstLine="560"/>
      </w:pPr>
      <w:r>
        <w:t>柞水县科学技术局为加强固定资产制度化、规范化管理，预防资产流失依据《行政单位国有资产管理暂行办法》并结合单位实际情况，制定出《柞水县科学技术局固定资产管理办法》。该办法规定财务室负责固定资产的财（账）务管理，资产使用部门必须加强对固定资产的有效管理，合理使用，确保资产的真实和完整，努力提高资产使用的效益，降低损失，充分发挥其在工作中的保障作用。资产管理部门和资产使用部门分级负责，明确分工，密切协作，实时对账做到账实相符，账物相符。遵循“谁主管、谁负责”，“谁使用、谁负责”，“谁损坏、谁负责”的原则，实行统一领导、专人负责，实现固定资产动态化管理。</w:t>
      </w:r>
    </w:p>
    <w:p>
      <w:pPr>
        <w:pStyle w:val="30"/>
        <w:ind w:firstLine="560"/>
      </w:pPr>
      <w:r>
        <w:t>通过核查柞水县科学技术局各项资产，各项资产保存完整，资产账务管理符合《柞水县科学技术局固定资产管理办法》的要求，每半年对固定资产管理使用情况进行一次核查，做到账实相符、账账相符并严格按照柞水县资产处置有关要求和程序，对资产进行处置，无违规违纪情况。</w:t>
      </w:r>
    </w:p>
    <w:p>
      <w:pPr>
        <w:pStyle w:val="30"/>
        <w:ind w:firstLine="560"/>
      </w:pPr>
      <w:r>
        <w:t>截至2021年12月31日，柞水县科学技术局所有固定资产总额为</w:t>
      </w:r>
      <w:r>
        <w:rPr>
          <w:rFonts w:hint="eastAsia"/>
        </w:rPr>
        <w:t>88.97</w:t>
      </w:r>
      <w:r>
        <w:t>万元，其中：在用固定资产</w:t>
      </w:r>
      <w:r>
        <w:rPr>
          <w:rFonts w:hint="eastAsia"/>
        </w:rPr>
        <w:t>88.97</w:t>
      </w:r>
      <w:r>
        <w:t>万元，占账面固定资产总额的100%；闲置固定资产0万元，占账面固定资产总额的0%；待处置（待报废、损毁等）固定资产0万元，占账面固定资产总额的0%。固定资产利用率=（实际在用固定资产总额/所有固定资产总额）×100%=</w:t>
      </w:r>
      <w:r>
        <w:rPr>
          <w:rFonts w:hint="eastAsia"/>
        </w:rPr>
        <w:t>88.97</w:t>
      </w:r>
      <w:r>
        <w:t>/</w:t>
      </w:r>
      <w:r>
        <w:rPr>
          <w:rFonts w:hint="eastAsia"/>
        </w:rPr>
        <w:t>88.97</w:t>
      </w:r>
      <w:r>
        <w:t>×100%=100%。</w:t>
      </w:r>
    </w:p>
    <w:bookmarkEnd w:id="36"/>
    <w:p>
      <w:pPr>
        <w:ind w:firstLine="560"/>
        <w:rPr>
          <w:szCs w:val="28"/>
        </w:rPr>
      </w:pPr>
      <w:r>
        <w:rPr>
          <w:szCs w:val="28"/>
        </w:rPr>
        <w:t>产出指标从职责履行、效益这两个方面对项目进行考察，产出类指标分值共计47.00分，实际得分为</w:t>
      </w:r>
      <w:r>
        <w:rPr>
          <w:rFonts w:hint="eastAsia"/>
          <w:szCs w:val="28"/>
        </w:rPr>
        <w:t>46.92</w:t>
      </w:r>
      <w:r>
        <w:rPr>
          <w:szCs w:val="28"/>
        </w:rPr>
        <w:t>分，得分率为</w:t>
      </w:r>
      <w:r>
        <w:rPr>
          <w:rFonts w:hint="eastAsia"/>
          <w:szCs w:val="28"/>
        </w:rPr>
        <w:t>99.83</w:t>
      </w:r>
      <w:r>
        <w:rPr>
          <w:szCs w:val="28"/>
        </w:rPr>
        <w:t>%。各指标的实际得分情况见表3-3。</w:t>
      </w:r>
    </w:p>
    <w:p>
      <w:pPr>
        <w:pStyle w:val="9"/>
        <w:ind w:firstLine="480"/>
        <w:jc w:val="center"/>
        <w:rPr>
          <w:rFonts w:ascii="Times New Roman" w:hAnsi="Times New Roman" w:eastAsia="仿宋"/>
          <w:sz w:val="24"/>
          <w:szCs w:val="24"/>
        </w:rPr>
      </w:pPr>
      <w:r>
        <w:rPr>
          <w:rFonts w:ascii="Times New Roman" w:hAnsi="Times New Roman" w:eastAsia="仿宋"/>
          <w:sz w:val="24"/>
          <w:szCs w:val="24"/>
        </w:rPr>
        <w:t>表3-</w:t>
      </w:r>
      <w:r>
        <w:rPr>
          <w:rFonts w:ascii="Times New Roman" w:hAnsi="Times New Roman" w:eastAsia="仿宋"/>
          <w:sz w:val="24"/>
          <w:szCs w:val="24"/>
        </w:rPr>
        <w:fldChar w:fldCharType="begin"/>
      </w:r>
      <w:r>
        <w:rPr>
          <w:rFonts w:ascii="Times New Roman" w:hAnsi="Times New Roman" w:eastAsia="仿宋"/>
          <w:sz w:val="24"/>
          <w:szCs w:val="24"/>
        </w:rPr>
        <w:instrText xml:space="preserve"> SEQ 表 \* ARABIC \s 1 </w:instrText>
      </w:r>
      <w:r>
        <w:rPr>
          <w:rFonts w:ascii="Times New Roman" w:hAnsi="Times New Roman" w:eastAsia="仿宋"/>
          <w:sz w:val="24"/>
          <w:szCs w:val="24"/>
        </w:rPr>
        <w:fldChar w:fldCharType="separate"/>
      </w:r>
      <w:r>
        <w:rPr>
          <w:rFonts w:ascii="Times New Roman" w:hAnsi="Times New Roman" w:eastAsia="仿宋"/>
          <w:sz w:val="24"/>
          <w:szCs w:val="24"/>
        </w:rPr>
        <w:t>3</w:t>
      </w:r>
      <w:r>
        <w:rPr>
          <w:rFonts w:ascii="Times New Roman" w:hAnsi="Times New Roman" w:eastAsia="仿宋"/>
          <w:sz w:val="24"/>
          <w:szCs w:val="24"/>
        </w:rPr>
        <w:fldChar w:fldCharType="end"/>
      </w:r>
      <w:r>
        <w:rPr>
          <w:rFonts w:ascii="Times New Roman" w:hAnsi="Times New Roman" w:eastAsia="仿宋"/>
          <w:sz w:val="24"/>
          <w:szCs w:val="24"/>
        </w:rPr>
        <w:t>：产出及效益类指标评分结果汇总表</w:t>
      </w:r>
    </w:p>
    <w:tbl>
      <w:tblPr>
        <w:tblStyle w:val="24"/>
        <w:tblW w:w="4996" w:type="pct"/>
        <w:tblInd w:w="0" w:type="dxa"/>
        <w:tblLayout w:type="autofit"/>
        <w:tblCellMar>
          <w:top w:w="0" w:type="dxa"/>
          <w:left w:w="108" w:type="dxa"/>
          <w:bottom w:w="0" w:type="dxa"/>
          <w:right w:w="108" w:type="dxa"/>
        </w:tblCellMar>
      </w:tblPr>
      <w:tblGrid>
        <w:gridCol w:w="5339"/>
        <w:gridCol w:w="1231"/>
        <w:gridCol w:w="1691"/>
        <w:gridCol w:w="974"/>
      </w:tblGrid>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bookmarkStart w:id="37" w:name="_Toc10278"/>
            <w:r>
              <w:rPr>
                <w:b/>
                <w:bCs/>
                <w:color w:val="000000"/>
                <w:kern w:val="0"/>
                <w:sz w:val="21"/>
                <w:szCs w:val="21"/>
                <w:lang w:bidi="ar"/>
              </w:rPr>
              <w:t>指标名称</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指标权重</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业绩值</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绩效值</w:t>
            </w:r>
          </w:p>
        </w:tc>
      </w:tr>
      <w:tr>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1"/>
                <w:szCs w:val="21"/>
              </w:rPr>
            </w:pPr>
            <w:r>
              <w:rPr>
                <w:b/>
                <w:bCs/>
                <w:color w:val="000000"/>
                <w:kern w:val="0"/>
                <w:sz w:val="21"/>
                <w:szCs w:val="21"/>
                <w:lang w:bidi="ar"/>
              </w:rPr>
              <w:t>C1产出</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rFonts w:hint="eastAsia"/>
                <w:b/>
                <w:bCs/>
                <w:color w:val="333333"/>
                <w:kern w:val="0"/>
                <w:sz w:val="21"/>
                <w:szCs w:val="21"/>
                <w:lang w:bidi="ar"/>
              </w:rPr>
              <w:t>36</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1"/>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rFonts w:hint="eastAsia"/>
                <w:b/>
                <w:bCs/>
                <w:color w:val="333333"/>
                <w:sz w:val="21"/>
                <w:szCs w:val="21"/>
              </w:rPr>
              <w:t>35.92</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sz w:val="21"/>
                <w:szCs w:val="21"/>
              </w:rPr>
            </w:pPr>
            <w:r>
              <w:rPr>
                <w:color w:val="000000"/>
                <w:kern w:val="0"/>
                <w:sz w:val="21"/>
                <w:szCs w:val="21"/>
                <w:lang w:bidi="ar"/>
              </w:rPr>
              <w:t>C11</w:t>
            </w:r>
            <w:r>
              <w:rPr>
                <w:rFonts w:hint="eastAsia"/>
                <w:color w:val="000000"/>
                <w:kern w:val="0"/>
                <w:sz w:val="21"/>
                <w:szCs w:val="21"/>
                <w:lang w:bidi="ar"/>
              </w:rPr>
              <w:t>研发支出占地区生产总值比例</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0.06%</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3.92</w:t>
            </w:r>
          </w:p>
        </w:tc>
      </w:tr>
      <w:tr>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sz w:val="21"/>
                <w:szCs w:val="21"/>
              </w:rPr>
            </w:pPr>
            <w:r>
              <w:rPr>
                <w:color w:val="000000"/>
                <w:kern w:val="0"/>
                <w:sz w:val="21"/>
                <w:szCs w:val="21"/>
                <w:lang w:bidi="ar"/>
              </w:rPr>
              <w:t>C12</w:t>
            </w:r>
            <w:r>
              <w:rPr>
                <w:rFonts w:hint="eastAsia"/>
                <w:color w:val="000000"/>
                <w:kern w:val="0"/>
                <w:sz w:val="21"/>
                <w:szCs w:val="21"/>
                <w:lang w:bidi="ar"/>
              </w:rPr>
              <w:t>技术合同成交额占地区生产总值的比例</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0.255%</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4</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sz w:val="21"/>
                <w:szCs w:val="21"/>
              </w:rPr>
            </w:pPr>
            <w:r>
              <w:rPr>
                <w:color w:val="000000"/>
                <w:kern w:val="0"/>
                <w:sz w:val="21"/>
                <w:szCs w:val="21"/>
                <w:lang w:bidi="ar"/>
              </w:rPr>
              <w:t>C13</w:t>
            </w:r>
            <w:r>
              <w:rPr>
                <w:rFonts w:hint="eastAsia"/>
                <w:color w:val="000000"/>
                <w:kern w:val="0"/>
                <w:sz w:val="21"/>
                <w:szCs w:val="21"/>
                <w:lang w:bidi="ar"/>
              </w:rPr>
              <w:t>每千家法人企业中高新技术企业占比</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sz w:val="21"/>
                <w:szCs w:val="21"/>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0.41%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4</w:t>
            </w:r>
          </w:p>
        </w:tc>
      </w:tr>
      <w:tr>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color w:val="000000"/>
                <w:kern w:val="0"/>
                <w:sz w:val="21"/>
                <w:szCs w:val="21"/>
                <w:lang w:bidi="ar"/>
              </w:rPr>
              <w:t>C14</w:t>
            </w:r>
            <w:r>
              <w:rPr>
                <w:rFonts w:hint="eastAsia"/>
                <w:color w:val="000000"/>
                <w:kern w:val="0"/>
                <w:sz w:val="21"/>
                <w:szCs w:val="21"/>
                <w:lang w:bidi="ar"/>
              </w:rPr>
              <w:t>争取资金量</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2433万元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color w:val="000000"/>
                <w:kern w:val="0"/>
                <w:sz w:val="21"/>
                <w:szCs w:val="21"/>
                <w:lang w:bidi="ar"/>
              </w:rPr>
              <w:t>C15</w:t>
            </w:r>
            <w:r>
              <w:rPr>
                <w:rFonts w:hint="eastAsia"/>
                <w:color w:val="000000"/>
                <w:kern w:val="0"/>
                <w:sz w:val="21"/>
                <w:szCs w:val="21"/>
                <w:lang w:bidi="ar"/>
              </w:rPr>
              <w:t>招商合同签约</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5亿元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color w:val="000000"/>
                <w:kern w:val="0"/>
                <w:sz w:val="21"/>
                <w:szCs w:val="21"/>
                <w:lang w:bidi="ar"/>
              </w:rPr>
              <w:t>C16</w:t>
            </w:r>
            <w:r>
              <w:rPr>
                <w:rFonts w:hint="eastAsia"/>
                <w:color w:val="000000"/>
                <w:kern w:val="0"/>
                <w:sz w:val="21"/>
                <w:szCs w:val="21"/>
                <w:lang w:bidi="ar"/>
              </w:rPr>
              <w:t>引进新项目</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8个</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color w:val="000000"/>
                <w:kern w:val="0"/>
                <w:sz w:val="21"/>
                <w:szCs w:val="21"/>
                <w:lang w:bidi="ar"/>
              </w:rPr>
              <w:t>C17</w:t>
            </w:r>
            <w:r>
              <w:rPr>
                <w:rFonts w:hint="eastAsia"/>
                <w:color w:val="000000"/>
                <w:kern w:val="0"/>
                <w:sz w:val="21"/>
                <w:szCs w:val="21"/>
                <w:lang w:bidi="ar"/>
              </w:rPr>
              <w:t>重点项目建设</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全部完成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color w:val="000000"/>
                <w:kern w:val="0"/>
                <w:sz w:val="21"/>
                <w:szCs w:val="21"/>
                <w:lang w:bidi="ar"/>
              </w:rPr>
              <w:t>C18</w:t>
            </w:r>
            <w:r>
              <w:rPr>
                <w:rFonts w:hint="eastAsia"/>
                <w:color w:val="000000"/>
                <w:kern w:val="0"/>
                <w:sz w:val="21"/>
                <w:szCs w:val="21"/>
                <w:lang w:bidi="ar"/>
              </w:rPr>
              <w:t>国家数字乡村试点</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sz w:val="21"/>
                <w:szCs w:val="21"/>
              </w:rPr>
              <w:t>深入推进</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kern w:val="0"/>
                <w:sz w:val="21"/>
                <w:szCs w:val="21"/>
                <w:lang w:bidi="ar"/>
              </w:rPr>
            </w:pPr>
            <w:r>
              <w:rPr>
                <w:rFonts w:hint="eastAsia"/>
                <w:color w:val="000000"/>
                <w:kern w:val="0"/>
                <w:sz w:val="21"/>
                <w:szCs w:val="21"/>
                <w:lang w:bidi="ar"/>
              </w:rPr>
              <w:t>C19地方木耳品种培育</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333333"/>
                <w:kern w:val="0"/>
                <w:sz w:val="21"/>
                <w:szCs w:val="21"/>
                <w:lang w:bidi="ar"/>
              </w:rPr>
            </w:pPr>
            <w:r>
              <w:rPr>
                <w:rFonts w:hint="eastAsia"/>
                <w:color w:val="333333"/>
                <w:kern w:val="0"/>
                <w:sz w:val="21"/>
                <w:szCs w:val="21"/>
                <w:lang w:bidi="ar"/>
              </w:rPr>
              <w:t>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18"/>
                <w:szCs w:val="18"/>
              </w:rPr>
              <w:t>选育地方品种8个</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r>
      <w:tr>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color w:val="000000"/>
                <w:sz w:val="21"/>
                <w:szCs w:val="21"/>
              </w:rPr>
            </w:pPr>
            <w:r>
              <w:rPr>
                <w:b/>
                <w:bCs/>
                <w:color w:val="000000"/>
                <w:kern w:val="0"/>
                <w:sz w:val="21"/>
                <w:szCs w:val="21"/>
                <w:lang w:bidi="ar"/>
              </w:rPr>
              <w:t>C2</w:t>
            </w:r>
            <w:r>
              <w:rPr>
                <w:rFonts w:hint="eastAsia"/>
                <w:b/>
                <w:bCs/>
                <w:color w:val="000000"/>
                <w:kern w:val="0"/>
                <w:sz w:val="21"/>
                <w:szCs w:val="21"/>
                <w:lang w:bidi="ar"/>
              </w:rPr>
              <w:t>效益</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kern w:val="0"/>
                <w:sz w:val="21"/>
                <w:szCs w:val="21"/>
                <w:lang w:bidi="ar"/>
              </w:rPr>
              <w:t>11</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b/>
                <w:bCs/>
                <w:color w:val="000000"/>
                <w:sz w:val="21"/>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sz w:val="21"/>
                <w:szCs w:val="21"/>
              </w:rPr>
              <w:t>11</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left"/>
              <w:textAlignment w:val="center"/>
              <w:rPr>
                <w:color w:val="000000"/>
                <w:sz w:val="21"/>
                <w:szCs w:val="21"/>
              </w:rPr>
            </w:pPr>
            <w:r>
              <w:rPr>
                <w:color w:val="000000"/>
                <w:kern w:val="0"/>
                <w:sz w:val="21"/>
                <w:szCs w:val="21"/>
                <w:lang w:bidi="ar"/>
              </w:rPr>
              <w:t>C21会公众满意度</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11</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11</w:t>
            </w:r>
          </w:p>
        </w:tc>
      </w:tr>
      <w:tr>
        <w:tblPrEx>
          <w:tblCellMar>
            <w:top w:w="0" w:type="dxa"/>
            <w:left w:w="108" w:type="dxa"/>
            <w:bottom w:w="0" w:type="dxa"/>
            <w:right w:w="108" w:type="dxa"/>
          </w:tblCellMar>
        </w:tblPrEx>
        <w:trPr>
          <w:trHeight w:val="397" w:hRule="atLeast"/>
        </w:trPr>
        <w:tc>
          <w:tcPr>
            <w:tcW w:w="28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333333"/>
                <w:sz w:val="21"/>
                <w:szCs w:val="21"/>
              </w:rPr>
            </w:pPr>
            <w:r>
              <w:rPr>
                <w:b/>
                <w:bCs/>
                <w:color w:val="333333"/>
                <w:kern w:val="0"/>
                <w:sz w:val="21"/>
                <w:szCs w:val="21"/>
                <w:lang w:bidi="ar"/>
              </w:rPr>
              <w:t>合计</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sz w:val="21"/>
                <w:szCs w:val="21"/>
              </w:rPr>
              <w:t>47</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color w:val="000000"/>
                <w:sz w:val="21"/>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sz w:val="21"/>
                <w:szCs w:val="21"/>
              </w:rPr>
              <w:t>46.92</w:t>
            </w:r>
          </w:p>
        </w:tc>
      </w:tr>
    </w:tbl>
    <w:p>
      <w:pPr>
        <w:pStyle w:val="4"/>
        <w:ind w:firstLine="643"/>
      </w:pPr>
      <w:bookmarkStart w:id="38" w:name="_Toc14951"/>
      <w:r>
        <w:t>四、</w:t>
      </w:r>
      <w:bookmarkEnd w:id="37"/>
      <w:bookmarkStart w:id="39" w:name="_Toc14914"/>
      <w:bookmarkStart w:id="40" w:name="_Toc2035"/>
      <w:bookmarkStart w:id="41" w:name="_Toc17474125"/>
      <w:r>
        <w:t>主要经验及做法</w:t>
      </w:r>
      <w:bookmarkEnd w:id="38"/>
    </w:p>
    <w:p>
      <w:pPr>
        <w:pStyle w:val="2"/>
        <w:spacing w:line="360" w:lineRule="auto"/>
        <w:ind w:left="0" w:leftChars="0" w:firstLine="560"/>
        <w:rPr>
          <w:rFonts w:hAnsi="Times New Roman" w:eastAsia="仿宋"/>
          <w:szCs w:val="22"/>
        </w:rPr>
      </w:pPr>
      <w:r>
        <w:rPr>
          <w:rFonts w:hAnsi="Times New Roman" w:eastAsia="仿宋"/>
          <w:szCs w:val="22"/>
        </w:rPr>
        <w:t>1.认真做好预算编制。认真学习预算编制文件精神，对年度部门预算编制的依据、标准、方法和内容等进行了全面梳理，把握编制口径变化情况，确保准确掌握编制各项要求。主动与财政相关股室沟通对接，完成各个项目支出内容细化、资金测算依据编制、项目绩效指标设定等工作，确保各项支出预算科学、合理、严谨。</w:t>
      </w:r>
    </w:p>
    <w:p>
      <w:pPr>
        <w:pStyle w:val="2"/>
        <w:spacing w:line="360" w:lineRule="auto"/>
        <w:ind w:left="0" w:leftChars="0" w:firstLine="560"/>
        <w:rPr>
          <w:rFonts w:hAnsi="Times New Roman" w:eastAsia="仿宋"/>
          <w:szCs w:val="22"/>
        </w:rPr>
      </w:pPr>
      <w:r>
        <w:rPr>
          <w:rFonts w:hAnsi="Times New Roman" w:eastAsia="仿宋"/>
          <w:szCs w:val="22"/>
        </w:rPr>
        <w:t>2.建立健全财务制度。修订完善了《财务管理制度》《财务核算制度》《固定资产管理制度》《办公用品采购管理制度》《项目管理制度》《差旅费报销管理制度》《公务接待管理制度》《合同管理制度》《公务用车管理制度》等制度，健全了机关财务管理、资产管理等内控机制，进一步加强了预算管理、规范财务行为。</w:t>
      </w:r>
    </w:p>
    <w:p>
      <w:pPr>
        <w:pStyle w:val="4"/>
        <w:ind w:firstLine="643"/>
      </w:pPr>
      <w:bookmarkStart w:id="42" w:name="_Toc26971"/>
      <w:r>
        <w:t>五、存在的问题和建议</w:t>
      </w:r>
      <w:bookmarkEnd w:id="39"/>
      <w:bookmarkEnd w:id="40"/>
      <w:bookmarkEnd w:id="41"/>
      <w:bookmarkEnd w:id="42"/>
    </w:p>
    <w:p>
      <w:pPr>
        <w:pStyle w:val="5"/>
        <w:ind w:firstLine="602"/>
      </w:pPr>
      <w:bookmarkStart w:id="43" w:name="_Toc24760"/>
      <w:bookmarkStart w:id="44" w:name="_Toc20398"/>
      <w:r>
        <w:t>（一）存在的问题</w:t>
      </w:r>
      <w:bookmarkEnd w:id="43"/>
      <w:bookmarkEnd w:id="44"/>
    </w:p>
    <w:p>
      <w:pPr>
        <w:pStyle w:val="30"/>
        <w:ind w:firstLine="560"/>
      </w:pPr>
      <w:r>
        <w:t>1.绩效目标考核体系不完善</w:t>
      </w:r>
    </w:p>
    <w:p>
      <w:pPr>
        <w:pStyle w:val="30"/>
        <w:ind w:firstLine="560"/>
      </w:pPr>
      <w:r>
        <w:t>柞水县科学技术局在2021年初预算编制中，未设定部门整体绩效目标，未将部门整体的绩效目标细化分解为具体的工作任务，绩效目标也未通过清晰、可衡量的指标值予以体现，导致绩效目标考核体系不完善。</w:t>
      </w:r>
    </w:p>
    <w:p>
      <w:pPr>
        <w:pStyle w:val="30"/>
        <w:ind w:firstLine="560"/>
      </w:pPr>
      <w:r>
        <w:t>2.在职人员控制率较</w:t>
      </w:r>
      <w:r>
        <w:rPr>
          <w:rFonts w:hint="eastAsia"/>
        </w:rPr>
        <w:t>低</w:t>
      </w:r>
      <w:r>
        <w:t>，</w:t>
      </w:r>
      <w:r>
        <w:rPr>
          <w:rFonts w:hint="eastAsia"/>
        </w:rPr>
        <w:t>单位人员缺</w:t>
      </w:r>
      <w:r>
        <w:t>编</w:t>
      </w:r>
    </w:p>
    <w:p>
      <w:pPr>
        <w:ind w:firstLine="560"/>
      </w:pPr>
      <w:r>
        <w:t>根据部门三定方案，柞水县科学技术局2021年机构编制部门核定批复的部门（单位）人员编制数为</w:t>
      </w:r>
      <w:r>
        <w:rPr>
          <w:rFonts w:hint="eastAsia"/>
        </w:rPr>
        <w:t>13</w:t>
      </w:r>
      <w:r>
        <w:t>人，其中行政编制</w:t>
      </w:r>
      <w:r>
        <w:rPr>
          <w:rFonts w:hint="eastAsia"/>
        </w:rPr>
        <w:t>0</w:t>
      </w:r>
      <w:r>
        <w:t>人，事业编制13人。2021年实有人员</w:t>
      </w:r>
      <w:r>
        <w:rPr>
          <w:rFonts w:hint="eastAsia"/>
        </w:rPr>
        <w:t>8</w:t>
      </w:r>
      <w:r>
        <w:t>人</w:t>
      </w:r>
      <w:r>
        <w:rPr>
          <w:rFonts w:hint="eastAsia"/>
        </w:rPr>
        <w:t>，</w:t>
      </w:r>
      <w:r>
        <w:t>其中行政编制</w:t>
      </w:r>
      <w:r>
        <w:rPr>
          <w:rFonts w:hint="eastAsia"/>
        </w:rPr>
        <w:t>0</w:t>
      </w:r>
      <w:r>
        <w:t>人、事业编制8人。在职人员控制率为</w:t>
      </w:r>
      <w:r>
        <w:rPr>
          <w:rFonts w:hint="eastAsia"/>
        </w:rPr>
        <w:t>61.54</w:t>
      </w:r>
      <w:r>
        <w:t>%。</w:t>
      </w:r>
      <w:r>
        <w:rPr>
          <w:rFonts w:hint="eastAsia"/>
        </w:rPr>
        <w:t>根据访谈了解到，柞水县科学技术局缺乏专业财务人员，目前财务人员身兼多职，在预算编制、财务管理等方面业务水平不高，影响单位财务工作质量。</w:t>
      </w:r>
    </w:p>
    <w:p>
      <w:pPr>
        <w:pStyle w:val="30"/>
        <w:ind w:firstLine="560"/>
      </w:pPr>
      <w:r>
        <w:rPr>
          <w:rFonts w:hint="eastAsia"/>
        </w:rPr>
        <w:t>3</w:t>
      </w:r>
      <w:r>
        <w:t>.部门预决算信息未按相关规定公开</w:t>
      </w:r>
    </w:p>
    <w:p>
      <w:pPr>
        <w:ind w:firstLine="560"/>
      </w:pPr>
      <w:r>
        <w:t>评价人员通过在柞水县政府信息公开网站上查询，未见柞水县科学技术局2021年部门预决算信息</w:t>
      </w:r>
    </w:p>
    <w:p>
      <w:pPr>
        <w:pStyle w:val="5"/>
        <w:ind w:firstLine="602"/>
      </w:pPr>
      <w:bookmarkStart w:id="45" w:name="_Toc9537"/>
      <w:bookmarkStart w:id="46" w:name="_Toc31334"/>
      <w:bookmarkStart w:id="47" w:name="_Toc6356"/>
      <w:r>
        <w:t>（二）相关建议</w:t>
      </w:r>
      <w:bookmarkEnd w:id="45"/>
      <w:bookmarkEnd w:id="46"/>
    </w:p>
    <w:bookmarkEnd w:id="47"/>
    <w:p>
      <w:pPr>
        <w:pStyle w:val="30"/>
        <w:ind w:firstLine="560"/>
      </w:pPr>
      <w:r>
        <w:t>1.积极引入绩效理念，建立健全绩效考核制度</w:t>
      </w:r>
    </w:p>
    <w:p>
      <w:pPr>
        <w:pStyle w:val="30"/>
        <w:ind w:firstLine="560"/>
      </w:pPr>
      <w:r>
        <w:t>建议柞水县科学技术局在计划管理工作中，积极引入部门绩效管理理念。明确基本经费的绩效管理目标，细化任务，结合政策规定、管理要求制定可细化、可衡量的产出和效果指标，对定性目标要细化、规范化，避免模棱两可、含糊不清的语言；对量化指标要建立科学合理的指标增长机制，指标过低或过高都不利于激发工作积极性和工作热情，制定的指标数应以上年度完成情况为基数的情况下，充分考虑指标完成过程中的各种因素，构建一个科学、合理、规范的绩效考核体系，避免目标绩效管理流于形式、疲于应付等弊端，从而形成部门有目标、工作有计划、绩效可量化、考核有依据的计划目标管理机制，便于有效考核执行效果。</w:t>
      </w:r>
    </w:p>
    <w:p>
      <w:pPr>
        <w:pStyle w:val="30"/>
        <w:ind w:firstLine="560"/>
        <w:rPr>
          <w:rFonts w:hint="eastAsia" w:eastAsia="仿宋"/>
          <w:lang w:val="en-US" w:eastAsia="zh-CN"/>
        </w:rPr>
      </w:pPr>
      <w:r>
        <w:rPr>
          <w:rFonts w:hint="eastAsia"/>
        </w:rPr>
        <w:t>2.扩大招聘，</w:t>
      </w:r>
      <w:r>
        <w:rPr>
          <w:rFonts w:hint="eastAsia"/>
          <w:lang w:val="en-US" w:eastAsia="zh-CN"/>
        </w:rPr>
        <w:t>解决</w:t>
      </w:r>
      <w:r>
        <w:rPr>
          <w:rFonts w:hint="eastAsia"/>
        </w:rPr>
        <w:t>单位缺编</w:t>
      </w:r>
      <w:r>
        <w:rPr>
          <w:rFonts w:hint="eastAsia"/>
          <w:lang w:val="en-US" w:eastAsia="zh-CN"/>
        </w:rPr>
        <w:t>情况。</w:t>
      </w:r>
    </w:p>
    <w:p>
      <w:pPr>
        <w:pStyle w:val="30"/>
        <w:ind w:firstLine="560"/>
      </w:pPr>
      <w:r>
        <w:rPr>
          <w:rFonts w:hint="eastAsia"/>
        </w:rPr>
        <w:t>（1）</w:t>
      </w:r>
      <w:r>
        <w:t>争取人员编制。</w:t>
      </w:r>
      <w:r>
        <w:rPr>
          <w:rFonts w:hint="eastAsia"/>
        </w:rPr>
        <w:t>柞水县科学技术局可以</w:t>
      </w:r>
      <w:r>
        <w:t>积极争取</w:t>
      </w:r>
      <w:r>
        <w:rPr>
          <w:rFonts w:hint="eastAsia"/>
        </w:rPr>
        <w:t>县</w:t>
      </w:r>
      <w:r>
        <w:t>委、</w:t>
      </w:r>
      <w:r>
        <w:rPr>
          <w:rFonts w:hint="eastAsia"/>
        </w:rPr>
        <w:t>县</w:t>
      </w:r>
      <w:r>
        <w:t>政府主要领导重视和支持，多方协调</w:t>
      </w:r>
      <w:r>
        <w:rPr>
          <w:rFonts w:hint="eastAsia"/>
        </w:rPr>
        <w:t>县</w:t>
      </w:r>
      <w:r>
        <w:t>编办、</w:t>
      </w:r>
      <w:r>
        <w:rPr>
          <w:rFonts w:hint="eastAsia"/>
        </w:rPr>
        <w:t>人</w:t>
      </w:r>
      <w:r>
        <w:t>社局等相关部门，</w:t>
      </w:r>
      <w:r>
        <w:rPr>
          <w:rFonts w:hint="eastAsia"/>
        </w:rPr>
        <w:t>争取</w:t>
      </w:r>
      <w:r>
        <w:t>事业编制及高素质人员，极大地充实</w:t>
      </w:r>
      <w:r>
        <w:rPr>
          <w:rFonts w:hint="eastAsia"/>
        </w:rPr>
        <w:t>单位人员</w:t>
      </w:r>
      <w:r>
        <w:t>队伍。</w:t>
      </w:r>
    </w:p>
    <w:p>
      <w:pPr>
        <w:ind w:firstLine="560"/>
      </w:pPr>
      <w:r>
        <w:rPr>
          <w:rFonts w:hint="eastAsia"/>
        </w:rPr>
        <w:t>（2）事业人员招考。通过事业人员招考或者其他单位调动补充。</w:t>
      </w:r>
    </w:p>
    <w:p>
      <w:pPr>
        <w:ind w:firstLine="560"/>
      </w:pPr>
      <w:r>
        <w:rPr>
          <w:rFonts w:hint="eastAsia"/>
          <w:kern w:val="0"/>
          <w:szCs w:val="28"/>
        </w:rPr>
        <w:t>（3）合同制管理。根据单位所缺人才，向社会面进行招聘相关专业能力、技术水平的人员，这部分人员统一实行合同制管理。</w:t>
      </w:r>
    </w:p>
    <w:p>
      <w:pPr>
        <w:ind w:firstLine="560"/>
      </w:pPr>
      <w:r>
        <w:rPr>
          <w:rFonts w:hint="eastAsia"/>
        </w:rPr>
        <w:t>3</w:t>
      </w:r>
      <w:r>
        <w:t>.加强部门预决算信息公开质量</w:t>
      </w:r>
    </w:p>
    <w:p>
      <w:pPr>
        <w:ind w:firstLine="560"/>
      </w:pPr>
      <w:r>
        <w:t>建议柞水县科学技术局进一步加强对预决算公开监督检查，除了及时性、报表完整性和格式等形式上的内容外，要注重运用大数据等现代科技手段，更多地向数据真实性、合理性以及报表间的勾稽关系等内容拓展，有力提升预决算公开质量。</w:t>
      </w:r>
    </w:p>
    <w:p>
      <w:pPr>
        <w:pStyle w:val="40"/>
        <w:ind w:firstLine="643"/>
      </w:pPr>
      <w:bookmarkStart w:id="48" w:name="_Toc31652"/>
      <w:bookmarkStart w:id="49" w:name="_Toc107476861"/>
      <w:r>
        <w:t>六、附件</w:t>
      </w:r>
      <w:bookmarkEnd w:id="48"/>
      <w:bookmarkEnd w:id="49"/>
    </w:p>
    <w:p>
      <w:pPr>
        <w:pStyle w:val="30"/>
        <w:ind w:firstLine="560"/>
        <w:rPr>
          <w:szCs w:val="28"/>
        </w:rPr>
      </w:pPr>
      <w:r>
        <w:t>1.柞水县科学技术局2021年部门整体支出绩效指标评分</w:t>
      </w:r>
      <w:r>
        <w:rPr>
          <w:rFonts w:hint="eastAsia"/>
          <w:lang w:eastAsia="zh-CN"/>
        </w:rPr>
        <w:t>。</w:t>
      </w:r>
    </w:p>
    <w:p>
      <w:pPr>
        <w:tabs>
          <w:tab w:val="left" w:pos="5529"/>
        </w:tabs>
        <w:ind w:left="0" w:leftChars="0" w:firstLine="0" w:firstLineChars="0"/>
        <w:rPr>
          <w:szCs w:val="28"/>
        </w:rPr>
      </w:pPr>
    </w:p>
    <w:p>
      <w:pPr>
        <w:tabs>
          <w:tab w:val="left" w:pos="5529"/>
        </w:tabs>
        <w:ind w:firstLine="560"/>
        <w:rPr>
          <w:szCs w:val="28"/>
        </w:rPr>
      </w:pPr>
    </w:p>
    <w:p>
      <w:pPr>
        <w:tabs>
          <w:tab w:val="left" w:pos="5529"/>
        </w:tabs>
        <w:ind w:firstLine="560"/>
        <w:jc w:val="right"/>
        <w:rPr>
          <w:szCs w:val="28"/>
        </w:rPr>
      </w:pPr>
    </w:p>
    <w:p>
      <w:pPr>
        <w:tabs>
          <w:tab w:val="left" w:pos="5529"/>
        </w:tabs>
        <w:ind w:left="0" w:leftChars="0" w:firstLine="4480" w:firstLineChars="1600"/>
        <w:jc w:val="both"/>
        <w:rPr>
          <w:szCs w:val="28"/>
        </w:rPr>
      </w:pPr>
      <w:r>
        <w:rPr>
          <w:szCs w:val="28"/>
        </w:rPr>
        <w:t>评价机构：柞水县智信财务有限公司</w:t>
      </w:r>
    </w:p>
    <w:p>
      <w:pPr>
        <w:pStyle w:val="11"/>
        <w:ind w:firstLine="560"/>
        <w:jc w:val="center"/>
        <w:rPr>
          <w:sz w:val="28"/>
          <w:szCs w:val="28"/>
        </w:rPr>
        <w:sectPr>
          <w:footerReference r:id="rId9" w:type="default"/>
          <w:pgSz w:w="11906" w:h="16838"/>
          <w:pgMar w:top="1797" w:right="1440" w:bottom="1797" w:left="1440" w:header="851" w:footer="794" w:gutter="0"/>
          <w:cols w:space="720" w:num="1"/>
          <w:docGrid w:linePitch="381" w:charSpace="0"/>
        </w:sectPr>
      </w:pPr>
      <w:r>
        <w:rPr>
          <w:rFonts w:hint="eastAsia"/>
          <w:sz w:val="28"/>
          <w:szCs w:val="28"/>
          <w:lang w:val="en-US" w:eastAsia="zh-CN"/>
        </w:rPr>
        <w:t xml:space="preserve">                    </w:t>
      </w:r>
      <w:r>
        <w:rPr>
          <w:sz w:val="28"/>
          <w:szCs w:val="28"/>
        </w:rPr>
        <w:t>二零二二年十二月二十日</w:t>
      </w:r>
    </w:p>
    <w:p>
      <w:pPr>
        <w:pStyle w:val="4"/>
        <w:ind w:firstLine="643"/>
        <w:rPr>
          <w:rStyle w:val="27"/>
          <w:color w:val="auto"/>
          <w:u w:val="none"/>
        </w:rPr>
      </w:pPr>
      <w:bookmarkStart w:id="50" w:name="_Toc31090"/>
      <w:r>
        <w:rPr>
          <w:rStyle w:val="27"/>
          <w:color w:val="auto"/>
          <w:u w:val="none"/>
        </w:rPr>
        <w:t>附件一：柞水县科学技术局2021年部门整体支出绩效指标评分表</w:t>
      </w:r>
      <w:bookmarkEnd w:id="50"/>
    </w:p>
    <w:tbl>
      <w:tblPr>
        <w:tblStyle w:val="24"/>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132"/>
        <w:gridCol w:w="758"/>
        <w:gridCol w:w="1484"/>
        <w:gridCol w:w="810"/>
        <w:gridCol w:w="4657"/>
        <w:gridCol w:w="2539"/>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8"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一级指标</w:t>
            </w:r>
          </w:p>
        </w:tc>
        <w:tc>
          <w:tcPr>
            <w:tcW w:w="1132"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二级指标</w:t>
            </w:r>
          </w:p>
        </w:tc>
        <w:tc>
          <w:tcPr>
            <w:tcW w:w="758"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分值</w:t>
            </w:r>
          </w:p>
        </w:tc>
        <w:tc>
          <w:tcPr>
            <w:tcW w:w="1484"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三级指标</w:t>
            </w:r>
          </w:p>
        </w:tc>
        <w:tc>
          <w:tcPr>
            <w:tcW w:w="810"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分值</w:t>
            </w:r>
          </w:p>
        </w:tc>
        <w:tc>
          <w:tcPr>
            <w:tcW w:w="4657"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指标说明</w:t>
            </w:r>
          </w:p>
        </w:tc>
        <w:tc>
          <w:tcPr>
            <w:tcW w:w="2539"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评价标准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98" w:type="dxa"/>
            <w:vMerge w:val="restart"/>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A投入</w:t>
            </w:r>
          </w:p>
          <w:p>
            <w:pPr>
              <w:widowControl/>
              <w:spacing w:line="240" w:lineRule="auto"/>
              <w:ind w:firstLine="0" w:firstLineChars="0"/>
              <w:jc w:val="left"/>
              <w:textAlignment w:val="center"/>
              <w:rPr>
                <w:color w:val="000000"/>
                <w:sz w:val="21"/>
                <w:szCs w:val="21"/>
              </w:rPr>
            </w:pPr>
            <w:r>
              <w:rPr>
                <w:color w:val="000000"/>
                <w:kern w:val="0"/>
                <w:sz w:val="21"/>
                <w:szCs w:val="21"/>
                <w:lang w:bidi="ar"/>
              </w:rPr>
              <w:t>（</w:t>
            </w:r>
            <w:r>
              <w:rPr>
                <w:rStyle w:val="47"/>
                <w:lang w:bidi="ar"/>
              </w:rPr>
              <w:t>15</w:t>
            </w:r>
            <w:r>
              <w:rPr>
                <w:color w:val="000000"/>
                <w:kern w:val="0"/>
                <w:sz w:val="21"/>
                <w:szCs w:val="21"/>
                <w:lang w:bidi="ar"/>
              </w:rPr>
              <w:t>分）</w:t>
            </w:r>
          </w:p>
        </w:tc>
        <w:tc>
          <w:tcPr>
            <w:tcW w:w="1132"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A1目标设定</w:t>
            </w:r>
          </w:p>
        </w:tc>
        <w:tc>
          <w:tcPr>
            <w:tcW w:w="758" w:type="dxa"/>
            <w:vMerge w:val="restart"/>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6</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A11部门职责明确性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部门的职责设定是否符合</w:t>
            </w:r>
            <w:r>
              <w:rPr>
                <w:rStyle w:val="47"/>
                <w:lang w:bidi="ar"/>
              </w:rPr>
              <w:t>“</w:t>
            </w:r>
            <w:r>
              <w:rPr>
                <w:color w:val="000000"/>
                <w:kern w:val="0"/>
                <w:sz w:val="21"/>
                <w:szCs w:val="21"/>
                <w:lang w:bidi="ar"/>
              </w:rPr>
              <w:t>三定</w:t>
            </w:r>
            <w:r>
              <w:rPr>
                <w:rStyle w:val="47"/>
                <w:lang w:bidi="ar"/>
              </w:rPr>
              <w:t>”</w:t>
            </w:r>
            <w:r>
              <w:rPr>
                <w:color w:val="000000"/>
                <w:kern w:val="0"/>
                <w:sz w:val="21"/>
                <w:szCs w:val="21"/>
                <w:lang w:bidi="ar"/>
              </w:rPr>
              <w:t>方案中所赋予的职责和年度承担的重点工作，用以反映和评价部门工作的目的性与计划性。</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全部符合（</w:t>
            </w:r>
            <w:r>
              <w:rPr>
                <w:rStyle w:val="47"/>
                <w:lang w:bidi="ar"/>
              </w:rPr>
              <w:t>2</w:t>
            </w:r>
            <w:r>
              <w:rPr>
                <w:color w:val="000000"/>
                <w:kern w:val="0"/>
                <w:sz w:val="21"/>
                <w:szCs w:val="21"/>
                <w:lang w:bidi="ar"/>
              </w:rPr>
              <w:t>分）；其中一项不符合扣</w:t>
            </w:r>
            <w:r>
              <w:rPr>
                <w:rStyle w:val="47"/>
                <w:lang w:bidi="ar"/>
              </w:rPr>
              <w:t>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A11绩效目标合规性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tcBorders>
              <w:bottom w:val="single" w:color="auto" w:sz="4" w:space="0"/>
            </w:tcBorders>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部门的绩效目标是否在职责范围之内并符合部门中长期规划，用以反映和评价部门活动目标与部门履职、年度工作任务的相符性情况。</w:t>
            </w:r>
          </w:p>
          <w:p>
            <w:pPr>
              <w:widowControl/>
              <w:spacing w:line="240" w:lineRule="auto"/>
              <w:ind w:firstLine="0" w:firstLineChars="0"/>
              <w:jc w:val="left"/>
              <w:textAlignment w:val="center"/>
            </w:pPr>
            <w:r>
              <w:rPr>
                <w:color w:val="000000"/>
                <w:kern w:val="0"/>
                <w:sz w:val="21"/>
                <w:szCs w:val="21"/>
                <w:lang w:bidi="ar"/>
              </w:rPr>
              <w:t>评价要点：1.绩效目标的设定在部门所确定的职责范围之内；2.绩效目标符合县委、县政府的发展规划及本部门的年度工作安排与发展规划。</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全部符合（</w:t>
            </w:r>
            <w:r>
              <w:rPr>
                <w:rStyle w:val="47"/>
                <w:lang w:bidi="ar"/>
              </w:rPr>
              <w:t>2</w:t>
            </w:r>
            <w:r>
              <w:rPr>
                <w:color w:val="000000"/>
                <w:kern w:val="0"/>
                <w:sz w:val="21"/>
                <w:szCs w:val="21"/>
                <w:lang w:bidi="ar"/>
              </w:rPr>
              <w:t>分）；其中一项不符合扣</w:t>
            </w:r>
            <w:r>
              <w:rPr>
                <w:rStyle w:val="47"/>
                <w:lang w:bidi="ar"/>
              </w:rPr>
              <w:t>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A12绩效指标合理性</w:t>
            </w:r>
          </w:p>
        </w:tc>
        <w:tc>
          <w:tcPr>
            <w:tcW w:w="810" w:type="dxa"/>
            <w:tcBorders>
              <w:right w:val="single" w:color="auto"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部门所设立的绩效目标是否明确合理、绩效目标的关键性指标设置是否可衡量，用以反映和评价部门活动目标设定的合理性。</w:t>
            </w:r>
          </w:p>
          <w:p>
            <w:pPr>
              <w:widowControl/>
              <w:spacing w:line="240" w:lineRule="auto"/>
              <w:ind w:firstLine="0" w:firstLineChars="0"/>
              <w:jc w:val="left"/>
              <w:textAlignment w:val="center"/>
            </w:pPr>
            <w:r>
              <w:rPr>
                <w:color w:val="000000"/>
                <w:kern w:val="0"/>
                <w:sz w:val="21"/>
                <w:szCs w:val="21"/>
                <w:lang w:bidi="ar"/>
              </w:rPr>
              <w:t>评价要点：绩效目标的设定是可量化的，可通过清晰、可衡量的关键指标予以体现；2.在绩效目标设定时，将关键指标明细分解为具体的达成指标和工作任务。</w:t>
            </w:r>
          </w:p>
        </w:tc>
        <w:tc>
          <w:tcPr>
            <w:tcW w:w="2539" w:type="dxa"/>
            <w:tcBorders>
              <w:left w:val="single" w:color="auto" w:sz="4" w:space="0"/>
            </w:tcBorders>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全部符合（</w:t>
            </w:r>
            <w:r>
              <w:rPr>
                <w:rStyle w:val="47"/>
                <w:lang w:bidi="ar"/>
              </w:rPr>
              <w:t>2</w:t>
            </w:r>
            <w:r>
              <w:rPr>
                <w:color w:val="000000"/>
                <w:kern w:val="0"/>
                <w:sz w:val="21"/>
                <w:szCs w:val="21"/>
                <w:lang w:bidi="ar"/>
              </w:rPr>
              <w:t>分）；其中一项不符合扣</w:t>
            </w:r>
            <w:r>
              <w:rPr>
                <w:rStyle w:val="47"/>
                <w:lang w:bidi="ar"/>
              </w:rPr>
              <w:t>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A2预算配置</w:t>
            </w:r>
          </w:p>
        </w:tc>
        <w:tc>
          <w:tcPr>
            <w:tcW w:w="758" w:type="dxa"/>
            <w:vMerge w:val="restart"/>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9</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A21在职人员控制率</w:t>
            </w:r>
          </w:p>
        </w:tc>
        <w:tc>
          <w:tcPr>
            <w:tcW w:w="810" w:type="dxa"/>
            <w:tcBorders>
              <w:right w:val="single" w:color="auto"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部门年度实际在职人员与编制数的比率，用以反映和评价人员成本的控制程度。</w:t>
            </w:r>
          </w:p>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在职人员控制率</w:t>
            </w:r>
            <w:r>
              <w:rPr>
                <w:rStyle w:val="47"/>
                <w:lang w:bidi="ar"/>
              </w:rPr>
              <w:t>=</w:t>
            </w:r>
            <w:r>
              <w:rPr>
                <w:color w:val="000000"/>
                <w:kern w:val="0"/>
                <w:sz w:val="21"/>
                <w:szCs w:val="21"/>
                <w:lang w:bidi="ar"/>
              </w:rPr>
              <w:t>（在职人员数</w:t>
            </w:r>
            <w:r>
              <w:rPr>
                <w:rStyle w:val="47"/>
                <w:lang w:bidi="ar"/>
              </w:rPr>
              <w:t>/</w:t>
            </w:r>
            <w:r>
              <w:rPr>
                <w:color w:val="000000"/>
                <w:kern w:val="0"/>
                <w:sz w:val="21"/>
                <w:szCs w:val="21"/>
                <w:lang w:bidi="ar"/>
              </w:rPr>
              <w:t>编制数）</w:t>
            </w:r>
            <w:r>
              <w:rPr>
                <w:rStyle w:val="47"/>
                <w:lang w:bidi="ar"/>
              </w:rPr>
              <w:t>×100%</w:t>
            </w:r>
            <w:r>
              <w:rPr>
                <w:color w:val="000000"/>
                <w:kern w:val="0"/>
                <w:sz w:val="21"/>
                <w:szCs w:val="21"/>
                <w:lang w:bidi="ar"/>
              </w:rPr>
              <w:t>。</w:t>
            </w:r>
          </w:p>
          <w:p>
            <w:pPr>
              <w:widowControl/>
              <w:spacing w:line="240" w:lineRule="auto"/>
              <w:ind w:firstLine="0" w:firstLineChars="0"/>
              <w:jc w:val="left"/>
              <w:textAlignment w:val="center"/>
              <w:rPr>
                <w:color w:val="000000"/>
                <w:sz w:val="21"/>
                <w:szCs w:val="21"/>
              </w:rPr>
            </w:pPr>
            <w:r>
              <w:rPr>
                <w:color w:val="000000"/>
                <w:kern w:val="0"/>
                <w:sz w:val="21"/>
                <w:szCs w:val="21"/>
                <w:lang w:bidi="ar"/>
              </w:rPr>
              <w:t>在职人员数：部门（单位）实际在职人数，以财政部确定的部门决算编制口径为准。</w:t>
            </w:r>
          </w:p>
          <w:p>
            <w:pPr>
              <w:widowControl/>
              <w:spacing w:line="240" w:lineRule="auto"/>
              <w:ind w:firstLine="0" w:firstLineChars="0"/>
              <w:jc w:val="left"/>
              <w:textAlignment w:val="center"/>
              <w:rPr>
                <w:color w:val="000000"/>
                <w:sz w:val="21"/>
                <w:szCs w:val="21"/>
              </w:rPr>
            </w:pPr>
            <w:r>
              <w:rPr>
                <w:color w:val="000000"/>
                <w:kern w:val="0"/>
                <w:sz w:val="21"/>
                <w:szCs w:val="21"/>
                <w:lang w:bidi="ar"/>
              </w:rPr>
              <w:t>编制数：机构编制部门核定批复的部门（单位）的人员编制数。</w:t>
            </w:r>
          </w:p>
        </w:tc>
        <w:tc>
          <w:tcPr>
            <w:tcW w:w="2539" w:type="dxa"/>
            <w:tcBorders>
              <w:left w:val="single" w:color="auto" w:sz="4" w:space="0"/>
            </w:tcBorders>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w:t>
            </w:r>
            <w:r>
              <w:rPr>
                <w:rStyle w:val="47"/>
                <w:lang w:bidi="ar"/>
              </w:rPr>
              <w:t>≤100%</w:t>
            </w:r>
            <w:r>
              <w:rPr>
                <w:color w:val="000000"/>
                <w:kern w:val="0"/>
                <w:sz w:val="21"/>
                <w:szCs w:val="21"/>
                <w:lang w:bidi="ar"/>
              </w:rPr>
              <w:t>；达到目标值（</w:t>
            </w:r>
            <w:r>
              <w:rPr>
                <w:rStyle w:val="47"/>
                <w:lang w:bidi="ar"/>
              </w:rPr>
              <w:t>3</w:t>
            </w:r>
            <w:r>
              <w:rPr>
                <w:color w:val="000000"/>
                <w:kern w:val="0"/>
                <w:sz w:val="21"/>
                <w:szCs w:val="21"/>
                <w:lang w:bidi="ar"/>
              </w:rPr>
              <w:t>分），每超出一人扣</w:t>
            </w:r>
            <w:r>
              <w:rPr>
                <w:rStyle w:val="47"/>
                <w:lang w:bidi="ar"/>
              </w:rPr>
              <w:t>0.2</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rFonts w:hint="eastAsia"/>
                <w:b/>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A22“三公经费</w:t>
            </w:r>
            <w:r>
              <w:rPr>
                <w:rStyle w:val="47"/>
                <w:lang w:bidi="ar"/>
              </w:rPr>
              <w:t>”</w:t>
            </w:r>
            <w:r>
              <w:rPr>
                <w:color w:val="000000"/>
                <w:kern w:val="0"/>
                <w:sz w:val="21"/>
                <w:szCs w:val="21"/>
                <w:lang w:bidi="ar"/>
              </w:rPr>
              <w:t>变动率</w:t>
            </w:r>
          </w:p>
        </w:tc>
        <w:tc>
          <w:tcPr>
            <w:tcW w:w="810" w:type="dxa"/>
            <w:tcBorders>
              <w:right w:val="single" w:color="auto"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部门本年度</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预算数与上年度</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预算数的变动比率，用以反映和考核部门对控制重点行政成本的努力程度。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“三公经费</w:t>
            </w:r>
            <w:r>
              <w:rPr>
                <w:rStyle w:val="47"/>
                <w:lang w:bidi="ar"/>
              </w:rPr>
              <w:t>”</w:t>
            </w:r>
            <w:r>
              <w:rPr>
                <w:color w:val="000000"/>
                <w:kern w:val="0"/>
                <w:sz w:val="21"/>
                <w:szCs w:val="21"/>
                <w:lang w:bidi="ar"/>
              </w:rPr>
              <w:t>变动率</w:t>
            </w:r>
            <w:r>
              <w:rPr>
                <w:rStyle w:val="47"/>
                <w:lang w:bidi="ar"/>
              </w:rPr>
              <w:t>=[</w:t>
            </w:r>
            <w:r>
              <w:rPr>
                <w:color w:val="000000"/>
                <w:kern w:val="0"/>
                <w:sz w:val="21"/>
                <w:szCs w:val="21"/>
                <w:lang w:bidi="ar"/>
              </w:rPr>
              <w:t>（本年度</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预算数</w:t>
            </w:r>
            <w:r>
              <w:rPr>
                <w:rStyle w:val="47"/>
                <w:lang w:bidi="ar"/>
              </w:rPr>
              <w:t>-</w:t>
            </w:r>
            <w:r>
              <w:rPr>
                <w:color w:val="000000"/>
                <w:kern w:val="0"/>
                <w:sz w:val="21"/>
                <w:szCs w:val="21"/>
                <w:lang w:bidi="ar"/>
              </w:rPr>
              <w:t>上年度</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预算数）</w:t>
            </w:r>
            <w:r>
              <w:rPr>
                <w:rStyle w:val="47"/>
                <w:lang w:bidi="ar"/>
              </w:rPr>
              <w:t>/</w:t>
            </w:r>
            <w:r>
              <w:rPr>
                <w:color w:val="000000"/>
                <w:kern w:val="0"/>
                <w:sz w:val="21"/>
                <w:szCs w:val="21"/>
                <w:lang w:bidi="ar"/>
              </w:rPr>
              <w:t>上年度</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预算数</w:t>
            </w:r>
            <w:r>
              <w:rPr>
                <w:rStyle w:val="47"/>
                <w:lang w:bidi="ar"/>
              </w:rPr>
              <w:t>]×100%</w:t>
            </w:r>
          </w:p>
          <w:p>
            <w:pPr>
              <w:widowControl/>
              <w:spacing w:line="240" w:lineRule="auto"/>
              <w:ind w:firstLine="0" w:firstLineChars="0"/>
              <w:jc w:val="left"/>
              <w:textAlignment w:val="center"/>
              <w:rPr>
                <w:color w:val="000000"/>
                <w:sz w:val="21"/>
                <w:szCs w:val="21"/>
              </w:rPr>
            </w:pPr>
            <w:r>
              <w:rPr>
                <w:color w:val="000000"/>
                <w:kern w:val="0"/>
                <w:sz w:val="21"/>
                <w:szCs w:val="21"/>
                <w:lang w:bidi="ar"/>
              </w:rPr>
              <w:t>“三公经费</w:t>
            </w:r>
            <w:r>
              <w:rPr>
                <w:rStyle w:val="47"/>
                <w:lang w:bidi="ar"/>
              </w:rPr>
              <w:t>”</w:t>
            </w:r>
            <w:r>
              <w:rPr>
                <w:color w:val="000000"/>
                <w:kern w:val="0"/>
                <w:sz w:val="21"/>
                <w:szCs w:val="21"/>
                <w:lang w:bidi="ar"/>
              </w:rPr>
              <w:t>：年度预算安排的因公出国（境）费、公务车辆购置及运行费和公务招待费。</w:t>
            </w:r>
          </w:p>
        </w:tc>
        <w:tc>
          <w:tcPr>
            <w:tcW w:w="2539" w:type="dxa"/>
            <w:tcBorders>
              <w:left w:val="single" w:color="auto" w:sz="4" w:space="0"/>
            </w:tcBorders>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“三公经费</w:t>
            </w:r>
            <w:r>
              <w:rPr>
                <w:rStyle w:val="47"/>
                <w:lang w:bidi="ar"/>
              </w:rPr>
              <w:t>”</w:t>
            </w:r>
            <w:r>
              <w:rPr>
                <w:color w:val="000000"/>
                <w:kern w:val="0"/>
                <w:sz w:val="21"/>
                <w:szCs w:val="21"/>
                <w:lang w:bidi="ar"/>
              </w:rPr>
              <w:t>变动率</w:t>
            </w:r>
            <w:r>
              <w:rPr>
                <w:rStyle w:val="47"/>
                <w:lang w:bidi="ar"/>
              </w:rPr>
              <w:t>≦0</w:t>
            </w:r>
            <w:r>
              <w:rPr>
                <w:color w:val="000000"/>
                <w:kern w:val="0"/>
                <w:sz w:val="21"/>
                <w:szCs w:val="21"/>
                <w:lang w:bidi="ar"/>
              </w:rPr>
              <w:t xml:space="preserve">，得 </w:t>
            </w:r>
            <w:r>
              <w:rPr>
                <w:rStyle w:val="47"/>
                <w:lang w:bidi="ar"/>
              </w:rPr>
              <w:t>3</w:t>
            </w:r>
            <w:r>
              <w:rPr>
                <w:color w:val="000000"/>
                <w:kern w:val="0"/>
                <w:sz w:val="21"/>
                <w:szCs w:val="21"/>
                <w:lang w:bidi="ar"/>
              </w:rPr>
              <w:t>分；</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变动率＞</w:t>
            </w:r>
            <w:r>
              <w:rPr>
                <w:rStyle w:val="47"/>
                <w:lang w:bidi="ar"/>
              </w:rPr>
              <w:t>0</w:t>
            </w:r>
            <w:r>
              <w:rPr>
                <w:color w:val="000000"/>
                <w:kern w:val="0"/>
                <w:sz w:val="21"/>
                <w:szCs w:val="21"/>
                <w:lang w:bidi="ar"/>
              </w:rPr>
              <w:t>，每超过一个百分点扣</w:t>
            </w:r>
            <w:r>
              <w:rPr>
                <w:rStyle w:val="47"/>
                <w:lang w:bidi="ar"/>
              </w:rPr>
              <w:t>0.2</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rFonts w:hint="eastAsia"/>
                <w:b/>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A23重点支出安排率</w:t>
            </w:r>
          </w:p>
        </w:tc>
        <w:tc>
          <w:tcPr>
            <w:tcW w:w="810" w:type="dxa"/>
            <w:tcBorders>
              <w:right w:val="single" w:color="auto" w:sz="4" w:space="0"/>
            </w:tcBorders>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部门（单位）本年度预算安排的重点项目支出与部门项目总支出的比率，用以反映和考核部门（单位）对履行主要职责或完成重点任务的保障程度。重点支出安排率</w:t>
            </w:r>
            <w:r>
              <w:rPr>
                <w:rStyle w:val="47"/>
                <w:lang w:bidi="ar"/>
              </w:rPr>
              <w:t>=</w:t>
            </w:r>
            <w:r>
              <w:rPr>
                <w:color w:val="000000"/>
                <w:kern w:val="0"/>
                <w:sz w:val="21"/>
                <w:szCs w:val="21"/>
                <w:lang w:bidi="ar"/>
              </w:rPr>
              <w:t>（重点项目支出</w:t>
            </w:r>
            <w:r>
              <w:rPr>
                <w:rStyle w:val="47"/>
                <w:lang w:bidi="ar"/>
              </w:rPr>
              <w:t>/</w:t>
            </w:r>
            <w:r>
              <w:rPr>
                <w:color w:val="000000"/>
                <w:kern w:val="0"/>
                <w:sz w:val="21"/>
                <w:szCs w:val="21"/>
                <w:lang w:bidi="ar"/>
              </w:rPr>
              <w:t>项目总支出）</w:t>
            </w:r>
            <w:r>
              <w:rPr>
                <w:rStyle w:val="47"/>
                <w:lang w:bidi="ar"/>
              </w:rPr>
              <w:t>×100%</w:t>
            </w:r>
            <w:r>
              <w:rPr>
                <w:color w:val="000000"/>
                <w:kern w:val="0"/>
                <w:sz w:val="21"/>
                <w:szCs w:val="21"/>
                <w:lang w:bidi="ar"/>
              </w:rPr>
              <w:t>。</w:t>
            </w:r>
          </w:p>
          <w:p>
            <w:pPr>
              <w:widowControl/>
              <w:spacing w:line="240" w:lineRule="auto"/>
              <w:ind w:firstLine="0" w:firstLineChars="0"/>
              <w:jc w:val="left"/>
              <w:textAlignment w:val="center"/>
              <w:rPr>
                <w:color w:val="000000"/>
                <w:sz w:val="21"/>
                <w:szCs w:val="21"/>
              </w:rPr>
            </w:pPr>
            <w:r>
              <w:rPr>
                <w:color w:val="000000"/>
                <w:kern w:val="0"/>
                <w:sz w:val="21"/>
                <w:szCs w:val="21"/>
                <w:lang w:bidi="ar"/>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auto"/>
              <w:ind w:firstLine="0" w:firstLineChars="0"/>
              <w:jc w:val="left"/>
              <w:textAlignment w:val="center"/>
              <w:rPr>
                <w:color w:val="000000"/>
                <w:sz w:val="21"/>
                <w:szCs w:val="21"/>
              </w:rPr>
            </w:pPr>
            <w:r>
              <w:rPr>
                <w:color w:val="000000"/>
                <w:kern w:val="0"/>
                <w:sz w:val="21"/>
                <w:szCs w:val="21"/>
                <w:lang w:bidi="ar"/>
              </w:rPr>
              <w:t>项目总支出：部门（单位）年度预算安排的项目支出总额。</w:t>
            </w:r>
          </w:p>
        </w:tc>
        <w:tc>
          <w:tcPr>
            <w:tcW w:w="2539" w:type="dxa"/>
            <w:tcBorders>
              <w:left w:val="single" w:color="auto" w:sz="4" w:space="0"/>
            </w:tcBorders>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w:t>
            </w:r>
            <w:r>
              <w:rPr>
                <w:rStyle w:val="47"/>
                <w:lang w:bidi="ar"/>
              </w:rPr>
              <w:t>≥70%</w:t>
            </w:r>
            <w:r>
              <w:rPr>
                <w:color w:val="000000"/>
                <w:kern w:val="0"/>
                <w:sz w:val="21"/>
                <w:szCs w:val="21"/>
                <w:lang w:bidi="ar"/>
              </w:rPr>
              <w:t>，以</w:t>
            </w:r>
            <w:r>
              <w:rPr>
                <w:rStyle w:val="47"/>
                <w:lang w:bidi="ar"/>
              </w:rPr>
              <w:t>3</w:t>
            </w:r>
            <w:r>
              <w:rPr>
                <w:color w:val="000000"/>
                <w:kern w:val="0"/>
                <w:sz w:val="21"/>
                <w:szCs w:val="21"/>
                <w:lang w:bidi="ar"/>
              </w:rPr>
              <w:t>分为上限，采用完成比率法计分：得分</w:t>
            </w:r>
            <w:r>
              <w:rPr>
                <w:rStyle w:val="47"/>
                <w:lang w:bidi="ar"/>
              </w:rPr>
              <w:t>=</w:t>
            </w:r>
            <w:r>
              <w:rPr>
                <w:color w:val="000000"/>
                <w:kern w:val="0"/>
                <w:sz w:val="21"/>
                <w:szCs w:val="21"/>
                <w:lang w:bidi="ar"/>
              </w:rPr>
              <w:t>重点支出安排率</w:t>
            </w:r>
            <w:r>
              <w:rPr>
                <w:rStyle w:val="47"/>
                <w:lang w:bidi="ar"/>
              </w:rPr>
              <w:t>/70%×100%×3</w:t>
            </w:r>
            <w:r>
              <w:rPr>
                <w:color w:val="000000"/>
                <w:kern w:val="0"/>
                <w:sz w:val="21"/>
                <w:szCs w:val="21"/>
                <w:lang w:bidi="ar"/>
              </w:rPr>
              <w:t>，超出目标值不加分。</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rFonts w:hint="eastAsia"/>
                <w:b/>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98" w:type="dxa"/>
            <w:vMerge w:val="restart"/>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B过程</w:t>
            </w:r>
          </w:p>
          <w:p>
            <w:pPr>
              <w:widowControl/>
              <w:spacing w:line="240" w:lineRule="auto"/>
              <w:ind w:firstLine="0" w:firstLineChars="0"/>
              <w:jc w:val="left"/>
              <w:textAlignment w:val="center"/>
              <w:rPr>
                <w:color w:val="000000"/>
                <w:sz w:val="21"/>
                <w:szCs w:val="21"/>
              </w:rPr>
            </w:pPr>
            <w:r>
              <w:rPr>
                <w:color w:val="000000"/>
                <w:kern w:val="0"/>
                <w:sz w:val="21"/>
                <w:szCs w:val="21"/>
                <w:lang w:bidi="ar"/>
              </w:rPr>
              <w:t>（</w:t>
            </w:r>
            <w:r>
              <w:rPr>
                <w:rStyle w:val="47"/>
                <w:lang w:bidi="ar"/>
              </w:rPr>
              <w:t>38</w:t>
            </w:r>
            <w:r>
              <w:rPr>
                <w:color w:val="000000"/>
                <w:kern w:val="0"/>
                <w:sz w:val="21"/>
                <w:szCs w:val="21"/>
                <w:lang w:bidi="ar"/>
              </w:rPr>
              <w:t>分）</w:t>
            </w:r>
          </w:p>
        </w:tc>
        <w:tc>
          <w:tcPr>
            <w:tcW w:w="1132"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B1预算执行</w:t>
            </w:r>
          </w:p>
        </w:tc>
        <w:tc>
          <w:tcPr>
            <w:tcW w:w="758" w:type="dxa"/>
            <w:vMerge w:val="restart"/>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18</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B11预算完成率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4657" w:type="dxa"/>
            <w:tcBorders>
              <w:top w:val="single" w:color="auto" w:sz="4" w:space="0"/>
            </w:tcBorders>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通过对部门本年度预算完成数与预算数的比较，反映和评价部门预算的完成程度。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预算完成率</w:t>
            </w:r>
            <w:r>
              <w:rPr>
                <w:rStyle w:val="47"/>
                <w:lang w:bidi="ar"/>
              </w:rPr>
              <w:t>=</w:t>
            </w:r>
            <w:r>
              <w:rPr>
                <w:color w:val="000000"/>
                <w:kern w:val="0"/>
                <w:sz w:val="21"/>
                <w:szCs w:val="21"/>
                <w:lang w:bidi="ar"/>
              </w:rPr>
              <w:t>（预算完成数</w:t>
            </w:r>
            <w:r>
              <w:rPr>
                <w:rStyle w:val="47"/>
                <w:lang w:bidi="ar"/>
              </w:rPr>
              <w:t>/</w:t>
            </w:r>
            <w:r>
              <w:rPr>
                <w:color w:val="000000"/>
                <w:kern w:val="0"/>
                <w:sz w:val="21"/>
                <w:szCs w:val="21"/>
                <w:lang w:bidi="ar"/>
              </w:rPr>
              <w:t>预算数）</w:t>
            </w:r>
            <w:r>
              <w:rPr>
                <w:rStyle w:val="47"/>
                <w:lang w:bidi="ar"/>
              </w:rPr>
              <w:t>×100%</w:t>
            </w:r>
            <w:r>
              <w:rPr>
                <w:color w:val="000000"/>
                <w:kern w:val="0"/>
                <w:sz w:val="21"/>
                <w:szCs w:val="21"/>
                <w:lang w:bidi="ar"/>
              </w:rPr>
              <w:t>。</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w:t>
            </w:r>
            <w:r>
              <w:rPr>
                <w:rStyle w:val="47"/>
                <w:lang w:bidi="ar"/>
              </w:rPr>
              <w:t>≥100%</w:t>
            </w:r>
            <w:r>
              <w:rPr>
                <w:color w:val="000000"/>
                <w:kern w:val="0"/>
                <w:sz w:val="21"/>
                <w:szCs w:val="21"/>
                <w:lang w:bidi="ar"/>
              </w:rPr>
              <w:t>，达到目标值得</w:t>
            </w:r>
            <w:r>
              <w:rPr>
                <w:rStyle w:val="47"/>
                <w:lang w:bidi="ar"/>
              </w:rPr>
              <w:t>4</w:t>
            </w:r>
            <w:r>
              <w:rPr>
                <w:color w:val="000000"/>
                <w:kern w:val="0"/>
                <w:sz w:val="21"/>
                <w:szCs w:val="21"/>
                <w:lang w:bidi="ar"/>
              </w:rPr>
              <w:t>分；</w:t>
            </w:r>
            <w:r>
              <w:rPr>
                <w:rStyle w:val="47"/>
                <w:lang w:bidi="ar"/>
              </w:rPr>
              <w:t>100%</w:t>
            </w:r>
            <w:r>
              <w:rPr>
                <w:color w:val="000000"/>
                <w:kern w:val="0"/>
                <w:sz w:val="21"/>
                <w:szCs w:val="21"/>
                <w:lang w:bidi="ar"/>
              </w:rPr>
              <w:t>＞结果</w:t>
            </w:r>
            <w:r>
              <w:rPr>
                <w:rStyle w:val="47"/>
                <w:lang w:bidi="ar"/>
              </w:rPr>
              <w:t>≥90%</w:t>
            </w:r>
            <w:r>
              <w:rPr>
                <w:color w:val="000000"/>
                <w:kern w:val="0"/>
                <w:sz w:val="21"/>
                <w:szCs w:val="21"/>
                <w:lang w:bidi="ar"/>
              </w:rPr>
              <w:t>，得</w:t>
            </w:r>
            <w:r>
              <w:rPr>
                <w:rStyle w:val="47"/>
                <w:lang w:bidi="ar"/>
              </w:rPr>
              <w:t>4</w:t>
            </w:r>
            <w:r>
              <w:rPr>
                <w:color w:val="000000"/>
                <w:kern w:val="0"/>
                <w:sz w:val="21"/>
                <w:szCs w:val="21"/>
                <w:lang w:bidi="ar"/>
              </w:rPr>
              <w:t>分；</w:t>
            </w:r>
            <w:r>
              <w:rPr>
                <w:rStyle w:val="47"/>
                <w:lang w:bidi="ar"/>
              </w:rPr>
              <w:t>90%</w:t>
            </w:r>
            <w:r>
              <w:rPr>
                <w:color w:val="000000"/>
                <w:kern w:val="0"/>
                <w:sz w:val="21"/>
                <w:szCs w:val="21"/>
                <w:lang w:bidi="ar"/>
              </w:rPr>
              <w:t>＞结果</w:t>
            </w:r>
            <w:r>
              <w:rPr>
                <w:rStyle w:val="47"/>
                <w:lang w:bidi="ar"/>
              </w:rPr>
              <w:t>≥80%</w:t>
            </w:r>
            <w:r>
              <w:rPr>
                <w:color w:val="000000"/>
                <w:kern w:val="0"/>
                <w:sz w:val="21"/>
                <w:szCs w:val="21"/>
                <w:lang w:bidi="ar"/>
              </w:rPr>
              <w:t>，得</w:t>
            </w:r>
            <w:r>
              <w:rPr>
                <w:rStyle w:val="47"/>
                <w:lang w:bidi="ar"/>
              </w:rPr>
              <w:t>3</w:t>
            </w:r>
            <w:r>
              <w:rPr>
                <w:color w:val="000000"/>
                <w:kern w:val="0"/>
                <w:sz w:val="21"/>
                <w:szCs w:val="21"/>
                <w:lang w:bidi="ar"/>
              </w:rPr>
              <w:t>分；结果＜</w:t>
            </w:r>
            <w:r>
              <w:rPr>
                <w:rStyle w:val="47"/>
                <w:lang w:bidi="ar"/>
              </w:rPr>
              <w:t>80%</w:t>
            </w:r>
            <w:r>
              <w:rPr>
                <w:color w:val="000000"/>
                <w:kern w:val="0"/>
                <w:sz w:val="21"/>
                <w:szCs w:val="21"/>
                <w:lang w:bidi="ar"/>
              </w:rPr>
              <w:t>，得</w:t>
            </w:r>
            <w:r>
              <w:rPr>
                <w:rStyle w:val="47"/>
                <w:lang w:bidi="ar"/>
              </w:rPr>
              <w:t>0</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B12预算调整率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部门（单位）本年度预算调整数与预算数的比率，用以反映和考核部门（单位）预算的调整程度。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预算调整率</w:t>
            </w:r>
            <w:r>
              <w:rPr>
                <w:rStyle w:val="47"/>
                <w:lang w:bidi="ar"/>
              </w:rPr>
              <w:t>=</w:t>
            </w:r>
            <w:r>
              <w:rPr>
                <w:color w:val="000000"/>
                <w:kern w:val="0"/>
                <w:sz w:val="21"/>
                <w:szCs w:val="21"/>
                <w:lang w:bidi="ar"/>
              </w:rPr>
              <w:t>（预算调整数</w:t>
            </w:r>
            <w:r>
              <w:rPr>
                <w:rStyle w:val="47"/>
                <w:lang w:bidi="ar"/>
              </w:rPr>
              <w:t>/</w:t>
            </w:r>
            <w:r>
              <w:rPr>
                <w:color w:val="000000"/>
                <w:kern w:val="0"/>
                <w:sz w:val="21"/>
                <w:szCs w:val="21"/>
                <w:lang w:bidi="ar"/>
              </w:rPr>
              <w:t>预算数）</w:t>
            </w:r>
            <w:r>
              <w:rPr>
                <w:rStyle w:val="47"/>
                <w:lang w:bidi="ar"/>
              </w:rPr>
              <w:t>×100%</w:t>
            </w:r>
            <w:r>
              <w:rPr>
                <w:color w:val="000000"/>
                <w:kern w:val="0"/>
                <w:sz w:val="21"/>
                <w:szCs w:val="21"/>
                <w:lang w:bidi="ar"/>
              </w:rPr>
              <w:t>。</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w:t>
            </w:r>
            <w:r>
              <w:rPr>
                <w:rStyle w:val="47"/>
                <w:lang w:bidi="ar"/>
              </w:rPr>
              <w:t>≥5%</w:t>
            </w:r>
            <w:r>
              <w:rPr>
                <w:color w:val="000000"/>
                <w:kern w:val="0"/>
                <w:sz w:val="21"/>
                <w:szCs w:val="21"/>
                <w:lang w:bidi="ar"/>
              </w:rPr>
              <w:t>，达到目标值得</w:t>
            </w:r>
            <w:r>
              <w:rPr>
                <w:rStyle w:val="47"/>
                <w:lang w:bidi="ar"/>
              </w:rPr>
              <w:t>3</w:t>
            </w:r>
            <w:r>
              <w:rPr>
                <w:color w:val="000000"/>
                <w:kern w:val="0"/>
                <w:sz w:val="21"/>
                <w:szCs w:val="21"/>
                <w:lang w:bidi="ar"/>
              </w:rPr>
              <w:t>分，未达到目标值的每增加</w:t>
            </w:r>
            <w:r>
              <w:rPr>
                <w:rStyle w:val="47"/>
                <w:lang w:bidi="ar"/>
              </w:rPr>
              <w:t>0.1</w:t>
            </w:r>
            <w:r>
              <w:rPr>
                <w:color w:val="000000"/>
                <w:kern w:val="0"/>
                <w:sz w:val="21"/>
                <w:szCs w:val="21"/>
                <w:lang w:bidi="ar"/>
              </w:rPr>
              <w:t>个百分点扣</w:t>
            </w:r>
            <w:r>
              <w:rPr>
                <w:rStyle w:val="47"/>
                <w:lang w:bidi="ar"/>
              </w:rPr>
              <w:t>0.1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rFonts w:hint="eastAsia"/>
                <w:b/>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B13结转结余率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通过对本部门年度结转结余总额支出与支出预算数的比较，反应和评价部门对本年度结转结余资金的实际控制程度。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结转结余率</w:t>
            </w:r>
            <w:r>
              <w:rPr>
                <w:rStyle w:val="47"/>
                <w:lang w:bidi="ar"/>
              </w:rPr>
              <w:t>=</w:t>
            </w:r>
            <w:r>
              <w:rPr>
                <w:color w:val="000000"/>
                <w:kern w:val="0"/>
                <w:sz w:val="21"/>
                <w:szCs w:val="21"/>
                <w:lang w:bidi="ar"/>
              </w:rPr>
              <w:t>（结转结余总额</w:t>
            </w:r>
            <w:r>
              <w:rPr>
                <w:rStyle w:val="47"/>
                <w:lang w:bidi="ar"/>
              </w:rPr>
              <w:t>/</w:t>
            </w:r>
            <w:r>
              <w:rPr>
                <w:color w:val="000000"/>
                <w:kern w:val="0"/>
                <w:sz w:val="21"/>
                <w:szCs w:val="21"/>
                <w:lang w:bidi="ar"/>
              </w:rPr>
              <w:t>支出预算数）</w:t>
            </w:r>
            <w:r>
              <w:rPr>
                <w:rStyle w:val="47"/>
                <w:lang w:bidi="ar"/>
              </w:rPr>
              <w:t>×100%</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目标值为</w:t>
            </w:r>
            <w:r>
              <w:rPr>
                <w:rStyle w:val="47"/>
                <w:lang w:bidi="ar"/>
              </w:rPr>
              <w:t>0</w:t>
            </w:r>
            <w:r>
              <w:rPr>
                <w:color w:val="000000"/>
                <w:kern w:val="0"/>
                <w:sz w:val="21"/>
                <w:szCs w:val="21"/>
                <w:lang w:bidi="ar"/>
              </w:rPr>
              <w:t>，达到目标值得</w:t>
            </w:r>
            <w:r>
              <w:rPr>
                <w:rStyle w:val="47"/>
                <w:lang w:bidi="ar"/>
              </w:rPr>
              <w:t>3</w:t>
            </w:r>
            <w:r>
              <w:rPr>
                <w:color w:val="000000"/>
                <w:kern w:val="0"/>
                <w:sz w:val="21"/>
                <w:szCs w:val="21"/>
                <w:lang w:bidi="ar"/>
              </w:rPr>
              <w:t>分，未达到目标值的每增加</w:t>
            </w:r>
            <w:r>
              <w:rPr>
                <w:rStyle w:val="47"/>
                <w:lang w:bidi="ar"/>
              </w:rPr>
              <w:t>0.1</w:t>
            </w:r>
            <w:r>
              <w:rPr>
                <w:color w:val="000000"/>
                <w:kern w:val="0"/>
                <w:sz w:val="21"/>
                <w:szCs w:val="21"/>
                <w:lang w:bidi="ar"/>
              </w:rPr>
              <w:t>个百分点扣</w:t>
            </w:r>
            <w:r>
              <w:rPr>
                <w:rStyle w:val="47"/>
                <w:lang w:bidi="ar"/>
              </w:rPr>
              <w:t>0.1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b/>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B14结转结余变动率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部门本年度结转结余资金总额与上年度结转结余资金总额的变动比率，用以反映和考核部门对控制结转结余资金的努力程度。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结转结余变动率</w:t>
            </w:r>
            <w:r>
              <w:rPr>
                <w:rStyle w:val="47"/>
                <w:lang w:bidi="ar"/>
              </w:rPr>
              <w:t>=[</w:t>
            </w:r>
            <w:r>
              <w:rPr>
                <w:color w:val="000000"/>
                <w:kern w:val="0"/>
                <w:sz w:val="21"/>
                <w:szCs w:val="21"/>
                <w:lang w:bidi="ar"/>
              </w:rPr>
              <w:t>（本年度累计结转结余资金总额</w:t>
            </w:r>
            <w:r>
              <w:rPr>
                <w:rStyle w:val="47"/>
                <w:lang w:bidi="ar"/>
              </w:rPr>
              <w:t>-</w:t>
            </w:r>
            <w:r>
              <w:rPr>
                <w:color w:val="000000"/>
                <w:kern w:val="0"/>
                <w:sz w:val="21"/>
                <w:szCs w:val="21"/>
                <w:lang w:bidi="ar"/>
              </w:rPr>
              <w:t>上年度累计结转结余资金总额）</w:t>
            </w:r>
            <w:r>
              <w:rPr>
                <w:rStyle w:val="47"/>
                <w:lang w:bidi="ar"/>
              </w:rPr>
              <w:t>/</w:t>
            </w:r>
            <w:r>
              <w:rPr>
                <w:color w:val="000000"/>
                <w:kern w:val="0"/>
                <w:sz w:val="21"/>
                <w:szCs w:val="21"/>
                <w:lang w:bidi="ar"/>
              </w:rPr>
              <w:t>上年度累计结转结余资金总额</w:t>
            </w:r>
            <w:r>
              <w:rPr>
                <w:rStyle w:val="47"/>
                <w:lang w:bidi="ar"/>
              </w:rPr>
              <w:t>]×100%</w:t>
            </w:r>
            <w:r>
              <w:rPr>
                <w:color w:val="000000"/>
                <w:kern w:val="0"/>
                <w:sz w:val="21"/>
                <w:szCs w:val="21"/>
                <w:lang w:bidi="ar"/>
              </w:rPr>
              <w:t>。</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w:t>
            </w:r>
            <w:r>
              <w:rPr>
                <w:rStyle w:val="47"/>
                <w:lang w:bidi="ar"/>
              </w:rPr>
              <w:t>≤0%</w:t>
            </w:r>
            <w:r>
              <w:rPr>
                <w:color w:val="000000"/>
                <w:kern w:val="0"/>
                <w:sz w:val="21"/>
                <w:szCs w:val="21"/>
                <w:lang w:bidi="ar"/>
              </w:rPr>
              <w:t>，达到目标值得</w:t>
            </w:r>
            <w:r>
              <w:rPr>
                <w:rStyle w:val="47"/>
                <w:lang w:bidi="ar"/>
              </w:rPr>
              <w:t>2</w:t>
            </w:r>
            <w:r>
              <w:rPr>
                <w:color w:val="000000"/>
                <w:kern w:val="0"/>
                <w:sz w:val="21"/>
                <w:szCs w:val="21"/>
                <w:lang w:bidi="ar"/>
              </w:rPr>
              <w:t>分，未达到目标值的采用比率扣分法；扣分值</w:t>
            </w:r>
            <w:r>
              <w:rPr>
                <w:rStyle w:val="47"/>
                <w:lang w:bidi="ar"/>
              </w:rPr>
              <w:t>=</w:t>
            </w:r>
            <w:r>
              <w:rPr>
                <w:color w:val="000000"/>
                <w:kern w:val="0"/>
                <w:sz w:val="21"/>
                <w:szCs w:val="21"/>
                <w:lang w:bidi="ar"/>
              </w:rPr>
              <w:t>结转结余变动率</w:t>
            </w:r>
            <w:r>
              <w:rPr>
                <w:rStyle w:val="47"/>
                <w:lang w:bidi="ar"/>
              </w:rPr>
              <w:t>×2×10</w:t>
            </w:r>
            <w:r>
              <w:rPr>
                <w:color w:val="000000"/>
                <w:kern w:val="0"/>
                <w:sz w:val="21"/>
                <w:szCs w:val="21"/>
                <w:lang w:bidi="ar"/>
              </w:rPr>
              <w:t>，变动率达</w:t>
            </w:r>
            <w:r>
              <w:rPr>
                <w:rStyle w:val="47"/>
                <w:lang w:bidi="ar"/>
              </w:rPr>
              <w:t>10%</w:t>
            </w:r>
            <w:r>
              <w:rPr>
                <w:color w:val="000000"/>
                <w:kern w:val="0"/>
                <w:sz w:val="21"/>
                <w:szCs w:val="21"/>
                <w:lang w:bidi="ar"/>
              </w:rPr>
              <w:t>以上的扣</w:t>
            </w:r>
            <w:r>
              <w:rPr>
                <w:rStyle w:val="47"/>
                <w:lang w:bidi="ar"/>
              </w:rPr>
              <w:t>2</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B15公用经费控制率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通过对部门本年度实际支出的公用经费总额与预算安排的公用经费总额的比率，反映和评价部门对机构运转成本的实际控制程度。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公用经费控制率</w:t>
            </w:r>
            <w:r>
              <w:rPr>
                <w:rStyle w:val="47"/>
                <w:lang w:bidi="ar"/>
              </w:rPr>
              <w:t>=</w:t>
            </w:r>
            <w:r>
              <w:rPr>
                <w:color w:val="000000"/>
                <w:kern w:val="0"/>
                <w:sz w:val="21"/>
                <w:szCs w:val="21"/>
                <w:lang w:bidi="ar"/>
              </w:rPr>
              <w:t>（实际支出公用经费总额</w:t>
            </w:r>
            <w:r>
              <w:rPr>
                <w:rStyle w:val="47"/>
                <w:lang w:bidi="ar"/>
              </w:rPr>
              <w:t>/</w:t>
            </w:r>
            <w:r>
              <w:rPr>
                <w:color w:val="000000"/>
                <w:kern w:val="0"/>
                <w:sz w:val="21"/>
                <w:szCs w:val="21"/>
                <w:lang w:bidi="ar"/>
              </w:rPr>
              <w:t>预算安排公用经费总额）</w:t>
            </w:r>
            <w:r>
              <w:rPr>
                <w:rStyle w:val="47"/>
                <w:lang w:bidi="ar"/>
              </w:rPr>
              <w:t>×100%</w:t>
            </w:r>
            <w:r>
              <w:rPr>
                <w:color w:val="000000"/>
                <w:kern w:val="0"/>
                <w:sz w:val="21"/>
                <w:szCs w:val="21"/>
                <w:lang w:bidi="ar"/>
              </w:rPr>
              <w:t>。（公用经费支出是指部门基本支出中的一般商品和服务支出。）</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目标值为</w:t>
            </w:r>
            <w:r>
              <w:rPr>
                <w:rStyle w:val="47"/>
                <w:lang w:bidi="ar"/>
              </w:rPr>
              <w:t>≤100%</w:t>
            </w:r>
            <w:r>
              <w:rPr>
                <w:color w:val="000000"/>
                <w:kern w:val="0"/>
                <w:sz w:val="21"/>
                <w:szCs w:val="21"/>
                <w:lang w:bidi="ar"/>
              </w:rPr>
              <w:t>；达到目标值得</w:t>
            </w:r>
            <w:r>
              <w:rPr>
                <w:rStyle w:val="47"/>
                <w:lang w:bidi="ar"/>
              </w:rPr>
              <w:t>2</w:t>
            </w:r>
            <w:r>
              <w:rPr>
                <w:color w:val="000000"/>
                <w:kern w:val="0"/>
                <w:sz w:val="21"/>
                <w:szCs w:val="21"/>
                <w:lang w:bidi="ar"/>
              </w:rPr>
              <w:t>分；未达到目标值的每增加</w:t>
            </w:r>
            <w:r>
              <w:rPr>
                <w:rStyle w:val="47"/>
                <w:lang w:bidi="ar"/>
              </w:rPr>
              <w:t>0.1</w:t>
            </w:r>
            <w:r>
              <w:rPr>
                <w:color w:val="000000"/>
                <w:kern w:val="0"/>
                <w:sz w:val="21"/>
                <w:szCs w:val="21"/>
                <w:lang w:bidi="ar"/>
              </w:rPr>
              <w:t>个百分点扣</w:t>
            </w:r>
            <w:r>
              <w:rPr>
                <w:rStyle w:val="47"/>
                <w:lang w:bidi="ar"/>
              </w:rPr>
              <w:t>0.1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rFonts w:hint="eastAsia"/>
                <w:b/>
                <w:bCs/>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B16“三公经费</w:t>
            </w:r>
            <w:r>
              <w:rPr>
                <w:rStyle w:val="47"/>
                <w:lang w:bidi="ar"/>
              </w:rPr>
              <w:t>”</w:t>
            </w:r>
            <w:r>
              <w:rPr>
                <w:color w:val="000000"/>
                <w:kern w:val="0"/>
                <w:sz w:val="21"/>
                <w:szCs w:val="21"/>
                <w:lang w:bidi="ar"/>
              </w:rPr>
              <w:t>控制率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部门本年度</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实际支出数与预算安排数的比率，用以反映和考核部门对</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的实际控制程度。</w:t>
            </w:r>
          </w:p>
          <w:p>
            <w:pPr>
              <w:widowControl/>
              <w:spacing w:line="240" w:lineRule="auto"/>
              <w:ind w:firstLine="0" w:firstLineChars="0"/>
              <w:jc w:val="left"/>
              <w:textAlignment w:val="center"/>
              <w:rPr>
                <w:color w:val="000000"/>
                <w:sz w:val="21"/>
                <w:szCs w:val="21"/>
              </w:rPr>
            </w:pPr>
            <w:r>
              <w:rPr>
                <w:color w:val="000000"/>
                <w:kern w:val="0"/>
                <w:sz w:val="21"/>
                <w:szCs w:val="21"/>
                <w:lang w:bidi="ar"/>
              </w:rPr>
              <w:t>“三公经费</w:t>
            </w:r>
            <w:r>
              <w:rPr>
                <w:rStyle w:val="47"/>
                <w:lang w:bidi="ar"/>
              </w:rPr>
              <w:t>”</w:t>
            </w:r>
            <w:r>
              <w:rPr>
                <w:color w:val="000000"/>
                <w:kern w:val="0"/>
                <w:sz w:val="21"/>
                <w:szCs w:val="21"/>
                <w:lang w:bidi="ar"/>
              </w:rPr>
              <w:t>控制率</w:t>
            </w:r>
            <w:r>
              <w:rPr>
                <w:rStyle w:val="47"/>
                <w:lang w:bidi="ar"/>
              </w:rPr>
              <w:t>=</w:t>
            </w:r>
            <w:r>
              <w:rPr>
                <w:color w:val="000000"/>
                <w:kern w:val="0"/>
                <w:sz w:val="21"/>
                <w:szCs w:val="21"/>
                <w:lang w:bidi="ar"/>
              </w:rPr>
              <w:t>（</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实际支出数</w:t>
            </w:r>
            <w:r>
              <w:rPr>
                <w:rStyle w:val="47"/>
                <w:lang w:bidi="ar"/>
              </w:rPr>
              <w:t>/“</w:t>
            </w:r>
            <w:r>
              <w:rPr>
                <w:color w:val="000000"/>
                <w:kern w:val="0"/>
                <w:sz w:val="21"/>
                <w:szCs w:val="21"/>
                <w:lang w:bidi="ar"/>
              </w:rPr>
              <w:t>三公经费</w:t>
            </w:r>
            <w:r>
              <w:rPr>
                <w:rStyle w:val="47"/>
                <w:lang w:bidi="ar"/>
              </w:rPr>
              <w:t>”</w:t>
            </w:r>
            <w:r>
              <w:rPr>
                <w:color w:val="000000"/>
                <w:kern w:val="0"/>
                <w:sz w:val="21"/>
                <w:szCs w:val="21"/>
                <w:lang w:bidi="ar"/>
              </w:rPr>
              <w:t>预算安排数）</w:t>
            </w:r>
            <w:r>
              <w:rPr>
                <w:rStyle w:val="47"/>
                <w:lang w:bidi="ar"/>
              </w:rPr>
              <w:t>×100%</w:t>
            </w:r>
            <w:r>
              <w:rPr>
                <w:color w:val="000000"/>
                <w:kern w:val="0"/>
                <w:sz w:val="21"/>
                <w:szCs w:val="21"/>
                <w:lang w:bidi="ar"/>
              </w:rPr>
              <w:t>。</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目标值为</w:t>
            </w:r>
            <w:r>
              <w:rPr>
                <w:rStyle w:val="47"/>
                <w:lang w:bidi="ar"/>
              </w:rPr>
              <w:t>≤100%</w:t>
            </w:r>
            <w:r>
              <w:rPr>
                <w:color w:val="000000"/>
                <w:kern w:val="0"/>
                <w:sz w:val="21"/>
                <w:szCs w:val="21"/>
                <w:lang w:bidi="ar"/>
              </w:rPr>
              <w:t>；达到目标值得</w:t>
            </w:r>
            <w:r>
              <w:rPr>
                <w:rStyle w:val="47"/>
                <w:lang w:bidi="ar"/>
              </w:rPr>
              <w:t>2</w:t>
            </w:r>
            <w:r>
              <w:rPr>
                <w:color w:val="000000"/>
                <w:kern w:val="0"/>
                <w:sz w:val="21"/>
                <w:szCs w:val="21"/>
                <w:lang w:bidi="ar"/>
              </w:rPr>
              <w:t>分；未达到目标值的每增加</w:t>
            </w:r>
            <w:r>
              <w:rPr>
                <w:rStyle w:val="47"/>
                <w:lang w:bidi="ar"/>
              </w:rPr>
              <w:t>0.1</w:t>
            </w:r>
            <w:r>
              <w:rPr>
                <w:color w:val="000000"/>
                <w:kern w:val="0"/>
                <w:sz w:val="21"/>
                <w:szCs w:val="21"/>
                <w:lang w:bidi="ar"/>
              </w:rPr>
              <w:t>个百分点扣</w:t>
            </w:r>
            <w:r>
              <w:rPr>
                <w:rStyle w:val="47"/>
                <w:lang w:bidi="ar"/>
              </w:rPr>
              <w:t>0.1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b/>
                <w:bCs/>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B17政府采购执行率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通过对部门本年度实际政府采购预算项目个数与政府采购预算项目个数的比较，反映和考核部门政府采购预算执行情况。</w:t>
            </w:r>
          </w:p>
          <w:p>
            <w:pPr>
              <w:widowControl/>
              <w:spacing w:line="240" w:lineRule="auto"/>
              <w:ind w:firstLine="0" w:firstLineChars="0"/>
              <w:jc w:val="left"/>
              <w:textAlignment w:val="center"/>
              <w:rPr>
                <w:color w:val="000000"/>
                <w:sz w:val="21"/>
                <w:szCs w:val="21"/>
              </w:rPr>
            </w:pPr>
            <w:r>
              <w:rPr>
                <w:color w:val="000000"/>
                <w:kern w:val="0"/>
                <w:sz w:val="21"/>
                <w:szCs w:val="21"/>
                <w:lang w:bidi="ar"/>
              </w:rPr>
              <w:t>政府采购执行率</w:t>
            </w:r>
            <w:r>
              <w:rPr>
                <w:rStyle w:val="47"/>
                <w:lang w:bidi="ar"/>
              </w:rPr>
              <w:t>=</w:t>
            </w:r>
            <w:r>
              <w:rPr>
                <w:color w:val="000000"/>
                <w:kern w:val="0"/>
                <w:sz w:val="21"/>
                <w:szCs w:val="21"/>
                <w:lang w:bidi="ar"/>
              </w:rPr>
              <w:t>（实际政府采购金额</w:t>
            </w:r>
            <w:r>
              <w:rPr>
                <w:rStyle w:val="47"/>
                <w:lang w:bidi="ar"/>
              </w:rPr>
              <w:t>/</w:t>
            </w:r>
            <w:r>
              <w:rPr>
                <w:color w:val="000000"/>
                <w:kern w:val="0"/>
                <w:sz w:val="21"/>
                <w:szCs w:val="21"/>
                <w:lang w:bidi="ar"/>
              </w:rPr>
              <w:t>政府采购预算数）</w:t>
            </w:r>
            <w:r>
              <w:rPr>
                <w:rStyle w:val="47"/>
                <w:lang w:bidi="ar"/>
              </w:rPr>
              <w:t>×100%</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目标值为</w:t>
            </w:r>
            <w:r>
              <w:rPr>
                <w:rStyle w:val="47"/>
                <w:lang w:bidi="ar"/>
              </w:rPr>
              <w:t>100%</w:t>
            </w:r>
            <w:r>
              <w:rPr>
                <w:color w:val="000000"/>
                <w:kern w:val="0"/>
                <w:sz w:val="21"/>
                <w:szCs w:val="21"/>
                <w:lang w:bidi="ar"/>
              </w:rPr>
              <w:t>；以</w:t>
            </w:r>
            <w:r>
              <w:rPr>
                <w:rStyle w:val="47"/>
                <w:lang w:bidi="ar"/>
              </w:rPr>
              <w:t>2</w:t>
            </w:r>
            <w:r>
              <w:rPr>
                <w:color w:val="000000"/>
                <w:kern w:val="0"/>
                <w:sz w:val="21"/>
                <w:szCs w:val="21"/>
                <w:lang w:bidi="ar"/>
              </w:rPr>
              <w:t>分为上限，采用完成比率法计分，得分</w:t>
            </w:r>
            <w:r>
              <w:rPr>
                <w:rStyle w:val="47"/>
                <w:lang w:bidi="ar"/>
              </w:rPr>
              <w:t>=</w:t>
            </w:r>
            <w:r>
              <w:rPr>
                <w:color w:val="000000"/>
                <w:kern w:val="0"/>
                <w:sz w:val="21"/>
                <w:szCs w:val="21"/>
                <w:lang w:bidi="ar"/>
              </w:rPr>
              <w:t>政府采购执行率</w:t>
            </w:r>
            <w:r>
              <w:rPr>
                <w:rStyle w:val="47"/>
                <w:lang w:bidi="ar"/>
              </w:rPr>
              <w:t>×2</w:t>
            </w:r>
          </w:p>
        </w:tc>
        <w:tc>
          <w:tcPr>
            <w:tcW w:w="731" w:type="dxa"/>
            <w:shd w:val="clear" w:color="auto" w:fill="auto"/>
            <w:vAlign w:val="center"/>
          </w:tcPr>
          <w:p>
            <w:pPr>
              <w:widowControl/>
              <w:spacing w:line="240" w:lineRule="auto"/>
              <w:ind w:firstLine="0" w:firstLineChars="0"/>
              <w:jc w:val="center"/>
              <w:rPr>
                <w:b/>
                <w:bCs/>
                <w:color w:val="000000"/>
                <w:sz w:val="21"/>
                <w:szCs w:val="21"/>
              </w:rPr>
            </w:pPr>
            <w:r>
              <w:rPr>
                <w:rFonts w:hint="eastAsia"/>
                <w:b/>
                <w:bCs/>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B2预算管理</w:t>
            </w:r>
          </w:p>
        </w:tc>
        <w:tc>
          <w:tcPr>
            <w:tcW w:w="758" w:type="dxa"/>
            <w:vMerge w:val="restart"/>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12</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B21管理制度健全性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部门（单位）为加强预算管理、规范财务行为而制定的管理制度是否健全完整，用以反映和考核部门（单位）预算管理制度对完成主要职责或促进事业发展的保障情况。</w:t>
            </w:r>
          </w:p>
          <w:p>
            <w:pPr>
              <w:widowControl/>
              <w:spacing w:line="240" w:lineRule="auto"/>
              <w:ind w:firstLine="0" w:firstLineChars="0"/>
              <w:jc w:val="left"/>
              <w:textAlignment w:val="center"/>
              <w:rPr>
                <w:color w:val="000000"/>
                <w:sz w:val="21"/>
                <w:szCs w:val="21"/>
              </w:rPr>
            </w:pPr>
            <w:r>
              <w:rPr>
                <w:color w:val="000000"/>
                <w:kern w:val="0"/>
                <w:sz w:val="21"/>
                <w:szCs w:val="21"/>
                <w:lang w:bidi="ar"/>
              </w:rPr>
              <w:t>评价要点：</w:t>
            </w:r>
            <w:r>
              <w:rPr>
                <w:rStyle w:val="47"/>
                <w:lang w:bidi="ar"/>
              </w:rPr>
              <w:t>1.</w:t>
            </w:r>
            <w:r>
              <w:rPr>
                <w:color w:val="000000"/>
                <w:kern w:val="0"/>
                <w:sz w:val="21"/>
                <w:szCs w:val="21"/>
                <w:lang w:bidi="ar"/>
              </w:rPr>
              <w:t>是否已制定或具有预算资金管理办法、内部财务管理制度、会计核算制度等管理制度；</w:t>
            </w:r>
            <w:r>
              <w:rPr>
                <w:rStyle w:val="47"/>
                <w:lang w:bidi="ar"/>
              </w:rPr>
              <w:t>2.</w:t>
            </w:r>
            <w:r>
              <w:rPr>
                <w:color w:val="000000"/>
                <w:kern w:val="0"/>
                <w:sz w:val="21"/>
                <w:szCs w:val="21"/>
                <w:lang w:bidi="ar"/>
              </w:rPr>
              <w:t>相关管理制度是否合法、合规、完整；</w:t>
            </w:r>
            <w:r>
              <w:rPr>
                <w:rStyle w:val="47"/>
                <w:lang w:bidi="ar"/>
              </w:rPr>
              <w:t>3.</w:t>
            </w:r>
            <w:r>
              <w:rPr>
                <w:color w:val="000000"/>
                <w:kern w:val="0"/>
                <w:sz w:val="21"/>
                <w:szCs w:val="21"/>
                <w:lang w:bidi="ar"/>
              </w:rPr>
              <w:t>相关管理制度是否得到有效执行。</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全部符合（</w:t>
            </w:r>
            <w:r>
              <w:rPr>
                <w:rStyle w:val="47"/>
                <w:lang w:bidi="ar"/>
              </w:rPr>
              <w:t>3</w:t>
            </w:r>
            <w:r>
              <w:rPr>
                <w:color w:val="000000"/>
                <w:kern w:val="0"/>
                <w:sz w:val="21"/>
                <w:szCs w:val="21"/>
                <w:lang w:bidi="ar"/>
              </w:rPr>
              <w:t>分）；符合其中两项（</w:t>
            </w:r>
            <w:r>
              <w:rPr>
                <w:rStyle w:val="47"/>
                <w:lang w:bidi="ar"/>
              </w:rPr>
              <w:t>2</w:t>
            </w:r>
            <w:r>
              <w:rPr>
                <w:color w:val="000000"/>
                <w:kern w:val="0"/>
                <w:sz w:val="21"/>
                <w:szCs w:val="21"/>
                <w:lang w:bidi="ar"/>
              </w:rPr>
              <w:t>分）；符合其中一项（</w:t>
            </w:r>
            <w:r>
              <w:rPr>
                <w:rStyle w:val="47"/>
                <w:lang w:bidi="ar"/>
              </w:rPr>
              <w:t>1</w:t>
            </w:r>
            <w:r>
              <w:rPr>
                <w:color w:val="000000"/>
                <w:kern w:val="0"/>
                <w:sz w:val="21"/>
                <w:szCs w:val="21"/>
                <w:lang w:bidi="ar"/>
              </w:rPr>
              <w:t>分）；全部不符合（</w:t>
            </w:r>
            <w:r>
              <w:rPr>
                <w:rStyle w:val="47"/>
                <w:lang w:bidi="ar"/>
              </w:rPr>
              <w:t>0</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B22资金使用合规性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5</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部门（单位）使用预算资金是否符合相关的预算财务管理制度的规定，用以反映和考核部门（单位）预算资金的规范运行情况。</w:t>
            </w:r>
          </w:p>
          <w:p>
            <w:pPr>
              <w:widowControl/>
              <w:spacing w:line="240" w:lineRule="auto"/>
              <w:ind w:firstLine="0" w:firstLineChars="0"/>
              <w:jc w:val="left"/>
              <w:textAlignment w:val="center"/>
              <w:rPr>
                <w:color w:val="000000"/>
                <w:sz w:val="21"/>
                <w:szCs w:val="21"/>
              </w:rPr>
            </w:pPr>
            <w:r>
              <w:rPr>
                <w:color w:val="000000"/>
                <w:kern w:val="0"/>
                <w:sz w:val="21"/>
                <w:szCs w:val="21"/>
                <w:lang w:bidi="ar"/>
              </w:rPr>
              <w:t>评价要点：</w:t>
            </w:r>
            <w:r>
              <w:rPr>
                <w:rStyle w:val="47"/>
                <w:lang w:bidi="ar"/>
              </w:rPr>
              <w:t>1.</w:t>
            </w:r>
            <w:r>
              <w:rPr>
                <w:color w:val="000000"/>
                <w:kern w:val="0"/>
                <w:sz w:val="21"/>
                <w:szCs w:val="21"/>
                <w:lang w:bidi="ar"/>
              </w:rPr>
              <w:t>符合国家财经法和财务管理制度规定以及有关部门资金管理办法的规定；</w:t>
            </w:r>
            <w:r>
              <w:rPr>
                <w:rStyle w:val="47"/>
                <w:lang w:bidi="ar"/>
              </w:rPr>
              <w:t>2.</w:t>
            </w:r>
            <w:r>
              <w:rPr>
                <w:color w:val="000000"/>
                <w:kern w:val="0"/>
                <w:sz w:val="21"/>
                <w:szCs w:val="21"/>
                <w:lang w:bidi="ar"/>
              </w:rPr>
              <w:t>资金的拨付有完整的审批过程和手续；</w:t>
            </w:r>
            <w:r>
              <w:rPr>
                <w:rStyle w:val="47"/>
                <w:lang w:bidi="ar"/>
              </w:rPr>
              <w:t>3.</w:t>
            </w:r>
            <w:r>
              <w:rPr>
                <w:color w:val="000000"/>
                <w:kern w:val="0"/>
                <w:sz w:val="21"/>
                <w:szCs w:val="21"/>
                <w:lang w:bidi="ar"/>
              </w:rPr>
              <w:t>项目的重大开支经过评估论证；</w:t>
            </w:r>
            <w:r>
              <w:rPr>
                <w:rStyle w:val="47"/>
                <w:lang w:bidi="ar"/>
              </w:rPr>
              <w:t>4.</w:t>
            </w:r>
            <w:r>
              <w:rPr>
                <w:color w:val="000000"/>
                <w:kern w:val="0"/>
                <w:sz w:val="21"/>
                <w:szCs w:val="21"/>
                <w:lang w:bidi="ar"/>
              </w:rPr>
              <w:t>符合部门预算批复的用途；</w:t>
            </w:r>
            <w:r>
              <w:rPr>
                <w:rStyle w:val="47"/>
                <w:lang w:bidi="ar"/>
              </w:rPr>
              <w:t>5.</w:t>
            </w:r>
            <w:r>
              <w:rPr>
                <w:color w:val="000000"/>
                <w:kern w:val="0"/>
                <w:sz w:val="21"/>
                <w:szCs w:val="21"/>
                <w:lang w:bidi="ar"/>
              </w:rPr>
              <w:t>不存在截留、挤占、挪用、虚列支出等情况。</w:t>
            </w:r>
          </w:p>
        </w:tc>
        <w:tc>
          <w:tcPr>
            <w:tcW w:w="2539"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全部符合（</w:t>
            </w:r>
            <w:r>
              <w:rPr>
                <w:rStyle w:val="47"/>
                <w:lang w:bidi="ar"/>
              </w:rPr>
              <w:t>5</w:t>
            </w:r>
            <w:r>
              <w:rPr>
                <w:color w:val="000000"/>
                <w:kern w:val="0"/>
                <w:sz w:val="21"/>
                <w:szCs w:val="21"/>
                <w:lang w:bidi="ar"/>
              </w:rPr>
              <w:t>分）；符合其中四项（</w:t>
            </w:r>
            <w:r>
              <w:rPr>
                <w:rStyle w:val="47"/>
                <w:lang w:bidi="ar"/>
              </w:rPr>
              <w:t>4</w:t>
            </w:r>
            <w:r>
              <w:rPr>
                <w:color w:val="000000"/>
                <w:kern w:val="0"/>
                <w:sz w:val="21"/>
                <w:szCs w:val="21"/>
                <w:lang w:bidi="ar"/>
              </w:rPr>
              <w:t>分）；符合其中三项（</w:t>
            </w:r>
            <w:r>
              <w:rPr>
                <w:rStyle w:val="47"/>
                <w:lang w:bidi="ar"/>
              </w:rPr>
              <w:t>3</w:t>
            </w:r>
            <w:r>
              <w:rPr>
                <w:color w:val="000000"/>
                <w:kern w:val="0"/>
                <w:sz w:val="21"/>
                <w:szCs w:val="21"/>
                <w:lang w:bidi="ar"/>
              </w:rPr>
              <w:t>分）；符合其中两项（</w:t>
            </w:r>
            <w:r>
              <w:rPr>
                <w:rStyle w:val="47"/>
                <w:lang w:bidi="ar"/>
              </w:rPr>
              <w:t>2</w:t>
            </w:r>
            <w:r>
              <w:rPr>
                <w:color w:val="000000"/>
                <w:kern w:val="0"/>
                <w:sz w:val="21"/>
                <w:szCs w:val="21"/>
                <w:lang w:bidi="ar"/>
              </w:rPr>
              <w:t>分）；符合其中一项（</w:t>
            </w:r>
            <w:r>
              <w:rPr>
                <w:rStyle w:val="47"/>
                <w:lang w:bidi="ar"/>
              </w:rPr>
              <w:t>1</w:t>
            </w:r>
            <w:r>
              <w:rPr>
                <w:color w:val="000000"/>
                <w:kern w:val="0"/>
                <w:sz w:val="21"/>
                <w:szCs w:val="21"/>
                <w:lang w:bidi="ar"/>
              </w:rPr>
              <w:t>分）；</w:t>
            </w:r>
          </w:p>
          <w:p>
            <w:pPr>
              <w:widowControl/>
              <w:spacing w:line="240" w:lineRule="auto"/>
              <w:ind w:firstLine="0" w:firstLineChars="0"/>
              <w:jc w:val="left"/>
              <w:textAlignment w:val="center"/>
              <w:rPr>
                <w:color w:val="000000"/>
                <w:sz w:val="21"/>
                <w:szCs w:val="21"/>
              </w:rPr>
            </w:pPr>
            <w:r>
              <w:rPr>
                <w:color w:val="000000"/>
                <w:kern w:val="0"/>
                <w:sz w:val="21"/>
                <w:szCs w:val="21"/>
                <w:lang w:bidi="ar"/>
              </w:rPr>
              <w:t>全部不符合（</w:t>
            </w:r>
            <w:r>
              <w:rPr>
                <w:rStyle w:val="47"/>
                <w:lang w:bidi="ar"/>
              </w:rPr>
              <w:t>0</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B23预决算信息公开性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部门是否按照政府信息公开有关规定公开相关预决算信息，用以反映和评价部门预决算管理的公开透明情况。</w:t>
            </w:r>
          </w:p>
          <w:p>
            <w:pPr>
              <w:widowControl/>
              <w:spacing w:line="240" w:lineRule="auto"/>
              <w:ind w:firstLine="0" w:firstLineChars="0"/>
              <w:jc w:val="left"/>
              <w:textAlignment w:val="center"/>
              <w:rPr>
                <w:color w:val="000000"/>
                <w:sz w:val="21"/>
                <w:szCs w:val="21"/>
              </w:rPr>
            </w:pPr>
            <w:r>
              <w:rPr>
                <w:color w:val="000000"/>
                <w:kern w:val="0"/>
                <w:sz w:val="21"/>
                <w:szCs w:val="21"/>
                <w:lang w:bidi="ar"/>
              </w:rPr>
              <w:t>预决算信息是指与部门预算、执行、决算、监督、绩效等管理相关的信息。</w:t>
            </w:r>
          </w:p>
          <w:p>
            <w:pPr>
              <w:widowControl/>
              <w:spacing w:line="240" w:lineRule="auto"/>
              <w:ind w:firstLine="0" w:firstLineChars="0"/>
              <w:jc w:val="left"/>
              <w:textAlignment w:val="center"/>
              <w:rPr>
                <w:color w:val="000000"/>
                <w:sz w:val="21"/>
                <w:szCs w:val="21"/>
              </w:rPr>
            </w:pPr>
            <w:r>
              <w:rPr>
                <w:color w:val="000000"/>
                <w:kern w:val="0"/>
                <w:sz w:val="21"/>
                <w:szCs w:val="21"/>
                <w:lang w:bidi="ar"/>
              </w:rPr>
              <w:t>评价要点：</w:t>
            </w:r>
            <w:r>
              <w:rPr>
                <w:rStyle w:val="47"/>
                <w:lang w:bidi="ar"/>
              </w:rPr>
              <w:t>1.</w:t>
            </w:r>
            <w:r>
              <w:rPr>
                <w:color w:val="000000"/>
                <w:kern w:val="0"/>
                <w:sz w:val="21"/>
                <w:szCs w:val="21"/>
                <w:lang w:bidi="ar"/>
              </w:rPr>
              <w:t>公开预决算信息；</w:t>
            </w:r>
            <w:r>
              <w:rPr>
                <w:rStyle w:val="47"/>
                <w:lang w:bidi="ar"/>
              </w:rPr>
              <w:t>2.</w:t>
            </w:r>
            <w:r>
              <w:rPr>
                <w:color w:val="000000"/>
                <w:kern w:val="0"/>
                <w:sz w:val="21"/>
                <w:szCs w:val="21"/>
                <w:lang w:bidi="ar"/>
              </w:rPr>
              <w:t>按规定内容公开预决算信息；</w:t>
            </w:r>
            <w:r>
              <w:rPr>
                <w:rStyle w:val="47"/>
                <w:lang w:bidi="ar"/>
              </w:rPr>
              <w:t>3.</w:t>
            </w:r>
            <w:r>
              <w:rPr>
                <w:color w:val="000000"/>
                <w:kern w:val="0"/>
                <w:sz w:val="21"/>
                <w:szCs w:val="21"/>
                <w:lang w:bidi="ar"/>
              </w:rPr>
              <w:t>按规定时限公开预决算信息；</w:t>
            </w:r>
            <w:r>
              <w:rPr>
                <w:rStyle w:val="47"/>
                <w:lang w:bidi="ar"/>
              </w:rPr>
              <w:t>4.</w:t>
            </w:r>
            <w:r>
              <w:rPr>
                <w:color w:val="000000"/>
                <w:kern w:val="0"/>
                <w:sz w:val="21"/>
                <w:szCs w:val="21"/>
                <w:lang w:bidi="ar"/>
              </w:rPr>
              <w:t>公开预决算信息准确、完整。</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全部符合（</w:t>
            </w:r>
            <w:r>
              <w:rPr>
                <w:rStyle w:val="47"/>
                <w:lang w:bidi="ar"/>
              </w:rPr>
              <w:t>4</w:t>
            </w:r>
            <w:r>
              <w:rPr>
                <w:color w:val="000000"/>
                <w:kern w:val="0"/>
                <w:sz w:val="21"/>
                <w:szCs w:val="21"/>
                <w:lang w:bidi="ar"/>
              </w:rPr>
              <w:t>分）；符合其中三项（</w:t>
            </w:r>
            <w:r>
              <w:rPr>
                <w:rStyle w:val="47"/>
                <w:lang w:bidi="ar"/>
              </w:rPr>
              <w:t>3</w:t>
            </w:r>
            <w:r>
              <w:rPr>
                <w:color w:val="000000"/>
                <w:kern w:val="0"/>
                <w:sz w:val="21"/>
                <w:szCs w:val="21"/>
                <w:lang w:bidi="ar"/>
              </w:rPr>
              <w:t>分）符合其中两项（</w:t>
            </w:r>
            <w:r>
              <w:rPr>
                <w:rStyle w:val="47"/>
                <w:lang w:bidi="ar"/>
              </w:rPr>
              <w:t>2</w:t>
            </w:r>
            <w:r>
              <w:rPr>
                <w:color w:val="000000"/>
                <w:kern w:val="0"/>
                <w:sz w:val="21"/>
                <w:szCs w:val="21"/>
                <w:lang w:bidi="ar"/>
              </w:rPr>
              <w:t>分）；符合其中一项（</w:t>
            </w:r>
            <w:r>
              <w:rPr>
                <w:rStyle w:val="47"/>
                <w:lang w:bidi="ar"/>
              </w:rPr>
              <w:t>1</w:t>
            </w:r>
            <w:r>
              <w:rPr>
                <w:color w:val="000000"/>
                <w:kern w:val="0"/>
                <w:sz w:val="21"/>
                <w:szCs w:val="21"/>
                <w:lang w:bidi="ar"/>
              </w:rPr>
              <w:t>分）；全部不符合（</w:t>
            </w:r>
            <w:r>
              <w:rPr>
                <w:rStyle w:val="47"/>
                <w:lang w:bidi="ar"/>
              </w:rPr>
              <w:t>0</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B3资产管理</w:t>
            </w:r>
          </w:p>
        </w:tc>
        <w:tc>
          <w:tcPr>
            <w:tcW w:w="758" w:type="dxa"/>
            <w:vMerge w:val="restart"/>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8</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B31资产管理制度健全性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部门（单位）为加强资产管理、规范资产管理行为而制定的管理制度是否健全完整，用以反映和考核部门（单位）资产管理制度对完成主要职责或促进社会发展的保障情况。</w:t>
            </w:r>
          </w:p>
          <w:p>
            <w:pPr>
              <w:widowControl/>
              <w:spacing w:line="240" w:lineRule="auto"/>
              <w:ind w:firstLine="0" w:firstLineChars="0"/>
              <w:jc w:val="left"/>
              <w:textAlignment w:val="center"/>
              <w:rPr>
                <w:color w:val="000000"/>
                <w:sz w:val="21"/>
                <w:szCs w:val="21"/>
              </w:rPr>
            </w:pPr>
            <w:r>
              <w:rPr>
                <w:color w:val="000000"/>
                <w:kern w:val="0"/>
                <w:sz w:val="21"/>
                <w:szCs w:val="21"/>
                <w:lang w:bidi="ar"/>
              </w:rPr>
              <w:t>评价要点：</w:t>
            </w:r>
            <w:r>
              <w:rPr>
                <w:rStyle w:val="47"/>
                <w:lang w:bidi="ar"/>
              </w:rPr>
              <w:t>1.</w:t>
            </w:r>
            <w:r>
              <w:rPr>
                <w:color w:val="000000"/>
                <w:kern w:val="0"/>
                <w:sz w:val="21"/>
                <w:szCs w:val="21"/>
                <w:lang w:bidi="ar"/>
              </w:rPr>
              <w:t>是否已制定或具有资产管理制度；</w:t>
            </w:r>
            <w:r>
              <w:rPr>
                <w:rStyle w:val="47"/>
                <w:lang w:bidi="ar"/>
              </w:rPr>
              <w:t>2.</w:t>
            </w:r>
            <w:r>
              <w:rPr>
                <w:color w:val="000000"/>
                <w:kern w:val="0"/>
                <w:sz w:val="21"/>
                <w:szCs w:val="21"/>
                <w:lang w:bidi="ar"/>
              </w:rPr>
              <w:t>相关资金管理制度是否合法、合规、完整；</w:t>
            </w:r>
            <w:r>
              <w:rPr>
                <w:rStyle w:val="47"/>
                <w:lang w:bidi="ar"/>
              </w:rPr>
              <w:t>3.</w:t>
            </w:r>
            <w:r>
              <w:rPr>
                <w:color w:val="000000"/>
                <w:kern w:val="0"/>
                <w:sz w:val="21"/>
                <w:szCs w:val="21"/>
                <w:lang w:bidi="ar"/>
              </w:rPr>
              <w:t>相关资产管理制度是否得到有效执行。</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 全部符合（</w:t>
            </w:r>
            <w:r>
              <w:rPr>
                <w:rStyle w:val="47"/>
                <w:lang w:bidi="ar"/>
              </w:rPr>
              <w:t>3</w:t>
            </w:r>
            <w:r>
              <w:rPr>
                <w:color w:val="000000"/>
                <w:kern w:val="0"/>
                <w:sz w:val="21"/>
                <w:szCs w:val="21"/>
                <w:lang w:bidi="ar"/>
              </w:rPr>
              <w:t>分）；符合其中两项（</w:t>
            </w:r>
            <w:r>
              <w:rPr>
                <w:rStyle w:val="47"/>
                <w:lang w:bidi="ar"/>
              </w:rPr>
              <w:t>2</w:t>
            </w:r>
            <w:r>
              <w:rPr>
                <w:color w:val="000000"/>
                <w:kern w:val="0"/>
                <w:sz w:val="21"/>
                <w:szCs w:val="21"/>
                <w:lang w:bidi="ar"/>
              </w:rPr>
              <w:t>分）；符合其中一项（</w:t>
            </w:r>
            <w:r>
              <w:rPr>
                <w:rStyle w:val="47"/>
                <w:lang w:bidi="ar"/>
              </w:rPr>
              <w:t>1</w:t>
            </w:r>
            <w:r>
              <w:rPr>
                <w:color w:val="000000"/>
                <w:kern w:val="0"/>
                <w:sz w:val="21"/>
                <w:szCs w:val="21"/>
                <w:lang w:bidi="ar"/>
              </w:rPr>
              <w:t>分）；全部不符合（</w:t>
            </w:r>
            <w:r>
              <w:rPr>
                <w:rStyle w:val="47"/>
                <w:lang w:bidi="ar"/>
              </w:rPr>
              <w:t>0</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B32资产管理完全性</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部门的资产是否保存完整、使用合规、收入及时足额上缴，用以反映和评价部门资产运行情况。</w:t>
            </w:r>
          </w:p>
          <w:p>
            <w:pPr>
              <w:widowControl/>
              <w:spacing w:line="240" w:lineRule="auto"/>
              <w:ind w:firstLine="0" w:firstLineChars="0"/>
              <w:jc w:val="left"/>
              <w:textAlignment w:val="center"/>
              <w:rPr>
                <w:color w:val="000000"/>
                <w:sz w:val="21"/>
                <w:szCs w:val="21"/>
              </w:rPr>
            </w:pPr>
            <w:r>
              <w:rPr>
                <w:color w:val="000000"/>
                <w:kern w:val="0"/>
                <w:sz w:val="21"/>
                <w:szCs w:val="21"/>
                <w:lang w:bidi="ar"/>
              </w:rPr>
              <w:t>评价要点：</w:t>
            </w:r>
            <w:r>
              <w:rPr>
                <w:rStyle w:val="47"/>
                <w:lang w:bidi="ar"/>
              </w:rPr>
              <w:t>1.</w:t>
            </w:r>
            <w:r>
              <w:rPr>
                <w:color w:val="000000"/>
                <w:kern w:val="0"/>
                <w:sz w:val="21"/>
                <w:szCs w:val="21"/>
                <w:lang w:bidi="ar"/>
              </w:rPr>
              <w:t>资产保存完整；</w:t>
            </w:r>
            <w:r>
              <w:rPr>
                <w:rStyle w:val="47"/>
                <w:lang w:bidi="ar"/>
              </w:rPr>
              <w:t>2.</w:t>
            </w:r>
            <w:r>
              <w:rPr>
                <w:color w:val="000000"/>
                <w:kern w:val="0"/>
                <w:sz w:val="21"/>
                <w:szCs w:val="21"/>
                <w:lang w:bidi="ar"/>
              </w:rPr>
              <w:t>资产账务管理是否合规，账实相符；</w:t>
            </w:r>
            <w:r>
              <w:rPr>
                <w:rStyle w:val="47"/>
                <w:lang w:bidi="ar"/>
              </w:rPr>
              <w:t>3.</w:t>
            </w:r>
            <w:r>
              <w:rPr>
                <w:color w:val="000000"/>
                <w:kern w:val="0"/>
                <w:sz w:val="21"/>
                <w:szCs w:val="21"/>
                <w:lang w:bidi="ar"/>
              </w:rPr>
              <w:t>资产有偿使用及处置收入及时足额上缴。</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全部符合（</w:t>
            </w:r>
            <w:r>
              <w:rPr>
                <w:rStyle w:val="47"/>
                <w:lang w:bidi="ar"/>
              </w:rPr>
              <w:t>3</w:t>
            </w:r>
            <w:r>
              <w:rPr>
                <w:color w:val="000000"/>
                <w:kern w:val="0"/>
                <w:sz w:val="21"/>
                <w:szCs w:val="21"/>
                <w:lang w:bidi="ar"/>
              </w:rPr>
              <w:t>分）；符合其中两项（</w:t>
            </w:r>
            <w:r>
              <w:rPr>
                <w:rStyle w:val="47"/>
                <w:lang w:bidi="ar"/>
              </w:rPr>
              <w:t>2</w:t>
            </w:r>
            <w:r>
              <w:rPr>
                <w:color w:val="000000"/>
                <w:kern w:val="0"/>
                <w:sz w:val="21"/>
                <w:szCs w:val="21"/>
                <w:lang w:bidi="ar"/>
              </w:rPr>
              <w:t>分）；符合其中一项（</w:t>
            </w:r>
            <w:r>
              <w:rPr>
                <w:rStyle w:val="47"/>
                <w:lang w:bidi="ar"/>
              </w:rPr>
              <w:t>1</w:t>
            </w:r>
            <w:r>
              <w:rPr>
                <w:color w:val="000000"/>
                <w:kern w:val="0"/>
                <w:sz w:val="21"/>
                <w:szCs w:val="21"/>
                <w:lang w:bidi="ar"/>
              </w:rPr>
              <w:t>分）；全部不符合（</w:t>
            </w:r>
            <w:r>
              <w:rPr>
                <w:rStyle w:val="47"/>
                <w:lang w:bidi="ar"/>
              </w:rPr>
              <w:t>0</w:t>
            </w:r>
            <w:r>
              <w:rPr>
                <w:color w:val="000000"/>
                <w:kern w:val="0"/>
                <w:sz w:val="21"/>
                <w:szCs w:val="21"/>
                <w:lang w:bidi="ar"/>
              </w:rPr>
              <w:t>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B33固定资产利用率</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部门（单位）实际在用固定资产总额与所有固定资产总额的比率，用以反映和考核部门（单位）固定资产使用效率。</w:t>
            </w:r>
          </w:p>
          <w:p>
            <w:pPr>
              <w:widowControl/>
              <w:spacing w:line="240" w:lineRule="auto"/>
              <w:ind w:firstLine="0" w:firstLineChars="0"/>
              <w:jc w:val="left"/>
              <w:textAlignment w:val="center"/>
              <w:rPr>
                <w:color w:val="000000"/>
                <w:sz w:val="21"/>
                <w:szCs w:val="21"/>
              </w:rPr>
            </w:pPr>
            <w:r>
              <w:rPr>
                <w:color w:val="000000"/>
                <w:kern w:val="0"/>
                <w:sz w:val="21"/>
                <w:szCs w:val="21"/>
                <w:lang w:bidi="ar"/>
              </w:rPr>
              <w:t>固定资产利用率</w:t>
            </w:r>
            <w:r>
              <w:rPr>
                <w:rStyle w:val="47"/>
                <w:lang w:bidi="ar"/>
              </w:rPr>
              <w:t>=</w:t>
            </w:r>
            <w:r>
              <w:rPr>
                <w:color w:val="000000"/>
                <w:kern w:val="0"/>
                <w:sz w:val="21"/>
                <w:szCs w:val="21"/>
                <w:lang w:bidi="ar"/>
              </w:rPr>
              <w:t>（实际在用固定资产总额</w:t>
            </w:r>
            <w:r>
              <w:rPr>
                <w:rStyle w:val="47"/>
                <w:lang w:bidi="ar"/>
              </w:rPr>
              <w:t>/</w:t>
            </w:r>
            <w:r>
              <w:rPr>
                <w:color w:val="000000"/>
                <w:kern w:val="0"/>
                <w:sz w:val="21"/>
                <w:szCs w:val="21"/>
                <w:lang w:bidi="ar"/>
              </w:rPr>
              <w:t>所有固定资产总额）</w:t>
            </w:r>
            <w:r>
              <w:rPr>
                <w:rStyle w:val="47"/>
                <w:lang w:bidi="ar"/>
              </w:rPr>
              <w:t>×100%</w:t>
            </w:r>
            <w:r>
              <w:rPr>
                <w:color w:val="000000"/>
                <w:kern w:val="0"/>
                <w:sz w:val="21"/>
                <w:szCs w:val="21"/>
                <w:lang w:bidi="ar"/>
              </w:rPr>
              <w:t>。</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目标值为</w:t>
            </w:r>
            <w:r>
              <w:rPr>
                <w:rStyle w:val="47"/>
                <w:lang w:bidi="ar"/>
              </w:rPr>
              <w:t>80%</w:t>
            </w:r>
            <w:r>
              <w:rPr>
                <w:color w:val="000000"/>
                <w:kern w:val="0"/>
                <w:sz w:val="21"/>
                <w:szCs w:val="21"/>
                <w:lang w:bidi="ar"/>
              </w:rPr>
              <w:t>；以</w:t>
            </w:r>
            <w:r>
              <w:rPr>
                <w:rStyle w:val="47"/>
                <w:lang w:bidi="ar"/>
              </w:rPr>
              <w:t>3</w:t>
            </w:r>
            <w:r>
              <w:rPr>
                <w:color w:val="000000"/>
                <w:kern w:val="0"/>
                <w:sz w:val="21"/>
                <w:szCs w:val="21"/>
                <w:lang w:bidi="ar"/>
              </w:rPr>
              <w:t>分为上限，采用完成比率计分；得分</w:t>
            </w:r>
            <w:r>
              <w:rPr>
                <w:rStyle w:val="47"/>
                <w:lang w:bidi="ar"/>
              </w:rPr>
              <w:t>=</w:t>
            </w:r>
            <w:r>
              <w:rPr>
                <w:color w:val="000000"/>
                <w:kern w:val="0"/>
                <w:sz w:val="21"/>
                <w:szCs w:val="21"/>
                <w:lang w:bidi="ar"/>
              </w:rPr>
              <w:t>固定资产利用率</w:t>
            </w:r>
            <w:r>
              <w:rPr>
                <w:rStyle w:val="47"/>
                <w:lang w:bidi="ar"/>
              </w:rPr>
              <w:t>/80%×100%×3</w:t>
            </w:r>
            <w:r>
              <w:rPr>
                <w:color w:val="000000"/>
                <w:kern w:val="0"/>
                <w:sz w:val="21"/>
                <w:szCs w:val="21"/>
                <w:lang w:bidi="ar"/>
              </w:rPr>
              <w:t>，超出目标值不加分。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C产出及效益</w:t>
            </w:r>
          </w:p>
        </w:tc>
        <w:tc>
          <w:tcPr>
            <w:tcW w:w="1132" w:type="dxa"/>
            <w:vMerge w:val="restart"/>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C1产出</w:t>
            </w:r>
          </w:p>
        </w:tc>
        <w:tc>
          <w:tcPr>
            <w:tcW w:w="758" w:type="dxa"/>
            <w:vMerge w:val="restart"/>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kern w:val="0"/>
                <w:sz w:val="21"/>
                <w:szCs w:val="21"/>
                <w:lang w:bidi="ar"/>
              </w:rPr>
              <w:t>36</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C11</w:t>
            </w:r>
            <w:r>
              <w:rPr>
                <w:rFonts w:hint="eastAsia"/>
                <w:color w:val="000000"/>
                <w:kern w:val="0"/>
                <w:sz w:val="21"/>
                <w:szCs w:val="21"/>
                <w:lang w:bidi="ar"/>
              </w:rPr>
              <w:t>研发支出占地区生产总值比例</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年在</w:t>
            </w:r>
            <w:r>
              <w:rPr>
                <w:rFonts w:hint="eastAsia"/>
                <w:color w:val="000000"/>
                <w:kern w:val="0"/>
                <w:sz w:val="21"/>
                <w:szCs w:val="21"/>
                <w:lang w:bidi="ar"/>
              </w:rPr>
              <w:t>研发支出的投入</w:t>
            </w:r>
            <w:r>
              <w:rPr>
                <w:color w:val="000000"/>
                <w:kern w:val="0"/>
                <w:sz w:val="21"/>
                <w:szCs w:val="21"/>
                <w:lang w:bidi="ar"/>
              </w:rPr>
              <w:t>情况。</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kern w:val="0"/>
                <w:sz w:val="21"/>
                <w:szCs w:val="21"/>
                <w:lang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C12</w:t>
            </w:r>
            <w:r>
              <w:rPr>
                <w:rFonts w:hint="eastAsia"/>
                <w:color w:val="000000"/>
                <w:kern w:val="0"/>
                <w:sz w:val="21"/>
                <w:szCs w:val="21"/>
                <w:lang w:bidi="ar"/>
              </w:rPr>
              <w:t>技术合同成交额占地区生产总值的比例</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w:t>
            </w:r>
            <w:r>
              <w:rPr>
                <w:rFonts w:hint="eastAsia"/>
                <w:color w:val="000000"/>
                <w:kern w:val="0"/>
                <w:sz w:val="21"/>
                <w:szCs w:val="21"/>
                <w:lang w:bidi="ar"/>
              </w:rPr>
              <w:t>技术合同成交额</w:t>
            </w:r>
            <w:r>
              <w:rPr>
                <w:color w:val="000000"/>
                <w:kern w:val="0"/>
                <w:sz w:val="21"/>
                <w:szCs w:val="21"/>
                <w:lang w:bidi="ar"/>
              </w:rPr>
              <w:t>完成情况。</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C13</w:t>
            </w:r>
            <w:r>
              <w:rPr>
                <w:rFonts w:hint="eastAsia"/>
                <w:color w:val="000000"/>
                <w:kern w:val="0"/>
                <w:sz w:val="21"/>
                <w:szCs w:val="21"/>
                <w:lang w:bidi="ar"/>
              </w:rPr>
              <w:t>每千家法人企业中高新技术企业占比</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对比</w:t>
            </w:r>
            <w:r>
              <w:rPr>
                <w:rStyle w:val="47"/>
                <w:lang w:bidi="ar"/>
              </w:rPr>
              <w:t>2021</w:t>
            </w:r>
            <w:r>
              <w:rPr>
                <w:color w:val="000000"/>
                <w:kern w:val="0"/>
                <w:sz w:val="21"/>
                <w:szCs w:val="21"/>
                <w:lang w:bidi="ar"/>
              </w:rPr>
              <w:t>年工作计划，考察柞水县</w:t>
            </w:r>
            <w:r>
              <w:rPr>
                <w:rStyle w:val="47"/>
                <w:lang w:bidi="ar"/>
              </w:rPr>
              <w:t>2021</w:t>
            </w:r>
            <w:r>
              <w:rPr>
                <w:color w:val="000000"/>
                <w:kern w:val="0"/>
                <w:sz w:val="21"/>
                <w:szCs w:val="21"/>
                <w:lang w:bidi="ar"/>
              </w:rPr>
              <w:t>年</w:t>
            </w:r>
            <w:r>
              <w:rPr>
                <w:rFonts w:hint="eastAsia"/>
                <w:color w:val="000000"/>
                <w:kern w:val="0"/>
                <w:sz w:val="21"/>
                <w:szCs w:val="21"/>
                <w:lang w:bidi="ar"/>
              </w:rPr>
              <w:t>高新技术企业在全县法人企业的占比情况。</w:t>
            </w:r>
            <w:r>
              <w:rPr>
                <w:color w:val="000000"/>
                <w:kern w:val="0"/>
                <w:sz w:val="21"/>
                <w:szCs w:val="21"/>
                <w:lang w:bidi="ar"/>
              </w:rPr>
              <w:t>。</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C14</w:t>
            </w:r>
            <w:r>
              <w:rPr>
                <w:rFonts w:hint="eastAsia"/>
                <w:color w:val="000000"/>
                <w:kern w:val="0"/>
                <w:sz w:val="21"/>
                <w:szCs w:val="21"/>
                <w:lang w:bidi="ar"/>
              </w:rPr>
              <w:t>争取资金量</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sz w:val="21"/>
                <w:szCs w:val="21"/>
              </w:rPr>
              <w:t>4</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w:t>
            </w:r>
            <w:r>
              <w:rPr>
                <w:rFonts w:hint="eastAsia"/>
                <w:color w:val="000000"/>
                <w:kern w:val="0"/>
                <w:sz w:val="21"/>
                <w:szCs w:val="21"/>
                <w:lang w:bidi="ar"/>
              </w:rPr>
              <w:t>在资金争取方面的</w:t>
            </w:r>
            <w:r>
              <w:rPr>
                <w:color w:val="000000"/>
                <w:kern w:val="0"/>
                <w:sz w:val="21"/>
                <w:szCs w:val="21"/>
                <w:lang w:bidi="ar"/>
              </w:rPr>
              <w:t>完成情况。</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C15</w:t>
            </w:r>
            <w:r>
              <w:rPr>
                <w:rFonts w:hint="eastAsia"/>
                <w:color w:val="000000"/>
                <w:kern w:val="0"/>
                <w:sz w:val="21"/>
                <w:szCs w:val="21"/>
                <w:lang w:bidi="ar"/>
              </w:rPr>
              <w:t>招商合同签约</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年在</w:t>
            </w:r>
            <w:r>
              <w:rPr>
                <w:rFonts w:hint="eastAsia"/>
                <w:color w:val="000000"/>
                <w:kern w:val="0"/>
                <w:sz w:val="21"/>
                <w:szCs w:val="21"/>
                <w:lang w:bidi="ar"/>
              </w:rPr>
              <w:t>招商合同签约金额方面的</w:t>
            </w:r>
            <w:r>
              <w:rPr>
                <w:color w:val="000000"/>
                <w:kern w:val="0"/>
                <w:sz w:val="21"/>
                <w:szCs w:val="21"/>
                <w:lang w:bidi="ar"/>
              </w:rPr>
              <w:t>完成情况。</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C16</w:t>
            </w:r>
            <w:r>
              <w:rPr>
                <w:rFonts w:hint="eastAsia"/>
                <w:color w:val="000000"/>
                <w:kern w:val="0"/>
                <w:sz w:val="21"/>
                <w:szCs w:val="21"/>
                <w:lang w:bidi="ar"/>
              </w:rPr>
              <w:t>引进新项目</w:t>
            </w:r>
          </w:p>
        </w:tc>
        <w:tc>
          <w:tcPr>
            <w:tcW w:w="810" w:type="dxa"/>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年在</w:t>
            </w:r>
            <w:r>
              <w:rPr>
                <w:rFonts w:hint="eastAsia"/>
                <w:color w:val="000000"/>
                <w:kern w:val="0"/>
                <w:sz w:val="21"/>
                <w:szCs w:val="21"/>
                <w:lang w:bidi="ar"/>
              </w:rPr>
              <w:t>引进新项目</w:t>
            </w:r>
            <w:r>
              <w:rPr>
                <w:color w:val="000000"/>
                <w:kern w:val="0"/>
                <w:sz w:val="21"/>
                <w:szCs w:val="21"/>
                <w:lang w:bidi="ar"/>
              </w:rPr>
              <w:t>上的完成情况。</w:t>
            </w:r>
          </w:p>
        </w:tc>
        <w:tc>
          <w:tcPr>
            <w:tcW w:w="2539"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kern w:val="0"/>
                <w:sz w:val="21"/>
                <w:szCs w:val="21"/>
                <w:lang w:bidi="ar"/>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C17</w:t>
            </w:r>
            <w:r>
              <w:rPr>
                <w:rFonts w:hint="eastAsia"/>
                <w:color w:val="000000"/>
                <w:kern w:val="0"/>
                <w:sz w:val="21"/>
                <w:szCs w:val="21"/>
                <w:lang w:bidi="ar"/>
              </w:rPr>
              <w:t>重点项目建设</w:t>
            </w:r>
          </w:p>
        </w:tc>
        <w:tc>
          <w:tcPr>
            <w:tcW w:w="810" w:type="dxa"/>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年在</w:t>
            </w:r>
            <w:r>
              <w:rPr>
                <w:rFonts w:hint="eastAsia"/>
                <w:color w:val="000000"/>
                <w:kern w:val="0"/>
                <w:sz w:val="21"/>
                <w:szCs w:val="21"/>
                <w:lang w:bidi="ar"/>
              </w:rPr>
              <w:t>重点项目建设方面的</w:t>
            </w:r>
            <w:r>
              <w:rPr>
                <w:color w:val="000000"/>
                <w:kern w:val="0"/>
                <w:sz w:val="21"/>
                <w:szCs w:val="21"/>
                <w:lang w:bidi="ar"/>
              </w:rPr>
              <w:t>完成情况。</w:t>
            </w:r>
          </w:p>
        </w:tc>
        <w:tc>
          <w:tcPr>
            <w:tcW w:w="2539"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kern w:val="0"/>
                <w:sz w:val="21"/>
                <w:szCs w:val="21"/>
                <w:lang w:bidi="ar"/>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C18</w:t>
            </w:r>
            <w:r>
              <w:rPr>
                <w:rFonts w:hint="eastAsia"/>
                <w:color w:val="000000"/>
                <w:kern w:val="0"/>
                <w:sz w:val="21"/>
                <w:szCs w:val="21"/>
                <w:lang w:bidi="ar"/>
              </w:rPr>
              <w:t>国家数字乡村试点</w:t>
            </w:r>
          </w:p>
        </w:tc>
        <w:tc>
          <w:tcPr>
            <w:tcW w:w="810" w:type="dxa"/>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年在</w:t>
            </w:r>
            <w:r>
              <w:rPr>
                <w:rFonts w:hint="eastAsia"/>
                <w:color w:val="000000"/>
                <w:kern w:val="0"/>
                <w:sz w:val="21"/>
                <w:szCs w:val="21"/>
                <w:lang w:bidi="ar"/>
              </w:rPr>
              <w:t>国家数字乡村试点</w:t>
            </w:r>
            <w:r>
              <w:rPr>
                <w:color w:val="000000"/>
                <w:kern w:val="0"/>
                <w:sz w:val="21"/>
                <w:szCs w:val="21"/>
                <w:lang w:bidi="ar"/>
              </w:rPr>
              <w:t>工作上的完成情况。</w:t>
            </w:r>
          </w:p>
        </w:tc>
        <w:tc>
          <w:tcPr>
            <w:tcW w:w="2539"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结合柞水县科学技术局</w:t>
            </w:r>
            <w:r>
              <w:rPr>
                <w:rStyle w:val="47"/>
                <w:lang w:bidi="ar"/>
              </w:rPr>
              <w:t>2021</w:t>
            </w:r>
            <w:r>
              <w:rPr>
                <w:color w:val="000000"/>
                <w:kern w:val="0"/>
                <w:sz w:val="21"/>
                <w:szCs w:val="21"/>
                <w:lang w:bidi="ar"/>
              </w:rPr>
              <w:t>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kern w:val="0"/>
                <w:sz w:val="21"/>
                <w:szCs w:val="21"/>
                <w:lang w:bidi="ar"/>
              </w:rPr>
            </w:pPr>
            <w:r>
              <w:rPr>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vMerge w:val="continue"/>
            <w:shd w:val="clear" w:color="auto" w:fill="auto"/>
            <w:vAlign w:val="center"/>
          </w:tcPr>
          <w:p>
            <w:pPr>
              <w:widowControl/>
              <w:spacing w:line="240" w:lineRule="auto"/>
              <w:ind w:firstLine="0" w:firstLineChars="0"/>
              <w:jc w:val="left"/>
              <w:rPr>
                <w:color w:val="000000"/>
                <w:sz w:val="21"/>
                <w:szCs w:val="21"/>
              </w:rPr>
            </w:pPr>
          </w:p>
        </w:tc>
        <w:tc>
          <w:tcPr>
            <w:tcW w:w="758" w:type="dxa"/>
            <w:vMerge w:val="continue"/>
            <w:shd w:val="clear" w:color="auto" w:fill="auto"/>
            <w:vAlign w:val="center"/>
          </w:tcPr>
          <w:p>
            <w:pPr>
              <w:widowControl/>
              <w:spacing w:line="240" w:lineRule="auto"/>
              <w:ind w:firstLine="0" w:firstLineChars="0"/>
              <w:jc w:val="center"/>
              <w:rPr>
                <w:color w:val="000000"/>
                <w:sz w:val="21"/>
                <w:szCs w:val="21"/>
              </w:rPr>
            </w:pPr>
          </w:p>
        </w:tc>
        <w:tc>
          <w:tcPr>
            <w:tcW w:w="1484"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rFonts w:hint="eastAsia"/>
                <w:color w:val="000000"/>
                <w:kern w:val="0"/>
                <w:sz w:val="21"/>
                <w:szCs w:val="21"/>
                <w:lang w:bidi="ar"/>
              </w:rPr>
              <w:t>C19地方木耳品种培育</w:t>
            </w:r>
          </w:p>
        </w:tc>
        <w:tc>
          <w:tcPr>
            <w:tcW w:w="810" w:type="dxa"/>
            <w:shd w:val="clear" w:color="auto" w:fill="auto"/>
            <w:vAlign w:val="center"/>
          </w:tcPr>
          <w:p>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4</w:t>
            </w:r>
          </w:p>
        </w:tc>
        <w:tc>
          <w:tcPr>
            <w:tcW w:w="4657"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对比</w:t>
            </w:r>
            <w:r>
              <w:rPr>
                <w:rStyle w:val="47"/>
                <w:lang w:bidi="ar"/>
              </w:rPr>
              <w:t>2021</w:t>
            </w:r>
            <w:r>
              <w:rPr>
                <w:color w:val="000000"/>
                <w:kern w:val="0"/>
                <w:sz w:val="21"/>
                <w:szCs w:val="21"/>
                <w:lang w:bidi="ar"/>
              </w:rPr>
              <w:t>年工作计划，考察柞水县科学技术局</w:t>
            </w:r>
            <w:r>
              <w:rPr>
                <w:rStyle w:val="47"/>
                <w:lang w:bidi="ar"/>
              </w:rPr>
              <w:t>2021</w:t>
            </w:r>
            <w:r>
              <w:rPr>
                <w:color w:val="000000"/>
                <w:kern w:val="0"/>
                <w:sz w:val="21"/>
                <w:szCs w:val="21"/>
                <w:lang w:bidi="ar"/>
              </w:rPr>
              <w:t>年在</w:t>
            </w:r>
            <w:r>
              <w:rPr>
                <w:rFonts w:hint="eastAsia"/>
                <w:color w:val="000000"/>
                <w:kern w:val="0"/>
                <w:sz w:val="21"/>
                <w:szCs w:val="21"/>
                <w:lang w:bidi="ar"/>
              </w:rPr>
              <w:t>地方木耳品种培育</w:t>
            </w:r>
            <w:r>
              <w:rPr>
                <w:color w:val="000000"/>
                <w:kern w:val="0"/>
                <w:sz w:val="21"/>
                <w:szCs w:val="21"/>
                <w:lang w:bidi="ar"/>
              </w:rPr>
              <w:t>工作上的完成情况。</w:t>
            </w:r>
          </w:p>
        </w:tc>
        <w:tc>
          <w:tcPr>
            <w:tcW w:w="2539" w:type="dxa"/>
            <w:shd w:val="clear" w:color="auto" w:fill="auto"/>
            <w:vAlign w:val="center"/>
          </w:tcPr>
          <w:p>
            <w:pPr>
              <w:widowControl/>
              <w:spacing w:line="240" w:lineRule="auto"/>
              <w:ind w:firstLine="0" w:firstLineChars="0"/>
              <w:jc w:val="left"/>
              <w:textAlignment w:val="center"/>
              <w:rPr>
                <w:color w:val="000000"/>
                <w:kern w:val="0"/>
                <w:sz w:val="21"/>
                <w:szCs w:val="21"/>
                <w:lang w:bidi="ar"/>
              </w:rPr>
            </w:pPr>
            <w:r>
              <w:rPr>
                <w:color w:val="000000"/>
                <w:kern w:val="0"/>
                <w:sz w:val="21"/>
                <w:szCs w:val="21"/>
                <w:lang w:bidi="ar"/>
              </w:rPr>
              <w:t>结合柞水县科学技术局2021年工作计划完成情况酌情打分。</w:t>
            </w:r>
          </w:p>
        </w:tc>
        <w:tc>
          <w:tcPr>
            <w:tcW w:w="731" w:type="dxa"/>
            <w:shd w:val="clear" w:color="auto" w:fill="auto"/>
            <w:vAlign w:val="center"/>
          </w:tcPr>
          <w:p>
            <w:pPr>
              <w:widowControl/>
              <w:spacing w:line="240" w:lineRule="auto"/>
              <w:ind w:firstLine="0" w:firstLineChars="0"/>
              <w:jc w:val="center"/>
              <w:textAlignment w:val="center"/>
              <w:rPr>
                <w:b/>
                <w:bCs/>
                <w:color w:val="000000"/>
                <w:kern w:val="0"/>
                <w:sz w:val="21"/>
                <w:szCs w:val="21"/>
                <w:lang w:bidi="ar"/>
              </w:rPr>
            </w:pPr>
            <w:r>
              <w:rPr>
                <w:rFonts w:hint="eastAsia"/>
                <w:b/>
                <w:bCs/>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98" w:type="dxa"/>
            <w:vMerge w:val="continue"/>
            <w:shd w:val="clear" w:color="auto" w:fill="auto"/>
            <w:vAlign w:val="center"/>
          </w:tcPr>
          <w:p>
            <w:pPr>
              <w:widowControl/>
              <w:spacing w:line="240" w:lineRule="auto"/>
              <w:ind w:firstLine="0" w:firstLineChars="0"/>
              <w:jc w:val="left"/>
              <w:rPr>
                <w:color w:val="000000"/>
                <w:sz w:val="21"/>
                <w:szCs w:val="21"/>
              </w:rPr>
            </w:pPr>
          </w:p>
        </w:tc>
        <w:tc>
          <w:tcPr>
            <w:tcW w:w="1132"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C2效益</w:t>
            </w:r>
          </w:p>
        </w:tc>
        <w:tc>
          <w:tcPr>
            <w:tcW w:w="758" w:type="dxa"/>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11</w:t>
            </w:r>
          </w:p>
        </w:tc>
        <w:tc>
          <w:tcPr>
            <w:tcW w:w="1484"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C22社会公众满意度</w:t>
            </w:r>
          </w:p>
        </w:tc>
        <w:tc>
          <w:tcPr>
            <w:tcW w:w="810" w:type="dxa"/>
            <w:shd w:val="clear" w:color="auto" w:fill="auto"/>
            <w:vAlign w:val="center"/>
          </w:tcPr>
          <w:p>
            <w:pPr>
              <w:widowControl/>
              <w:spacing w:line="240" w:lineRule="auto"/>
              <w:ind w:firstLine="0" w:firstLineChars="0"/>
              <w:jc w:val="center"/>
              <w:textAlignment w:val="center"/>
              <w:rPr>
                <w:color w:val="000000"/>
                <w:sz w:val="21"/>
                <w:szCs w:val="21"/>
              </w:rPr>
            </w:pPr>
            <w:r>
              <w:rPr>
                <w:rFonts w:hint="eastAsia"/>
                <w:color w:val="000000"/>
                <w:sz w:val="21"/>
                <w:szCs w:val="21"/>
              </w:rPr>
              <w:t>11</w:t>
            </w:r>
          </w:p>
        </w:tc>
        <w:tc>
          <w:tcPr>
            <w:tcW w:w="4657"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考察社会公众对柞水县科学技术局工作人员工作成果的满意程度。</w:t>
            </w:r>
          </w:p>
        </w:tc>
        <w:tc>
          <w:tcPr>
            <w:tcW w:w="2539" w:type="dxa"/>
            <w:shd w:val="clear" w:color="auto" w:fill="auto"/>
            <w:vAlign w:val="center"/>
          </w:tcPr>
          <w:p>
            <w:pPr>
              <w:widowControl/>
              <w:spacing w:line="240" w:lineRule="auto"/>
              <w:ind w:firstLine="0" w:firstLineChars="0"/>
              <w:jc w:val="left"/>
              <w:textAlignment w:val="center"/>
              <w:rPr>
                <w:color w:val="000000"/>
                <w:sz w:val="21"/>
                <w:szCs w:val="21"/>
              </w:rPr>
            </w:pPr>
            <w:r>
              <w:rPr>
                <w:color w:val="000000"/>
                <w:kern w:val="0"/>
                <w:sz w:val="21"/>
                <w:szCs w:val="21"/>
                <w:lang w:bidi="ar"/>
              </w:rPr>
              <w:t>目标值为</w:t>
            </w:r>
            <w:r>
              <w:rPr>
                <w:rStyle w:val="47"/>
                <w:lang w:bidi="ar"/>
              </w:rPr>
              <w:t>≥90%</w:t>
            </w:r>
            <w:r>
              <w:rPr>
                <w:color w:val="000000"/>
                <w:kern w:val="0"/>
                <w:sz w:val="21"/>
                <w:szCs w:val="21"/>
                <w:lang w:bidi="ar"/>
              </w:rPr>
              <w:t>，以</w:t>
            </w:r>
            <w:r>
              <w:rPr>
                <w:rStyle w:val="47"/>
                <w:lang w:bidi="ar"/>
              </w:rPr>
              <w:t>10</w:t>
            </w:r>
            <w:r>
              <w:rPr>
                <w:color w:val="000000"/>
                <w:kern w:val="0"/>
                <w:sz w:val="21"/>
                <w:szCs w:val="21"/>
                <w:lang w:bidi="ar"/>
              </w:rPr>
              <w:t>分为上限，未达到目标值的每减少2个百分点扣</w:t>
            </w:r>
            <w:r>
              <w:rPr>
                <w:rStyle w:val="47"/>
                <w:lang w:bidi="ar"/>
              </w:rPr>
              <w:t>0.1</w:t>
            </w:r>
            <w:r>
              <w:rPr>
                <w:color w:val="000000"/>
                <w:kern w:val="0"/>
                <w:sz w:val="21"/>
                <w:szCs w:val="21"/>
                <w:lang w:bidi="ar"/>
              </w:rPr>
              <w:t>分，扣完为止。</w:t>
            </w:r>
          </w:p>
        </w:tc>
        <w:tc>
          <w:tcPr>
            <w:tcW w:w="731" w:type="dxa"/>
            <w:shd w:val="clear" w:color="auto" w:fill="auto"/>
            <w:vAlign w:val="center"/>
          </w:tcPr>
          <w:p>
            <w:pPr>
              <w:widowControl/>
              <w:spacing w:line="240" w:lineRule="auto"/>
              <w:ind w:firstLine="0" w:firstLineChars="0"/>
              <w:jc w:val="center"/>
              <w:textAlignment w:val="center"/>
              <w:rPr>
                <w:b/>
                <w:bCs/>
                <w:color w:val="000000"/>
                <w:sz w:val="21"/>
                <w:szCs w:val="21"/>
              </w:rPr>
            </w:pPr>
            <w:r>
              <w:rPr>
                <w:rFonts w:hint="eastAsia"/>
                <w:b/>
                <w:bCs/>
                <w:color w:val="000000"/>
                <w:kern w:val="0"/>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8" w:type="dxa"/>
            <w:shd w:val="clear" w:color="auto" w:fill="auto"/>
            <w:noWrap/>
            <w:vAlign w:val="center"/>
          </w:tcPr>
          <w:p>
            <w:pPr>
              <w:widowControl/>
              <w:spacing w:line="240" w:lineRule="auto"/>
              <w:ind w:firstLine="0" w:firstLineChars="0"/>
              <w:jc w:val="left"/>
              <w:textAlignment w:val="center"/>
              <w:rPr>
                <w:b/>
                <w:bCs/>
                <w:color w:val="000000"/>
                <w:sz w:val="21"/>
                <w:szCs w:val="21"/>
              </w:rPr>
            </w:pPr>
            <w:r>
              <w:rPr>
                <w:b/>
                <w:bCs/>
                <w:color w:val="000000"/>
                <w:kern w:val="0"/>
                <w:sz w:val="21"/>
                <w:szCs w:val="21"/>
                <w:lang w:bidi="ar"/>
              </w:rPr>
              <w:t>总计</w:t>
            </w:r>
          </w:p>
        </w:tc>
        <w:tc>
          <w:tcPr>
            <w:tcW w:w="1132" w:type="dxa"/>
            <w:shd w:val="clear" w:color="auto" w:fill="auto"/>
            <w:noWrap/>
            <w:vAlign w:val="center"/>
          </w:tcPr>
          <w:p>
            <w:pPr>
              <w:widowControl/>
              <w:spacing w:line="240" w:lineRule="auto"/>
              <w:ind w:firstLine="0" w:firstLineChars="0"/>
              <w:jc w:val="left"/>
              <w:rPr>
                <w:b/>
                <w:bCs/>
                <w:color w:val="000000"/>
                <w:sz w:val="21"/>
                <w:szCs w:val="21"/>
              </w:rPr>
            </w:pPr>
          </w:p>
        </w:tc>
        <w:tc>
          <w:tcPr>
            <w:tcW w:w="758" w:type="dxa"/>
            <w:shd w:val="clear" w:color="auto" w:fill="auto"/>
            <w:noWrap/>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100</w:t>
            </w:r>
          </w:p>
        </w:tc>
        <w:tc>
          <w:tcPr>
            <w:tcW w:w="1484" w:type="dxa"/>
            <w:shd w:val="clear" w:color="auto" w:fill="auto"/>
            <w:noWrap/>
            <w:vAlign w:val="center"/>
          </w:tcPr>
          <w:p>
            <w:pPr>
              <w:widowControl/>
              <w:spacing w:line="240" w:lineRule="auto"/>
              <w:ind w:firstLine="0" w:firstLineChars="0"/>
              <w:jc w:val="left"/>
              <w:rPr>
                <w:b/>
                <w:bCs/>
                <w:color w:val="000000"/>
                <w:sz w:val="21"/>
                <w:szCs w:val="21"/>
              </w:rPr>
            </w:pPr>
          </w:p>
        </w:tc>
        <w:tc>
          <w:tcPr>
            <w:tcW w:w="810" w:type="dxa"/>
            <w:shd w:val="clear" w:color="auto" w:fill="auto"/>
            <w:noWrap/>
            <w:vAlign w:val="center"/>
          </w:tcPr>
          <w:p>
            <w:pPr>
              <w:widowControl/>
              <w:spacing w:line="240" w:lineRule="auto"/>
              <w:ind w:firstLine="0" w:firstLineChars="0"/>
              <w:jc w:val="center"/>
              <w:textAlignment w:val="center"/>
              <w:rPr>
                <w:b/>
                <w:bCs/>
                <w:color w:val="000000"/>
                <w:sz w:val="21"/>
                <w:szCs w:val="21"/>
              </w:rPr>
            </w:pPr>
            <w:r>
              <w:rPr>
                <w:b/>
                <w:bCs/>
                <w:color w:val="000000"/>
                <w:kern w:val="0"/>
                <w:sz w:val="21"/>
                <w:szCs w:val="21"/>
                <w:lang w:bidi="ar"/>
              </w:rPr>
              <w:t>100</w:t>
            </w:r>
          </w:p>
        </w:tc>
        <w:tc>
          <w:tcPr>
            <w:tcW w:w="4657" w:type="dxa"/>
            <w:shd w:val="clear" w:color="auto" w:fill="auto"/>
            <w:vAlign w:val="center"/>
          </w:tcPr>
          <w:p>
            <w:pPr>
              <w:widowControl/>
              <w:spacing w:line="240" w:lineRule="auto"/>
              <w:ind w:firstLine="0" w:firstLineChars="0"/>
              <w:jc w:val="left"/>
              <w:rPr>
                <w:color w:val="000000"/>
                <w:sz w:val="21"/>
                <w:szCs w:val="21"/>
              </w:rPr>
            </w:pPr>
          </w:p>
        </w:tc>
        <w:tc>
          <w:tcPr>
            <w:tcW w:w="2539" w:type="dxa"/>
            <w:shd w:val="clear" w:color="auto" w:fill="auto"/>
            <w:vAlign w:val="center"/>
          </w:tcPr>
          <w:p>
            <w:pPr>
              <w:widowControl/>
              <w:spacing w:line="240" w:lineRule="auto"/>
              <w:ind w:firstLine="0" w:firstLineChars="0"/>
              <w:jc w:val="left"/>
              <w:rPr>
                <w:color w:val="000000"/>
                <w:sz w:val="21"/>
                <w:szCs w:val="21"/>
              </w:rPr>
            </w:pPr>
          </w:p>
        </w:tc>
        <w:tc>
          <w:tcPr>
            <w:tcW w:w="731" w:type="dxa"/>
            <w:shd w:val="clear" w:color="auto" w:fill="auto"/>
            <w:noWrap/>
            <w:vAlign w:val="center"/>
          </w:tcPr>
          <w:p>
            <w:pPr>
              <w:widowControl/>
              <w:spacing w:line="240" w:lineRule="auto"/>
              <w:ind w:firstLine="0" w:firstLineChars="0"/>
              <w:jc w:val="center"/>
              <w:rPr>
                <w:color w:val="000000"/>
                <w:sz w:val="21"/>
                <w:szCs w:val="21"/>
              </w:rPr>
            </w:pPr>
            <w:r>
              <w:rPr>
                <w:rFonts w:hint="eastAsia"/>
                <w:color w:val="000000"/>
                <w:sz w:val="21"/>
                <w:szCs w:val="21"/>
              </w:rPr>
              <w:t>97.92</w:t>
            </w:r>
          </w:p>
        </w:tc>
      </w:tr>
    </w:tbl>
    <w:p>
      <w:pPr>
        <w:pStyle w:val="2"/>
        <w:ind w:left="0" w:leftChars="0" w:firstLine="0" w:firstLineChars="0"/>
        <w:rPr>
          <w:rFonts w:hAnsi="Times New Roman"/>
        </w:rPr>
      </w:pPr>
    </w:p>
    <w:sectPr>
      <w:pgSz w:w="16838" w:h="11906" w:orient="landscape"/>
      <w:pgMar w:top="1440" w:right="1797" w:bottom="1440" w:left="1797" w:header="851" w:footer="794" w:gutter="0"/>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351719"/>
    </w:sdtPr>
    <w:sdtEndPr>
      <w:rPr>
        <w:rFonts w:ascii="Times New Roman" w:hAnsi="Times New Roman" w:cs="Times New Roman"/>
      </w:rPr>
    </w:sdtEndPr>
    <w:sdtContent>
      <w:p>
        <w:pPr>
          <w:pStyle w:val="16"/>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997019"/>
    </w:sdtPr>
    <w:sdtEndPr>
      <w:rPr>
        <w:rFonts w:ascii="Times New Roman" w:hAnsi="Times New Roman" w:cs="Times New Roman"/>
      </w:rPr>
    </w:sdtEndPr>
    <w:sdtContent>
      <w:p>
        <w:pPr>
          <w:pStyle w:val="16"/>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16"/>
      <w:ind w:firstLine="0" w:firstLineChars="0"/>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ascii="Times New Roman" w:hAnsi="Times New Roman" w:eastAsia="仿宋" w:cs="Times New Roman"/>
        <w:sz w:val="21"/>
        <w:szCs w:val="21"/>
      </w:rPr>
    </w:pPr>
    <w:bookmarkStart w:id="51" w:name="_Hlk90038608"/>
    <w:bookmarkStart w:id="52" w:name="_Hlk90038609"/>
    <w:r>
      <w:rPr>
        <w:rFonts w:hint="eastAsia" w:ascii="Times New Roman" w:hAnsi="Times New Roman" w:eastAsia="仿宋" w:cs="Times New Roman"/>
        <w:sz w:val="21"/>
        <w:szCs w:val="21"/>
      </w:rPr>
      <w:t>柞水县科学技术局</w:t>
    </w:r>
    <w:r>
      <w:rPr>
        <w:rFonts w:ascii="Times New Roman" w:hAnsi="Times New Roman" w:eastAsia="仿宋" w:cs="Times New Roman"/>
        <w:sz w:val="21"/>
        <w:szCs w:val="21"/>
      </w:rPr>
      <w:t>2021年</w:t>
    </w:r>
    <w:r>
      <w:rPr>
        <w:rFonts w:hint="eastAsia" w:ascii="Times New Roman" w:hAnsi="Times New Roman" w:eastAsia="仿宋" w:cs="Times New Roman"/>
        <w:sz w:val="21"/>
        <w:szCs w:val="21"/>
      </w:rPr>
      <w:t>部门</w:t>
    </w:r>
    <w:r>
      <w:rPr>
        <w:rFonts w:ascii="Times New Roman" w:hAnsi="Times New Roman" w:eastAsia="仿宋" w:cs="Times New Roman"/>
        <w:sz w:val="21"/>
        <w:szCs w:val="21"/>
      </w:rPr>
      <w:t>整体支出绩效评价报告</w:t>
    </w:r>
    <w:bookmarkEnd w:id="51"/>
    <w:bookmarkEnd w:id="5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ascii="Times New Roman" w:hAnsi="Times New Roman" w:eastAsia="仿宋" w:cs="Times New Roman"/>
        <w:sz w:val="21"/>
        <w:szCs w:val="21"/>
      </w:rPr>
    </w:pPr>
    <w:r>
      <w:rPr>
        <w:rFonts w:hint="eastAsia" w:ascii="Times New Roman" w:hAnsi="Times New Roman" w:eastAsia="仿宋" w:cs="Times New Roman"/>
        <w:sz w:val="21"/>
        <w:szCs w:val="21"/>
      </w:rPr>
      <w:t>柞水县科学技术局</w:t>
    </w:r>
    <w:r>
      <w:rPr>
        <w:rFonts w:ascii="Times New Roman" w:hAnsi="Times New Roman" w:eastAsia="仿宋" w:cs="Times New Roman"/>
        <w:sz w:val="21"/>
        <w:szCs w:val="21"/>
      </w:rPr>
      <w:t>2021年</w:t>
    </w:r>
    <w:r>
      <w:rPr>
        <w:rFonts w:hint="eastAsia" w:ascii="Times New Roman" w:hAnsi="Times New Roman" w:eastAsia="仿宋" w:cs="Times New Roman"/>
        <w:sz w:val="21"/>
        <w:szCs w:val="21"/>
      </w:rPr>
      <w:t>部门</w:t>
    </w:r>
    <w:r>
      <w:rPr>
        <w:rFonts w:ascii="Times New Roman" w:hAnsi="Times New Roman" w:eastAsia="仿宋" w:cs="Times New Roman"/>
        <w:sz w:val="21"/>
        <w:szCs w:val="21"/>
      </w:rPr>
      <w:t>整体支出绩效评价报告</w:t>
    </w:r>
  </w:p>
  <w:p>
    <w:pPr>
      <w:pStyle w:val="1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DdmNjQ1Y2RjZTQ4ZmEzMDBmZDY4Y2M2ZGIyOWYifQ=="/>
  </w:docVars>
  <w:rsids>
    <w:rsidRoot w:val="04240DF1"/>
    <w:rsid w:val="00016673"/>
    <w:rsid w:val="00021420"/>
    <w:rsid w:val="0002494B"/>
    <w:rsid w:val="000439B4"/>
    <w:rsid w:val="0006177D"/>
    <w:rsid w:val="000703A7"/>
    <w:rsid w:val="00070742"/>
    <w:rsid w:val="00074BBF"/>
    <w:rsid w:val="00074EB6"/>
    <w:rsid w:val="00086845"/>
    <w:rsid w:val="000B565C"/>
    <w:rsid w:val="000E3251"/>
    <w:rsid w:val="000E4F10"/>
    <w:rsid w:val="000E7CE9"/>
    <w:rsid w:val="000F06F9"/>
    <w:rsid w:val="00107662"/>
    <w:rsid w:val="00111071"/>
    <w:rsid w:val="001164A3"/>
    <w:rsid w:val="00125A0A"/>
    <w:rsid w:val="00143C94"/>
    <w:rsid w:val="00147B16"/>
    <w:rsid w:val="00151A16"/>
    <w:rsid w:val="0015228C"/>
    <w:rsid w:val="00155F0C"/>
    <w:rsid w:val="00197C51"/>
    <w:rsid w:val="001A10DB"/>
    <w:rsid w:val="001A376B"/>
    <w:rsid w:val="001A6A7E"/>
    <w:rsid w:val="001B3DFD"/>
    <w:rsid w:val="001C0F77"/>
    <w:rsid w:val="001D286B"/>
    <w:rsid w:val="001D2C36"/>
    <w:rsid w:val="001E4AE5"/>
    <w:rsid w:val="001F48BA"/>
    <w:rsid w:val="00204900"/>
    <w:rsid w:val="00206B32"/>
    <w:rsid w:val="00221D05"/>
    <w:rsid w:val="00226896"/>
    <w:rsid w:val="00235E6A"/>
    <w:rsid w:val="00242524"/>
    <w:rsid w:val="00243085"/>
    <w:rsid w:val="0024561E"/>
    <w:rsid w:val="0026185D"/>
    <w:rsid w:val="00282436"/>
    <w:rsid w:val="002914E9"/>
    <w:rsid w:val="002B0D59"/>
    <w:rsid w:val="002B3C9C"/>
    <w:rsid w:val="002C0BE9"/>
    <w:rsid w:val="002D19F0"/>
    <w:rsid w:val="002D3726"/>
    <w:rsid w:val="002D3E2B"/>
    <w:rsid w:val="002E2FF6"/>
    <w:rsid w:val="00311A53"/>
    <w:rsid w:val="00315CA1"/>
    <w:rsid w:val="0032167E"/>
    <w:rsid w:val="003241FC"/>
    <w:rsid w:val="003373F2"/>
    <w:rsid w:val="003466C4"/>
    <w:rsid w:val="0035242A"/>
    <w:rsid w:val="0035750E"/>
    <w:rsid w:val="00375D73"/>
    <w:rsid w:val="003766DA"/>
    <w:rsid w:val="003935D3"/>
    <w:rsid w:val="003A6130"/>
    <w:rsid w:val="003C2704"/>
    <w:rsid w:val="003C45E7"/>
    <w:rsid w:val="003C7B14"/>
    <w:rsid w:val="003E6E79"/>
    <w:rsid w:val="003F7B94"/>
    <w:rsid w:val="00412DF5"/>
    <w:rsid w:val="00413191"/>
    <w:rsid w:val="00414BBB"/>
    <w:rsid w:val="00445958"/>
    <w:rsid w:val="00452B1D"/>
    <w:rsid w:val="00464928"/>
    <w:rsid w:val="004668DF"/>
    <w:rsid w:val="00470007"/>
    <w:rsid w:val="00470844"/>
    <w:rsid w:val="0048256C"/>
    <w:rsid w:val="00491D46"/>
    <w:rsid w:val="004A1396"/>
    <w:rsid w:val="004A3ED7"/>
    <w:rsid w:val="004B50E7"/>
    <w:rsid w:val="004B7D62"/>
    <w:rsid w:val="004C0935"/>
    <w:rsid w:val="004E6E4F"/>
    <w:rsid w:val="004F4EBA"/>
    <w:rsid w:val="005079F2"/>
    <w:rsid w:val="00522CFC"/>
    <w:rsid w:val="00524350"/>
    <w:rsid w:val="0053454A"/>
    <w:rsid w:val="00545108"/>
    <w:rsid w:val="00554762"/>
    <w:rsid w:val="00555AA8"/>
    <w:rsid w:val="00565150"/>
    <w:rsid w:val="00565DFE"/>
    <w:rsid w:val="00576BEF"/>
    <w:rsid w:val="0058576E"/>
    <w:rsid w:val="00586786"/>
    <w:rsid w:val="005910EE"/>
    <w:rsid w:val="00594F20"/>
    <w:rsid w:val="00596CB9"/>
    <w:rsid w:val="005A3556"/>
    <w:rsid w:val="005A52F0"/>
    <w:rsid w:val="005B2475"/>
    <w:rsid w:val="005C1F32"/>
    <w:rsid w:val="005D05D8"/>
    <w:rsid w:val="005D4712"/>
    <w:rsid w:val="005D5951"/>
    <w:rsid w:val="005E1943"/>
    <w:rsid w:val="005F098D"/>
    <w:rsid w:val="005F5F9B"/>
    <w:rsid w:val="0061432D"/>
    <w:rsid w:val="00620040"/>
    <w:rsid w:val="00635945"/>
    <w:rsid w:val="00643A07"/>
    <w:rsid w:val="00656069"/>
    <w:rsid w:val="00666604"/>
    <w:rsid w:val="0066749B"/>
    <w:rsid w:val="00686B98"/>
    <w:rsid w:val="00696174"/>
    <w:rsid w:val="006A1D41"/>
    <w:rsid w:val="006A5EC4"/>
    <w:rsid w:val="006A745E"/>
    <w:rsid w:val="006B1780"/>
    <w:rsid w:val="006B1A02"/>
    <w:rsid w:val="006C3A74"/>
    <w:rsid w:val="006C43E5"/>
    <w:rsid w:val="006C5883"/>
    <w:rsid w:val="006E5C48"/>
    <w:rsid w:val="006E7C90"/>
    <w:rsid w:val="006F09EB"/>
    <w:rsid w:val="00704C29"/>
    <w:rsid w:val="0070515B"/>
    <w:rsid w:val="00771ED4"/>
    <w:rsid w:val="007720A3"/>
    <w:rsid w:val="007A36F3"/>
    <w:rsid w:val="007B556C"/>
    <w:rsid w:val="007E316D"/>
    <w:rsid w:val="007E59F5"/>
    <w:rsid w:val="007F2F2E"/>
    <w:rsid w:val="00805563"/>
    <w:rsid w:val="00831847"/>
    <w:rsid w:val="00846024"/>
    <w:rsid w:val="00852274"/>
    <w:rsid w:val="0086208D"/>
    <w:rsid w:val="008765DF"/>
    <w:rsid w:val="008870C8"/>
    <w:rsid w:val="008876CD"/>
    <w:rsid w:val="008913E6"/>
    <w:rsid w:val="008B6C64"/>
    <w:rsid w:val="008E1C5D"/>
    <w:rsid w:val="00916FEA"/>
    <w:rsid w:val="0092532B"/>
    <w:rsid w:val="00933ACB"/>
    <w:rsid w:val="0094648F"/>
    <w:rsid w:val="00946646"/>
    <w:rsid w:val="00966ABA"/>
    <w:rsid w:val="00967B98"/>
    <w:rsid w:val="00967CAC"/>
    <w:rsid w:val="0098256F"/>
    <w:rsid w:val="009B1641"/>
    <w:rsid w:val="009C3130"/>
    <w:rsid w:val="009C4623"/>
    <w:rsid w:val="009C4738"/>
    <w:rsid w:val="009C7B49"/>
    <w:rsid w:val="009C7CB9"/>
    <w:rsid w:val="009D093F"/>
    <w:rsid w:val="009E4084"/>
    <w:rsid w:val="009F035E"/>
    <w:rsid w:val="009F2AA2"/>
    <w:rsid w:val="00A1097A"/>
    <w:rsid w:val="00A218F9"/>
    <w:rsid w:val="00A352E8"/>
    <w:rsid w:val="00A5370B"/>
    <w:rsid w:val="00A621F8"/>
    <w:rsid w:val="00A62CF4"/>
    <w:rsid w:val="00A7513B"/>
    <w:rsid w:val="00A752B9"/>
    <w:rsid w:val="00A867C3"/>
    <w:rsid w:val="00AA194C"/>
    <w:rsid w:val="00AC68B9"/>
    <w:rsid w:val="00AD253B"/>
    <w:rsid w:val="00AD3115"/>
    <w:rsid w:val="00AD69C3"/>
    <w:rsid w:val="00AE3B97"/>
    <w:rsid w:val="00B10069"/>
    <w:rsid w:val="00B26D64"/>
    <w:rsid w:val="00B40806"/>
    <w:rsid w:val="00B4634D"/>
    <w:rsid w:val="00B46825"/>
    <w:rsid w:val="00B46828"/>
    <w:rsid w:val="00B622BC"/>
    <w:rsid w:val="00B93A63"/>
    <w:rsid w:val="00B940DC"/>
    <w:rsid w:val="00B965EC"/>
    <w:rsid w:val="00BA2E64"/>
    <w:rsid w:val="00BA4744"/>
    <w:rsid w:val="00BA6E15"/>
    <w:rsid w:val="00BB7339"/>
    <w:rsid w:val="00BC7807"/>
    <w:rsid w:val="00BE00FC"/>
    <w:rsid w:val="00BF749B"/>
    <w:rsid w:val="00BF75FB"/>
    <w:rsid w:val="00C107C9"/>
    <w:rsid w:val="00C13DFF"/>
    <w:rsid w:val="00C46045"/>
    <w:rsid w:val="00C4650A"/>
    <w:rsid w:val="00C548F9"/>
    <w:rsid w:val="00C54CAE"/>
    <w:rsid w:val="00C7235F"/>
    <w:rsid w:val="00C72EBA"/>
    <w:rsid w:val="00C757CC"/>
    <w:rsid w:val="00C75CBA"/>
    <w:rsid w:val="00CA29EB"/>
    <w:rsid w:val="00CA7FBF"/>
    <w:rsid w:val="00CD229E"/>
    <w:rsid w:val="00CD794B"/>
    <w:rsid w:val="00CE4A2C"/>
    <w:rsid w:val="00CF58B4"/>
    <w:rsid w:val="00D07746"/>
    <w:rsid w:val="00D14691"/>
    <w:rsid w:val="00D611CC"/>
    <w:rsid w:val="00D80892"/>
    <w:rsid w:val="00D844D0"/>
    <w:rsid w:val="00D866FA"/>
    <w:rsid w:val="00DB42A3"/>
    <w:rsid w:val="00DC4AE0"/>
    <w:rsid w:val="00DE091B"/>
    <w:rsid w:val="00E126F6"/>
    <w:rsid w:val="00E24E0F"/>
    <w:rsid w:val="00E43E98"/>
    <w:rsid w:val="00E513FB"/>
    <w:rsid w:val="00E52334"/>
    <w:rsid w:val="00E554A2"/>
    <w:rsid w:val="00E77243"/>
    <w:rsid w:val="00E85DDB"/>
    <w:rsid w:val="00E97B2D"/>
    <w:rsid w:val="00EA11F2"/>
    <w:rsid w:val="00EC66FB"/>
    <w:rsid w:val="00EE1713"/>
    <w:rsid w:val="00EF3004"/>
    <w:rsid w:val="00F05F85"/>
    <w:rsid w:val="00F15441"/>
    <w:rsid w:val="00F15F2F"/>
    <w:rsid w:val="00F17AB0"/>
    <w:rsid w:val="00F239E7"/>
    <w:rsid w:val="00F30E84"/>
    <w:rsid w:val="00F3564A"/>
    <w:rsid w:val="00F37C45"/>
    <w:rsid w:val="00F44EFF"/>
    <w:rsid w:val="00F53C46"/>
    <w:rsid w:val="00F77AA0"/>
    <w:rsid w:val="00F84DF9"/>
    <w:rsid w:val="00FA04FA"/>
    <w:rsid w:val="00FC7BDE"/>
    <w:rsid w:val="00FD4569"/>
    <w:rsid w:val="00FE341F"/>
    <w:rsid w:val="00FF0459"/>
    <w:rsid w:val="04240DF1"/>
    <w:rsid w:val="08022C7C"/>
    <w:rsid w:val="088E19C1"/>
    <w:rsid w:val="08F34859"/>
    <w:rsid w:val="09860817"/>
    <w:rsid w:val="0A686684"/>
    <w:rsid w:val="0C7B228E"/>
    <w:rsid w:val="0D807B32"/>
    <w:rsid w:val="12241384"/>
    <w:rsid w:val="1AEB2379"/>
    <w:rsid w:val="211C2706"/>
    <w:rsid w:val="23077856"/>
    <w:rsid w:val="331231B1"/>
    <w:rsid w:val="3C8D6C40"/>
    <w:rsid w:val="3DDF3AE5"/>
    <w:rsid w:val="3F6B1A64"/>
    <w:rsid w:val="440D3F90"/>
    <w:rsid w:val="4CF925D8"/>
    <w:rsid w:val="4FDA2D14"/>
    <w:rsid w:val="51371F82"/>
    <w:rsid w:val="53134467"/>
    <w:rsid w:val="54635D55"/>
    <w:rsid w:val="5A4C3718"/>
    <w:rsid w:val="5C570597"/>
    <w:rsid w:val="5F385DE0"/>
    <w:rsid w:val="61AB003D"/>
    <w:rsid w:val="627A2DCC"/>
    <w:rsid w:val="6B81410B"/>
    <w:rsid w:val="79EB6142"/>
    <w:rsid w:val="7BBD1D27"/>
    <w:rsid w:val="7E185713"/>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qFormat/>
    <w:uiPriority w:val="9"/>
    <w:pPr>
      <w:keepNext/>
      <w:keepLines/>
      <w:outlineLvl w:val="0"/>
    </w:pPr>
    <w:rPr>
      <w:b/>
      <w:bCs/>
      <w:kern w:val="44"/>
      <w:sz w:val="32"/>
      <w:szCs w:val="44"/>
    </w:rPr>
  </w:style>
  <w:style w:type="paragraph" w:styleId="5">
    <w:name w:val="heading 2"/>
    <w:basedOn w:val="1"/>
    <w:next w:val="1"/>
    <w:qFormat/>
    <w:uiPriority w:val="9"/>
    <w:pPr>
      <w:keepNext/>
      <w:keepLines/>
      <w:outlineLvl w:val="1"/>
    </w:pPr>
    <w:rPr>
      <w:b/>
      <w:bCs/>
      <w:sz w:val="30"/>
      <w:szCs w:val="32"/>
    </w:rPr>
  </w:style>
  <w:style w:type="paragraph" w:styleId="6">
    <w:name w:val="heading 3"/>
    <w:basedOn w:val="1"/>
    <w:next w:val="1"/>
    <w:unhideWhenUsed/>
    <w:qFormat/>
    <w:uiPriority w:val="0"/>
    <w:pPr>
      <w:keepNext/>
      <w:keepLines/>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pPr>
    <w:rPr>
      <w:rFonts w:hAnsi="Calibri" w:eastAsia="宋体"/>
    </w:rPr>
  </w:style>
  <w:style w:type="paragraph" w:styleId="3">
    <w:name w:val="Body Text Indent"/>
    <w:basedOn w:val="1"/>
    <w:qFormat/>
    <w:uiPriority w:val="0"/>
    <w:pPr>
      <w:adjustRightInd w:val="0"/>
      <w:spacing w:line="240" w:lineRule="auto"/>
      <w:ind w:firstLine="560"/>
    </w:pPr>
    <w:rPr>
      <w:szCs w:val="30"/>
    </w:rPr>
  </w:style>
  <w:style w:type="paragraph" w:styleId="7">
    <w:name w:val="table of authorities"/>
    <w:basedOn w:val="1"/>
    <w:next w:val="1"/>
    <w:unhideWhenUsed/>
    <w:qFormat/>
    <w:uiPriority w:val="99"/>
    <w:pPr>
      <w:ind w:left="420" w:leftChars="200" w:firstLine="640"/>
    </w:pPr>
    <w:rPr>
      <w:rFonts w:ascii="宋体" w:hAnsi="宋体" w:cs="仿宋"/>
      <w:sz w:val="24"/>
    </w:rPr>
  </w:style>
  <w:style w:type="paragraph" w:styleId="8">
    <w:name w:val="index 8"/>
    <w:basedOn w:val="1"/>
    <w:next w:val="1"/>
    <w:qFormat/>
    <w:uiPriority w:val="99"/>
    <w:pPr>
      <w:ind w:left="2940"/>
    </w:pPr>
  </w:style>
  <w:style w:type="paragraph" w:styleId="9">
    <w:name w:val="caption"/>
    <w:basedOn w:val="1"/>
    <w:next w:val="1"/>
    <w:semiHidden/>
    <w:unhideWhenUsed/>
    <w:qFormat/>
    <w:uiPriority w:val="35"/>
    <w:rPr>
      <w:rFonts w:ascii="Arial" w:hAnsi="Arial" w:eastAsia="黑体"/>
      <w:sz w:val="20"/>
    </w:rPr>
  </w:style>
  <w:style w:type="paragraph" w:styleId="10">
    <w:name w:val="annotation text"/>
    <w:basedOn w:val="1"/>
    <w:link w:val="33"/>
    <w:unhideWhenUsed/>
    <w:qFormat/>
    <w:uiPriority w:val="0"/>
    <w:pPr>
      <w:jc w:val="left"/>
    </w:pPr>
  </w:style>
  <w:style w:type="paragraph" w:styleId="11">
    <w:name w:val="Body Text 3"/>
    <w:basedOn w:val="1"/>
    <w:next w:val="12"/>
    <w:unhideWhenUsed/>
    <w:qFormat/>
    <w:uiPriority w:val="99"/>
    <w:pPr>
      <w:spacing w:before="100" w:beforeAutospacing="1" w:after="120"/>
    </w:pPr>
    <w:rPr>
      <w:sz w:val="16"/>
      <w:szCs w:val="16"/>
    </w:rPr>
  </w:style>
  <w:style w:type="paragraph" w:customStyle="1" w:styleId="12">
    <w:name w:val="Char1"/>
    <w:basedOn w:val="1"/>
    <w:qFormat/>
    <w:uiPriority w:val="0"/>
    <w:pPr>
      <w:spacing w:before="100" w:beforeAutospacing="1" w:after="100" w:afterAutospacing="1"/>
      <w:ind w:left="840" w:hanging="420"/>
    </w:pPr>
    <w:rPr>
      <w:sz w:val="24"/>
      <w:szCs w:val="24"/>
    </w:rPr>
  </w:style>
  <w:style w:type="paragraph" w:styleId="13">
    <w:name w:val="Body Text"/>
    <w:basedOn w:val="1"/>
    <w:next w:val="8"/>
    <w:qFormat/>
    <w:uiPriority w:val="0"/>
    <w:pPr>
      <w:spacing w:before="100" w:beforeAutospacing="1" w:after="120"/>
    </w:pPr>
    <w:rPr>
      <w:rFonts w:ascii="Calibri" w:hAnsi="Calibri"/>
      <w:szCs w:val="21"/>
    </w:rPr>
  </w:style>
  <w:style w:type="paragraph" w:styleId="14">
    <w:name w:val="Date"/>
    <w:basedOn w:val="1"/>
    <w:next w:val="1"/>
    <w:link w:val="38"/>
    <w:qFormat/>
    <w:uiPriority w:val="0"/>
    <w:pPr>
      <w:ind w:left="100" w:leftChars="2500"/>
    </w:pPr>
  </w:style>
  <w:style w:type="paragraph" w:styleId="15">
    <w:name w:val="Balloon Text"/>
    <w:basedOn w:val="1"/>
    <w:link w:val="49"/>
    <w:qFormat/>
    <w:uiPriority w:val="0"/>
    <w:pPr>
      <w:spacing w:line="240" w:lineRule="auto"/>
    </w:pPr>
    <w:rPr>
      <w:sz w:val="18"/>
      <w:szCs w:val="18"/>
    </w:rPr>
  </w:style>
  <w:style w:type="paragraph" w:styleId="16">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unhideWhenUsed/>
    <w:qFormat/>
    <w:uiPriority w:val="39"/>
    <w:pPr>
      <w:tabs>
        <w:tab w:val="right" w:leader="dot" w:pos="8494"/>
      </w:tabs>
      <w:spacing w:line="240" w:lineRule="auto"/>
      <w:ind w:firstLine="0" w:firstLineChars="0"/>
    </w:pPr>
    <w:rPr>
      <w:rFonts w:ascii="黑体" w:hAnsi="黑体" w:eastAsia="黑体"/>
      <w:szCs w:val="28"/>
    </w:rPr>
  </w:style>
  <w:style w:type="paragraph" w:styleId="19">
    <w:name w:val="toc 2"/>
    <w:basedOn w:val="1"/>
    <w:next w:val="1"/>
    <w:unhideWhenUsed/>
    <w:qFormat/>
    <w:uiPriority w:val="39"/>
    <w:pPr>
      <w:tabs>
        <w:tab w:val="right" w:leader="dot" w:pos="8494"/>
      </w:tabs>
      <w:spacing w:line="240" w:lineRule="auto"/>
      <w:ind w:left="199" w:leftChars="71" w:firstLine="367" w:firstLineChars="153"/>
    </w:pPr>
    <w:rPr>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22"/>
    <w:next w:val="1"/>
    <w:qFormat/>
    <w:uiPriority w:val="0"/>
    <w:pPr>
      <w:ind w:firstLine="200" w:firstLineChars="200"/>
    </w:pPr>
    <w:rPr>
      <w:rFonts w:hAnsi="Times New Roman" w:eastAsia="仿宋"/>
      <w:b/>
      <w:bCs/>
      <w:sz w:val="30"/>
      <w:szCs w:val="32"/>
    </w:rPr>
  </w:style>
  <w:style w:type="paragraph" w:customStyle="1" w:styleId="22">
    <w:name w:val="标题2"/>
    <w:basedOn w:val="1"/>
    <w:qFormat/>
    <w:uiPriority w:val="0"/>
    <w:pPr>
      <w:snapToGrid w:val="0"/>
      <w:ind w:firstLine="0" w:firstLineChars="0"/>
      <w:outlineLvl w:val="1"/>
    </w:pPr>
    <w:rPr>
      <w:rFonts w:hAnsi="宋体" w:eastAsia="黑体"/>
      <w:sz w:val="32"/>
      <w:szCs w:val="28"/>
      <w:lang w:eastAsia="en-US"/>
    </w:rPr>
  </w:style>
  <w:style w:type="paragraph" w:styleId="23">
    <w:name w:val="annotation subject"/>
    <w:basedOn w:val="10"/>
    <w:next w:val="10"/>
    <w:link w:val="34"/>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qFormat/>
    <w:uiPriority w:val="0"/>
    <w:rPr>
      <w:sz w:val="21"/>
      <w:szCs w:val="21"/>
    </w:rPr>
  </w:style>
  <w:style w:type="paragraph" w:customStyle="1" w:styleId="29">
    <w:name w:val="TOC 标题1"/>
    <w:basedOn w:val="4"/>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30">
    <w:name w:val="报告正文"/>
    <w:basedOn w:val="1"/>
    <w:next w:val="1"/>
    <w:link w:val="42"/>
    <w:qFormat/>
    <w:uiPriority w:val="0"/>
    <w:rPr>
      <w:kern w:val="0"/>
      <w:szCs w:val="28"/>
    </w:rPr>
  </w:style>
  <w:style w:type="character" w:customStyle="1" w:styleId="31">
    <w:name w:val="font51"/>
    <w:basedOn w:val="26"/>
    <w:qFormat/>
    <w:uiPriority w:val="0"/>
    <w:rPr>
      <w:rFonts w:hint="default" w:ascii="Times New Roman" w:hAnsi="Times New Roman" w:cs="Times New Roman"/>
      <w:color w:val="333333"/>
      <w:sz w:val="21"/>
      <w:szCs w:val="21"/>
      <w:u w:val="none"/>
    </w:rPr>
  </w:style>
  <w:style w:type="character" w:customStyle="1" w:styleId="32">
    <w:name w:val="font41"/>
    <w:basedOn w:val="26"/>
    <w:qFormat/>
    <w:uiPriority w:val="0"/>
    <w:rPr>
      <w:rFonts w:hint="eastAsia" w:ascii="仿宋" w:hAnsi="仿宋" w:eastAsia="仿宋" w:cs="仿宋"/>
      <w:color w:val="333333"/>
      <w:sz w:val="21"/>
      <w:szCs w:val="21"/>
      <w:u w:val="none"/>
    </w:rPr>
  </w:style>
  <w:style w:type="character" w:customStyle="1" w:styleId="33">
    <w:name w:val="批注文字 Char"/>
    <w:basedOn w:val="26"/>
    <w:link w:val="10"/>
    <w:qFormat/>
    <w:uiPriority w:val="0"/>
    <w:rPr>
      <w:rFonts w:eastAsia="仿宋"/>
      <w:kern w:val="2"/>
      <w:sz w:val="28"/>
      <w:szCs w:val="22"/>
    </w:rPr>
  </w:style>
  <w:style w:type="character" w:customStyle="1" w:styleId="34">
    <w:name w:val="批注主题 Char"/>
    <w:basedOn w:val="33"/>
    <w:link w:val="23"/>
    <w:qFormat/>
    <w:uiPriority w:val="0"/>
    <w:rPr>
      <w:rFonts w:eastAsia="仿宋"/>
      <w:b/>
      <w:bCs/>
      <w:kern w:val="2"/>
      <w:sz w:val="28"/>
      <w:szCs w:val="22"/>
    </w:rPr>
  </w:style>
  <w:style w:type="character" w:customStyle="1" w:styleId="35">
    <w:name w:val="页脚 Char"/>
    <w:basedOn w:val="26"/>
    <w:link w:val="16"/>
    <w:qFormat/>
    <w:uiPriority w:val="99"/>
    <w:rPr>
      <w:rFonts w:asciiTheme="minorHAnsi" w:hAnsiTheme="minorHAnsi" w:eastAsiaTheme="minorEastAsia" w:cstheme="minorBidi"/>
      <w:kern w:val="2"/>
      <w:sz w:val="18"/>
      <w:szCs w:val="18"/>
    </w:rPr>
  </w:style>
  <w:style w:type="paragraph" w:styleId="36">
    <w:name w:val="List Paragraph"/>
    <w:basedOn w:val="1"/>
    <w:qFormat/>
    <w:uiPriority w:val="99"/>
    <w:pPr>
      <w:ind w:firstLine="420"/>
    </w:pPr>
  </w:style>
  <w:style w:type="table" w:customStyle="1" w:styleId="37">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日期 Char"/>
    <w:basedOn w:val="26"/>
    <w:link w:val="14"/>
    <w:qFormat/>
    <w:uiPriority w:val="0"/>
    <w:rPr>
      <w:rFonts w:eastAsia="仿宋"/>
      <w:kern w:val="2"/>
      <w:sz w:val="28"/>
      <w:szCs w:val="22"/>
    </w:rPr>
  </w:style>
  <w:style w:type="character" w:customStyle="1" w:styleId="39">
    <w:name w:val="页眉 Char"/>
    <w:basedOn w:val="26"/>
    <w:link w:val="17"/>
    <w:qFormat/>
    <w:uiPriority w:val="99"/>
    <w:rPr>
      <w:rFonts w:asciiTheme="minorHAnsi" w:hAnsiTheme="minorHAnsi" w:eastAsiaTheme="minorEastAsia" w:cstheme="minorBidi"/>
      <w:kern w:val="2"/>
      <w:sz w:val="18"/>
      <w:szCs w:val="18"/>
    </w:rPr>
  </w:style>
  <w:style w:type="paragraph" w:customStyle="1" w:styleId="40">
    <w:name w:val="报告1级标题"/>
    <w:basedOn w:val="4"/>
    <w:link w:val="41"/>
    <w:qFormat/>
    <w:uiPriority w:val="0"/>
    <w:pPr>
      <w:adjustRightInd w:val="0"/>
      <w:snapToGrid w:val="0"/>
      <w:jc w:val="left"/>
    </w:pPr>
    <w:rPr>
      <w:szCs w:val="28"/>
    </w:rPr>
  </w:style>
  <w:style w:type="character" w:customStyle="1" w:styleId="41">
    <w:name w:val="报告1级标题 字符"/>
    <w:basedOn w:val="26"/>
    <w:link w:val="40"/>
    <w:qFormat/>
    <w:uiPriority w:val="0"/>
    <w:rPr>
      <w:rFonts w:eastAsia="仿宋"/>
      <w:b/>
      <w:bCs/>
      <w:kern w:val="44"/>
      <w:sz w:val="32"/>
      <w:szCs w:val="28"/>
    </w:rPr>
  </w:style>
  <w:style w:type="character" w:customStyle="1" w:styleId="42">
    <w:name w:val="报告正文 字符"/>
    <w:basedOn w:val="26"/>
    <w:link w:val="30"/>
    <w:qFormat/>
    <w:uiPriority w:val="0"/>
    <w:rPr>
      <w:rFonts w:eastAsia="仿宋"/>
      <w:sz w:val="28"/>
      <w:szCs w:val="28"/>
    </w:rPr>
  </w:style>
  <w:style w:type="character" w:customStyle="1" w:styleId="43">
    <w:name w:val="NormalCharacter"/>
    <w:link w:val="44"/>
    <w:semiHidden/>
    <w:qFormat/>
    <w:uiPriority w:val="0"/>
    <w:rPr>
      <w:rFonts w:ascii="Calibri" w:hAnsi="Calibri" w:eastAsia="宋体" w:cs="Times New Roman"/>
    </w:rPr>
  </w:style>
  <w:style w:type="paragraph" w:customStyle="1" w:styleId="44">
    <w:name w:val="UserStyle_2"/>
    <w:basedOn w:val="1"/>
    <w:link w:val="43"/>
    <w:qFormat/>
    <w:uiPriority w:val="0"/>
    <w:pPr>
      <w:spacing w:line="180" w:lineRule="auto"/>
      <w:jc w:val="left"/>
      <w:textAlignment w:val="baseline"/>
    </w:pPr>
    <w:rPr>
      <w:rFonts w:ascii="Calibri" w:hAnsi="Calibri" w:eastAsia="宋体"/>
    </w:rPr>
  </w:style>
  <w:style w:type="paragraph" w:customStyle="1" w:styleId="45">
    <w:name w:val="UserStyle_0"/>
    <w:basedOn w:val="46"/>
    <w:qFormat/>
    <w:uiPriority w:val="0"/>
    <w:pPr>
      <w:spacing w:line="436" w:lineRule="exact"/>
      <w:ind w:left="357"/>
      <w:jc w:val="left"/>
      <w:textAlignment w:val="auto"/>
    </w:pPr>
  </w:style>
  <w:style w:type="paragraph" w:customStyle="1" w:styleId="46">
    <w:name w:val="NavPane"/>
    <w:basedOn w:val="1"/>
    <w:qFormat/>
    <w:uiPriority w:val="0"/>
    <w:pPr>
      <w:shd w:val="clear" w:color="auto" w:fill="000080"/>
      <w:spacing w:line="365" w:lineRule="atLeast"/>
      <w:ind w:left="1"/>
      <w:textAlignment w:val="bottom"/>
    </w:pPr>
  </w:style>
  <w:style w:type="character" w:customStyle="1" w:styleId="47">
    <w:name w:val="font31"/>
    <w:basedOn w:val="26"/>
    <w:qFormat/>
    <w:uiPriority w:val="0"/>
    <w:rPr>
      <w:rFonts w:hint="default" w:ascii="Times New Roman" w:hAnsi="Times New Roman" w:cs="Times New Roman"/>
      <w:color w:val="000000"/>
      <w:sz w:val="21"/>
      <w:szCs w:val="21"/>
      <w:u w:val="none"/>
    </w:rPr>
  </w:style>
  <w:style w:type="paragraph" w:customStyle="1" w:styleId="48">
    <w:name w:val="常用正文"/>
    <w:basedOn w:val="1"/>
    <w:qFormat/>
    <w:uiPriority w:val="0"/>
    <w:pPr>
      <w:tabs>
        <w:tab w:val="left" w:pos="5760"/>
      </w:tabs>
      <w:spacing w:line="340" w:lineRule="exact"/>
      <w:ind w:firstLine="456"/>
    </w:pPr>
    <w:rPr>
      <w:rFonts w:ascii="宋体" w:hAnsi="宋体"/>
      <w:bCs/>
      <w:sz w:val="24"/>
    </w:rPr>
  </w:style>
  <w:style w:type="character" w:customStyle="1" w:styleId="49">
    <w:name w:val="批注框文本 Char"/>
    <w:basedOn w:val="26"/>
    <w:link w:val="15"/>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D622-299B-4AE6-B7A8-3FE4453180A5}">
  <ds:schemaRefs/>
</ds:datastoreItem>
</file>

<file path=docProps/app.xml><?xml version="1.0" encoding="utf-8"?>
<Properties xmlns="http://schemas.openxmlformats.org/officeDocument/2006/extended-properties" xmlns:vt="http://schemas.openxmlformats.org/officeDocument/2006/docPropsVTypes">
  <Template>Normal</Template>
  <Pages>16</Pages>
  <Words>8760</Words>
  <Characters>9473</Characters>
  <Lines>114</Lines>
  <Paragraphs>32</Paragraphs>
  <TotalTime>55</TotalTime>
  <ScaleCrop>false</ScaleCrop>
  <LinksUpToDate>false</LinksUpToDate>
  <CharactersWithSpaces>9584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2021-12-08T06:25:00Z</dcterms:created>
  <dc:creator>馍馍</dc:creator>
  <cp:lastModifiedBy>东风</cp:lastModifiedBy>
  <cp:lastPrinted>2022-12-27T01:42:00Z</cp:lastPrinted>
  <dcterms:modified xsi:type="dcterms:W3CDTF">2023-03-01T02:38:34Z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387679D10A3248408749548E797794CB</vt:lpwstr>
  </property>
</Properties>
</file>