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66167B" w14:textId="77777777" w:rsidR="00497E99" w:rsidRDefault="00497E99" w:rsidP="00497E99">
      <w:pPr>
        <w:spacing w:beforeLines="100" w:before="312" w:line="600" w:lineRule="auto"/>
        <w:jc w:val="center"/>
        <w:rPr>
          <w:rFonts w:ascii="宋体" w:eastAsia="宋体" w:hAnsi="宋体" w:cstheme="majorEastAsia"/>
          <w:b/>
          <w:bCs/>
          <w:sz w:val="44"/>
          <w:szCs w:val="44"/>
        </w:rPr>
      </w:pPr>
      <w:bookmarkStart w:id="0" w:name="_Toc12865"/>
      <w:bookmarkStart w:id="1" w:name="_Toc2397"/>
      <w:bookmarkStart w:id="2" w:name="_Toc28251"/>
      <w:bookmarkStart w:id="3" w:name="_Toc4469"/>
      <w:bookmarkStart w:id="4" w:name="_Toc9091"/>
      <w:bookmarkStart w:id="5" w:name="_Toc28719"/>
      <w:bookmarkStart w:id="6" w:name="_Toc2171"/>
      <w:bookmarkStart w:id="7" w:name="_Toc28271"/>
      <w:bookmarkStart w:id="8" w:name="_Toc10657"/>
      <w:bookmarkStart w:id="9" w:name="_Toc31463"/>
      <w:bookmarkStart w:id="10" w:name="_Toc12265"/>
      <w:bookmarkStart w:id="11" w:name="_Toc22744213"/>
      <w:bookmarkStart w:id="12" w:name="_Toc31071"/>
      <w:bookmarkStart w:id="13" w:name="_Toc26840"/>
    </w:p>
    <w:p w14:paraId="031C492A" w14:textId="77777777" w:rsidR="00497E99" w:rsidRDefault="00497E99" w:rsidP="00497E99">
      <w:pPr>
        <w:spacing w:beforeLines="100" w:before="312" w:line="600" w:lineRule="auto"/>
        <w:jc w:val="center"/>
        <w:rPr>
          <w:rFonts w:ascii="宋体" w:eastAsia="宋体" w:hAnsi="宋体" w:cstheme="majorEastAsia"/>
          <w:b/>
          <w:bCs/>
          <w:sz w:val="44"/>
          <w:szCs w:val="44"/>
        </w:rPr>
      </w:pPr>
    </w:p>
    <w:p w14:paraId="4B611510" w14:textId="39797222" w:rsidR="00497E99" w:rsidRPr="00497E99" w:rsidRDefault="00497E99" w:rsidP="00497E99">
      <w:pPr>
        <w:spacing w:beforeLines="100" w:before="312" w:line="600" w:lineRule="auto"/>
        <w:jc w:val="center"/>
        <w:rPr>
          <w:rFonts w:ascii="宋体" w:eastAsia="宋体" w:hAnsi="宋体" w:cstheme="majorEastAsia"/>
          <w:b/>
          <w:bCs/>
          <w:sz w:val="44"/>
          <w:szCs w:val="44"/>
        </w:rPr>
      </w:pPr>
      <w:r w:rsidRPr="00497E99">
        <w:rPr>
          <w:rFonts w:ascii="宋体" w:eastAsia="宋体" w:hAnsi="宋体" w:cstheme="majorEastAsia" w:hint="eastAsia"/>
          <w:b/>
          <w:bCs/>
          <w:sz w:val="44"/>
          <w:szCs w:val="44"/>
        </w:rPr>
        <w:t>柞水县城市管理局</w:t>
      </w:r>
    </w:p>
    <w:p w14:paraId="6671DCC1" w14:textId="77777777" w:rsidR="00497E99" w:rsidRPr="00497E99" w:rsidRDefault="00497E99" w:rsidP="00497E99">
      <w:pPr>
        <w:spacing w:line="600" w:lineRule="auto"/>
        <w:jc w:val="center"/>
        <w:rPr>
          <w:rFonts w:ascii="宋体" w:eastAsia="宋体" w:hAnsi="宋体" w:cstheme="majorEastAsia"/>
          <w:b/>
          <w:bCs/>
          <w:sz w:val="44"/>
          <w:szCs w:val="44"/>
        </w:rPr>
      </w:pPr>
      <w:r w:rsidRPr="00497E99">
        <w:rPr>
          <w:rFonts w:ascii="宋体" w:eastAsia="宋体" w:hAnsi="宋体" w:cstheme="majorEastAsia" w:hint="eastAsia"/>
          <w:b/>
          <w:bCs/>
          <w:sz w:val="44"/>
          <w:szCs w:val="44"/>
        </w:rPr>
        <w:t>柞水县固体废弃物综合处置场项目</w:t>
      </w:r>
    </w:p>
    <w:p w14:paraId="392EBF11" w14:textId="77777777" w:rsidR="00497E99" w:rsidRPr="00497E99" w:rsidRDefault="00497E99" w:rsidP="00497E99">
      <w:pPr>
        <w:spacing w:line="600" w:lineRule="auto"/>
        <w:jc w:val="center"/>
        <w:rPr>
          <w:rFonts w:ascii="宋体" w:eastAsia="宋体" w:hAnsi="宋体" w:cstheme="majorEastAsia"/>
          <w:b/>
          <w:bCs/>
          <w:sz w:val="44"/>
          <w:szCs w:val="44"/>
        </w:rPr>
      </w:pPr>
      <w:r w:rsidRPr="00497E99">
        <w:rPr>
          <w:rFonts w:ascii="宋体" w:eastAsia="宋体" w:hAnsi="宋体" w:cstheme="majorEastAsia" w:hint="eastAsia"/>
          <w:b/>
          <w:bCs/>
          <w:sz w:val="44"/>
          <w:szCs w:val="44"/>
        </w:rPr>
        <w:t>环境影响报告书</w:t>
      </w:r>
    </w:p>
    <w:p w14:paraId="5164B8AE" w14:textId="77777777" w:rsidR="00497E99" w:rsidRPr="00497E99" w:rsidRDefault="00497E99" w:rsidP="00497E99">
      <w:pPr>
        <w:pStyle w:val="0"/>
        <w:ind w:firstLineChars="0" w:firstLine="0"/>
        <w:jc w:val="center"/>
        <w:rPr>
          <w:rFonts w:ascii="宋体" w:eastAsia="宋体" w:hAnsi="宋体" w:cstheme="majorEastAsia"/>
          <w:b/>
          <w:bCs/>
          <w:color w:val="auto"/>
          <w:sz w:val="44"/>
          <w:szCs w:val="44"/>
        </w:rPr>
      </w:pPr>
      <w:r w:rsidRPr="00497E99">
        <w:rPr>
          <w:rFonts w:ascii="宋体" w:eastAsia="宋体" w:hAnsi="宋体" w:cstheme="majorEastAsia" w:hint="eastAsia"/>
          <w:b/>
          <w:bCs/>
          <w:color w:val="auto"/>
          <w:sz w:val="44"/>
          <w:szCs w:val="44"/>
        </w:rPr>
        <w:t>（报审稿）</w:t>
      </w:r>
    </w:p>
    <w:p w14:paraId="200DCC52" w14:textId="77777777" w:rsidR="00497E99" w:rsidRPr="00497E99" w:rsidRDefault="00497E99" w:rsidP="00497E99">
      <w:pPr>
        <w:ind w:firstLine="482"/>
        <w:rPr>
          <w:rFonts w:ascii="宋体" w:eastAsia="宋体" w:hAnsi="宋体" w:cstheme="majorEastAsia"/>
          <w:b/>
          <w:bCs/>
          <w:szCs w:val="24"/>
        </w:rPr>
      </w:pPr>
    </w:p>
    <w:p w14:paraId="4C6428D9" w14:textId="77777777" w:rsidR="00497E99" w:rsidRDefault="00497E99" w:rsidP="00497E99">
      <w:pPr>
        <w:ind w:firstLine="482"/>
        <w:rPr>
          <w:rFonts w:eastAsia="黑体"/>
          <w:b/>
          <w:bCs/>
        </w:rPr>
      </w:pPr>
    </w:p>
    <w:p w14:paraId="397FFC7A" w14:textId="77777777" w:rsidR="00497E99" w:rsidRDefault="00497E99" w:rsidP="00497E99">
      <w:pPr>
        <w:ind w:firstLine="482"/>
        <w:rPr>
          <w:rFonts w:eastAsia="黑体"/>
          <w:b/>
          <w:bCs/>
        </w:rPr>
      </w:pPr>
    </w:p>
    <w:p w14:paraId="7E05A085" w14:textId="77777777" w:rsidR="00497E99" w:rsidRDefault="00497E99" w:rsidP="00497E99">
      <w:pPr>
        <w:ind w:firstLine="482"/>
        <w:rPr>
          <w:rFonts w:eastAsia="黑体"/>
          <w:b/>
          <w:bCs/>
        </w:rPr>
      </w:pPr>
    </w:p>
    <w:p w14:paraId="38EC041B" w14:textId="77777777" w:rsidR="00497E99" w:rsidRDefault="00497E99" w:rsidP="00497E99">
      <w:pPr>
        <w:ind w:firstLine="482"/>
        <w:rPr>
          <w:rFonts w:eastAsia="黑体"/>
          <w:b/>
          <w:bCs/>
        </w:rPr>
      </w:pPr>
    </w:p>
    <w:p w14:paraId="516647F7" w14:textId="77777777" w:rsidR="00497E99" w:rsidRDefault="00497E99" w:rsidP="00497E99">
      <w:pPr>
        <w:ind w:firstLine="482"/>
        <w:rPr>
          <w:rFonts w:eastAsia="黑体"/>
          <w:b/>
          <w:bCs/>
        </w:rPr>
      </w:pPr>
    </w:p>
    <w:p w14:paraId="5BE3A57F" w14:textId="77777777" w:rsidR="00497E99" w:rsidRDefault="00497E99" w:rsidP="00497E99">
      <w:pPr>
        <w:pStyle w:val="2"/>
        <w:numPr>
          <w:ilvl w:val="1"/>
          <w:numId w:val="0"/>
        </w:numPr>
      </w:pPr>
    </w:p>
    <w:p w14:paraId="4750E003" w14:textId="77777777" w:rsidR="00497E99" w:rsidRDefault="00497E99" w:rsidP="00497E99">
      <w:pPr>
        <w:pStyle w:val="2a"/>
        <w:ind w:firstLine="482"/>
        <w:rPr>
          <w:b/>
          <w:bCs/>
        </w:rPr>
      </w:pPr>
    </w:p>
    <w:p w14:paraId="04AEBBFE" w14:textId="77777777" w:rsidR="00497E99" w:rsidRDefault="00497E99" w:rsidP="00497E99">
      <w:pPr>
        <w:ind w:firstLine="482"/>
        <w:rPr>
          <w:rFonts w:eastAsia="黑体"/>
          <w:b/>
          <w:bCs/>
        </w:rPr>
      </w:pPr>
    </w:p>
    <w:p w14:paraId="3E6EBE24" w14:textId="77777777" w:rsidR="00497E99" w:rsidRDefault="00497E99" w:rsidP="00497E99">
      <w:pPr>
        <w:ind w:firstLine="482"/>
        <w:rPr>
          <w:rFonts w:eastAsia="黑体"/>
          <w:b/>
          <w:bCs/>
        </w:rPr>
      </w:pPr>
    </w:p>
    <w:p w14:paraId="39812DC4" w14:textId="77777777" w:rsidR="00497E99" w:rsidRDefault="00497E99" w:rsidP="00497E99">
      <w:pPr>
        <w:rPr>
          <w:rFonts w:eastAsia="黑体"/>
          <w:b/>
          <w:bCs/>
        </w:rPr>
      </w:pPr>
    </w:p>
    <w:p w14:paraId="2BC58502" w14:textId="77777777" w:rsidR="00497E99" w:rsidRPr="00497E99" w:rsidRDefault="00497E99" w:rsidP="00497E99">
      <w:pPr>
        <w:ind w:firstLine="482"/>
        <w:rPr>
          <w:rFonts w:ascii="宋体" w:eastAsia="宋体" w:hAnsi="宋体"/>
          <w:b/>
          <w:bCs/>
        </w:rPr>
      </w:pPr>
    </w:p>
    <w:p w14:paraId="538C582B" w14:textId="77777777" w:rsidR="00497E99" w:rsidRPr="00497E99" w:rsidRDefault="00497E99" w:rsidP="00497E99">
      <w:pPr>
        <w:snapToGrid w:val="0"/>
        <w:spacing w:line="360" w:lineRule="auto"/>
        <w:ind w:firstLineChars="800" w:firstLine="2570"/>
        <w:rPr>
          <w:rFonts w:ascii="宋体" w:eastAsia="宋体" w:hAnsi="宋体" w:cstheme="majorEastAsia"/>
          <w:b/>
          <w:bCs/>
          <w:sz w:val="32"/>
          <w:szCs w:val="32"/>
          <w:lang w:val="en-GB"/>
        </w:rPr>
      </w:pPr>
      <w:r w:rsidRPr="00497E99">
        <w:rPr>
          <w:rFonts w:ascii="宋体" w:eastAsia="宋体" w:hAnsi="宋体" w:cstheme="majorEastAsia" w:hint="eastAsia"/>
          <w:b/>
          <w:bCs/>
          <w:sz w:val="32"/>
          <w:szCs w:val="32"/>
          <w:lang w:val="en-GB"/>
        </w:rPr>
        <w:t>建设单位：柞水县城市管理局</w:t>
      </w:r>
    </w:p>
    <w:p w14:paraId="4A1F5D89" w14:textId="77777777" w:rsidR="00497E99" w:rsidRPr="00497E99" w:rsidRDefault="00497E99" w:rsidP="00497E99">
      <w:pPr>
        <w:snapToGrid w:val="0"/>
        <w:spacing w:line="360" w:lineRule="auto"/>
        <w:ind w:firstLineChars="800" w:firstLine="2570"/>
        <w:rPr>
          <w:rFonts w:ascii="宋体" w:eastAsia="宋体" w:hAnsi="宋体" w:cstheme="majorEastAsia"/>
          <w:b/>
          <w:bCs/>
          <w:sz w:val="28"/>
          <w:szCs w:val="24"/>
        </w:rPr>
      </w:pPr>
      <w:r w:rsidRPr="00497E99">
        <w:rPr>
          <w:rFonts w:ascii="宋体" w:eastAsia="宋体" w:hAnsi="宋体" w:cstheme="majorEastAsia" w:hint="eastAsia"/>
          <w:b/>
          <w:bCs/>
          <w:sz w:val="32"/>
          <w:szCs w:val="32"/>
          <w:lang w:val="en-GB"/>
        </w:rPr>
        <w:t>编制单位：</w:t>
      </w:r>
      <w:r w:rsidRPr="00497E99">
        <w:rPr>
          <w:rFonts w:ascii="宋体" w:eastAsia="宋体" w:hAnsi="宋体" w:cstheme="majorEastAsia" w:hint="eastAsia"/>
          <w:b/>
          <w:bCs/>
          <w:sz w:val="32"/>
          <w:szCs w:val="32"/>
        </w:rPr>
        <w:t>陕西天之虹环保科技有限公司</w:t>
      </w:r>
    </w:p>
    <w:p w14:paraId="5C14B1E1" w14:textId="77777777" w:rsidR="00497E99" w:rsidRDefault="00497E99" w:rsidP="00497E99">
      <w:pPr>
        <w:snapToGrid w:val="0"/>
        <w:spacing w:line="360" w:lineRule="auto"/>
        <w:ind w:firstLineChars="800" w:firstLine="2570"/>
        <w:rPr>
          <w:rFonts w:ascii="宋体" w:eastAsia="宋体" w:hAnsi="宋体" w:cstheme="majorEastAsia"/>
          <w:b/>
          <w:bCs/>
          <w:sz w:val="32"/>
          <w:szCs w:val="32"/>
          <w:lang w:val="en-GB"/>
        </w:rPr>
        <w:sectPr w:rsidR="00497E99" w:rsidSect="00497E99">
          <w:headerReference w:type="even" r:id="rId9"/>
          <w:headerReference w:type="default" r:id="rId10"/>
          <w:footerReference w:type="even" r:id="rId11"/>
          <w:footerReference w:type="default" r:id="rId12"/>
          <w:headerReference w:type="first" r:id="rId13"/>
          <w:footerReference w:type="first" r:id="rId14"/>
          <w:pgSz w:w="11906" w:h="16838"/>
          <w:pgMar w:top="1440" w:right="1080" w:bottom="1440" w:left="1080" w:header="851" w:footer="992" w:gutter="0"/>
          <w:pgNumType w:fmt="upperRoman" w:start="1"/>
          <w:cols w:space="425"/>
          <w:docGrid w:type="lines" w:linePitch="312"/>
        </w:sectPr>
      </w:pPr>
      <w:r w:rsidRPr="00497E99">
        <w:rPr>
          <w:rFonts w:ascii="宋体" w:eastAsia="宋体" w:hAnsi="宋体" w:cstheme="majorEastAsia" w:hint="eastAsia"/>
          <w:b/>
          <w:bCs/>
          <w:sz w:val="32"/>
          <w:szCs w:val="32"/>
        </w:rPr>
        <w:t>编制时间：</w:t>
      </w:r>
      <w:r w:rsidRPr="00497E99">
        <w:rPr>
          <w:rFonts w:ascii="宋体" w:eastAsia="宋体" w:hAnsi="宋体" w:cstheme="majorEastAsia" w:hint="eastAsia"/>
          <w:b/>
          <w:bCs/>
          <w:sz w:val="32"/>
          <w:szCs w:val="32"/>
          <w:lang w:val="en-GB"/>
        </w:rPr>
        <w:t>二〇二</w:t>
      </w:r>
      <w:r w:rsidRPr="00497E99">
        <w:rPr>
          <w:rFonts w:ascii="宋体" w:eastAsia="宋体" w:hAnsi="宋体" w:cstheme="majorEastAsia" w:hint="eastAsia"/>
          <w:b/>
          <w:bCs/>
          <w:sz w:val="32"/>
          <w:szCs w:val="32"/>
        </w:rPr>
        <w:t>二</w:t>
      </w:r>
      <w:r w:rsidRPr="00497E99">
        <w:rPr>
          <w:rFonts w:ascii="宋体" w:eastAsia="宋体" w:hAnsi="宋体" w:cstheme="majorEastAsia" w:hint="eastAsia"/>
          <w:b/>
          <w:bCs/>
          <w:sz w:val="32"/>
          <w:szCs w:val="32"/>
          <w:lang w:val="en-GB"/>
        </w:rPr>
        <w:t>年</w:t>
      </w:r>
      <w:r w:rsidRPr="00497E99">
        <w:rPr>
          <w:rFonts w:ascii="宋体" w:eastAsia="宋体" w:hAnsi="宋体" w:cstheme="majorEastAsia" w:hint="eastAsia"/>
          <w:b/>
          <w:bCs/>
          <w:sz w:val="32"/>
          <w:szCs w:val="32"/>
        </w:rPr>
        <w:t>十二</w:t>
      </w:r>
      <w:r w:rsidRPr="00497E99">
        <w:rPr>
          <w:rFonts w:ascii="宋体" w:eastAsia="宋体" w:hAnsi="宋体" w:cstheme="majorEastAsia" w:hint="eastAsia"/>
          <w:b/>
          <w:bCs/>
          <w:sz w:val="32"/>
          <w:szCs w:val="32"/>
          <w:lang w:val="en-GB"/>
        </w:rPr>
        <w:t>月</w:t>
      </w:r>
    </w:p>
    <w:sdt>
      <w:sdtPr>
        <w:rPr>
          <w:rFonts w:asciiTheme="minorHAnsi" w:eastAsiaTheme="minorEastAsia" w:hAnsiTheme="minorHAnsi" w:cstheme="minorBidi"/>
          <w:color w:val="auto"/>
          <w:kern w:val="2"/>
          <w:sz w:val="21"/>
          <w:szCs w:val="22"/>
          <w:lang w:val="zh-CN"/>
        </w:rPr>
        <w:id w:val="627211432"/>
        <w:docPartObj>
          <w:docPartGallery w:val="Table of Contents"/>
          <w:docPartUnique/>
        </w:docPartObj>
      </w:sdtPr>
      <w:sdtEndPr>
        <w:rPr>
          <w:b/>
          <w:bCs/>
        </w:rPr>
      </w:sdtEndPr>
      <w:sdtContent>
        <w:p w14:paraId="1C9239B5" w14:textId="18B3A782" w:rsidR="00D12939" w:rsidRDefault="004F47F5">
          <w:pPr>
            <w:pStyle w:val="TOC1"/>
            <w:spacing w:before="0"/>
            <w:jc w:val="center"/>
            <w:rPr>
              <w:color w:val="auto"/>
            </w:rPr>
          </w:pPr>
          <w:r>
            <w:rPr>
              <w:color w:val="auto"/>
              <w:lang w:val="zh-CN"/>
            </w:rPr>
            <w:t>目</w:t>
          </w:r>
          <w:r>
            <w:rPr>
              <w:rFonts w:hint="eastAsia"/>
              <w:color w:val="auto"/>
              <w:lang w:val="zh-CN"/>
            </w:rPr>
            <w:t xml:space="preserve"> </w:t>
          </w:r>
          <w:r>
            <w:rPr>
              <w:color w:val="auto"/>
              <w:lang w:val="zh-CN"/>
            </w:rPr>
            <w:t xml:space="preserve"> </w:t>
          </w:r>
          <w:r>
            <w:rPr>
              <w:color w:val="auto"/>
              <w:lang w:val="zh-CN"/>
            </w:rPr>
            <w:t>录</w:t>
          </w:r>
        </w:p>
        <w:p w14:paraId="6FDBC7B3" w14:textId="5D2E2EDA" w:rsidR="00D12939" w:rsidRDefault="004F47F5">
          <w:pPr>
            <w:pStyle w:val="15"/>
            <w:tabs>
              <w:tab w:val="right" w:leader="dot" w:pos="9736"/>
            </w:tabs>
            <w:spacing w:line="360" w:lineRule="auto"/>
            <w:ind w:firstLine="402"/>
            <w:rPr>
              <w:b w:val="0"/>
              <w:bCs w:val="0"/>
              <w:caps w:val="0"/>
              <w:noProof/>
              <w:sz w:val="24"/>
              <w:szCs w:val="24"/>
            </w:rPr>
          </w:pPr>
          <w:r>
            <w:fldChar w:fldCharType="begin"/>
          </w:r>
          <w:r>
            <w:instrText xml:space="preserve"> TOC \o "1-3" \h \z \u </w:instrText>
          </w:r>
          <w:r>
            <w:fldChar w:fldCharType="separate"/>
          </w:r>
          <w:hyperlink w:anchor="_Toc121411672" w:history="1">
            <w:r>
              <w:rPr>
                <w:rStyle w:val="affff"/>
                <w:noProof/>
                <w:sz w:val="24"/>
                <w:szCs w:val="24"/>
              </w:rPr>
              <w:t>1</w:t>
            </w:r>
            <w:r>
              <w:rPr>
                <w:rStyle w:val="affff"/>
                <w:noProof/>
                <w:sz w:val="24"/>
                <w:szCs w:val="24"/>
              </w:rPr>
              <w:t>概述</w:t>
            </w:r>
            <w:r>
              <w:rPr>
                <w:noProof/>
                <w:sz w:val="24"/>
                <w:szCs w:val="24"/>
              </w:rPr>
              <w:tab/>
            </w:r>
            <w:r>
              <w:rPr>
                <w:noProof/>
                <w:sz w:val="24"/>
                <w:szCs w:val="24"/>
              </w:rPr>
              <w:fldChar w:fldCharType="begin"/>
            </w:r>
            <w:r>
              <w:rPr>
                <w:noProof/>
                <w:sz w:val="24"/>
                <w:szCs w:val="24"/>
              </w:rPr>
              <w:instrText xml:space="preserve"> PAGEREF _Toc121411672 \h </w:instrText>
            </w:r>
            <w:r>
              <w:rPr>
                <w:noProof/>
                <w:sz w:val="24"/>
                <w:szCs w:val="24"/>
              </w:rPr>
            </w:r>
            <w:r>
              <w:rPr>
                <w:noProof/>
                <w:sz w:val="24"/>
                <w:szCs w:val="24"/>
              </w:rPr>
              <w:fldChar w:fldCharType="separate"/>
            </w:r>
            <w:r w:rsidR="00497E99">
              <w:rPr>
                <w:noProof/>
                <w:sz w:val="24"/>
                <w:szCs w:val="24"/>
              </w:rPr>
              <w:t>1</w:t>
            </w:r>
            <w:r>
              <w:rPr>
                <w:noProof/>
                <w:sz w:val="24"/>
                <w:szCs w:val="24"/>
              </w:rPr>
              <w:fldChar w:fldCharType="end"/>
            </w:r>
          </w:hyperlink>
        </w:p>
        <w:p w14:paraId="5D891037" w14:textId="50E68A6C" w:rsidR="00D12939" w:rsidRDefault="00747ECF">
          <w:pPr>
            <w:pStyle w:val="25"/>
            <w:tabs>
              <w:tab w:val="right" w:leader="dot" w:pos="9736"/>
            </w:tabs>
            <w:spacing w:line="360" w:lineRule="auto"/>
            <w:ind w:firstLine="400"/>
            <w:rPr>
              <w:smallCaps w:val="0"/>
              <w:noProof/>
              <w:sz w:val="24"/>
              <w:szCs w:val="24"/>
            </w:rPr>
          </w:pPr>
          <w:hyperlink w:anchor="_Toc121411673" w:history="1">
            <w:r w:rsidR="004F47F5">
              <w:rPr>
                <w:rStyle w:val="affff"/>
                <w:noProof/>
                <w:sz w:val="24"/>
                <w:szCs w:val="24"/>
              </w:rPr>
              <w:t>1.1</w:t>
            </w:r>
            <w:r w:rsidR="004F47F5">
              <w:rPr>
                <w:rStyle w:val="affff"/>
                <w:noProof/>
                <w:sz w:val="24"/>
                <w:szCs w:val="24"/>
              </w:rPr>
              <w:t>项目背景</w:t>
            </w:r>
            <w:r w:rsidR="004F47F5">
              <w:rPr>
                <w:noProof/>
                <w:sz w:val="24"/>
                <w:szCs w:val="24"/>
              </w:rPr>
              <w:tab/>
            </w:r>
            <w:r w:rsidR="004F47F5">
              <w:rPr>
                <w:noProof/>
                <w:sz w:val="24"/>
                <w:szCs w:val="24"/>
              </w:rPr>
              <w:fldChar w:fldCharType="begin"/>
            </w:r>
            <w:r w:rsidR="004F47F5">
              <w:rPr>
                <w:noProof/>
                <w:sz w:val="24"/>
                <w:szCs w:val="24"/>
              </w:rPr>
              <w:instrText xml:space="preserve"> PAGEREF _Toc121411673 \h </w:instrText>
            </w:r>
            <w:r w:rsidR="004F47F5">
              <w:rPr>
                <w:noProof/>
                <w:sz w:val="24"/>
                <w:szCs w:val="24"/>
              </w:rPr>
            </w:r>
            <w:r w:rsidR="004F47F5">
              <w:rPr>
                <w:noProof/>
                <w:sz w:val="24"/>
                <w:szCs w:val="24"/>
              </w:rPr>
              <w:fldChar w:fldCharType="separate"/>
            </w:r>
            <w:r w:rsidR="00497E99">
              <w:rPr>
                <w:noProof/>
                <w:sz w:val="24"/>
                <w:szCs w:val="24"/>
              </w:rPr>
              <w:t>1</w:t>
            </w:r>
            <w:r w:rsidR="004F47F5">
              <w:rPr>
                <w:noProof/>
                <w:sz w:val="24"/>
                <w:szCs w:val="24"/>
              </w:rPr>
              <w:fldChar w:fldCharType="end"/>
            </w:r>
          </w:hyperlink>
        </w:p>
        <w:p w14:paraId="6E400749" w14:textId="7366031B" w:rsidR="00D12939" w:rsidRDefault="00747ECF">
          <w:pPr>
            <w:pStyle w:val="25"/>
            <w:tabs>
              <w:tab w:val="right" w:leader="dot" w:pos="9736"/>
            </w:tabs>
            <w:spacing w:line="360" w:lineRule="auto"/>
            <w:ind w:firstLine="400"/>
            <w:rPr>
              <w:smallCaps w:val="0"/>
              <w:noProof/>
              <w:sz w:val="24"/>
              <w:szCs w:val="24"/>
            </w:rPr>
          </w:pPr>
          <w:hyperlink w:anchor="_Toc121411674" w:history="1">
            <w:r w:rsidR="004F47F5">
              <w:rPr>
                <w:rStyle w:val="affff"/>
                <w:noProof/>
                <w:sz w:val="24"/>
                <w:szCs w:val="24"/>
              </w:rPr>
              <w:t>1.2</w:t>
            </w:r>
            <w:r w:rsidR="004F47F5">
              <w:rPr>
                <w:rStyle w:val="affff"/>
                <w:noProof/>
                <w:sz w:val="24"/>
                <w:szCs w:val="24"/>
              </w:rPr>
              <w:t>环境影响评价的工作过程</w:t>
            </w:r>
            <w:r w:rsidR="004F47F5">
              <w:rPr>
                <w:noProof/>
                <w:sz w:val="24"/>
                <w:szCs w:val="24"/>
              </w:rPr>
              <w:tab/>
            </w:r>
            <w:r w:rsidR="004F47F5">
              <w:rPr>
                <w:noProof/>
                <w:sz w:val="24"/>
                <w:szCs w:val="24"/>
              </w:rPr>
              <w:fldChar w:fldCharType="begin"/>
            </w:r>
            <w:r w:rsidR="004F47F5">
              <w:rPr>
                <w:noProof/>
                <w:sz w:val="24"/>
                <w:szCs w:val="24"/>
              </w:rPr>
              <w:instrText xml:space="preserve"> PAGEREF _Toc121411674 \h </w:instrText>
            </w:r>
            <w:r w:rsidR="004F47F5">
              <w:rPr>
                <w:noProof/>
                <w:sz w:val="24"/>
                <w:szCs w:val="24"/>
              </w:rPr>
            </w:r>
            <w:r w:rsidR="004F47F5">
              <w:rPr>
                <w:noProof/>
                <w:sz w:val="24"/>
                <w:szCs w:val="24"/>
              </w:rPr>
              <w:fldChar w:fldCharType="separate"/>
            </w:r>
            <w:r w:rsidR="00497E99">
              <w:rPr>
                <w:noProof/>
                <w:sz w:val="24"/>
                <w:szCs w:val="24"/>
              </w:rPr>
              <w:t>1</w:t>
            </w:r>
            <w:r w:rsidR="004F47F5">
              <w:rPr>
                <w:noProof/>
                <w:sz w:val="24"/>
                <w:szCs w:val="24"/>
              </w:rPr>
              <w:fldChar w:fldCharType="end"/>
            </w:r>
          </w:hyperlink>
        </w:p>
        <w:p w14:paraId="29647EA5" w14:textId="1E229530" w:rsidR="00D12939" w:rsidRDefault="00747ECF">
          <w:pPr>
            <w:pStyle w:val="25"/>
            <w:tabs>
              <w:tab w:val="right" w:leader="dot" w:pos="9736"/>
            </w:tabs>
            <w:spacing w:line="360" w:lineRule="auto"/>
            <w:ind w:firstLine="400"/>
            <w:rPr>
              <w:smallCaps w:val="0"/>
              <w:noProof/>
              <w:sz w:val="24"/>
              <w:szCs w:val="24"/>
            </w:rPr>
          </w:pPr>
          <w:hyperlink w:anchor="_Toc121411675" w:history="1">
            <w:r w:rsidR="004F47F5">
              <w:rPr>
                <w:rStyle w:val="affff"/>
                <w:noProof/>
                <w:sz w:val="24"/>
                <w:szCs w:val="24"/>
              </w:rPr>
              <w:t>1.3</w:t>
            </w:r>
            <w:r w:rsidR="004F47F5">
              <w:rPr>
                <w:rStyle w:val="affff"/>
                <w:noProof/>
                <w:sz w:val="24"/>
                <w:szCs w:val="24"/>
              </w:rPr>
              <w:t>建设项目特点</w:t>
            </w:r>
            <w:r w:rsidR="004F47F5">
              <w:rPr>
                <w:noProof/>
                <w:sz w:val="24"/>
                <w:szCs w:val="24"/>
              </w:rPr>
              <w:tab/>
            </w:r>
            <w:r w:rsidR="004F47F5">
              <w:rPr>
                <w:noProof/>
                <w:sz w:val="24"/>
                <w:szCs w:val="24"/>
              </w:rPr>
              <w:fldChar w:fldCharType="begin"/>
            </w:r>
            <w:r w:rsidR="004F47F5">
              <w:rPr>
                <w:noProof/>
                <w:sz w:val="24"/>
                <w:szCs w:val="24"/>
              </w:rPr>
              <w:instrText xml:space="preserve"> PAGEREF _Toc121411675 \h </w:instrText>
            </w:r>
            <w:r w:rsidR="004F47F5">
              <w:rPr>
                <w:noProof/>
                <w:sz w:val="24"/>
                <w:szCs w:val="24"/>
              </w:rPr>
            </w:r>
            <w:r w:rsidR="004F47F5">
              <w:rPr>
                <w:noProof/>
                <w:sz w:val="24"/>
                <w:szCs w:val="24"/>
              </w:rPr>
              <w:fldChar w:fldCharType="separate"/>
            </w:r>
            <w:r w:rsidR="00497E99">
              <w:rPr>
                <w:noProof/>
                <w:sz w:val="24"/>
                <w:szCs w:val="24"/>
              </w:rPr>
              <w:t>2</w:t>
            </w:r>
            <w:r w:rsidR="004F47F5">
              <w:rPr>
                <w:noProof/>
                <w:sz w:val="24"/>
                <w:szCs w:val="24"/>
              </w:rPr>
              <w:fldChar w:fldCharType="end"/>
            </w:r>
          </w:hyperlink>
        </w:p>
        <w:p w14:paraId="0F5B54FD" w14:textId="42B444CF" w:rsidR="00D12939" w:rsidRDefault="00747ECF">
          <w:pPr>
            <w:pStyle w:val="25"/>
            <w:tabs>
              <w:tab w:val="right" w:leader="dot" w:pos="9736"/>
            </w:tabs>
            <w:spacing w:line="360" w:lineRule="auto"/>
            <w:ind w:firstLine="400"/>
            <w:rPr>
              <w:smallCaps w:val="0"/>
              <w:noProof/>
              <w:sz w:val="24"/>
              <w:szCs w:val="24"/>
            </w:rPr>
          </w:pPr>
          <w:hyperlink w:anchor="_Toc121411676" w:history="1">
            <w:r w:rsidR="004F47F5">
              <w:rPr>
                <w:rStyle w:val="affff"/>
                <w:noProof/>
                <w:sz w:val="24"/>
                <w:szCs w:val="24"/>
              </w:rPr>
              <w:t>1.4</w:t>
            </w:r>
            <w:r w:rsidR="004F47F5">
              <w:rPr>
                <w:rStyle w:val="affff"/>
                <w:noProof/>
                <w:sz w:val="24"/>
                <w:szCs w:val="24"/>
              </w:rPr>
              <w:t>分析判定相关情况</w:t>
            </w:r>
            <w:r w:rsidR="004F47F5">
              <w:rPr>
                <w:noProof/>
                <w:sz w:val="24"/>
                <w:szCs w:val="24"/>
              </w:rPr>
              <w:tab/>
            </w:r>
            <w:r w:rsidR="004F47F5">
              <w:rPr>
                <w:noProof/>
                <w:sz w:val="24"/>
                <w:szCs w:val="24"/>
              </w:rPr>
              <w:fldChar w:fldCharType="begin"/>
            </w:r>
            <w:r w:rsidR="004F47F5">
              <w:rPr>
                <w:noProof/>
                <w:sz w:val="24"/>
                <w:szCs w:val="24"/>
              </w:rPr>
              <w:instrText xml:space="preserve"> PAGEREF _Toc121411676 \h </w:instrText>
            </w:r>
            <w:r w:rsidR="004F47F5">
              <w:rPr>
                <w:noProof/>
                <w:sz w:val="24"/>
                <w:szCs w:val="24"/>
              </w:rPr>
            </w:r>
            <w:r w:rsidR="004F47F5">
              <w:rPr>
                <w:noProof/>
                <w:sz w:val="24"/>
                <w:szCs w:val="24"/>
              </w:rPr>
              <w:fldChar w:fldCharType="separate"/>
            </w:r>
            <w:r w:rsidR="00497E99">
              <w:rPr>
                <w:noProof/>
                <w:sz w:val="24"/>
                <w:szCs w:val="24"/>
              </w:rPr>
              <w:t>2</w:t>
            </w:r>
            <w:r w:rsidR="004F47F5">
              <w:rPr>
                <w:noProof/>
                <w:sz w:val="24"/>
                <w:szCs w:val="24"/>
              </w:rPr>
              <w:fldChar w:fldCharType="end"/>
            </w:r>
          </w:hyperlink>
        </w:p>
        <w:p w14:paraId="3DD8279B" w14:textId="2CBC307D" w:rsidR="00D12939" w:rsidRDefault="00747ECF">
          <w:pPr>
            <w:pStyle w:val="25"/>
            <w:tabs>
              <w:tab w:val="right" w:leader="dot" w:pos="9736"/>
            </w:tabs>
            <w:spacing w:line="360" w:lineRule="auto"/>
            <w:ind w:firstLine="400"/>
            <w:rPr>
              <w:smallCaps w:val="0"/>
              <w:noProof/>
              <w:sz w:val="24"/>
              <w:szCs w:val="24"/>
            </w:rPr>
          </w:pPr>
          <w:hyperlink w:anchor="_Toc121411682" w:history="1">
            <w:r w:rsidR="004F47F5">
              <w:rPr>
                <w:rStyle w:val="affff"/>
                <w:noProof/>
                <w:sz w:val="24"/>
                <w:szCs w:val="24"/>
              </w:rPr>
              <w:t>1.5</w:t>
            </w:r>
            <w:r w:rsidR="004F47F5">
              <w:rPr>
                <w:rStyle w:val="affff"/>
                <w:noProof/>
                <w:sz w:val="24"/>
                <w:szCs w:val="24"/>
              </w:rPr>
              <w:t>关注的主要环境问题及环境影响</w:t>
            </w:r>
            <w:r w:rsidR="004F47F5">
              <w:rPr>
                <w:noProof/>
                <w:sz w:val="24"/>
                <w:szCs w:val="24"/>
              </w:rPr>
              <w:tab/>
            </w:r>
            <w:r w:rsidR="004F47F5">
              <w:rPr>
                <w:noProof/>
                <w:sz w:val="24"/>
                <w:szCs w:val="24"/>
              </w:rPr>
              <w:fldChar w:fldCharType="begin"/>
            </w:r>
            <w:r w:rsidR="004F47F5">
              <w:rPr>
                <w:noProof/>
                <w:sz w:val="24"/>
                <w:szCs w:val="24"/>
              </w:rPr>
              <w:instrText xml:space="preserve"> PAGEREF _Toc121411682 \h </w:instrText>
            </w:r>
            <w:r w:rsidR="004F47F5">
              <w:rPr>
                <w:noProof/>
                <w:sz w:val="24"/>
                <w:szCs w:val="24"/>
              </w:rPr>
            </w:r>
            <w:r w:rsidR="004F47F5">
              <w:rPr>
                <w:noProof/>
                <w:sz w:val="24"/>
                <w:szCs w:val="24"/>
              </w:rPr>
              <w:fldChar w:fldCharType="separate"/>
            </w:r>
            <w:r w:rsidR="00497E99">
              <w:rPr>
                <w:noProof/>
                <w:sz w:val="24"/>
                <w:szCs w:val="24"/>
              </w:rPr>
              <w:t>15</w:t>
            </w:r>
            <w:r w:rsidR="004F47F5">
              <w:rPr>
                <w:noProof/>
                <w:sz w:val="24"/>
                <w:szCs w:val="24"/>
              </w:rPr>
              <w:fldChar w:fldCharType="end"/>
            </w:r>
          </w:hyperlink>
        </w:p>
        <w:p w14:paraId="287439E8" w14:textId="054F54E2" w:rsidR="00D12939" w:rsidRDefault="00747ECF">
          <w:pPr>
            <w:pStyle w:val="25"/>
            <w:tabs>
              <w:tab w:val="right" w:leader="dot" w:pos="9736"/>
            </w:tabs>
            <w:spacing w:line="360" w:lineRule="auto"/>
            <w:ind w:firstLine="400"/>
            <w:rPr>
              <w:smallCaps w:val="0"/>
              <w:noProof/>
              <w:sz w:val="24"/>
              <w:szCs w:val="24"/>
            </w:rPr>
          </w:pPr>
          <w:hyperlink w:anchor="_Toc121411683" w:history="1">
            <w:r w:rsidR="004F47F5">
              <w:rPr>
                <w:rStyle w:val="affff"/>
                <w:noProof/>
                <w:sz w:val="24"/>
                <w:szCs w:val="24"/>
              </w:rPr>
              <w:t>1.6</w:t>
            </w:r>
            <w:r w:rsidR="004F47F5">
              <w:rPr>
                <w:rStyle w:val="affff"/>
                <w:noProof/>
                <w:sz w:val="24"/>
                <w:szCs w:val="24"/>
              </w:rPr>
              <w:t>环境影响评价主要结论</w:t>
            </w:r>
            <w:r w:rsidR="004F47F5">
              <w:rPr>
                <w:noProof/>
                <w:sz w:val="24"/>
                <w:szCs w:val="24"/>
              </w:rPr>
              <w:tab/>
            </w:r>
            <w:r w:rsidR="004F47F5">
              <w:rPr>
                <w:noProof/>
                <w:sz w:val="24"/>
                <w:szCs w:val="24"/>
              </w:rPr>
              <w:fldChar w:fldCharType="begin"/>
            </w:r>
            <w:r w:rsidR="004F47F5">
              <w:rPr>
                <w:noProof/>
                <w:sz w:val="24"/>
                <w:szCs w:val="24"/>
              </w:rPr>
              <w:instrText xml:space="preserve"> PAGEREF _Toc121411683 \h </w:instrText>
            </w:r>
            <w:r w:rsidR="004F47F5">
              <w:rPr>
                <w:noProof/>
                <w:sz w:val="24"/>
                <w:szCs w:val="24"/>
              </w:rPr>
            </w:r>
            <w:r w:rsidR="004F47F5">
              <w:rPr>
                <w:noProof/>
                <w:sz w:val="24"/>
                <w:szCs w:val="24"/>
              </w:rPr>
              <w:fldChar w:fldCharType="separate"/>
            </w:r>
            <w:r w:rsidR="00497E99">
              <w:rPr>
                <w:noProof/>
                <w:sz w:val="24"/>
                <w:szCs w:val="24"/>
              </w:rPr>
              <w:t>15</w:t>
            </w:r>
            <w:r w:rsidR="004F47F5">
              <w:rPr>
                <w:noProof/>
                <w:sz w:val="24"/>
                <w:szCs w:val="24"/>
              </w:rPr>
              <w:fldChar w:fldCharType="end"/>
            </w:r>
          </w:hyperlink>
        </w:p>
        <w:p w14:paraId="0DDE2F88" w14:textId="4BB88DC2" w:rsidR="00D12939" w:rsidRDefault="00747ECF">
          <w:pPr>
            <w:pStyle w:val="15"/>
            <w:tabs>
              <w:tab w:val="right" w:leader="dot" w:pos="9736"/>
            </w:tabs>
            <w:spacing w:line="360" w:lineRule="auto"/>
            <w:ind w:firstLine="402"/>
            <w:rPr>
              <w:b w:val="0"/>
              <w:bCs w:val="0"/>
              <w:caps w:val="0"/>
              <w:noProof/>
              <w:sz w:val="24"/>
              <w:szCs w:val="24"/>
            </w:rPr>
          </w:pPr>
          <w:hyperlink w:anchor="_Toc121411684" w:history="1">
            <w:r w:rsidR="004F47F5">
              <w:rPr>
                <w:rStyle w:val="affff"/>
                <w:noProof/>
                <w:sz w:val="24"/>
                <w:szCs w:val="24"/>
              </w:rPr>
              <w:t>2</w:t>
            </w:r>
            <w:r w:rsidR="004F47F5">
              <w:rPr>
                <w:rStyle w:val="affff"/>
                <w:noProof/>
                <w:sz w:val="24"/>
                <w:szCs w:val="24"/>
              </w:rPr>
              <w:t>总则</w:t>
            </w:r>
            <w:r w:rsidR="004F47F5">
              <w:rPr>
                <w:noProof/>
                <w:sz w:val="24"/>
                <w:szCs w:val="24"/>
              </w:rPr>
              <w:tab/>
            </w:r>
            <w:r w:rsidR="004F47F5">
              <w:rPr>
                <w:noProof/>
                <w:sz w:val="24"/>
                <w:szCs w:val="24"/>
              </w:rPr>
              <w:fldChar w:fldCharType="begin"/>
            </w:r>
            <w:r w:rsidR="004F47F5">
              <w:rPr>
                <w:noProof/>
                <w:sz w:val="24"/>
                <w:szCs w:val="24"/>
              </w:rPr>
              <w:instrText xml:space="preserve"> PAGEREF _Toc121411684 \h </w:instrText>
            </w:r>
            <w:r w:rsidR="004F47F5">
              <w:rPr>
                <w:noProof/>
                <w:sz w:val="24"/>
                <w:szCs w:val="24"/>
              </w:rPr>
            </w:r>
            <w:r w:rsidR="004F47F5">
              <w:rPr>
                <w:noProof/>
                <w:sz w:val="24"/>
                <w:szCs w:val="24"/>
              </w:rPr>
              <w:fldChar w:fldCharType="separate"/>
            </w:r>
            <w:r w:rsidR="00497E99">
              <w:rPr>
                <w:noProof/>
                <w:sz w:val="24"/>
                <w:szCs w:val="24"/>
              </w:rPr>
              <w:t>16</w:t>
            </w:r>
            <w:r w:rsidR="004F47F5">
              <w:rPr>
                <w:noProof/>
                <w:sz w:val="24"/>
                <w:szCs w:val="24"/>
              </w:rPr>
              <w:fldChar w:fldCharType="end"/>
            </w:r>
          </w:hyperlink>
        </w:p>
        <w:p w14:paraId="1FD23B5E" w14:textId="19A9029C" w:rsidR="00D12939" w:rsidRDefault="00747ECF">
          <w:pPr>
            <w:pStyle w:val="25"/>
            <w:tabs>
              <w:tab w:val="right" w:leader="dot" w:pos="9736"/>
            </w:tabs>
            <w:spacing w:line="360" w:lineRule="auto"/>
            <w:ind w:firstLine="400"/>
            <w:rPr>
              <w:smallCaps w:val="0"/>
              <w:noProof/>
              <w:sz w:val="24"/>
              <w:szCs w:val="24"/>
            </w:rPr>
          </w:pPr>
          <w:hyperlink w:anchor="_Toc121411685" w:history="1">
            <w:r w:rsidR="004F47F5">
              <w:rPr>
                <w:rStyle w:val="affff"/>
                <w:noProof/>
                <w:sz w:val="24"/>
                <w:szCs w:val="24"/>
              </w:rPr>
              <w:t>2.1</w:t>
            </w:r>
            <w:r w:rsidR="004F47F5">
              <w:rPr>
                <w:rStyle w:val="affff"/>
                <w:noProof/>
                <w:sz w:val="24"/>
                <w:szCs w:val="24"/>
              </w:rPr>
              <w:t>编制依据</w:t>
            </w:r>
            <w:r w:rsidR="004F47F5">
              <w:rPr>
                <w:noProof/>
                <w:sz w:val="24"/>
                <w:szCs w:val="24"/>
              </w:rPr>
              <w:tab/>
            </w:r>
            <w:r w:rsidR="004F47F5">
              <w:rPr>
                <w:noProof/>
                <w:sz w:val="24"/>
                <w:szCs w:val="24"/>
              </w:rPr>
              <w:fldChar w:fldCharType="begin"/>
            </w:r>
            <w:r w:rsidR="004F47F5">
              <w:rPr>
                <w:noProof/>
                <w:sz w:val="24"/>
                <w:szCs w:val="24"/>
              </w:rPr>
              <w:instrText xml:space="preserve"> PAGEREF _Toc121411685 \h </w:instrText>
            </w:r>
            <w:r w:rsidR="004F47F5">
              <w:rPr>
                <w:noProof/>
                <w:sz w:val="24"/>
                <w:szCs w:val="24"/>
              </w:rPr>
            </w:r>
            <w:r w:rsidR="004F47F5">
              <w:rPr>
                <w:noProof/>
                <w:sz w:val="24"/>
                <w:szCs w:val="24"/>
              </w:rPr>
              <w:fldChar w:fldCharType="separate"/>
            </w:r>
            <w:r w:rsidR="00497E99">
              <w:rPr>
                <w:noProof/>
                <w:sz w:val="24"/>
                <w:szCs w:val="24"/>
              </w:rPr>
              <w:t>16</w:t>
            </w:r>
            <w:r w:rsidR="004F47F5">
              <w:rPr>
                <w:noProof/>
                <w:sz w:val="24"/>
                <w:szCs w:val="24"/>
              </w:rPr>
              <w:fldChar w:fldCharType="end"/>
            </w:r>
          </w:hyperlink>
        </w:p>
        <w:p w14:paraId="5F3C3926" w14:textId="3CD3CAA9" w:rsidR="00D12939" w:rsidRDefault="00747ECF">
          <w:pPr>
            <w:pStyle w:val="25"/>
            <w:tabs>
              <w:tab w:val="right" w:leader="dot" w:pos="9736"/>
            </w:tabs>
            <w:spacing w:line="360" w:lineRule="auto"/>
            <w:ind w:firstLine="400"/>
            <w:rPr>
              <w:smallCaps w:val="0"/>
              <w:noProof/>
              <w:sz w:val="24"/>
              <w:szCs w:val="24"/>
            </w:rPr>
          </w:pPr>
          <w:hyperlink w:anchor="_Toc121411691" w:history="1">
            <w:r w:rsidR="004F47F5">
              <w:rPr>
                <w:rStyle w:val="affff"/>
                <w:noProof/>
                <w:sz w:val="24"/>
                <w:szCs w:val="24"/>
              </w:rPr>
              <w:t>2.2</w:t>
            </w:r>
            <w:r w:rsidR="004F47F5">
              <w:rPr>
                <w:rStyle w:val="affff"/>
                <w:noProof/>
                <w:sz w:val="24"/>
                <w:szCs w:val="24"/>
              </w:rPr>
              <w:t>环境影响识别及评价因子</w:t>
            </w:r>
            <w:r w:rsidR="004F47F5">
              <w:rPr>
                <w:noProof/>
                <w:sz w:val="24"/>
                <w:szCs w:val="24"/>
              </w:rPr>
              <w:tab/>
            </w:r>
            <w:r w:rsidR="004F47F5">
              <w:rPr>
                <w:noProof/>
                <w:sz w:val="24"/>
                <w:szCs w:val="24"/>
              </w:rPr>
              <w:fldChar w:fldCharType="begin"/>
            </w:r>
            <w:r w:rsidR="004F47F5">
              <w:rPr>
                <w:noProof/>
                <w:sz w:val="24"/>
                <w:szCs w:val="24"/>
              </w:rPr>
              <w:instrText xml:space="preserve"> PAGEREF _Toc121411691 \h </w:instrText>
            </w:r>
            <w:r w:rsidR="004F47F5">
              <w:rPr>
                <w:noProof/>
                <w:sz w:val="24"/>
                <w:szCs w:val="24"/>
              </w:rPr>
            </w:r>
            <w:r w:rsidR="004F47F5">
              <w:rPr>
                <w:noProof/>
                <w:sz w:val="24"/>
                <w:szCs w:val="24"/>
              </w:rPr>
              <w:fldChar w:fldCharType="separate"/>
            </w:r>
            <w:r w:rsidR="00497E99">
              <w:rPr>
                <w:noProof/>
                <w:sz w:val="24"/>
                <w:szCs w:val="24"/>
              </w:rPr>
              <w:t>19</w:t>
            </w:r>
            <w:r w:rsidR="004F47F5">
              <w:rPr>
                <w:noProof/>
                <w:sz w:val="24"/>
                <w:szCs w:val="24"/>
              </w:rPr>
              <w:fldChar w:fldCharType="end"/>
            </w:r>
          </w:hyperlink>
        </w:p>
        <w:p w14:paraId="246942E5" w14:textId="769507E6" w:rsidR="00D12939" w:rsidRDefault="00747ECF">
          <w:pPr>
            <w:pStyle w:val="25"/>
            <w:tabs>
              <w:tab w:val="right" w:leader="dot" w:pos="9736"/>
            </w:tabs>
            <w:spacing w:line="360" w:lineRule="auto"/>
            <w:ind w:firstLine="400"/>
            <w:rPr>
              <w:smallCaps w:val="0"/>
              <w:noProof/>
              <w:sz w:val="24"/>
              <w:szCs w:val="24"/>
            </w:rPr>
          </w:pPr>
          <w:hyperlink w:anchor="_Toc121411694" w:history="1">
            <w:r w:rsidR="004F47F5">
              <w:rPr>
                <w:rStyle w:val="affff"/>
                <w:noProof/>
                <w:sz w:val="24"/>
                <w:szCs w:val="24"/>
              </w:rPr>
              <w:t>2.3</w:t>
            </w:r>
            <w:r w:rsidR="004F47F5">
              <w:rPr>
                <w:rStyle w:val="affff"/>
                <w:noProof/>
                <w:sz w:val="24"/>
                <w:szCs w:val="24"/>
              </w:rPr>
              <w:t>评价标准</w:t>
            </w:r>
            <w:r w:rsidR="004F47F5">
              <w:rPr>
                <w:noProof/>
                <w:sz w:val="24"/>
                <w:szCs w:val="24"/>
              </w:rPr>
              <w:tab/>
            </w:r>
            <w:r w:rsidR="004F47F5">
              <w:rPr>
                <w:noProof/>
                <w:sz w:val="24"/>
                <w:szCs w:val="24"/>
              </w:rPr>
              <w:fldChar w:fldCharType="begin"/>
            </w:r>
            <w:r w:rsidR="004F47F5">
              <w:rPr>
                <w:noProof/>
                <w:sz w:val="24"/>
                <w:szCs w:val="24"/>
              </w:rPr>
              <w:instrText xml:space="preserve"> PAGEREF _Toc121411694 \h </w:instrText>
            </w:r>
            <w:r w:rsidR="004F47F5">
              <w:rPr>
                <w:noProof/>
                <w:sz w:val="24"/>
                <w:szCs w:val="24"/>
              </w:rPr>
            </w:r>
            <w:r w:rsidR="004F47F5">
              <w:rPr>
                <w:noProof/>
                <w:sz w:val="24"/>
                <w:szCs w:val="24"/>
              </w:rPr>
              <w:fldChar w:fldCharType="separate"/>
            </w:r>
            <w:r w:rsidR="00497E99">
              <w:rPr>
                <w:noProof/>
                <w:sz w:val="24"/>
                <w:szCs w:val="24"/>
              </w:rPr>
              <w:t>21</w:t>
            </w:r>
            <w:r w:rsidR="004F47F5">
              <w:rPr>
                <w:noProof/>
                <w:sz w:val="24"/>
                <w:szCs w:val="24"/>
              </w:rPr>
              <w:fldChar w:fldCharType="end"/>
            </w:r>
          </w:hyperlink>
        </w:p>
        <w:p w14:paraId="753807BB" w14:textId="5E5FBF54" w:rsidR="00D12939" w:rsidRDefault="00747ECF">
          <w:pPr>
            <w:pStyle w:val="25"/>
            <w:tabs>
              <w:tab w:val="right" w:leader="dot" w:pos="9736"/>
            </w:tabs>
            <w:spacing w:line="360" w:lineRule="auto"/>
            <w:ind w:firstLine="400"/>
            <w:rPr>
              <w:smallCaps w:val="0"/>
              <w:noProof/>
              <w:sz w:val="24"/>
              <w:szCs w:val="24"/>
            </w:rPr>
          </w:pPr>
          <w:hyperlink w:anchor="_Toc121411697" w:history="1">
            <w:r w:rsidR="004F47F5">
              <w:rPr>
                <w:rStyle w:val="affff"/>
                <w:noProof/>
                <w:sz w:val="24"/>
                <w:szCs w:val="24"/>
              </w:rPr>
              <w:t>2.4</w:t>
            </w:r>
            <w:r w:rsidR="004F47F5">
              <w:rPr>
                <w:rStyle w:val="affff"/>
                <w:noProof/>
                <w:sz w:val="24"/>
                <w:szCs w:val="24"/>
              </w:rPr>
              <w:t>评价工作等级和评价范围</w:t>
            </w:r>
            <w:r w:rsidR="004F47F5">
              <w:rPr>
                <w:noProof/>
                <w:sz w:val="24"/>
                <w:szCs w:val="24"/>
              </w:rPr>
              <w:tab/>
            </w:r>
            <w:r w:rsidR="004F47F5">
              <w:rPr>
                <w:noProof/>
                <w:sz w:val="24"/>
                <w:szCs w:val="24"/>
              </w:rPr>
              <w:fldChar w:fldCharType="begin"/>
            </w:r>
            <w:r w:rsidR="004F47F5">
              <w:rPr>
                <w:noProof/>
                <w:sz w:val="24"/>
                <w:szCs w:val="24"/>
              </w:rPr>
              <w:instrText xml:space="preserve"> PAGEREF _Toc121411697 \h </w:instrText>
            </w:r>
            <w:r w:rsidR="004F47F5">
              <w:rPr>
                <w:noProof/>
                <w:sz w:val="24"/>
                <w:szCs w:val="24"/>
              </w:rPr>
            </w:r>
            <w:r w:rsidR="004F47F5">
              <w:rPr>
                <w:noProof/>
                <w:sz w:val="24"/>
                <w:szCs w:val="24"/>
              </w:rPr>
              <w:fldChar w:fldCharType="separate"/>
            </w:r>
            <w:r w:rsidR="00497E99">
              <w:rPr>
                <w:noProof/>
                <w:sz w:val="24"/>
                <w:szCs w:val="24"/>
              </w:rPr>
              <w:t>25</w:t>
            </w:r>
            <w:r w:rsidR="004F47F5">
              <w:rPr>
                <w:noProof/>
                <w:sz w:val="24"/>
                <w:szCs w:val="24"/>
              </w:rPr>
              <w:fldChar w:fldCharType="end"/>
            </w:r>
          </w:hyperlink>
        </w:p>
        <w:p w14:paraId="018D8826" w14:textId="08020F60" w:rsidR="00D12939" w:rsidRDefault="00747ECF">
          <w:pPr>
            <w:pStyle w:val="25"/>
            <w:tabs>
              <w:tab w:val="right" w:leader="dot" w:pos="9736"/>
            </w:tabs>
            <w:spacing w:line="360" w:lineRule="auto"/>
            <w:ind w:firstLine="400"/>
            <w:rPr>
              <w:smallCaps w:val="0"/>
              <w:noProof/>
              <w:sz w:val="24"/>
              <w:szCs w:val="24"/>
            </w:rPr>
          </w:pPr>
          <w:hyperlink w:anchor="_Toc121411705" w:history="1">
            <w:r w:rsidR="004F47F5">
              <w:rPr>
                <w:rStyle w:val="affff"/>
                <w:noProof/>
                <w:sz w:val="24"/>
                <w:szCs w:val="24"/>
              </w:rPr>
              <w:t>2.5</w:t>
            </w:r>
            <w:r w:rsidR="004F47F5">
              <w:rPr>
                <w:rStyle w:val="affff"/>
                <w:noProof/>
                <w:sz w:val="24"/>
                <w:szCs w:val="24"/>
              </w:rPr>
              <w:t>环境功能区划</w:t>
            </w:r>
            <w:r w:rsidR="004F47F5">
              <w:rPr>
                <w:noProof/>
                <w:sz w:val="24"/>
                <w:szCs w:val="24"/>
              </w:rPr>
              <w:tab/>
            </w:r>
            <w:r w:rsidR="004F47F5">
              <w:rPr>
                <w:noProof/>
                <w:sz w:val="24"/>
                <w:szCs w:val="24"/>
              </w:rPr>
              <w:fldChar w:fldCharType="begin"/>
            </w:r>
            <w:r w:rsidR="004F47F5">
              <w:rPr>
                <w:noProof/>
                <w:sz w:val="24"/>
                <w:szCs w:val="24"/>
              </w:rPr>
              <w:instrText xml:space="preserve"> PAGEREF _Toc121411705 \h </w:instrText>
            </w:r>
            <w:r w:rsidR="004F47F5">
              <w:rPr>
                <w:noProof/>
                <w:sz w:val="24"/>
                <w:szCs w:val="24"/>
              </w:rPr>
            </w:r>
            <w:r w:rsidR="004F47F5">
              <w:rPr>
                <w:noProof/>
                <w:sz w:val="24"/>
                <w:szCs w:val="24"/>
              </w:rPr>
              <w:fldChar w:fldCharType="separate"/>
            </w:r>
            <w:r w:rsidR="00497E99">
              <w:rPr>
                <w:noProof/>
                <w:sz w:val="24"/>
                <w:szCs w:val="24"/>
              </w:rPr>
              <w:t>31</w:t>
            </w:r>
            <w:r w:rsidR="004F47F5">
              <w:rPr>
                <w:noProof/>
                <w:sz w:val="24"/>
                <w:szCs w:val="24"/>
              </w:rPr>
              <w:fldChar w:fldCharType="end"/>
            </w:r>
          </w:hyperlink>
        </w:p>
        <w:p w14:paraId="2DACCCFB" w14:textId="79B7E9EC" w:rsidR="00D12939" w:rsidRDefault="00747ECF">
          <w:pPr>
            <w:pStyle w:val="25"/>
            <w:tabs>
              <w:tab w:val="right" w:leader="dot" w:pos="9736"/>
            </w:tabs>
            <w:spacing w:line="360" w:lineRule="auto"/>
            <w:ind w:firstLine="400"/>
            <w:rPr>
              <w:smallCaps w:val="0"/>
              <w:noProof/>
              <w:sz w:val="24"/>
              <w:szCs w:val="24"/>
            </w:rPr>
          </w:pPr>
          <w:hyperlink w:anchor="_Toc121411706" w:history="1">
            <w:r w:rsidR="004F47F5">
              <w:rPr>
                <w:rStyle w:val="affff"/>
                <w:noProof/>
                <w:sz w:val="24"/>
                <w:szCs w:val="24"/>
              </w:rPr>
              <w:t>2.6</w:t>
            </w:r>
            <w:r w:rsidR="004F47F5">
              <w:rPr>
                <w:rStyle w:val="affff"/>
                <w:noProof/>
                <w:sz w:val="24"/>
                <w:szCs w:val="24"/>
              </w:rPr>
              <w:t>主要环境保护目标</w:t>
            </w:r>
            <w:r w:rsidR="004F47F5">
              <w:rPr>
                <w:noProof/>
                <w:sz w:val="24"/>
                <w:szCs w:val="24"/>
              </w:rPr>
              <w:tab/>
            </w:r>
            <w:r w:rsidR="004F47F5">
              <w:rPr>
                <w:noProof/>
                <w:sz w:val="24"/>
                <w:szCs w:val="24"/>
              </w:rPr>
              <w:fldChar w:fldCharType="begin"/>
            </w:r>
            <w:r w:rsidR="004F47F5">
              <w:rPr>
                <w:noProof/>
                <w:sz w:val="24"/>
                <w:szCs w:val="24"/>
              </w:rPr>
              <w:instrText xml:space="preserve"> PAGEREF _Toc121411706 \h </w:instrText>
            </w:r>
            <w:r w:rsidR="004F47F5">
              <w:rPr>
                <w:noProof/>
                <w:sz w:val="24"/>
                <w:szCs w:val="24"/>
              </w:rPr>
            </w:r>
            <w:r w:rsidR="004F47F5">
              <w:rPr>
                <w:noProof/>
                <w:sz w:val="24"/>
                <w:szCs w:val="24"/>
              </w:rPr>
              <w:fldChar w:fldCharType="separate"/>
            </w:r>
            <w:r w:rsidR="00497E99">
              <w:rPr>
                <w:noProof/>
                <w:sz w:val="24"/>
                <w:szCs w:val="24"/>
              </w:rPr>
              <w:t>32</w:t>
            </w:r>
            <w:r w:rsidR="004F47F5">
              <w:rPr>
                <w:noProof/>
                <w:sz w:val="24"/>
                <w:szCs w:val="24"/>
              </w:rPr>
              <w:fldChar w:fldCharType="end"/>
            </w:r>
          </w:hyperlink>
        </w:p>
        <w:p w14:paraId="59409558" w14:textId="59D3194F" w:rsidR="00D12939" w:rsidRDefault="00747ECF">
          <w:pPr>
            <w:pStyle w:val="15"/>
            <w:tabs>
              <w:tab w:val="right" w:leader="dot" w:pos="9736"/>
            </w:tabs>
            <w:spacing w:line="360" w:lineRule="auto"/>
            <w:ind w:firstLine="402"/>
            <w:rPr>
              <w:b w:val="0"/>
              <w:bCs w:val="0"/>
              <w:caps w:val="0"/>
              <w:noProof/>
              <w:sz w:val="24"/>
              <w:szCs w:val="24"/>
            </w:rPr>
          </w:pPr>
          <w:hyperlink w:anchor="_Toc121411707" w:history="1">
            <w:r w:rsidR="004F47F5">
              <w:rPr>
                <w:rStyle w:val="affff"/>
                <w:noProof/>
                <w:sz w:val="24"/>
                <w:szCs w:val="24"/>
              </w:rPr>
              <w:t>3</w:t>
            </w:r>
            <w:r w:rsidR="004F47F5">
              <w:rPr>
                <w:rStyle w:val="affff"/>
                <w:noProof/>
                <w:sz w:val="24"/>
                <w:szCs w:val="24"/>
              </w:rPr>
              <w:t>工程概况</w:t>
            </w:r>
            <w:r w:rsidR="004F47F5">
              <w:rPr>
                <w:noProof/>
                <w:sz w:val="24"/>
                <w:szCs w:val="24"/>
              </w:rPr>
              <w:tab/>
            </w:r>
            <w:r w:rsidR="004F47F5">
              <w:rPr>
                <w:noProof/>
                <w:sz w:val="24"/>
                <w:szCs w:val="24"/>
              </w:rPr>
              <w:fldChar w:fldCharType="begin"/>
            </w:r>
            <w:r w:rsidR="004F47F5">
              <w:rPr>
                <w:noProof/>
                <w:sz w:val="24"/>
                <w:szCs w:val="24"/>
              </w:rPr>
              <w:instrText xml:space="preserve"> PAGEREF _Toc121411707 \h </w:instrText>
            </w:r>
            <w:r w:rsidR="004F47F5">
              <w:rPr>
                <w:noProof/>
                <w:sz w:val="24"/>
                <w:szCs w:val="24"/>
              </w:rPr>
            </w:r>
            <w:r w:rsidR="004F47F5">
              <w:rPr>
                <w:noProof/>
                <w:sz w:val="24"/>
                <w:szCs w:val="24"/>
              </w:rPr>
              <w:fldChar w:fldCharType="separate"/>
            </w:r>
            <w:r w:rsidR="00497E99">
              <w:rPr>
                <w:noProof/>
                <w:sz w:val="24"/>
                <w:szCs w:val="24"/>
              </w:rPr>
              <w:t>34</w:t>
            </w:r>
            <w:r w:rsidR="004F47F5">
              <w:rPr>
                <w:noProof/>
                <w:sz w:val="24"/>
                <w:szCs w:val="24"/>
              </w:rPr>
              <w:fldChar w:fldCharType="end"/>
            </w:r>
          </w:hyperlink>
        </w:p>
        <w:p w14:paraId="1DAE4659" w14:textId="261F1D47" w:rsidR="00D12939" w:rsidRDefault="00747ECF">
          <w:pPr>
            <w:pStyle w:val="25"/>
            <w:tabs>
              <w:tab w:val="right" w:leader="dot" w:pos="9736"/>
            </w:tabs>
            <w:spacing w:line="360" w:lineRule="auto"/>
            <w:ind w:firstLine="400"/>
            <w:rPr>
              <w:smallCaps w:val="0"/>
              <w:noProof/>
              <w:sz w:val="24"/>
              <w:szCs w:val="24"/>
            </w:rPr>
          </w:pPr>
          <w:hyperlink w:anchor="_Toc121411708" w:history="1">
            <w:r w:rsidR="004F47F5">
              <w:rPr>
                <w:rStyle w:val="affff"/>
                <w:noProof/>
                <w:sz w:val="24"/>
                <w:szCs w:val="24"/>
              </w:rPr>
              <w:t>3.1</w:t>
            </w:r>
            <w:r w:rsidR="004F47F5">
              <w:rPr>
                <w:rStyle w:val="affff"/>
                <w:noProof/>
                <w:sz w:val="24"/>
                <w:szCs w:val="24"/>
              </w:rPr>
              <w:t>建设项目概况</w:t>
            </w:r>
            <w:r w:rsidR="004F47F5">
              <w:rPr>
                <w:noProof/>
                <w:sz w:val="24"/>
                <w:szCs w:val="24"/>
              </w:rPr>
              <w:tab/>
            </w:r>
            <w:r w:rsidR="004F47F5">
              <w:rPr>
                <w:noProof/>
                <w:sz w:val="24"/>
                <w:szCs w:val="24"/>
              </w:rPr>
              <w:fldChar w:fldCharType="begin"/>
            </w:r>
            <w:r w:rsidR="004F47F5">
              <w:rPr>
                <w:noProof/>
                <w:sz w:val="24"/>
                <w:szCs w:val="24"/>
              </w:rPr>
              <w:instrText xml:space="preserve"> PAGEREF _Toc121411708 \h </w:instrText>
            </w:r>
            <w:r w:rsidR="004F47F5">
              <w:rPr>
                <w:noProof/>
                <w:sz w:val="24"/>
                <w:szCs w:val="24"/>
              </w:rPr>
            </w:r>
            <w:r w:rsidR="004F47F5">
              <w:rPr>
                <w:noProof/>
                <w:sz w:val="24"/>
                <w:szCs w:val="24"/>
              </w:rPr>
              <w:fldChar w:fldCharType="separate"/>
            </w:r>
            <w:r w:rsidR="00497E99">
              <w:rPr>
                <w:noProof/>
                <w:sz w:val="24"/>
                <w:szCs w:val="24"/>
              </w:rPr>
              <w:t>34</w:t>
            </w:r>
            <w:r w:rsidR="004F47F5">
              <w:rPr>
                <w:noProof/>
                <w:sz w:val="24"/>
                <w:szCs w:val="24"/>
              </w:rPr>
              <w:fldChar w:fldCharType="end"/>
            </w:r>
          </w:hyperlink>
        </w:p>
        <w:p w14:paraId="41CD7962" w14:textId="77BC35E9" w:rsidR="00D12939" w:rsidRDefault="00747ECF">
          <w:pPr>
            <w:pStyle w:val="25"/>
            <w:tabs>
              <w:tab w:val="right" w:leader="dot" w:pos="9736"/>
            </w:tabs>
            <w:spacing w:line="360" w:lineRule="auto"/>
            <w:ind w:firstLine="400"/>
            <w:rPr>
              <w:smallCaps w:val="0"/>
              <w:noProof/>
              <w:sz w:val="24"/>
              <w:szCs w:val="24"/>
            </w:rPr>
          </w:pPr>
          <w:hyperlink w:anchor="_Toc121411709" w:history="1">
            <w:r w:rsidR="004F47F5">
              <w:rPr>
                <w:rStyle w:val="affff"/>
                <w:noProof/>
                <w:sz w:val="24"/>
                <w:szCs w:val="24"/>
              </w:rPr>
              <w:t>3.2</w:t>
            </w:r>
            <w:r w:rsidR="004F47F5">
              <w:rPr>
                <w:rStyle w:val="affff"/>
                <w:noProof/>
                <w:sz w:val="24"/>
                <w:szCs w:val="24"/>
              </w:rPr>
              <w:t>项目组成</w:t>
            </w:r>
            <w:r w:rsidR="004F47F5">
              <w:rPr>
                <w:noProof/>
                <w:sz w:val="24"/>
                <w:szCs w:val="24"/>
              </w:rPr>
              <w:tab/>
            </w:r>
            <w:r w:rsidR="004F47F5">
              <w:rPr>
                <w:noProof/>
                <w:sz w:val="24"/>
                <w:szCs w:val="24"/>
              </w:rPr>
              <w:fldChar w:fldCharType="begin"/>
            </w:r>
            <w:r w:rsidR="004F47F5">
              <w:rPr>
                <w:noProof/>
                <w:sz w:val="24"/>
                <w:szCs w:val="24"/>
              </w:rPr>
              <w:instrText xml:space="preserve"> PAGEREF _Toc121411709 \h </w:instrText>
            </w:r>
            <w:r w:rsidR="004F47F5">
              <w:rPr>
                <w:noProof/>
                <w:sz w:val="24"/>
                <w:szCs w:val="24"/>
              </w:rPr>
            </w:r>
            <w:r w:rsidR="004F47F5">
              <w:rPr>
                <w:noProof/>
                <w:sz w:val="24"/>
                <w:szCs w:val="24"/>
              </w:rPr>
              <w:fldChar w:fldCharType="separate"/>
            </w:r>
            <w:r w:rsidR="00497E99">
              <w:rPr>
                <w:noProof/>
                <w:sz w:val="24"/>
                <w:szCs w:val="24"/>
              </w:rPr>
              <w:t>35</w:t>
            </w:r>
            <w:r w:rsidR="004F47F5">
              <w:rPr>
                <w:noProof/>
                <w:sz w:val="24"/>
                <w:szCs w:val="24"/>
              </w:rPr>
              <w:fldChar w:fldCharType="end"/>
            </w:r>
          </w:hyperlink>
        </w:p>
        <w:p w14:paraId="02B66F29" w14:textId="17E7A4CA" w:rsidR="00D12939" w:rsidRDefault="00747ECF">
          <w:pPr>
            <w:pStyle w:val="25"/>
            <w:tabs>
              <w:tab w:val="right" w:leader="dot" w:pos="9736"/>
            </w:tabs>
            <w:spacing w:line="360" w:lineRule="auto"/>
            <w:ind w:firstLine="400"/>
            <w:rPr>
              <w:smallCaps w:val="0"/>
              <w:noProof/>
              <w:sz w:val="24"/>
              <w:szCs w:val="24"/>
            </w:rPr>
          </w:pPr>
          <w:hyperlink w:anchor="_Toc121411710" w:history="1">
            <w:r w:rsidR="004F47F5">
              <w:rPr>
                <w:rStyle w:val="affff"/>
                <w:noProof/>
                <w:sz w:val="24"/>
                <w:szCs w:val="24"/>
              </w:rPr>
              <w:t>3.3</w:t>
            </w:r>
            <w:r w:rsidR="004F47F5">
              <w:rPr>
                <w:rStyle w:val="affff"/>
                <w:noProof/>
                <w:sz w:val="24"/>
                <w:szCs w:val="24"/>
              </w:rPr>
              <w:t>垃圾收运范围、产生量及入厂要求</w:t>
            </w:r>
            <w:r w:rsidR="004F47F5">
              <w:rPr>
                <w:noProof/>
                <w:sz w:val="24"/>
                <w:szCs w:val="24"/>
              </w:rPr>
              <w:tab/>
            </w:r>
            <w:r w:rsidR="004F47F5">
              <w:rPr>
                <w:noProof/>
                <w:sz w:val="24"/>
                <w:szCs w:val="24"/>
              </w:rPr>
              <w:fldChar w:fldCharType="begin"/>
            </w:r>
            <w:r w:rsidR="004F47F5">
              <w:rPr>
                <w:noProof/>
                <w:sz w:val="24"/>
                <w:szCs w:val="24"/>
              </w:rPr>
              <w:instrText xml:space="preserve"> PAGEREF _Toc121411710 \h </w:instrText>
            </w:r>
            <w:r w:rsidR="004F47F5">
              <w:rPr>
                <w:noProof/>
                <w:sz w:val="24"/>
                <w:szCs w:val="24"/>
              </w:rPr>
            </w:r>
            <w:r w:rsidR="004F47F5">
              <w:rPr>
                <w:noProof/>
                <w:sz w:val="24"/>
                <w:szCs w:val="24"/>
              </w:rPr>
              <w:fldChar w:fldCharType="separate"/>
            </w:r>
            <w:r w:rsidR="00497E99">
              <w:rPr>
                <w:noProof/>
                <w:sz w:val="24"/>
                <w:szCs w:val="24"/>
              </w:rPr>
              <w:t>39</w:t>
            </w:r>
            <w:r w:rsidR="004F47F5">
              <w:rPr>
                <w:noProof/>
                <w:sz w:val="24"/>
                <w:szCs w:val="24"/>
              </w:rPr>
              <w:fldChar w:fldCharType="end"/>
            </w:r>
          </w:hyperlink>
        </w:p>
        <w:p w14:paraId="2BD3211B" w14:textId="7F17CAE4" w:rsidR="00D12939" w:rsidRDefault="00747ECF">
          <w:pPr>
            <w:pStyle w:val="25"/>
            <w:tabs>
              <w:tab w:val="right" w:leader="dot" w:pos="9736"/>
            </w:tabs>
            <w:spacing w:line="360" w:lineRule="auto"/>
            <w:ind w:firstLine="400"/>
            <w:rPr>
              <w:smallCaps w:val="0"/>
              <w:noProof/>
              <w:sz w:val="24"/>
              <w:szCs w:val="24"/>
            </w:rPr>
          </w:pPr>
          <w:hyperlink w:anchor="_Toc121411711" w:history="1">
            <w:r w:rsidR="004F47F5">
              <w:rPr>
                <w:rStyle w:val="affff"/>
                <w:noProof/>
                <w:sz w:val="24"/>
                <w:szCs w:val="24"/>
              </w:rPr>
              <w:t>3.4</w:t>
            </w:r>
            <w:r w:rsidR="004F47F5">
              <w:rPr>
                <w:rStyle w:val="affff"/>
                <w:noProof/>
                <w:sz w:val="24"/>
                <w:szCs w:val="24"/>
              </w:rPr>
              <w:t>原辅材料消耗</w:t>
            </w:r>
            <w:r w:rsidR="004F47F5">
              <w:rPr>
                <w:noProof/>
                <w:sz w:val="24"/>
                <w:szCs w:val="24"/>
              </w:rPr>
              <w:tab/>
            </w:r>
            <w:r w:rsidR="004F47F5">
              <w:rPr>
                <w:noProof/>
                <w:sz w:val="24"/>
                <w:szCs w:val="24"/>
              </w:rPr>
              <w:fldChar w:fldCharType="begin"/>
            </w:r>
            <w:r w:rsidR="004F47F5">
              <w:rPr>
                <w:noProof/>
                <w:sz w:val="24"/>
                <w:szCs w:val="24"/>
              </w:rPr>
              <w:instrText xml:space="preserve"> PAGEREF _Toc121411711 \h </w:instrText>
            </w:r>
            <w:r w:rsidR="004F47F5">
              <w:rPr>
                <w:noProof/>
                <w:sz w:val="24"/>
                <w:szCs w:val="24"/>
              </w:rPr>
            </w:r>
            <w:r w:rsidR="004F47F5">
              <w:rPr>
                <w:noProof/>
                <w:sz w:val="24"/>
                <w:szCs w:val="24"/>
              </w:rPr>
              <w:fldChar w:fldCharType="separate"/>
            </w:r>
            <w:r w:rsidR="00497E99">
              <w:rPr>
                <w:noProof/>
                <w:sz w:val="24"/>
                <w:szCs w:val="24"/>
              </w:rPr>
              <w:t>41</w:t>
            </w:r>
            <w:r w:rsidR="004F47F5">
              <w:rPr>
                <w:noProof/>
                <w:sz w:val="24"/>
                <w:szCs w:val="24"/>
              </w:rPr>
              <w:fldChar w:fldCharType="end"/>
            </w:r>
          </w:hyperlink>
        </w:p>
        <w:p w14:paraId="5DA9DEE7" w14:textId="0DA40396" w:rsidR="00D12939" w:rsidRDefault="00747ECF">
          <w:pPr>
            <w:pStyle w:val="25"/>
            <w:tabs>
              <w:tab w:val="right" w:leader="dot" w:pos="9736"/>
            </w:tabs>
            <w:spacing w:line="360" w:lineRule="auto"/>
            <w:ind w:firstLine="400"/>
            <w:rPr>
              <w:smallCaps w:val="0"/>
              <w:noProof/>
              <w:sz w:val="24"/>
              <w:szCs w:val="24"/>
            </w:rPr>
          </w:pPr>
          <w:hyperlink w:anchor="_Toc121411712" w:history="1">
            <w:r w:rsidR="004F47F5">
              <w:rPr>
                <w:rStyle w:val="affff"/>
                <w:noProof/>
                <w:sz w:val="24"/>
                <w:szCs w:val="24"/>
              </w:rPr>
              <w:t>3.5</w:t>
            </w:r>
            <w:r w:rsidR="004F47F5">
              <w:rPr>
                <w:rStyle w:val="affff"/>
                <w:noProof/>
                <w:sz w:val="24"/>
                <w:szCs w:val="24"/>
              </w:rPr>
              <w:t>主要设备</w:t>
            </w:r>
            <w:r w:rsidR="004F47F5">
              <w:rPr>
                <w:noProof/>
                <w:sz w:val="24"/>
                <w:szCs w:val="24"/>
              </w:rPr>
              <w:tab/>
            </w:r>
            <w:r w:rsidR="004F47F5">
              <w:rPr>
                <w:noProof/>
                <w:sz w:val="24"/>
                <w:szCs w:val="24"/>
              </w:rPr>
              <w:fldChar w:fldCharType="begin"/>
            </w:r>
            <w:r w:rsidR="004F47F5">
              <w:rPr>
                <w:noProof/>
                <w:sz w:val="24"/>
                <w:szCs w:val="24"/>
              </w:rPr>
              <w:instrText xml:space="preserve"> PAGEREF _Toc121411712 \h </w:instrText>
            </w:r>
            <w:r w:rsidR="004F47F5">
              <w:rPr>
                <w:noProof/>
                <w:sz w:val="24"/>
                <w:szCs w:val="24"/>
              </w:rPr>
            </w:r>
            <w:r w:rsidR="004F47F5">
              <w:rPr>
                <w:noProof/>
                <w:sz w:val="24"/>
                <w:szCs w:val="24"/>
              </w:rPr>
              <w:fldChar w:fldCharType="separate"/>
            </w:r>
            <w:r w:rsidR="00497E99">
              <w:rPr>
                <w:noProof/>
                <w:sz w:val="24"/>
                <w:szCs w:val="24"/>
              </w:rPr>
              <w:t>41</w:t>
            </w:r>
            <w:r w:rsidR="004F47F5">
              <w:rPr>
                <w:noProof/>
                <w:sz w:val="24"/>
                <w:szCs w:val="24"/>
              </w:rPr>
              <w:fldChar w:fldCharType="end"/>
            </w:r>
          </w:hyperlink>
        </w:p>
        <w:p w14:paraId="58D92972" w14:textId="3AEC3583" w:rsidR="00D12939" w:rsidRDefault="00747ECF">
          <w:pPr>
            <w:pStyle w:val="25"/>
            <w:tabs>
              <w:tab w:val="right" w:leader="dot" w:pos="9736"/>
            </w:tabs>
            <w:spacing w:line="360" w:lineRule="auto"/>
            <w:ind w:firstLine="400"/>
            <w:rPr>
              <w:smallCaps w:val="0"/>
              <w:noProof/>
              <w:sz w:val="24"/>
              <w:szCs w:val="24"/>
            </w:rPr>
          </w:pPr>
          <w:hyperlink w:anchor="_Toc121411713" w:history="1">
            <w:r w:rsidR="004F47F5">
              <w:rPr>
                <w:rStyle w:val="affff"/>
                <w:noProof/>
                <w:sz w:val="24"/>
                <w:szCs w:val="24"/>
              </w:rPr>
              <w:t>3.6</w:t>
            </w:r>
            <w:r w:rsidR="004F47F5">
              <w:rPr>
                <w:rStyle w:val="affff"/>
                <w:noProof/>
                <w:sz w:val="24"/>
                <w:szCs w:val="24"/>
              </w:rPr>
              <w:t>填埋场工程建设内容</w:t>
            </w:r>
            <w:r w:rsidR="004F47F5">
              <w:rPr>
                <w:noProof/>
                <w:sz w:val="24"/>
                <w:szCs w:val="24"/>
              </w:rPr>
              <w:tab/>
            </w:r>
            <w:r w:rsidR="004F47F5">
              <w:rPr>
                <w:noProof/>
                <w:sz w:val="24"/>
                <w:szCs w:val="24"/>
              </w:rPr>
              <w:fldChar w:fldCharType="begin"/>
            </w:r>
            <w:r w:rsidR="004F47F5">
              <w:rPr>
                <w:noProof/>
                <w:sz w:val="24"/>
                <w:szCs w:val="24"/>
              </w:rPr>
              <w:instrText xml:space="preserve"> PAGEREF _Toc121411713 \h </w:instrText>
            </w:r>
            <w:r w:rsidR="004F47F5">
              <w:rPr>
                <w:noProof/>
                <w:sz w:val="24"/>
                <w:szCs w:val="24"/>
              </w:rPr>
            </w:r>
            <w:r w:rsidR="004F47F5">
              <w:rPr>
                <w:noProof/>
                <w:sz w:val="24"/>
                <w:szCs w:val="24"/>
              </w:rPr>
              <w:fldChar w:fldCharType="separate"/>
            </w:r>
            <w:r w:rsidR="00497E99">
              <w:rPr>
                <w:noProof/>
                <w:sz w:val="24"/>
                <w:szCs w:val="24"/>
              </w:rPr>
              <w:t>42</w:t>
            </w:r>
            <w:r w:rsidR="004F47F5">
              <w:rPr>
                <w:noProof/>
                <w:sz w:val="24"/>
                <w:szCs w:val="24"/>
              </w:rPr>
              <w:fldChar w:fldCharType="end"/>
            </w:r>
          </w:hyperlink>
        </w:p>
        <w:p w14:paraId="1E17D8FA" w14:textId="7ACDED9A" w:rsidR="00D12939" w:rsidRDefault="00747ECF">
          <w:pPr>
            <w:pStyle w:val="25"/>
            <w:tabs>
              <w:tab w:val="right" w:leader="dot" w:pos="9736"/>
            </w:tabs>
            <w:spacing w:line="360" w:lineRule="auto"/>
            <w:ind w:firstLine="400"/>
            <w:rPr>
              <w:smallCaps w:val="0"/>
              <w:noProof/>
              <w:sz w:val="24"/>
              <w:szCs w:val="24"/>
            </w:rPr>
          </w:pPr>
          <w:hyperlink w:anchor="_Toc121411722" w:history="1">
            <w:r w:rsidR="004F47F5">
              <w:rPr>
                <w:rStyle w:val="affff"/>
                <w:noProof/>
                <w:sz w:val="24"/>
                <w:szCs w:val="24"/>
              </w:rPr>
              <w:t>3.7</w:t>
            </w:r>
            <w:r w:rsidR="004F47F5">
              <w:rPr>
                <w:rStyle w:val="affff"/>
                <w:noProof/>
                <w:sz w:val="24"/>
                <w:szCs w:val="24"/>
              </w:rPr>
              <w:t>公用工程</w:t>
            </w:r>
            <w:r w:rsidR="004F47F5">
              <w:rPr>
                <w:noProof/>
                <w:sz w:val="24"/>
                <w:szCs w:val="24"/>
              </w:rPr>
              <w:tab/>
            </w:r>
            <w:r w:rsidR="004F47F5">
              <w:rPr>
                <w:noProof/>
                <w:sz w:val="24"/>
                <w:szCs w:val="24"/>
              </w:rPr>
              <w:fldChar w:fldCharType="begin"/>
            </w:r>
            <w:r w:rsidR="004F47F5">
              <w:rPr>
                <w:noProof/>
                <w:sz w:val="24"/>
                <w:szCs w:val="24"/>
              </w:rPr>
              <w:instrText xml:space="preserve"> PAGEREF _Toc121411722 \h </w:instrText>
            </w:r>
            <w:r w:rsidR="004F47F5">
              <w:rPr>
                <w:noProof/>
                <w:sz w:val="24"/>
                <w:szCs w:val="24"/>
              </w:rPr>
            </w:r>
            <w:r w:rsidR="004F47F5">
              <w:rPr>
                <w:noProof/>
                <w:sz w:val="24"/>
                <w:szCs w:val="24"/>
              </w:rPr>
              <w:fldChar w:fldCharType="separate"/>
            </w:r>
            <w:r w:rsidR="00497E99">
              <w:rPr>
                <w:noProof/>
                <w:sz w:val="24"/>
                <w:szCs w:val="24"/>
              </w:rPr>
              <w:t>52</w:t>
            </w:r>
            <w:r w:rsidR="004F47F5">
              <w:rPr>
                <w:noProof/>
                <w:sz w:val="24"/>
                <w:szCs w:val="24"/>
              </w:rPr>
              <w:fldChar w:fldCharType="end"/>
            </w:r>
          </w:hyperlink>
        </w:p>
        <w:p w14:paraId="13EBAB24" w14:textId="18CAFCC2" w:rsidR="00D12939" w:rsidRDefault="00747ECF">
          <w:pPr>
            <w:pStyle w:val="25"/>
            <w:tabs>
              <w:tab w:val="right" w:leader="dot" w:pos="9736"/>
            </w:tabs>
            <w:spacing w:line="360" w:lineRule="auto"/>
            <w:ind w:firstLine="400"/>
            <w:rPr>
              <w:smallCaps w:val="0"/>
              <w:noProof/>
              <w:sz w:val="24"/>
              <w:szCs w:val="24"/>
            </w:rPr>
          </w:pPr>
          <w:hyperlink w:anchor="_Toc121411723" w:history="1">
            <w:r w:rsidR="004F47F5">
              <w:rPr>
                <w:rStyle w:val="affff"/>
                <w:noProof/>
                <w:sz w:val="24"/>
                <w:szCs w:val="24"/>
              </w:rPr>
              <w:t>3.8</w:t>
            </w:r>
            <w:r w:rsidR="004F47F5">
              <w:rPr>
                <w:rStyle w:val="affff"/>
                <w:noProof/>
                <w:sz w:val="24"/>
                <w:szCs w:val="24"/>
              </w:rPr>
              <w:t>土石方平衡</w:t>
            </w:r>
            <w:r w:rsidR="004F47F5">
              <w:rPr>
                <w:noProof/>
                <w:sz w:val="24"/>
                <w:szCs w:val="24"/>
              </w:rPr>
              <w:tab/>
            </w:r>
            <w:r w:rsidR="004F47F5">
              <w:rPr>
                <w:noProof/>
                <w:sz w:val="24"/>
                <w:szCs w:val="24"/>
              </w:rPr>
              <w:fldChar w:fldCharType="begin"/>
            </w:r>
            <w:r w:rsidR="004F47F5">
              <w:rPr>
                <w:noProof/>
                <w:sz w:val="24"/>
                <w:szCs w:val="24"/>
              </w:rPr>
              <w:instrText xml:space="preserve"> PAGEREF _Toc121411723 \h </w:instrText>
            </w:r>
            <w:r w:rsidR="004F47F5">
              <w:rPr>
                <w:noProof/>
                <w:sz w:val="24"/>
                <w:szCs w:val="24"/>
              </w:rPr>
            </w:r>
            <w:r w:rsidR="004F47F5">
              <w:rPr>
                <w:noProof/>
                <w:sz w:val="24"/>
                <w:szCs w:val="24"/>
              </w:rPr>
              <w:fldChar w:fldCharType="separate"/>
            </w:r>
            <w:r w:rsidR="00497E99">
              <w:rPr>
                <w:noProof/>
                <w:sz w:val="24"/>
                <w:szCs w:val="24"/>
              </w:rPr>
              <w:t>54</w:t>
            </w:r>
            <w:r w:rsidR="004F47F5">
              <w:rPr>
                <w:noProof/>
                <w:sz w:val="24"/>
                <w:szCs w:val="24"/>
              </w:rPr>
              <w:fldChar w:fldCharType="end"/>
            </w:r>
          </w:hyperlink>
        </w:p>
        <w:p w14:paraId="53114005" w14:textId="06AB50ED" w:rsidR="00D12939" w:rsidRDefault="00747ECF">
          <w:pPr>
            <w:pStyle w:val="25"/>
            <w:tabs>
              <w:tab w:val="right" w:leader="dot" w:pos="9736"/>
            </w:tabs>
            <w:spacing w:line="360" w:lineRule="auto"/>
            <w:ind w:firstLine="400"/>
            <w:rPr>
              <w:smallCaps w:val="0"/>
              <w:noProof/>
              <w:sz w:val="24"/>
              <w:szCs w:val="24"/>
            </w:rPr>
          </w:pPr>
          <w:hyperlink w:anchor="_Toc121411724" w:history="1">
            <w:r w:rsidR="004F47F5">
              <w:rPr>
                <w:rStyle w:val="affff"/>
                <w:noProof/>
                <w:sz w:val="24"/>
                <w:szCs w:val="24"/>
              </w:rPr>
              <w:t>3.9</w:t>
            </w:r>
            <w:r w:rsidR="004F47F5">
              <w:rPr>
                <w:rStyle w:val="affff"/>
                <w:noProof/>
                <w:sz w:val="24"/>
                <w:szCs w:val="24"/>
              </w:rPr>
              <w:t>总平面布置</w:t>
            </w:r>
            <w:r w:rsidR="004F47F5">
              <w:rPr>
                <w:noProof/>
                <w:sz w:val="24"/>
                <w:szCs w:val="24"/>
              </w:rPr>
              <w:tab/>
            </w:r>
            <w:r w:rsidR="004F47F5">
              <w:rPr>
                <w:noProof/>
                <w:sz w:val="24"/>
                <w:szCs w:val="24"/>
              </w:rPr>
              <w:fldChar w:fldCharType="begin"/>
            </w:r>
            <w:r w:rsidR="004F47F5">
              <w:rPr>
                <w:noProof/>
                <w:sz w:val="24"/>
                <w:szCs w:val="24"/>
              </w:rPr>
              <w:instrText xml:space="preserve"> PAGEREF _Toc121411724 \h </w:instrText>
            </w:r>
            <w:r w:rsidR="004F47F5">
              <w:rPr>
                <w:noProof/>
                <w:sz w:val="24"/>
                <w:szCs w:val="24"/>
              </w:rPr>
            </w:r>
            <w:r w:rsidR="004F47F5">
              <w:rPr>
                <w:noProof/>
                <w:sz w:val="24"/>
                <w:szCs w:val="24"/>
              </w:rPr>
              <w:fldChar w:fldCharType="separate"/>
            </w:r>
            <w:r w:rsidR="00497E99">
              <w:rPr>
                <w:noProof/>
                <w:sz w:val="24"/>
                <w:szCs w:val="24"/>
              </w:rPr>
              <w:t>54</w:t>
            </w:r>
            <w:r w:rsidR="004F47F5">
              <w:rPr>
                <w:noProof/>
                <w:sz w:val="24"/>
                <w:szCs w:val="24"/>
              </w:rPr>
              <w:fldChar w:fldCharType="end"/>
            </w:r>
          </w:hyperlink>
        </w:p>
        <w:p w14:paraId="57D1E5A5" w14:textId="08EA1505" w:rsidR="00D12939" w:rsidRDefault="00747ECF">
          <w:pPr>
            <w:pStyle w:val="25"/>
            <w:tabs>
              <w:tab w:val="right" w:leader="dot" w:pos="9736"/>
            </w:tabs>
            <w:spacing w:line="360" w:lineRule="auto"/>
            <w:ind w:firstLine="400"/>
            <w:rPr>
              <w:smallCaps w:val="0"/>
              <w:noProof/>
              <w:sz w:val="24"/>
              <w:szCs w:val="24"/>
            </w:rPr>
          </w:pPr>
          <w:hyperlink w:anchor="_Toc121411725" w:history="1">
            <w:r w:rsidR="004F47F5">
              <w:rPr>
                <w:rStyle w:val="affff"/>
                <w:noProof/>
                <w:sz w:val="24"/>
                <w:szCs w:val="24"/>
              </w:rPr>
              <w:t>3.10</w:t>
            </w:r>
            <w:r w:rsidR="004F47F5">
              <w:rPr>
                <w:rStyle w:val="affff"/>
                <w:noProof/>
                <w:sz w:val="24"/>
                <w:szCs w:val="24"/>
              </w:rPr>
              <w:t>劳动定员与工作制度</w:t>
            </w:r>
            <w:r w:rsidR="004F47F5">
              <w:rPr>
                <w:noProof/>
                <w:sz w:val="24"/>
                <w:szCs w:val="24"/>
              </w:rPr>
              <w:tab/>
            </w:r>
            <w:r w:rsidR="004F47F5">
              <w:rPr>
                <w:noProof/>
                <w:sz w:val="24"/>
                <w:szCs w:val="24"/>
              </w:rPr>
              <w:fldChar w:fldCharType="begin"/>
            </w:r>
            <w:r w:rsidR="004F47F5">
              <w:rPr>
                <w:noProof/>
                <w:sz w:val="24"/>
                <w:szCs w:val="24"/>
              </w:rPr>
              <w:instrText xml:space="preserve"> PAGEREF _Toc121411725 \h </w:instrText>
            </w:r>
            <w:r w:rsidR="004F47F5">
              <w:rPr>
                <w:noProof/>
                <w:sz w:val="24"/>
                <w:szCs w:val="24"/>
              </w:rPr>
            </w:r>
            <w:r w:rsidR="004F47F5">
              <w:rPr>
                <w:noProof/>
                <w:sz w:val="24"/>
                <w:szCs w:val="24"/>
              </w:rPr>
              <w:fldChar w:fldCharType="separate"/>
            </w:r>
            <w:r w:rsidR="00497E99">
              <w:rPr>
                <w:noProof/>
                <w:sz w:val="24"/>
                <w:szCs w:val="24"/>
              </w:rPr>
              <w:t>55</w:t>
            </w:r>
            <w:r w:rsidR="004F47F5">
              <w:rPr>
                <w:noProof/>
                <w:sz w:val="24"/>
                <w:szCs w:val="24"/>
              </w:rPr>
              <w:fldChar w:fldCharType="end"/>
            </w:r>
          </w:hyperlink>
        </w:p>
        <w:p w14:paraId="2A63BF03" w14:textId="6AB44EC7" w:rsidR="00D12939" w:rsidRDefault="00747ECF">
          <w:pPr>
            <w:pStyle w:val="25"/>
            <w:tabs>
              <w:tab w:val="right" w:leader="dot" w:pos="9736"/>
            </w:tabs>
            <w:spacing w:line="360" w:lineRule="auto"/>
            <w:ind w:firstLine="400"/>
            <w:rPr>
              <w:smallCaps w:val="0"/>
              <w:noProof/>
              <w:sz w:val="24"/>
              <w:szCs w:val="24"/>
            </w:rPr>
          </w:pPr>
          <w:hyperlink w:anchor="_Toc121411726" w:history="1">
            <w:r w:rsidR="004F47F5">
              <w:rPr>
                <w:rStyle w:val="affff"/>
                <w:noProof/>
                <w:sz w:val="24"/>
                <w:szCs w:val="24"/>
              </w:rPr>
              <w:t>3.11</w:t>
            </w:r>
            <w:r w:rsidR="004F47F5">
              <w:rPr>
                <w:rStyle w:val="affff"/>
                <w:noProof/>
                <w:sz w:val="24"/>
                <w:szCs w:val="24"/>
              </w:rPr>
              <w:t>工程主要技术经济指标</w:t>
            </w:r>
            <w:r w:rsidR="004F47F5">
              <w:rPr>
                <w:noProof/>
                <w:sz w:val="24"/>
                <w:szCs w:val="24"/>
              </w:rPr>
              <w:tab/>
            </w:r>
            <w:r w:rsidR="004F47F5">
              <w:rPr>
                <w:noProof/>
                <w:sz w:val="24"/>
                <w:szCs w:val="24"/>
              </w:rPr>
              <w:fldChar w:fldCharType="begin"/>
            </w:r>
            <w:r w:rsidR="004F47F5">
              <w:rPr>
                <w:noProof/>
                <w:sz w:val="24"/>
                <w:szCs w:val="24"/>
              </w:rPr>
              <w:instrText xml:space="preserve"> PAGEREF _Toc121411726 \h </w:instrText>
            </w:r>
            <w:r w:rsidR="004F47F5">
              <w:rPr>
                <w:noProof/>
                <w:sz w:val="24"/>
                <w:szCs w:val="24"/>
              </w:rPr>
            </w:r>
            <w:r w:rsidR="004F47F5">
              <w:rPr>
                <w:noProof/>
                <w:sz w:val="24"/>
                <w:szCs w:val="24"/>
              </w:rPr>
              <w:fldChar w:fldCharType="separate"/>
            </w:r>
            <w:r w:rsidR="00497E99">
              <w:rPr>
                <w:noProof/>
                <w:sz w:val="24"/>
                <w:szCs w:val="24"/>
              </w:rPr>
              <w:t>55</w:t>
            </w:r>
            <w:r w:rsidR="004F47F5">
              <w:rPr>
                <w:noProof/>
                <w:sz w:val="24"/>
                <w:szCs w:val="24"/>
              </w:rPr>
              <w:fldChar w:fldCharType="end"/>
            </w:r>
          </w:hyperlink>
        </w:p>
        <w:p w14:paraId="4FA3A849" w14:textId="696C3F8D" w:rsidR="00D12939" w:rsidRDefault="00747ECF">
          <w:pPr>
            <w:pStyle w:val="15"/>
            <w:tabs>
              <w:tab w:val="right" w:leader="dot" w:pos="9736"/>
            </w:tabs>
            <w:spacing w:line="360" w:lineRule="auto"/>
            <w:ind w:firstLine="402"/>
            <w:rPr>
              <w:b w:val="0"/>
              <w:bCs w:val="0"/>
              <w:caps w:val="0"/>
              <w:noProof/>
              <w:sz w:val="24"/>
              <w:szCs w:val="24"/>
            </w:rPr>
          </w:pPr>
          <w:hyperlink w:anchor="_Toc121411727" w:history="1">
            <w:r w:rsidR="004F47F5">
              <w:rPr>
                <w:rStyle w:val="affff"/>
                <w:noProof/>
                <w:sz w:val="24"/>
                <w:szCs w:val="24"/>
              </w:rPr>
              <w:t xml:space="preserve">4 </w:t>
            </w:r>
            <w:r w:rsidR="004F47F5">
              <w:rPr>
                <w:rStyle w:val="affff"/>
                <w:noProof/>
                <w:sz w:val="24"/>
                <w:szCs w:val="24"/>
              </w:rPr>
              <w:t>工程分析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_Toc121411727 \h </w:instrText>
            </w:r>
            <w:r w:rsidR="004F47F5">
              <w:rPr>
                <w:noProof/>
                <w:sz w:val="24"/>
                <w:szCs w:val="24"/>
              </w:rPr>
            </w:r>
            <w:r w:rsidR="004F47F5">
              <w:rPr>
                <w:noProof/>
                <w:sz w:val="24"/>
                <w:szCs w:val="24"/>
              </w:rPr>
              <w:fldChar w:fldCharType="separate"/>
            </w:r>
            <w:r w:rsidR="00497E99">
              <w:rPr>
                <w:noProof/>
                <w:sz w:val="24"/>
                <w:szCs w:val="24"/>
              </w:rPr>
              <w:t>56</w:t>
            </w:r>
            <w:r w:rsidR="004F47F5">
              <w:rPr>
                <w:noProof/>
                <w:sz w:val="24"/>
                <w:szCs w:val="24"/>
              </w:rPr>
              <w:fldChar w:fldCharType="end"/>
            </w:r>
          </w:hyperlink>
        </w:p>
        <w:p w14:paraId="547BDC53" w14:textId="37292F72" w:rsidR="00D12939" w:rsidRDefault="00747ECF">
          <w:pPr>
            <w:pStyle w:val="25"/>
            <w:tabs>
              <w:tab w:val="right" w:leader="dot" w:pos="9736"/>
            </w:tabs>
            <w:spacing w:line="360" w:lineRule="auto"/>
            <w:ind w:firstLine="400"/>
            <w:rPr>
              <w:smallCaps w:val="0"/>
              <w:noProof/>
              <w:sz w:val="24"/>
              <w:szCs w:val="24"/>
            </w:rPr>
          </w:pPr>
          <w:hyperlink w:anchor="_Toc121411728" w:history="1">
            <w:r w:rsidR="004F47F5">
              <w:rPr>
                <w:rStyle w:val="affff"/>
                <w:noProof/>
                <w:sz w:val="24"/>
                <w:szCs w:val="24"/>
              </w:rPr>
              <w:t>4.1</w:t>
            </w:r>
            <w:r w:rsidR="004F47F5">
              <w:rPr>
                <w:rStyle w:val="affff"/>
                <w:noProof/>
                <w:sz w:val="24"/>
                <w:szCs w:val="24"/>
              </w:rPr>
              <w:t>施工期工程分析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_Toc121411728 \h </w:instrText>
            </w:r>
            <w:r w:rsidR="004F47F5">
              <w:rPr>
                <w:noProof/>
                <w:sz w:val="24"/>
                <w:szCs w:val="24"/>
              </w:rPr>
            </w:r>
            <w:r w:rsidR="004F47F5">
              <w:rPr>
                <w:noProof/>
                <w:sz w:val="24"/>
                <w:szCs w:val="24"/>
              </w:rPr>
              <w:fldChar w:fldCharType="separate"/>
            </w:r>
            <w:r w:rsidR="00497E99">
              <w:rPr>
                <w:noProof/>
                <w:sz w:val="24"/>
                <w:szCs w:val="24"/>
              </w:rPr>
              <w:t>56</w:t>
            </w:r>
            <w:r w:rsidR="004F47F5">
              <w:rPr>
                <w:noProof/>
                <w:sz w:val="24"/>
                <w:szCs w:val="24"/>
              </w:rPr>
              <w:fldChar w:fldCharType="end"/>
            </w:r>
          </w:hyperlink>
        </w:p>
        <w:p w14:paraId="2EC033E5" w14:textId="2D0959D7" w:rsidR="00D12939" w:rsidRDefault="00747ECF">
          <w:pPr>
            <w:pStyle w:val="25"/>
            <w:tabs>
              <w:tab w:val="right" w:leader="dot" w:pos="9736"/>
            </w:tabs>
            <w:spacing w:line="360" w:lineRule="auto"/>
            <w:ind w:firstLine="400"/>
            <w:rPr>
              <w:smallCaps w:val="0"/>
              <w:noProof/>
              <w:sz w:val="24"/>
              <w:szCs w:val="24"/>
            </w:rPr>
          </w:pPr>
          <w:hyperlink w:anchor="_Toc121411731" w:history="1">
            <w:r w:rsidR="004F47F5">
              <w:rPr>
                <w:rStyle w:val="affff"/>
                <w:noProof/>
                <w:sz w:val="24"/>
                <w:szCs w:val="24"/>
              </w:rPr>
              <w:t>4.2</w:t>
            </w:r>
            <w:r w:rsidR="004F47F5">
              <w:rPr>
                <w:rStyle w:val="affff"/>
                <w:noProof/>
                <w:sz w:val="24"/>
                <w:szCs w:val="24"/>
              </w:rPr>
              <w:t>运营期工程分析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_Toc121411731 \h </w:instrText>
            </w:r>
            <w:r w:rsidR="004F47F5">
              <w:rPr>
                <w:noProof/>
                <w:sz w:val="24"/>
                <w:szCs w:val="24"/>
              </w:rPr>
            </w:r>
            <w:r w:rsidR="004F47F5">
              <w:rPr>
                <w:noProof/>
                <w:sz w:val="24"/>
                <w:szCs w:val="24"/>
              </w:rPr>
              <w:fldChar w:fldCharType="separate"/>
            </w:r>
            <w:r w:rsidR="00497E99">
              <w:rPr>
                <w:noProof/>
                <w:sz w:val="24"/>
                <w:szCs w:val="24"/>
              </w:rPr>
              <w:t>58</w:t>
            </w:r>
            <w:r w:rsidR="004F47F5">
              <w:rPr>
                <w:noProof/>
                <w:sz w:val="24"/>
                <w:szCs w:val="24"/>
              </w:rPr>
              <w:fldChar w:fldCharType="end"/>
            </w:r>
          </w:hyperlink>
        </w:p>
        <w:p w14:paraId="1E93A692" w14:textId="53A0F4EA" w:rsidR="00D12939" w:rsidRDefault="00747ECF">
          <w:pPr>
            <w:pStyle w:val="25"/>
            <w:tabs>
              <w:tab w:val="right" w:leader="dot" w:pos="9736"/>
            </w:tabs>
            <w:spacing w:line="360" w:lineRule="auto"/>
            <w:ind w:firstLine="400"/>
            <w:rPr>
              <w:smallCaps w:val="0"/>
              <w:noProof/>
              <w:sz w:val="24"/>
              <w:szCs w:val="24"/>
            </w:rPr>
          </w:pPr>
          <w:hyperlink w:anchor="_Toc121411734" w:history="1">
            <w:r w:rsidR="004F47F5">
              <w:rPr>
                <w:rStyle w:val="affff"/>
                <w:noProof/>
                <w:sz w:val="24"/>
                <w:szCs w:val="24"/>
              </w:rPr>
              <w:t>4.3</w:t>
            </w:r>
            <w:r w:rsidR="004F47F5">
              <w:rPr>
                <w:rStyle w:val="affff"/>
                <w:noProof/>
                <w:sz w:val="24"/>
                <w:szCs w:val="24"/>
              </w:rPr>
              <w:t>封场期</w:t>
            </w:r>
            <w:r w:rsidR="004F47F5">
              <w:rPr>
                <w:noProof/>
                <w:sz w:val="24"/>
                <w:szCs w:val="24"/>
              </w:rPr>
              <w:tab/>
            </w:r>
            <w:r w:rsidR="004F47F5">
              <w:rPr>
                <w:noProof/>
                <w:sz w:val="24"/>
                <w:szCs w:val="24"/>
              </w:rPr>
              <w:fldChar w:fldCharType="begin"/>
            </w:r>
            <w:r w:rsidR="004F47F5">
              <w:rPr>
                <w:noProof/>
                <w:sz w:val="24"/>
                <w:szCs w:val="24"/>
              </w:rPr>
              <w:instrText xml:space="preserve"> PAGEREF _Toc121411734 \h </w:instrText>
            </w:r>
            <w:r w:rsidR="004F47F5">
              <w:rPr>
                <w:noProof/>
                <w:sz w:val="24"/>
                <w:szCs w:val="24"/>
              </w:rPr>
            </w:r>
            <w:r w:rsidR="004F47F5">
              <w:rPr>
                <w:noProof/>
                <w:sz w:val="24"/>
                <w:szCs w:val="24"/>
              </w:rPr>
              <w:fldChar w:fldCharType="separate"/>
            </w:r>
            <w:r w:rsidR="00497E99">
              <w:rPr>
                <w:noProof/>
                <w:sz w:val="24"/>
                <w:szCs w:val="24"/>
              </w:rPr>
              <w:t>73</w:t>
            </w:r>
            <w:r w:rsidR="004F47F5">
              <w:rPr>
                <w:noProof/>
                <w:sz w:val="24"/>
                <w:szCs w:val="24"/>
              </w:rPr>
              <w:fldChar w:fldCharType="end"/>
            </w:r>
          </w:hyperlink>
        </w:p>
        <w:p w14:paraId="2169E25E" w14:textId="24085328" w:rsidR="00D12939" w:rsidRDefault="00747ECF">
          <w:pPr>
            <w:pStyle w:val="25"/>
            <w:tabs>
              <w:tab w:val="right" w:leader="dot" w:pos="9736"/>
            </w:tabs>
            <w:spacing w:line="360" w:lineRule="auto"/>
            <w:ind w:firstLine="400"/>
            <w:rPr>
              <w:smallCaps w:val="0"/>
              <w:noProof/>
              <w:sz w:val="24"/>
              <w:szCs w:val="24"/>
            </w:rPr>
          </w:pPr>
          <w:hyperlink w:anchor="_Toc121411735" w:history="1">
            <w:r w:rsidR="004F47F5">
              <w:rPr>
                <w:rStyle w:val="affff"/>
                <w:noProof/>
                <w:sz w:val="24"/>
                <w:szCs w:val="24"/>
              </w:rPr>
              <w:t>4.4</w:t>
            </w:r>
            <w:r w:rsidR="004F47F5">
              <w:rPr>
                <w:rStyle w:val="affff"/>
                <w:noProof/>
                <w:sz w:val="24"/>
                <w:szCs w:val="24"/>
              </w:rPr>
              <w:t>非正常工况</w:t>
            </w:r>
            <w:r w:rsidR="004F47F5">
              <w:rPr>
                <w:noProof/>
                <w:sz w:val="24"/>
                <w:szCs w:val="24"/>
              </w:rPr>
              <w:tab/>
            </w:r>
            <w:r w:rsidR="004F47F5">
              <w:rPr>
                <w:noProof/>
                <w:sz w:val="24"/>
                <w:szCs w:val="24"/>
              </w:rPr>
              <w:fldChar w:fldCharType="begin"/>
            </w:r>
            <w:r w:rsidR="004F47F5">
              <w:rPr>
                <w:noProof/>
                <w:sz w:val="24"/>
                <w:szCs w:val="24"/>
              </w:rPr>
              <w:instrText xml:space="preserve"> PAGEREF _Toc121411735 \h </w:instrText>
            </w:r>
            <w:r w:rsidR="004F47F5">
              <w:rPr>
                <w:noProof/>
                <w:sz w:val="24"/>
                <w:szCs w:val="24"/>
              </w:rPr>
            </w:r>
            <w:r w:rsidR="004F47F5">
              <w:rPr>
                <w:noProof/>
                <w:sz w:val="24"/>
                <w:szCs w:val="24"/>
              </w:rPr>
              <w:fldChar w:fldCharType="separate"/>
            </w:r>
            <w:r w:rsidR="00497E99">
              <w:rPr>
                <w:noProof/>
                <w:sz w:val="24"/>
                <w:szCs w:val="24"/>
              </w:rPr>
              <w:t>75</w:t>
            </w:r>
            <w:r w:rsidR="004F47F5">
              <w:rPr>
                <w:noProof/>
                <w:sz w:val="24"/>
                <w:szCs w:val="24"/>
              </w:rPr>
              <w:fldChar w:fldCharType="end"/>
            </w:r>
          </w:hyperlink>
        </w:p>
        <w:p w14:paraId="761DF3E1" w14:textId="1971F595" w:rsidR="00D12939" w:rsidRDefault="00747ECF">
          <w:pPr>
            <w:pStyle w:val="25"/>
            <w:tabs>
              <w:tab w:val="right" w:leader="dot" w:pos="9736"/>
            </w:tabs>
            <w:spacing w:line="360" w:lineRule="auto"/>
            <w:ind w:firstLine="400"/>
            <w:rPr>
              <w:smallCaps w:val="0"/>
              <w:noProof/>
              <w:sz w:val="24"/>
              <w:szCs w:val="24"/>
            </w:rPr>
          </w:pPr>
          <w:hyperlink w:anchor="_Toc121411738" w:history="1">
            <w:r w:rsidR="004F47F5">
              <w:rPr>
                <w:rStyle w:val="affff"/>
                <w:noProof/>
                <w:sz w:val="24"/>
                <w:szCs w:val="24"/>
              </w:rPr>
              <w:t>4.5</w:t>
            </w:r>
            <w:r w:rsidR="004F47F5">
              <w:rPr>
                <w:rStyle w:val="affff"/>
                <w:noProof/>
                <w:sz w:val="24"/>
                <w:szCs w:val="24"/>
              </w:rPr>
              <w:t>污染物排放量汇总</w:t>
            </w:r>
            <w:r w:rsidR="004F47F5">
              <w:rPr>
                <w:noProof/>
                <w:sz w:val="24"/>
                <w:szCs w:val="24"/>
              </w:rPr>
              <w:tab/>
            </w:r>
            <w:r w:rsidR="004F47F5">
              <w:rPr>
                <w:noProof/>
                <w:sz w:val="24"/>
                <w:szCs w:val="24"/>
              </w:rPr>
              <w:fldChar w:fldCharType="begin"/>
            </w:r>
            <w:r w:rsidR="004F47F5">
              <w:rPr>
                <w:noProof/>
                <w:sz w:val="24"/>
                <w:szCs w:val="24"/>
              </w:rPr>
              <w:instrText xml:space="preserve"> PAGEREF _Toc121411738 \h </w:instrText>
            </w:r>
            <w:r w:rsidR="004F47F5">
              <w:rPr>
                <w:noProof/>
                <w:sz w:val="24"/>
                <w:szCs w:val="24"/>
              </w:rPr>
            </w:r>
            <w:r w:rsidR="004F47F5">
              <w:rPr>
                <w:noProof/>
                <w:sz w:val="24"/>
                <w:szCs w:val="24"/>
              </w:rPr>
              <w:fldChar w:fldCharType="separate"/>
            </w:r>
            <w:r w:rsidR="00497E99">
              <w:rPr>
                <w:noProof/>
                <w:sz w:val="24"/>
                <w:szCs w:val="24"/>
              </w:rPr>
              <w:t>75</w:t>
            </w:r>
            <w:r w:rsidR="004F47F5">
              <w:rPr>
                <w:noProof/>
                <w:sz w:val="24"/>
                <w:szCs w:val="24"/>
              </w:rPr>
              <w:fldChar w:fldCharType="end"/>
            </w:r>
          </w:hyperlink>
        </w:p>
        <w:p w14:paraId="762206BB" w14:textId="14F0C991" w:rsidR="00D12939" w:rsidRDefault="00747ECF">
          <w:pPr>
            <w:pStyle w:val="25"/>
            <w:tabs>
              <w:tab w:val="right" w:leader="dot" w:pos="9736"/>
            </w:tabs>
            <w:spacing w:line="360" w:lineRule="auto"/>
            <w:ind w:firstLine="400"/>
            <w:rPr>
              <w:smallCaps w:val="0"/>
              <w:noProof/>
              <w:sz w:val="24"/>
              <w:szCs w:val="24"/>
            </w:rPr>
          </w:pPr>
          <w:hyperlink w:anchor="_Toc121411739" w:history="1">
            <w:r w:rsidR="004F47F5">
              <w:rPr>
                <w:rStyle w:val="affff"/>
                <w:noProof/>
                <w:sz w:val="24"/>
                <w:szCs w:val="24"/>
              </w:rPr>
              <w:t>4.6</w:t>
            </w:r>
            <w:r w:rsidR="004F47F5">
              <w:rPr>
                <w:rStyle w:val="affff"/>
                <w:noProof/>
                <w:sz w:val="24"/>
                <w:szCs w:val="24"/>
              </w:rPr>
              <w:t>总量控制分析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_Toc121411739 \h </w:instrText>
            </w:r>
            <w:r w:rsidR="004F47F5">
              <w:rPr>
                <w:noProof/>
                <w:sz w:val="24"/>
                <w:szCs w:val="24"/>
              </w:rPr>
            </w:r>
            <w:r w:rsidR="004F47F5">
              <w:rPr>
                <w:noProof/>
                <w:sz w:val="24"/>
                <w:szCs w:val="24"/>
              </w:rPr>
              <w:fldChar w:fldCharType="separate"/>
            </w:r>
            <w:r w:rsidR="00497E99">
              <w:rPr>
                <w:noProof/>
                <w:sz w:val="24"/>
                <w:szCs w:val="24"/>
              </w:rPr>
              <w:t>77</w:t>
            </w:r>
            <w:r w:rsidR="004F47F5">
              <w:rPr>
                <w:noProof/>
                <w:sz w:val="24"/>
                <w:szCs w:val="24"/>
              </w:rPr>
              <w:fldChar w:fldCharType="end"/>
            </w:r>
          </w:hyperlink>
        </w:p>
        <w:p w14:paraId="126927DA" w14:textId="3DF14123" w:rsidR="00D12939" w:rsidRDefault="00747ECF">
          <w:pPr>
            <w:pStyle w:val="15"/>
            <w:tabs>
              <w:tab w:val="right" w:leader="dot" w:pos="9736"/>
            </w:tabs>
            <w:spacing w:line="360" w:lineRule="auto"/>
            <w:ind w:firstLine="402"/>
            <w:rPr>
              <w:b w:val="0"/>
              <w:bCs w:val="0"/>
              <w:caps w:val="0"/>
              <w:noProof/>
              <w:sz w:val="24"/>
              <w:szCs w:val="24"/>
            </w:rPr>
          </w:pPr>
          <w:hyperlink w:anchor="_Toc121411740" w:history="1">
            <w:r w:rsidR="004F47F5">
              <w:rPr>
                <w:rStyle w:val="affff"/>
                <w:noProof/>
                <w:sz w:val="24"/>
                <w:szCs w:val="24"/>
              </w:rPr>
              <w:t xml:space="preserve">5 </w:t>
            </w:r>
            <w:r w:rsidR="004F47F5">
              <w:rPr>
                <w:rStyle w:val="affff"/>
                <w:noProof/>
                <w:sz w:val="24"/>
                <w:szCs w:val="24"/>
              </w:rPr>
              <w:t>环境现状调查与评价</w:t>
            </w:r>
            <w:r w:rsidR="004F47F5">
              <w:rPr>
                <w:noProof/>
                <w:sz w:val="24"/>
                <w:szCs w:val="24"/>
              </w:rPr>
              <w:tab/>
            </w:r>
            <w:r w:rsidR="004F47F5">
              <w:rPr>
                <w:noProof/>
                <w:sz w:val="24"/>
                <w:szCs w:val="24"/>
              </w:rPr>
              <w:fldChar w:fldCharType="begin"/>
            </w:r>
            <w:r w:rsidR="004F47F5">
              <w:rPr>
                <w:noProof/>
                <w:sz w:val="24"/>
                <w:szCs w:val="24"/>
              </w:rPr>
              <w:instrText xml:space="preserve"> PAGEREF _Toc121411740 \h </w:instrText>
            </w:r>
            <w:r w:rsidR="004F47F5">
              <w:rPr>
                <w:noProof/>
                <w:sz w:val="24"/>
                <w:szCs w:val="24"/>
              </w:rPr>
            </w:r>
            <w:r w:rsidR="004F47F5">
              <w:rPr>
                <w:noProof/>
                <w:sz w:val="24"/>
                <w:szCs w:val="24"/>
              </w:rPr>
              <w:fldChar w:fldCharType="separate"/>
            </w:r>
            <w:r w:rsidR="00497E99">
              <w:rPr>
                <w:noProof/>
                <w:sz w:val="24"/>
                <w:szCs w:val="24"/>
              </w:rPr>
              <w:t>78</w:t>
            </w:r>
            <w:r w:rsidR="004F47F5">
              <w:rPr>
                <w:noProof/>
                <w:sz w:val="24"/>
                <w:szCs w:val="24"/>
              </w:rPr>
              <w:fldChar w:fldCharType="end"/>
            </w:r>
          </w:hyperlink>
        </w:p>
        <w:p w14:paraId="672A89AB" w14:textId="5BF079D0" w:rsidR="00D12939" w:rsidRDefault="00747ECF">
          <w:pPr>
            <w:pStyle w:val="25"/>
            <w:tabs>
              <w:tab w:val="right" w:leader="dot" w:pos="9736"/>
            </w:tabs>
            <w:spacing w:line="360" w:lineRule="auto"/>
            <w:ind w:firstLine="400"/>
            <w:rPr>
              <w:smallCaps w:val="0"/>
              <w:noProof/>
              <w:sz w:val="24"/>
              <w:szCs w:val="24"/>
            </w:rPr>
          </w:pPr>
          <w:hyperlink w:anchor="_Toc121411741" w:history="1">
            <w:r w:rsidR="004F47F5">
              <w:rPr>
                <w:rStyle w:val="affff"/>
                <w:noProof/>
                <w:sz w:val="24"/>
                <w:szCs w:val="24"/>
              </w:rPr>
              <w:t xml:space="preserve">5.1 </w:t>
            </w:r>
            <w:r w:rsidR="004F47F5">
              <w:rPr>
                <w:rStyle w:val="affff"/>
                <w:noProof/>
                <w:sz w:val="24"/>
                <w:szCs w:val="24"/>
              </w:rPr>
              <w:t>自然环境概况</w:t>
            </w:r>
            <w:r w:rsidR="004F47F5">
              <w:rPr>
                <w:noProof/>
                <w:sz w:val="24"/>
                <w:szCs w:val="24"/>
              </w:rPr>
              <w:tab/>
            </w:r>
            <w:r w:rsidR="004F47F5">
              <w:rPr>
                <w:noProof/>
                <w:sz w:val="24"/>
                <w:szCs w:val="24"/>
              </w:rPr>
              <w:fldChar w:fldCharType="begin"/>
            </w:r>
            <w:r w:rsidR="004F47F5">
              <w:rPr>
                <w:noProof/>
                <w:sz w:val="24"/>
                <w:szCs w:val="24"/>
              </w:rPr>
              <w:instrText xml:space="preserve"> PAGEREF _Toc121411741 \h </w:instrText>
            </w:r>
            <w:r w:rsidR="004F47F5">
              <w:rPr>
                <w:noProof/>
                <w:sz w:val="24"/>
                <w:szCs w:val="24"/>
              </w:rPr>
            </w:r>
            <w:r w:rsidR="004F47F5">
              <w:rPr>
                <w:noProof/>
                <w:sz w:val="24"/>
                <w:szCs w:val="24"/>
              </w:rPr>
              <w:fldChar w:fldCharType="separate"/>
            </w:r>
            <w:r w:rsidR="00497E99">
              <w:rPr>
                <w:noProof/>
                <w:sz w:val="24"/>
                <w:szCs w:val="24"/>
              </w:rPr>
              <w:t>78</w:t>
            </w:r>
            <w:r w:rsidR="004F47F5">
              <w:rPr>
                <w:noProof/>
                <w:sz w:val="24"/>
                <w:szCs w:val="24"/>
              </w:rPr>
              <w:fldChar w:fldCharType="end"/>
            </w:r>
          </w:hyperlink>
        </w:p>
        <w:p w14:paraId="65F05D27" w14:textId="042705A5" w:rsidR="00D12939" w:rsidRDefault="00747ECF">
          <w:pPr>
            <w:pStyle w:val="25"/>
            <w:tabs>
              <w:tab w:val="right" w:leader="dot" w:pos="9736"/>
            </w:tabs>
            <w:spacing w:line="360" w:lineRule="auto"/>
            <w:ind w:firstLine="400"/>
            <w:rPr>
              <w:smallCaps w:val="0"/>
              <w:noProof/>
              <w:sz w:val="24"/>
              <w:szCs w:val="24"/>
            </w:rPr>
          </w:pPr>
          <w:hyperlink w:anchor="_Toc121411748" w:history="1">
            <w:r w:rsidR="004F47F5">
              <w:rPr>
                <w:rStyle w:val="affff"/>
                <w:noProof/>
                <w:sz w:val="24"/>
                <w:szCs w:val="24"/>
              </w:rPr>
              <w:t xml:space="preserve">5.2 </w:t>
            </w:r>
            <w:r w:rsidR="004F47F5">
              <w:rPr>
                <w:rStyle w:val="affff"/>
                <w:noProof/>
                <w:sz w:val="24"/>
                <w:szCs w:val="24"/>
              </w:rPr>
              <w:t>环境质量现状调查与评价</w:t>
            </w:r>
            <w:r w:rsidR="004F47F5">
              <w:rPr>
                <w:noProof/>
                <w:sz w:val="24"/>
                <w:szCs w:val="24"/>
              </w:rPr>
              <w:tab/>
            </w:r>
            <w:r w:rsidR="004F47F5">
              <w:rPr>
                <w:noProof/>
                <w:sz w:val="24"/>
                <w:szCs w:val="24"/>
              </w:rPr>
              <w:fldChar w:fldCharType="begin"/>
            </w:r>
            <w:r w:rsidR="004F47F5">
              <w:rPr>
                <w:noProof/>
                <w:sz w:val="24"/>
                <w:szCs w:val="24"/>
              </w:rPr>
              <w:instrText xml:space="preserve"> PAGEREF _Toc121411748 \h </w:instrText>
            </w:r>
            <w:r w:rsidR="004F47F5">
              <w:rPr>
                <w:noProof/>
                <w:sz w:val="24"/>
                <w:szCs w:val="24"/>
              </w:rPr>
            </w:r>
            <w:r w:rsidR="004F47F5">
              <w:rPr>
                <w:noProof/>
                <w:sz w:val="24"/>
                <w:szCs w:val="24"/>
              </w:rPr>
              <w:fldChar w:fldCharType="separate"/>
            </w:r>
            <w:r w:rsidR="00497E99">
              <w:rPr>
                <w:noProof/>
                <w:sz w:val="24"/>
                <w:szCs w:val="24"/>
              </w:rPr>
              <w:t>83</w:t>
            </w:r>
            <w:r w:rsidR="004F47F5">
              <w:rPr>
                <w:noProof/>
                <w:sz w:val="24"/>
                <w:szCs w:val="24"/>
              </w:rPr>
              <w:fldChar w:fldCharType="end"/>
            </w:r>
          </w:hyperlink>
        </w:p>
        <w:p w14:paraId="5132A0EC" w14:textId="51292CB3" w:rsidR="00D12939" w:rsidRDefault="00747ECF">
          <w:pPr>
            <w:pStyle w:val="15"/>
            <w:tabs>
              <w:tab w:val="right" w:leader="dot" w:pos="9736"/>
            </w:tabs>
            <w:spacing w:line="360" w:lineRule="auto"/>
            <w:ind w:firstLine="402"/>
            <w:rPr>
              <w:b w:val="0"/>
              <w:bCs w:val="0"/>
              <w:caps w:val="0"/>
              <w:noProof/>
              <w:sz w:val="24"/>
              <w:szCs w:val="24"/>
            </w:rPr>
          </w:pPr>
          <w:hyperlink w:anchor="_Toc121411756" w:history="1">
            <w:r w:rsidR="004F47F5">
              <w:rPr>
                <w:rStyle w:val="affff"/>
                <w:noProof/>
                <w:sz w:val="24"/>
                <w:szCs w:val="24"/>
              </w:rPr>
              <w:t xml:space="preserve">6 </w:t>
            </w:r>
            <w:r w:rsidR="004F47F5">
              <w:rPr>
                <w:rStyle w:val="affff"/>
                <w:noProof/>
                <w:sz w:val="24"/>
                <w:szCs w:val="24"/>
              </w:rPr>
              <w:t>施工期环境影响分析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_Toc121411756 \h </w:instrText>
            </w:r>
            <w:r w:rsidR="004F47F5">
              <w:rPr>
                <w:noProof/>
                <w:sz w:val="24"/>
                <w:szCs w:val="24"/>
              </w:rPr>
            </w:r>
            <w:r w:rsidR="004F47F5">
              <w:rPr>
                <w:noProof/>
                <w:sz w:val="24"/>
                <w:szCs w:val="24"/>
              </w:rPr>
              <w:fldChar w:fldCharType="separate"/>
            </w:r>
            <w:r w:rsidR="00497E99">
              <w:rPr>
                <w:noProof/>
                <w:sz w:val="24"/>
                <w:szCs w:val="24"/>
              </w:rPr>
              <w:t>101</w:t>
            </w:r>
            <w:r w:rsidR="004F47F5">
              <w:rPr>
                <w:noProof/>
                <w:sz w:val="24"/>
                <w:szCs w:val="24"/>
              </w:rPr>
              <w:fldChar w:fldCharType="end"/>
            </w:r>
          </w:hyperlink>
        </w:p>
        <w:p w14:paraId="1E544BF6" w14:textId="4F6D98A1" w:rsidR="00D12939" w:rsidRDefault="00747ECF">
          <w:pPr>
            <w:pStyle w:val="25"/>
            <w:tabs>
              <w:tab w:val="right" w:leader="dot" w:pos="9736"/>
            </w:tabs>
            <w:spacing w:line="360" w:lineRule="auto"/>
            <w:ind w:firstLine="400"/>
            <w:rPr>
              <w:smallCaps w:val="0"/>
              <w:noProof/>
              <w:sz w:val="24"/>
              <w:szCs w:val="24"/>
            </w:rPr>
          </w:pPr>
          <w:hyperlink w:anchor="_Toc121411757" w:history="1">
            <w:r w:rsidR="004F47F5">
              <w:rPr>
                <w:rStyle w:val="affff"/>
                <w:noProof/>
                <w:sz w:val="24"/>
                <w:szCs w:val="24"/>
              </w:rPr>
              <w:t xml:space="preserve">6.1 </w:t>
            </w:r>
            <w:r w:rsidR="004F47F5">
              <w:rPr>
                <w:rStyle w:val="affff"/>
                <w:noProof/>
                <w:sz w:val="24"/>
                <w:szCs w:val="24"/>
              </w:rPr>
              <w:t>施工期环境影响概况</w:t>
            </w:r>
            <w:r w:rsidR="004F47F5">
              <w:rPr>
                <w:noProof/>
                <w:sz w:val="24"/>
                <w:szCs w:val="24"/>
              </w:rPr>
              <w:tab/>
            </w:r>
            <w:r w:rsidR="004F47F5">
              <w:rPr>
                <w:noProof/>
                <w:sz w:val="24"/>
                <w:szCs w:val="24"/>
              </w:rPr>
              <w:fldChar w:fldCharType="begin"/>
            </w:r>
            <w:r w:rsidR="004F47F5">
              <w:rPr>
                <w:noProof/>
                <w:sz w:val="24"/>
                <w:szCs w:val="24"/>
              </w:rPr>
              <w:instrText xml:space="preserve"> PAGEREF _Toc121411757 \h </w:instrText>
            </w:r>
            <w:r w:rsidR="004F47F5">
              <w:rPr>
                <w:noProof/>
                <w:sz w:val="24"/>
                <w:szCs w:val="24"/>
              </w:rPr>
            </w:r>
            <w:r w:rsidR="004F47F5">
              <w:rPr>
                <w:noProof/>
                <w:sz w:val="24"/>
                <w:szCs w:val="24"/>
              </w:rPr>
              <w:fldChar w:fldCharType="separate"/>
            </w:r>
            <w:r w:rsidR="00497E99">
              <w:rPr>
                <w:noProof/>
                <w:sz w:val="24"/>
                <w:szCs w:val="24"/>
              </w:rPr>
              <w:t>101</w:t>
            </w:r>
            <w:r w:rsidR="004F47F5">
              <w:rPr>
                <w:noProof/>
                <w:sz w:val="24"/>
                <w:szCs w:val="24"/>
              </w:rPr>
              <w:fldChar w:fldCharType="end"/>
            </w:r>
          </w:hyperlink>
        </w:p>
        <w:p w14:paraId="22F2E81F" w14:textId="2469C0DC" w:rsidR="00D12939" w:rsidRDefault="00747ECF">
          <w:pPr>
            <w:pStyle w:val="25"/>
            <w:tabs>
              <w:tab w:val="right" w:leader="dot" w:pos="9736"/>
            </w:tabs>
            <w:spacing w:line="360" w:lineRule="auto"/>
            <w:ind w:firstLine="400"/>
            <w:rPr>
              <w:smallCaps w:val="0"/>
              <w:noProof/>
              <w:sz w:val="24"/>
              <w:szCs w:val="24"/>
            </w:rPr>
          </w:pPr>
          <w:hyperlink w:anchor="_Toc121411758" w:history="1">
            <w:r w:rsidR="004F47F5">
              <w:rPr>
                <w:rStyle w:val="affff"/>
                <w:noProof/>
                <w:sz w:val="24"/>
                <w:szCs w:val="24"/>
              </w:rPr>
              <w:t xml:space="preserve">6.2 </w:t>
            </w:r>
            <w:r w:rsidR="004F47F5">
              <w:rPr>
                <w:rStyle w:val="affff"/>
                <w:noProof/>
                <w:sz w:val="24"/>
                <w:szCs w:val="24"/>
              </w:rPr>
              <w:t>施工期环境影响分析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_Toc121411758 \h </w:instrText>
            </w:r>
            <w:r w:rsidR="004F47F5">
              <w:rPr>
                <w:noProof/>
                <w:sz w:val="24"/>
                <w:szCs w:val="24"/>
              </w:rPr>
            </w:r>
            <w:r w:rsidR="004F47F5">
              <w:rPr>
                <w:noProof/>
                <w:sz w:val="24"/>
                <w:szCs w:val="24"/>
              </w:rPr>
              <w:fldChar w:fldCharType="separate"/>
            </w:r>
            <w:r w:rsidR="00497E99">
              <w:rPr>
                <w:noProof/>
                <w:sz w:val="24"/>
                <w:szCs w:val="24"/>
              </w:rPr>
              <w:t>101</w:t>
            </w:r>
            <w:r w:rsidR="004F47F5">
              <w:rPr>
                <w:noProof/>
                <w:sz w:val="24"/>
                <w:szCs w:val="24"/>
              </w:rPr>
              <w:fldChar w:fldCharType="end"/>
            </w:r>
          </w:hyperlink>
        </w:p>
        <w:p w14:paraId="5BBFB93D" w14:textId="2F46D26A" w:rsidR="00D12939" w:rsidRDefault="00747ECF">
          <w:pPr>
            <w:pStyle w:val="15"/>
            <w:tabs>
              <w:tab w:val="right" w:leader="dot" w:pos="9736"/>
            </w:tabs>
            <w:spacing w:line="360" w:lineRule="auto"/>
            <w:ind w:firstLine="402"/>
            <w:rPr>
              <w:b w:val="0"/>
              <w:bCs w:val="0"/>
              <w:caps w:val="0"/>
              <w:noProof/>
              <w:sz w:val="24"/>
              <w:szCs w:val="24"/>
            </w:rPr>
          </w:pPr>
          <w:hyperlink w:anchor="_Toc121411765" w:history="1">
            <w:r w:rsidR="004F47F5">
              <w:rPr>
                <w:rStyle w:val="affff"/>
                <w:noProof/>
                <w:sz w:val="24"/>
                <w:szCs w:val="24"/>
              </w:rPr>
              <w:t xml:space="preserve">7 </w:t>
            </w:r>
            <w:r w:rsidR="004F47F5">
              <w:rPr>
                <w:rStyle w:val="affff"/>
                <w:noProof/>
                <w:sz w:val="24"/>
                <w:szCs w:val="24"/>
              </w:rPr>
              <w:t>营运期环境影响分析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_Toc121411765 \h </w:instrText>
            </w:r>
            <w:r w:rsidR="004F47F5">
              <w:rPr>
                <w:noProof/>
                <w:sz w:val="24"/>
                <w:szCs w:val="24"/>
              </w:rPr>
            </w:r>
            <w:r w:rsidR="004F47F5">
              <w:rPr>
                <w:noProof/>
                <w:sz w:val="24"/>
                <w:szCs w:val="24"/>
              </w:rPr>
              <w:fldChar w:fldCharType="separate"/>
            </w:r>
            <w:r w:rsidR="00497E99">
              <w:rPr>
                <w:noProof/>
                <w:sz w:val="24"/>
                <w:szCs w:val="24"/>
              </w:rPr>
              <w:t>105</w:t>
            </w:r>
            <w:r w:rsidR="004F47F5">
              <w:rPr>
                <w:noProof/>
                <w:sz w:val="24"/>
                <w:szCs w:val="24"/>
              </w:rPr>
              <w:fldChar w:fldCharType="end"/>
            </w:r>
          </w:hyperlink>
        </w:p>
        <w:p w14:paraId="65323A0A" w14:textId="4A40423C" w:rsidR="00D12939" w:rsidRDefault="00747ECF">
          <w:pPr>
            <w:pStyle w:val="25"/>
            <w:tabs>
              <w:tab w:val="right" w:leader="dot" w:pos="9736"/>
            </w:tabs>
            <w:spacing w:line="360" w:lineRule="auto"/>
            <w:ind w:firstLine="400"/>
            <w:rPr>
              <w:smallCaps w:val="0"/>
              <w:noProof/>
              <w:sz w:val="24"/>
              <w:szCs w:val="24"/>
            </w:rPr>
          </w:pPr>
          <w:hyperlink w:anchor="_Toc121411766" w:history="1">
            <w:r w:rsidR="004F47F5">
              <w:rPr>
                <w:rStyle w:val="affff"/>
                <w:noProof/>
                <w:sz w:val="24"/>
                <w:szCs w:val="24"/>
              </w:rPr>
              <w:t>7.1</w:t>
            </w:r>
            <w:r w:rsidR="004F47F5">
              <w:rPr>
                <w:rStyle w:val="affff"/>
                <w:noProof/>
                <w:sz w:val="24"/>
                <w:szCs w:val="24"/>
              </w:rPr>
              <w:t>大气环境影响预测与分析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_Toc121411766 \h </w:instrText>
            </w:r>
            <w:r w:rsidR="004F47F5">
              <w:rPr>
                <w:noProof/>
                <w:sz w:val="24"/>
                <w:szCs w:val="24"/>
              </w:rPr>
            </w:r>
            <w:r w:rsidR="004F47F5">
              <w:rPr>
                <w:noProof/>
                <w:sz w:val="24"/>
                <w:szCs w:val="24"/>
              </w:rPr>
              <w:fldChar w:fldCharType="separate"/>
            </w:r>
            <w:r w:rsidR="00497E99">
              <w:rPr>
                <w:noProof/>
                <w:sz w:val="24"/>
                <w:szCs w:val="24"/>
              </w:rPr>
              <w:t>105</w:t>
            </w:r>
            <w:r w:rsidR="004F47F5">
              <w:rPr>
                <w:noProof/>
                <w:sz w:val="24"/>
                <w:szCs w:val="24"/>
              </w:rPr>
              <w:fldChar w:fldCharType="end"/>
            </w:r>
          </w:hyperlink>
        </w:p>
        <w:p w14:paraId="52E98C84" w14:textId="2999BDFE" w:rsidR="00D12939" w:rsidRDefault="00747ECF">
          <w:pPr>
            <w:pStyle w:val="25"/>
            <w:tabs>
              <w:tab w:val="right" w:leader="dot" w:pos="9736"/>
            </w:tabs>
            <w:spacing w:line="360" w:lineRule="auto"/>
            <w:ind w:firstLine="400"/>
            <w:rPr>
              <w:smallCaps w:val="0"/>
              <w:noProof/>
              <w:sz w:val="24"/>
              <w:szCs w:val="24"/>
            </w:rPr>
          </w:pPr>
          <w:hyperlink w:anchor="_Toc121411771" w:history="1">
            <w:r w:rsidR="004F47F5">
              <w:rPr>
                <w:rStyle w:val="affff"/>
                <w:noProof/>
                <w:sz w:val="24"/>
                <w:szCs w:val="24"/>
              </w:rPr>
              <w:t>7.2</w:t>
            </w:r>
            <w:r w:rsidR="004F47F5">
              <w:rPr>
                <w:rStyle w:val="affff"/>
                <w:noProof/>
                <w:sz w:val="24"/>
                <w:szCs w:val="24"/>
              </w:rPr>
              <w:t>地表水环境影响分析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_Toc121411771 \h </w:instrText>
            </w:r>
            <w:r w:rsidR="004F47F5">
              <w:rPr>
                <w:noProof/>
                <w:sz w:val="24"/>
                <w:szCs w:val="24"/>
              </w:rPr>
            </w:r>
            <w:r w:rsidR="004F47F5">
              <w:rPr>
                <w:noProof/>
                <w:sz w:val="24"/>
                <w:szCs w:val="24"/>
              </w:rPr>
              <w:fldChar w:fldCharType="separate"/>
            </w:r>
            <w:r w:rsidR="00497E99">
              <w:rPr>
                <w:noProof/>
                <w:sz w:val="24"/>
                <w:szCs w:val="24"/>
              </w:rPr>
              <w:t>116</w:t>
            </w:r>
            <w:r w:rsidR="004F47F5">
              <w:rPr>
                <w:noProof/>
                <w:sz w:val="24"/>
                <w:szCs w:val="24"/>
              </w:rPr>
              <w:fldChar w:fldCharType="end"/>
            </w:r>
          </w:hyperlink>
        </w:p>
        <w:p w14:paraId="64C07998" w14:textId="38B2CF66" w:rsidR="00D12939" w:rsidRDefault="00747ECF">
          <w:pPr>
            <w:pStyle w:val="25"/>
            <w:tabs>
              <w:tab w:val="right" w:leader="dot" w:pos="9736"/>
            </w:tabs>
            <w:spacing w:line="360" w:lineRule="auto"/>
            <w:ind w:firstLine="400"/>
            <w:rPr>
              <w:smallCaps w:val="0"/>
              <w:noProof/>
              <w:sz w:val="24"/>
              <w:szCs w:val="24"/>
            </w:rPr>
          </w:pPr>
          <w:hyperlink w:anchor="_Toc121411772" w:history="1">
            <w:r w:rsidR="004F47F5">
              <w:rPr>
                <w:rStyle w:val="affff"/>
                <w:noProof/>
                <w:sz w:val="24"/>
                <w:szCs w:val="24"/>
              </w:rPr>
              <w:t xml:space="preserve">7.3 </w:t>
            </w:r>
            <w:r w:rsidR="004F47F5">
              <w:rPr>
                <w:rStyle w:val="affff"/>
                <w:noProof/>
                <w:sz w:val="24"/>
                <w:szCs w:val="24"/>
              </w:rPr>
              <w:t>噪声影响预测与评价</w:t>
            </w:r>
            <w:r w:rsidR="004F47F5">
              <w:rPr>
                <w:noProof/>
                <w:sz w:val="24"/>
                <w:szCs w:val="24"/>
              </w:rPr>
              <w:tab/>
            </w:r>
            <w:r w:rsidR="004F47F5">
              <w:rPr>
                <w:noProof/>
                <w:sz w:val="24"/>
                <w:szCs w:val="24"/>
              </w:rPr>
              <w:fldChar w:fldCharType="begin"/>
            </w:r>
            <w:r w:rsidR="004F47F5">
              <w:rPr>
                <w:noProof/>
                <w:sz w:val="24"/>
                <w:szCs w:val="24"/>
              </w:rPr>
              <w:instrText xml:space="preserve"> PAGEREF _Toc121411772 \h </w:instrText>
            </w:r>
            <w:r w:rsidR="004F47F5">
              <w:rPr>
                <w:noProof/>
                <w:sz w:val="24"/>
                <w:szCs w:val="24"/>
              </w:rPr>
            </w:r>
            <w:r w:rsidR="004F47F5">
              <w:rPr>
                <w:noProof/>
                <w:sz w:val="24"/>
                <w:szCs w:val="24"/>
              </w:rPr>
              <w:fldChar w:fldCharType="separate"/>
            </w:r>
            <w:r w:rsidR="00497E99">
              <w:rPr>
                <w:noProof/>
                <w:sz w:val="24"/>
                <w:szCs w:val="24"/>
              </w:rPr>
              <w:t>119</w:t>
            </w:r>
            <w:r w:rsidR="004F47F5">
              <w:rPr>
                <w:noProof/>
                <w:sz w:val="24"/>
                <w:szCs w:val="24"/>
              </w:rPr>
              <w:fldChar w:fldCharType="end"/>
            </w:r>
          </w:hyperlink>
        </w:p>
        <w:p w14:paraId="4705ADA9" w14:textId="16B42602" w:rsidR="00D12939" w:rsidRDefault="00747ECF">
          <w:pPr>
            <w:pStyle w:val="25"/>
            <w:tabs>
              <w:tab w:val="right" w:leader="dot" w:pos="9736"/>
            </w:tabs>
            <w:spacing w:line="360" w:lineRule="auto"/>
            <w:ind w:firstLine="400"/>
            <w:rPr>
              <w:smallCaps w:val="0"/>
              <w:noProof/>
              <w:sz w:val="24"/>
              <w:szCs w:val="24"/>
            </w:rPr>
          </w:pPr>
          <w:hyperlink w:anchor="_Toc121411777" w:history="1">
            <w:r w:rsidR="004F47F5">
              <w:rPr>
                <w:rStyle w:val="affff"/>
                <w:noProof/>
                <w:sz w:val="24"/>
                <w:szCs w:val="24"/>
              </w:rPr>
              <w:t>7.4</w:t>
            </w:r>
            <w:r w:rsidR="004F47F5">
              <w:rPr>
                <w:rStyle w:val="affff"/>
                <w:noProof/>
                <w:sz w:val="24"/>
                <w:szCs w:val="24"/>
              </w:rPr>
              <w:t>地下水环境影响预测与分析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_Toc121411777 \h </w:instrText>
            </w:r>
            <w:r w:rsidR="004F47F5">
              <w:rPr>
                <w:noProof/>
                <w:sz w:val="24"/>
                <w:szCs w:val="24"/>
              </w:rPr>
            </w:r>
            <w:r w:rsidR="004F47F5">
              <w:rPr>
                <w:noProof/>
                <w:sz w:val="24"/>
                <w:szCs w:val="24"/>
              </w:rPr>
              <w:fldChar w:fldCharType="separate"/>
            </w:r>
            <w:r w:rsidR="00497E99">
              <w:rPr>
                <w:noProof/>
                <w:sz w:val="24"/>
                <w:szCs w:val="24"/>
              </w:rPr>
              <w:t>127</w:t>
            </w:r>
            <w:r w:rsidR="004F47F5">
              <w:rPr>
                <w:noProof/>
                <w:sz w:val="24"/>
                <w:szCs w:val="24"/>
              </w:rPr>
              <w:fldChar w:fldCharType="end"/>
            </w:r>
          </w:hyperlink>
        </w:p>
        <w:p w14:paraId="3FE40662" w14:textId="0C4D1B8C" w:rsidR="00D12939" w:rsidRDefault="00747ECF">
          <w:pPr>
            <w:pStyle w:val="25"/>
            <w:tabs>
              <w:tab w:val="right" w:leader="dot" w:pos="9736"/>
            </w:tabs>
            <w:spacing w:line="360" w:lineRule="auto"/>
            <w:ind w:firstLine="400"/>
            <w:rPr>
              <w:smallCaps w:val="0"/>
              <w:noProof/>
              <w:sz w:val="24"/>
              <w:szCs w:val="24"/>
            </w:rPr>
          </w:pPr>
          <w:hyperlink w:anchor="_Toc121411782" w:history="1">
            <w:r w:rsidR="004F47F5">
              <w:rPr>
                <w:rStyle w:val="affff"/>
                <w:noProof/>
                <w:sz w:val="24"/>
                <w:szCs w:val="24"/>
              </w:rPr>
              <w:t>7.5</w:t>
            </w:r>
            <w:r w:rsidR="004F47F5">
              <w:rPr>
                <w:rStyle w:val="affff"/>
                <w:noProof/>
                <w:sz w:val="24"/>
                <w:szCs w:val="24"/>
              </w:rPr>
              <w:t>土壤环境影响预测与分析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_Toc121411782 \h </w:instrText>
            </w:r>
            <w:r w:rsidR="004F47F5">
              <w:rPr>
                <w:noProof/>
                <w:sz w:val="24"/>
                <w:szCs w:val="24"/>
              </w:rPr>
            </w:r>
            <w:r w:rsidR="004F47F5">
              <w:rPr>
                <w:noProof/>
                <w:sz w:val="24"/>
                <w:szCs w:val="24"/>
              </w:rPr>
              <w:fldChar w:fldCharType="separate"/>
            </w:r>
            <w:r w:rsidR="00497E99">
              <w:rPr>
                <w:noProof/>
                <w:sz w:val="24"/>
                <w:szCs w:val="24"/>
              </w:rPr>
              <w:t>132</w:t>
            </w:r>
            <w:r w:rsidR="004F47F5">
              <w:rPr>
                <w:noProof/>
                <w:sz w:val="24"/>
                <w:szCs w:val="24"/>
              </w:rPr>
              <w:fldChar w:fldCharType="end"/>
            </w:r>
          </w:hyperlink>
        </w:p>
        <w:p w14:paraId="29D5BD36" w14:textId="2FDFA6B6" w:rsidR="00D12939" w:rsidRDefault="00747ECF">
          <w:pPr>
            <w:pStyle w:val="25"/>
            <w:tabs>
              <w:tab w:val="right" w:leader="dot" w:pos="9736"/>
            </w:tabs>
            <w:spacing w:line="360" w:lineRule="auto"/>
            <w:ind w:firstLine="400"/>
            <w:rPr>
              <w:smallCaps w:val="0"/>
              <w:noProof/>
              <w:sz w:val="24"/>
              <w:szCs w:val="24"/>
            </w:rPr>
          </w:pPr>
          <w:hyperlink w:anchor="_Toc121411786" w:history="1">
            <w:r w:rsidR="004F47F5">
              <w:rPr>
                <w:rStyle w:val="affff"/>
                <w:noProof/>
                <w:sz w:val="24"/>
                <w:szCs w:val="24"/>
              </w:rPr>
              <w:t>7.6</w:t>
            </w:r>
            <w:r w:rsidR="004F47F5">
              <w:rPr>
                <w:rStyle w:val="affff"/>
                <w:noProof/>
                <w:sz w:val="24"/>
                <w:szCs w:val="24"/>
              </w:rPr>
              <w:t>固体废物环境影响</w:t>
            </w:r>
            <w:r w:rsidR="004F47F5">
              <w:rPr>
                <w:noProof/>
                <w:sz w:val="24"/>
                <w:szCs w:val="24"/>
              </w:rPr>
              <w:tab/>
            </w:r>
            <w:r w:rsidR="004F47F5">
              <w:rPr>
                <w:noProof/>
                <w:sz w:val="24"/>
                <w:szCs w:val="24"/>
              </w:rPr>
              <w:fldChar w:fldCharType="begin"/>
            </w:r>
            <w:r w:rsidR="004F47F5">
              <w:rPr>
                <w:noProof/>
                <w:sz w:val="24"/>
                <w:szCs w:val="24"/>
              </w:rPr>
              <w:instrText xml:space="preserve"> PAGEREF _Toc121411786 \h </w:instrText>
            </w:r>
            <w:r w:rsidR="004F47F5">
              <w:rPr>
                <w:noProof/>
                <w:sz w:val="24"/>
                <w:szCs w:val="24"/>
              </w:rPr>
            </w:r>
            <w:r w:rsidR="004F47F5">
              <w:rPr>
                <w:noProof/>
                <w:sz w:val="24"/>
                <w:szCs w:val="24"/>
              </w:rPr>
              <w:fldChar w:fldCharType="separate"/>
            </w:r>
            <w:r w:rsidR="00497E99">
              <w:rPr>
                <w:noProof/>
                <w:sz w:val="24"/>
                <w:szCs w:val="24"/>
              </w:rPr>
              <w:t>137</w:t>
            </w:r>
            <w:r w:rsidR="004F47F5">
              <w:rPr>
                <w:noProof/>
                <w:sz w:val="24"/>
                <w:szCs w:val="24"/>
              </w:rPr>
              <w:fldChar w:fldCharType="end"/>
            </w:r>
          </w:hyperlink>
        </w:p>
        <w:p w14:paraId="07C891C5" w14:textId="7775907D" w:rsidR="00D12939" w:rsidRDefault="00747ECF">
          <w:pPr>
            <w:pStyle w:val="25"/>
            <w:tabs>
              <w:tab w:val="right" w:leader="dot" w:pos="9736"/>
            </w:tabs>
            <w:spacing w:line="360" w:lineRule="auto"/>
            <w:ind w:firstLine="400"/>
            <w:rPr>
              <w:smallCaps w:val="0"/>
              <w:noProof/>
              <w:sz w:val="24"/>
              <w:szCs w:val="24"/>
            </w:rPr>
          </w:pPr>
          <w:hyperlink w:anchor="_Toc121411787" w:history="1">
            <w:r w:rsidR="004F47F5">
              <w:rPr>
                <w:rStyle w:val="affff"/>
                <w:noProof/>
                <w:sz w:val="24"/>
                <w:szCs w:val="24"/>
              </w:rPr>
              <w:t>7.7</w:t>
            </w:r>
            <w:r w:rsidR="004F47F5">
              <w:rPr>
                <w:rStyle w:val="affff"/>
                <w:noProof/>
                <w:sz w:val="24"/>
                <w:szCs w:val="24"/>
              </w:rPr>
              <w:t>封场及后期维护期环境影响分析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_Toc121411787 \h </w:instrText>
            </w:r>
            <w:r w:rsidR="004F47F5">
              <w:rPr>
                <w:noProof/>
                <w:sz w:val="24"/>
                <w:szCs w:val="24"/>
              </w:rPr>
            </w:r>
            <w:r w:rsidR="004F47F5">
              <w:rPr>
                <w:noProof/>
                <w:sz w:val="24"/>
                <w:szCs w:val="24"/>
              </w:rPr>
              <w:fldChar w:fldCharType="separate"/>
            </w:r>
            <w:r w:rsidR="00497E99">
              <w:rPr>
                <w:noProof/>
                <w:sz w:val="24"/>
                <w:szCs w:val="24"/>
              </w:rPr>
              <w:t>139</w:t>
            </w:r>
            <w:r w:rsidR="004F47F5">
              <w:rPr>
                <w:noProof/>
                <w:sz w:val="24"/>
                <w:szCs w:val="24"/>
              </w:rPr>
              <w:fldChar w:fldCharType="end"/>
            </w:r>
          </w:hyperlink>
        </w:p>
        <w:p w14:paraId="348CDB2E" w14:textId="3153600F" w:rsidR="00D12939" w:rsidRDefault="00747ECF">
          <w:pPr>
            <w:pStyle w:val="25"/>
            <w:tabs>
              <w:tab w:val="right" w:leader="dot" w:pos="9736"/>
            </w:tabs>
            <w:spacing w:line="360" w:lineRule="auto"/>
            <w:ind w:firstLine="400"/>
            <w:rPr>
              <w:smallCaps w:val="0"/>
              <w:noProof/>
              <w:sz w:val="24"/>
              <w:szCs w:val="24"/>
            </w:rPr>
          </w:pPr>
          <w:hyperlink w:anchor="_Toc121411788" w:history="1">
            <w:r w:rsidR="004F47F5">
              <w:rPr>
                <w:rStyle w:val="affff"/>
                <w:noProof/>
                <w:sz w:val="24"/>
                <w:szCs w:val="24"/>
              </w:rPr>
              <w:t>7.8</w:t>
            </w:r>
            <w:r w:rsidR="004F47F5">
              <w:rPr>
                <w:rStyle w:val="affff"/>
                <w:noProof/>
                <w:sz w:val="24"/>
                <w:szCs w:val="24"/>
              </w:rPr>
              <w:t>运输路线环境影响分析</w:t>
            </w:r>
            <w:r w:rsidR="004F47F5">
              <w:rPr>
                <w:noProof/>
                <w:sz w:val="24"/>
                <w:szCs w:val="24"/>
              </w:rPr>
              <w:tab/>
            </w:r>
            <w:r w:rsidR="004F47F5">
              <w:rPr>
                <w:noProof/>
                <w:sz w:val="24"/>
                <w:szCs w:val="24"/>
              </w:rPr>
              <w:fldChar w:fldCharType="begin"/>
            </w:r>
            <w:r w:rsidR="004F47F5">
              <w:rPr>
                <w:noProof/>
                <w:sz w:val="24"/>
                <w:szCs w:val="24"/>
              </w:rPr>
              <w:instrText xml:space="preserve"> PAGEREF _Toc121411788 \h </w:instrText>
            </w:r>
            <w:r w:rsidR="004F47F5">
              <w:rPr>
                <w:noProof/>
                <w:sz w:val="24"/>
                <w:szCs w:val="24"/>
              </w:rPr>
            </w:r>
            <w:r w:rsidR="004F47F5">
              <w:rPr>
                <w:noProof/>
                <w:sz w:val="24"/>
                <w:szCs w:val="24"/>
              </w:rPr>
              <w:fldChar w:fldCharType="separate"/>
            </w:r>
            <w:r w:rsidR="00497E99">
              <w:rPr>
                <w:noProof/>
                <w:sz w:val="24"/>
                <w:szCs w:val="24"/>
              </w:rPr>
              <w:t>139</w:t>
            </w:r>
            <w:r w:rsidR="004F47F5">
              <w:rPr>
                <w:noProof/>
                <w:sz w:val="24"/>
                <w:szCs w:val="24"/>
              </w:rPr>
              <w:fldChar w:fldCharType="end"/>
            </w:r>
          </w:hyperlink>
        </w:p>
        <w:p w14:paraId="1AC1386C" w14:textId="15E55A74" w:rsidR="00D12939" w:rsidRDefault="00747ECF">
          <w:pPr>
            <w:pStyle w:val="15"/>
            <w:tabs>
              <w:tab w:val="right" w:leader="dot" w:pos="9736"/>
            </w:tabs>
            <w:spacing w:line="360" w:lineRule="auto"/>
            <w:ind w:firstLine="402"/>
            <w:rPr>
              <w:b w:val="0"/>
              <w:bCs w:val="0"/>
              <w:caps w:val="0"/>
              <w:noProof/>
              <w:sz w:val="24"/>
              <w:szCs w:val="24"/>
            </w:rPr>
          </w:pPr>
          <w:hyperlink w:anchor="_Toc121411789" w:history="1">
            <w:r w:rsidR="004F47F5">
              <w:rPr>
                <w:rStyle w:val="affff"/>
                <w:noProof/>
                <w:sz w:val="24"/>
                <w:szCs w:val="24"/>
              </w:rPr>
              <w:t>8</w:t>
            </w:r>
            <w:r w:rsidR="004F47F5">
              <w:rPr>
                <w:rStyle w:val="affff"/>
                <w:noProof/>
                <w:sz w:val="24"/>
                <w:szCs w:val="24"/>
              </w:rPr>
              <w:t>环境风险评价</w:t>
            </w:r>
            <w:r w:rsidR="004F47F5">
              <w:rPr>
                <w:noProof/>
                <w:sz w:val="24"/>
                <w:szCs w:val="24"/>
              </w:rPr>
              <w:tab/>
            </w:r>
            <w:r w:rsidR="004F47F5">
              <w:rPr>
                <w:noProof/>
                <w:sz w:val="24"/>
                <w:szCs w:val="24"/>
              </w:rPr>
              <w:fldChar w:fldCharType="begin"/>
            </w:r>
            <w:r w:rsidR="004F47F5">
              <w:rPr>
                <w:noProof/>
                <w:sz w:val="24"/>
                <w:szCs w:val="24"/>
              </w:rPr>
              <w:instrText xml:space="preserve"> PAGEREF _Toc121411789 \h </w:instrText>
            </w:r>
            <w:r w:rsidR="004F47F5">
              <w:rPr>
                <w:noProof/>
                <w:sz w:val="24"/>
                <w:szCs w:val="24"/>
              </w:rPr>
            </w:r>
            <w:r w:rsidR="004F47F5">
              <w:rPr>
                <w:noProof/>
                <w:sz w:val="24"/>
                <w:szCs w:val="24"/>
              </w:rPr>
              <w:fldChar w:fldCharType="separate"/>
            </w:r>
            <w:r w:rsidR="00497E99">
              <w:rPr>
                <w:noProof/>
                <w:sz w:val="24"/>
                <w:szCs w:val="24"/>
              </w:rPr>
              <w:t>141</w:t>
            </w:r>
            <w:r w:rsidR="004F47F5">
              <w:rPr>
                <w:noProof/>
                <w:sz w:val="24"/>
                <w:szCs w:val="24"/>
              </w:rPr>
              <w:fldChar w:fldCharType="end"/>
            </w:r>
          </w:hyperlink>
        </w:p>
        <w:p w14:paraId="019E505E" w14:textId="19116EEA" w:rsidR="00D12939" w:rsidRDefault="00747ECF">
          <w:pPr>
            <w:pStyle w:val="25"/>
            <w:tabs>
              <w:tab w:val="right" w:leader="dot" w:pos="9736"/>
            </w:tabs>
            <w:spacing w:line="360" w:lineRule="auto"/>
            <w:ind w:firstLine="400"/>
            <w:rPr>
              <w:smallCaps w:val="0"/>
              <w:noProof/>
              <w:sz w:val="24"/>
              <w:szCs w:val="24"/>
            </w:rPr>
          </w:pPr>
          <w:hyperlink w:anchor="_Toc121411790" w:history="1">
            <w:r w:rsidR="004F47F5">
              <w:rPr>
                <w:rStyle w:val="affff"/>
                <w:noProof/>
                <w:sz w:val="24"/>
                <w:szCs w:val="24"/>
              </w:rPr>
              <w:t>8.1</w:t>
            </w:r>
            <w:r w:rsidR="004F47F5">
              <w:rPr>
                <w:rStyle w:val="affff"/>
                <w:noProof/>
                <w:sz w:val="24"/>
                <w:szCs w:val="24"/>
              </w:rPr>
              <w:t>风险调查</w:t>
            </w:r>
            <w:r w:rsidR="004F47F5">
              <w:rPr>
                <w:noProof/>
                <w:sz w:val="24"/>
                <w:szCs w:val="24"/>
              </w:rPr>
              <w:tab/>
            </w:r>
            <w:r w:rsidR="004F47F5">
              <w:rPr>
                <w:noProof/>
                <w:sz w:val="24"/>
                <w:szCs w:val="24"/>
              </w:rPr>
              <w:fldChar w:fldCharType="begin"/>
            </w:r>
            <w:r w:rsidR="004F47F5">
              <w:rPr>
                <w:noProof/>
                <w:sz w:val="24"/>
                <w:szCs w:val="24"/>
              </w:rPr>
              <w:instrText xml:space="preserve"> PAGEREF _Toc121411790 \h </w:instrText>
            </w:r>
            <w:r w:rsidR="004F47F5">
              <w:rPr>
                <w:noProof/>
                <w:sz w:val="24"/>
                <w:szCs w:val="24"/>
              </w:rPr>
            </w:r>
            <w:r w:rsidR="004F47F5">
              <w:rPr>
                <w:noProof/>
                <w:sz w:val="24"/>
                <w:szCs w:val="24"/>
              </w:rPr>
              <w:fldChar w:fldCharType="separate"/>
            </w:r>
            <w:r w:rsidR="00497E99">
              <w:rPr>
                <w:noProof/>
                <w:sz w:val="24"/>
                <w:szCs w:val="24"/>
              </w:rPr>
              <w:t>141</w:t>
            </w:r>
            <w:r w:rsidR="004F47F5">
              <w:rPr>
                <w:noProof/>
                <w:sz w:val="24"/>
                <w:szCs w:val="24"/>
              </w:rPr>
              <w:fldChar w:fldCharType="end"/>
            </w:r>
          </w:hyperlink>
        </w:p>
        <w:p w14:paraId="317DE46A" w14:textId="33EF5C45" w:rsidR="00D12939" w:rsidRDefault="00747ECF">
          <w:pPr>
            <w:pStyle w:val="25"/>
            <w:tabs>
              <w:tab w:val="right" w:leader="dot" w:pos="9736"/>
            </w:tabs>
            <w:spacing w:line="360" w:lineRule="auto"/>
            <w:ind w:firstLine="400"/>
            <w:rPr>
              <w:smallCaps w:val="0"/>
              <w:noProof/>
              <w:sz w:val="24"/>
              <w:szCs w:val="24"/>
            </w:rPr>
          </w:pPr>
          <w:hyperlink w:anchor="_Toc121411793" w:history="1">
            <w:r w:rsidR="004F47F5">
              <w:rPr>
                <w:rStyle w:val="affff"/>
                <w:noProof/>
                <w:sz w:val="24"/>
                <w:szCs w:val="24"/>
              </w:rPr>
              <w:t>8.2</w:t>
            </w:r>
            <w:r w:rsidR="004F47F5">
              <w:rPr>
                <w:rStyle w:val="affff"/>
                <w:noProof/>
                <w:sz w:val="24"/>
                <w:szCs w:val="24"/>
              </w:rPr>
              <w:t>风险评价等级</w:t>
            </w:r>
            <w:r w:rsidR="004F47F5">
              <w:rPr>
                <w:noProof/>
                <w:sz w:val="24"/>
                <w:szCs w:val="24"/>
              </w:rPr>
              <w:tab/>
            </w:r>
            <w:r w:rsidR="004F47F5">
              <w:rPr>
                <w:noProof/>
                <w:sz w:val="24"/>
                <w:szCs w:val="24"/>
              </w:rPr>
              <w:fldChar w:fldCharType="begin"/>
            </w:r>
            <w:r w:rsidR="004F47F5">
              <w:rPr>
                <w:noProof/>
                <w:sz w:val="24"/>
                <w:szCs w:val="24"/>
              </w:rPr>
              <w:instrText xml:space="preserve"> PAGEREF _Toc121411793 \h </w:instrText>
            </w:r>
            <w:r w:rsidR="004F47F5">
              <w:rPr>
                <w:noProof/>
                <w:sz w:val="24"/>
                <w:szCs w:val="24"/>
              </w:rPr>
            </w:r>
            <w:r w:rsidR="004F47F5">
              <w:rPr>
                <w:noProof/>
                <w:sz w:val="24"/>
                <w:szCs w:val="24"/>
              </w:rPr>
              <w:fldChar w:fldCharType="separate"/>
            </w:r>
            <w:r w:rsidR="00497E99">
              <w:rPr>
                <w:noProof/>
                <w:sz w:val="24"/>
                <w:szCs w:val="24"/>
              </w:rPr>
              <w:t>141</w:t>
            </w:r>
            <w:r w:rsidR="004F47F5">
              <w:rPr>
                <w:noProof/>
                <w:sz w:val="24"/>
                <w:szCs w:val="24"/>
              </w:rPr>
              <w:fldChar w:fldCharType="end"/>
            </w:r>
          </w:hyperlink>
        </w:p>
        <w:p w14:paraId="45B08E2D" w14:textId="01E2ACA2" w:rsidR="00D12939" w:rsidRDefault="00747ECF">
          <w:pPr>
            <w:pStyle w:val="25"/>
            <w:tabs>
              <w:tab w:val="right" w:leader="dot" w:pos="9736"/>
            </w:tabs>
            <w:spacing w:line="360" w:lineRule="auto"/>
            <w:ind w:firstLine="400"/>
            <w:rPr>
              <w:smallCaps w:val="0"/>
              <w:noProof/>
              <w:sz w:val="24"/>
              <w:szCs w:val="24"/>
            </w:rPr>
          </w:pPr>
          <w:hyperlink w:anchor="_Toc121411796" w:history="1">
            <w:r w:rsidR="004F47F5">
              <w:rPr>
                <w:rStyle w:val="affff"/>
                <w:noProof/>
                <w:sz w:val="24"/>
                <w:szCs w:val="24"/>
              </w:rPr>
              <w:t>8.3</w:t>
            </w:r>
            <w:r w:rsidR="004F47F5">
              <w:rPr>
                <w:rStyle w:val="affff"/>
                <w:noProof/>
                <w:sz w:val="24"/>
                <w:szCs w:val="24"/>
              </w:rPr>
              <w:t>敏感目标调查</w:t>
            </w:r>
            <w:r w:rsidR="004F47F5">
              <w:rPr>
                <w:noProof/>
                <w:sz w:val="24"/>
                <w:szCs w:val="24"/>
              </w:rPr>
              <w:tab/>
            </w:r>
            <w:r w:rsidR="004F47F5">
              <w:rPr>
                <w:noProof/>
                <w:sz w:val="24"/>
                <w:szCs w:val="24"/>
              </w:rPr>
              <w:fldChar w:fldCharType="begin"/>
            </w:r>
            <w:r w:rsidR="004F47F5">
              <w:rPr>
                <w:noProof/>
                <w:sz w:val="24"/>
                <w:szCs w:val="24"/>
              </w:rPr>
              <w:instrText xml:space="preserve"> PAGEREF _Toc121411796 \h </w:instrText>
            </w:r>
            <w:r w:rsidR="004F47F5">
              <w:rPr>
                <w:noProof/>
                <w:sz w:val="24"/>
                <w:szCs w:val="24"/>
              </w:rPr>
            </w:r>
            <w:r w:rsidR="004F47F5">
              <w:rPr>
                <w:noProof/>
                <w:sz w:val="24"/>
                <w:szCs w:val="24"/>
              </w:rPr>
              <w:fldChar w:fldCharType="separate"/>
            </w:r>
            <w:r w:rsidR="00497E99">
              <w:rPr>
                <w:noProof/>
                <w:sz w:val="24"/>
                <w:szCs w:val="24"/>
              </w:rPr>
              <w:t>142</w:t>
            </w:r>
            <w:r w:rsidR="004F47F5">
              <w:rPr>
                <w:noProof/>
                <w:sz w:val="24"/>
                <w:szCs w:val="24"/>
              </w:rPr>
              <w:fldChar w:fldCharType="end"/>
            </w:r>
          </w:hyperlink>
        </w:p>
        <w:p w14:paraId="214B2742" w14:textId="1F1D34B8" w:rsidR="00D12939" w:rsidRDefault="00747ECF">
          <w:pPr>
            <w:pStyle w:val="25"/>
            <w:tabs>
              <w:tab w:val="right" w:leader="dot" w:pos="9736"/>
            </w:tabs>
            <w:spacing w:line="360" w:lineRule="auto"/>
            <w:ind w:firstLine="400"/>
            <w:rPr>
              <w:smallCaps w:val="0"/>
              <w:noProof/>
              <w:sz w:val="24"/>
              <w:szCs w:val="24"/>
            </w:rPr>
          </w:pPr>
          <w:hyperlink w:anchor="_Toc121411797" w:history="1">
            <w:r w:rsidR="004F47F5">
              <w:rPr>
                <w:rStyle w:val="affff"/>
                <w:noProof/>
                <w:sz w:val="24"/>
                <w:szCs w:val="24"/>
              </w:rPr>
              <w:t>8.4</w:t>
            </w:r>
            <w:r w:rsidR="004F47F5">
              <w:rPr>
                <w:rStyle w:val="affff"/>
                <w:noProof/>
                <w:sz w:val="24"/>
                <w:szCs w:val="24"/>
              </w:rPr>
              <w:t>风险识别</w:t>
            </w:r>
            <w:r w:rsidR="004F47F5">
              <w:rPr>
                <w:noProof/>
                <w:sz w:val="24"/>
                <w:szCs w:val="24"/>
              </w:rPr>
              <w:tab/>
            </w:r>
            <w:r w:rsidR="004F47F5">
              <w:rPr>
                <w:noProof/>
                <w:sz w:val="24"/>
                <w:szCs w:val="24"/>
              </w:rPr>
              <w:fldChar w:fldCharType="begin"/>
            </w:r>
            <w:r w:rsidR="004F47F5">
              <w:rPr>
                <w:noProof/>
                <w:sz w:val="24"/>
                <w:szCs w:val="24"/>
              </w:rPr>
              <w:instrText xml:space="preserve"> PAGEREF _Toc121411797 \h </w:instrText>
            </w:r>
            <w:r w:rsidR="004F47F5">
              <w:rPr>
                <w:noProof/>
                <w:sz w:val="24"/>
                <w:szCs w:val="24"/>
              </w:rPr>
            </w:r>
            <w:r w:rsidR="004F47F5">
              <w:rPr>
                <w:noProof/>
                <w:sz w:val="24"/>
                <w:szCs w:val="24"/>
              </w:rPr>
              <w:fldChar w:fldCharType="separate"/>
            </w:r>
            <w:r w:rsidR="00497E99">
              <w:rPr>
                <w:noProof/>
                <w:sz w:val="24"/>
                <w:szCs w:val="24"/>
              </w:rPr>
              <w:t>142</w:t>
            </w:r>
            <w:r w:rsidR="004F47F5">
              <w:rPr>
                <w:noProof/>
                <w:sz w:val="24"/>
                <w:szCs w:val="24"/>
              </w:rPr>
              <w:fldChar w:fldCharType="end"/>
            </w:r>
          </w:hyperlink>
        </w:p>
        <w:p w14:paraId="5B2DD51C" w14:textId="4086AE63" w:rsidR="00D12939" w:rsidRDefault="00747ECF">
          <w:pPr>
            <w:pStyle w:val="25"/>
            <w:tabs>
              <w:tab w:val="right" w:leader="dot" w:pos="9736"/>
            </w:tabs>
            <w:spacing w:line="360" w:lineRule="auto"/>
            <w:ind w:firstLine="400"/>
            <w:rPr>
              <w:smallCaps w:val="0"/>
              <w:noProof/>
              <w:sz w:val="24"/>
              <w:szCs w:val="24"/>
            </w:rPr>
          </w:pPr>
          <w:hyperlink w:anchor="_Toc121411800" w:history="1">
            <w:r w:rsidR="004F47F5">
              <w:rPr>
                <w:rStyle w:val="affff"/>
                <w:noProof/>
                <w:sz w:val="24"/>
                <w:szCs w:val="24"/>
              </w:rPr>
              <w:t>8.5</w:t>
            </w:r>
            <w:r w:rsidR="004F47F5">
              <w:rPr>
                <w:rStyle w:val="affff"/>
                <w:noProof/>
                <w:sz w:val="24"/>
                <w:szCs w:val="24"/>
              </w:rPr>
              <w:t>环境风险分析及防范措施</w:t>
            </w:r>
            <w:r w:rsidR="004F47F5">
              <w:rPr>
                <w:noProof/>
                <w:sz w:val="24"/>
                <w:szCs w:val="24"/>
              </w:rPr>
              <w:tab/>
            </w:r>
            <w:r w:rsidR="004F47F5">
              <w:rPr>
                <w:noProof/>
                <w:sz w:val="24"/>
                <w:szCs w:val="24"/>
              </w:rPr>
              <w:fldChar w:fldCharType="begin"/>
            </w:r>
            <w:r w:rsidR="004F47F5">
              <w:rPr>
                <w:noProof/>
                <w:sz w:val="24"/>
                <w:szCs w:val="24"/>
              </w:rPr>
              <w:instrText xml:space="preserve"> PAGEREF _Toc121411800 \h </w:instrText>
            </w:r>
            <w:r w:rsidR="004F47F5">
              <w:rPr>
                <w:noProof/>
                <w:sz w:val="24"/>
                <w:szCs w:val="24"/>
              </w:rPr>
            </w:r>
            <w:r w:rsidR="004F47F5">
              <w:rPr>
                <w:noProof/>
                <w:sz w:val="24"/>
                <w:szCs w:val="24"/>
              </w:rPr>
              <w:fldChar w:fldCharType="separate"/>
            </w:r>
            <w:r w:rsidR="00497E99">
              <w:rPr>
                <w:noProof/>
                <w:sz w:val="24"/>
                <w:szCs w:val="24"/>
              </w:rPr>
              <w:t>144</w:t>
            </w:r>
            <w:r w:rsidR="004F47F5">
              <w:rPr>
                <w:noProof/>
                <w:sz w:val="24"/>
                <w:szCs w:val="24"/>
              </w:rPr>
              <w:fldChar w:fldCharType="end"/>
            </w:r>
          </w:hyperlink>
        </w:p>
        <w:p w14:paraId="08556D9D" w14:textId="79C22901" w:rsidR="00D12939" w:rsidRDefault="00747ECF">
          <w:pPr>
            <w:pStyle w:val="25"/>
            <w:tabs>
              <w:tab w:val="right" w:leader="dot" w:pos="9736"/>
            </w:tabs>
            <w:spacing w:line="360" w:lineRule="auto"/>
            <w:ind w:firstLine="400"/>
            <w:rPr>
              <w:smallCaps w:val="0"/>
              <w:noProof/>
              <w:sz w:val="24"/>
              <w:szCs w:val="24"/>
            </w:rPr>
          </w:pPr>
          <w:hyperlink w:anchor="_Toc121411801" w:history="1">
            <w:r w:rsidR="004F47F5">
              <w:rPr>
                <w:rStyle w:val="affff"/>
                <w:noProof/>
                <w:sz w:val="24"/>
                <w:szCs w:val="24"/>
              </w:rPr>
              <w:t>8.6</w:t>
            </w:r>
            <w:r w:rsidR="004F47F5">
              <w:rPr>
                <w:rStyle w:val="affff"/>
                <w:noProof/>
                <w:sz w:val="24"/>
                <w:szCs w:val="24"/>
              </w:rPr>
              <w:t>环境风险应急预案</w:t>
            </w:r>
            <w:r w:rsidR="004F47F5">
              <w:rPr>
                <w:noProof/>
                <w:sz w:val="24"/>
                <w:szCs w:val="24"/>
              </w:rPr>
              <w:tab/>
            </w:r>
            <w:r w:rsidR="004F47F5">
              <w:rPr>
                <w:noProof/>
                <w:sz w:val="24"/>
                <w:szCs w:val="24"/>
              </w:rPr>
              <w:fldChar w:fldCharType="begin"/>
            </w:r>
            <w:r w:rsidR="004F47F5">
              <w:rPr>
                <w:noProof/>
                <w:sz w:val="24"/>
                <w:szCs w:val="24"/>
              </w:rPr>
              <w:instrText xml:space="preserve"> PAGEREF _Toc121411801 \h </w:instrText>
            </w:r>
            <w:r w:rsidR="004F47F5">
              <w:rPr>
                <w:noProof/>
                <w:sz w:val="24"/>
                <w:szCs w:val="24"/>
              </w:rPr>
            </w:r>
            <w:r w:rsidR="004F47F5">
              <w:rPr>
                <w:noProof/>
                <w:sz w:val="24"/>
                <w:szCs w:val="24"/>
              </w:rPr>
              <w:fldChar w:fldCharType="separate"/>
            </w:r>
            <w:r w:rsidR="00497E99">
              <w:rPr>
                <w:noProof/>
                <w:sz w:val="24"/>
                <w:szCs w:val="24"/>
              </w:rPr>
              <w:t>146</w:t>
            </w:r>
            <w:r w:rsidR="004F47F5">
              <w:rPr>
                <w:noProof/>
                <w:sz w:val="24"/>
                <w:szCs w:val="24"/>
              </w:rPr>
              <w:fldChar w:fldCharType="end"/>
            </w:r>
          </w:hyperlink>
        </w:p>
        <w:p w14:paraId="505ADCBA" w14:textId="6C867CF0" w:rsidR="00D12939" w:rsidRDefault="00747ECF">
          <w:pPr>
            <w:pStyle w:val="25"/>
            <w:tabs>
              <w:tab w:val="right" w:leader="dot" w:pos="9736"/>
            </w:tabs>
            <w:spacing w:line="360" w:lineRule="auto"/>
            <w:ind w:firstLine="400"/>
            <w:rPr>
              <w:smallCaps w:val="0"/>
              <w:noProof/>
              <w:sz w:val="24"/>
              <w:szCs w:val="24"/>
            </w:rPr>
          </w:pPr>
          <w:hyperlink w:anchor="_Toc121411802" w:history="1">
            <w:r w:rsidR="004F47F5">
              <w:rPr>
                <w:rStyle w:val="affff"/>
                <w:noProof/>
                <w:sz w:val="24"/>
                <w:szCs w:val="24"/>
              </w:rPr>
              <w:t>8.7</w:t>
            </w:r>
            <w:r w:rsidR="004F47F5">
              <w:rPr>
                <w:rStyle w:val="affff"/>
                <w:noProof/>
                <w:sz w:val="24"/>
                <w:szCs w:val="24"/>
              </w:rPr>
              <w:t>环境风险影响评价结论</w:t>
            </w:r>
            <w:r w:rsidR="004F47F5">
              <w:rPr>
                <w:noProof/>
                <w:sz w:val="24"/>
                <w:szCs w:val="24"/>
              </w:rPr>
              <w:tab/>
            </w:r>
            <w:r w:rsidR="004F47F5">
              <w:rPr>
                <w:noProof/>
                <w:sz w:val="24"/>
                <w:szCs w:val="24"/>
              </w:rPr>
              <w:fldChar w:fldCharType="begin"/>
            </w:r>
            <w:r w:rsidR="004F47F5">
              <w:rPr>
                <w:noProof/>
                <w:sz w:val="24"/>
                <w:szCs w:val="24"/>
              </w:rPr>
              <w:instrText xml:space="preserve"> PAGEREF _Toc121411802 \h </w:instrText>
            </w:r>
            <w:r w:rsidR="004F47F5">
              <w:rPr>
                <w:noProof/>
                <w:sz w:val="24"/>
                <w:szCs w:val="24"/>
              </w:rPr>
            </w:r>
            <w:r w:rsidR="004F47F5">
              <w:rPr>
                <w:noProof/>
                <w:sz w:val="24"/>
                <w:szCs w:val="24"/>
              </w:rPr>
              <w:fldChar w:fldCharType="separate"/>
            </w:r>
            <w:r w:rsidR="00497E99">
              <w:rPr>
                <w:noProof/>
                <w:sz w:val="24"/>
                <w:szCs w:val="24"/>
              </w:rPr>
              <w:t>147</w:t>
            </w:r>
            <w:r w:rsidR="004F47F5">
              <w:rPr>
                <w:noProof/>
                <w:sz w:val="24"/>
                <w:szCs w:val="24"/>
              </w:rPr>
              <w:fldChar w:fldCharType="end"/>
            </w:r>
          </w:hyperlink>
        </w:p>
        <w:p w14:paraId="48D2AA5B" w14:textId="3EBF3E2F" w:rsidR="00D12939" w:rsidRDefault="00747ECF">
          <w:pPr>
            <w:pStyle w:val="15"/>
            <w:tabs>
              <w:tab w:val="left" w:pos="1260"/>
              <w:tab w:val="right" w:leader="dot" w:pos="9736"/>
            </w:tabs>
            <w:spacing w:line="360" w:lineRule="auto"/>
            <w:ind w:firstLine="402"/>
            <w:rPr>
              <w:b w:val="0"/>
              <w:bCs w:val="0"/>
              <w:caps w:val="0"/>
              <w:noProof/>
              <w:sz w:val="24"/>
              <w:szCs w:val="24"/>
            </w:rPr>
          </w:pPr>
          <w:hyperlink w:anchor="_Toc121411803" w:history="1">
            <w:r w:rsidR="004F47F5">
              <w:rPr>
                <w:rStyle w:val="affff"/>
                <w:noProof/>
                <w:sz w:val="24"/>
                <w:szCs w:val="24"/>
              </w:rPr>
              <w:t>9</w:t>
            </w:r>
            <w:r w:rsidR="004F47F5">
              <w:rPr>
                <w:b w:val="0"/>
                <w:bCs w:val="0"/>
                <w:caps w:val="0"/>
                <w:noProof/>
                <w:sz w:val="24"/>
                <w:szCs w:val="24"/>
              </w:rPr>
              <w:t xml:space="preserve"> </w:t>
            </w:r>
            <w:r w:rsidR="004F47F5">
              <w:rPr>
                <w:rStyle w:val="affff"/>
                <w:noProof/>
                <w:sz w:val="24"/>
                <w:szCs w:val="24"/>
              </w:rPr>
              <w:t>环境保护措施及其可行性论证</w:t>
            </w:r>
            <w:r w:rsidR="004F47F5">
              <w:rPr>
                <w:noProof/>
                <w:sz w:val="24"/>
                <w:szCs w:val="24"/>
              </w:rPr>
              <w:tab/>
            </w:r>
            <w:r w:rsidR="004F47F5">
              <w:rPr>
                <w:noProof/>
                <w:sz w:val="24"/>
                <w:szCs w:val="24"/>
              </w:rPr>
              <w:fldChar w:fldCharType="begin"/>
            </w:r>
            <w:r w:rsidR="004F47F5">
              <w:rPr>
                <w:noProof/>
                <w:sz w:val="24"/>
                <w:szCs w:val="24"/>
              </w:rPr>
              <w:instrText xml:space="preserve"> PAGEREF _Toc121411803 \h </w:instrText>
            </w:r>
            <w:r w:rsidR="004F47F5">
              <w:rPr>
                <w:noProof/>
                <w:sz w:val="24"/>
                <w:szCs w:val="24"/>
              </w:rPr>
            </w:r>
            <w:r w:rsidR="004F47F5">
              <w:rPr>
                <w:noProof/>
                <w:sz w:val="24"/>
                <w:szCs w:val="24"/>
              </w:rPr>
              <w:fldChar w:fldCharType="separate"/>
            </w:r>
            <w:r w:rsidR="00497E99">
              <w:rPr>
                <w:noProof/>
                <w:sz w:val="24"/>
                <w:szCs w:val="24"/>
              </w:rPr>
              <w:t>149</w:t>
            </w:r>
            <w:r w:rsidR="004F47F5">
              <w:rPr>
                <w:noProof/>
                <w:sz w:val="24"/>
                <w:szCs w:val="24"/>
              </w:rPr>
              <w:fldChar w:fldCharType="end"/>
            </w:r>
          </w:hyperlink>
        </w:p>
        <w:p w14:paraId="54DE3648" w14:textId="1A9CF6CA" w:rsidR="00D12939" w:rsidRDefault="00747ECF">
          <w:pPr>
            <w:pStyle w:val="25"/>
            <w:tabs>
              <w:tab w:val="right" w:leader="dot" w:pos="9736"/>
            </w:tabs>
            <w:spacing w:line="360" w:lineRule="auto"/>
            <w:ind w:firstLine="400"/>
            <w:rPr>
              <w:smallCaps w:val="0"/>
              <w:noProof/>
              <w:sz w:val="24"/>
              <w:szCs w:val="24"/>
            </w:rPr>
          </w:pPr>
          <w:hyperlink w:anchor="_Toc121411804" w:history="1">
            <w:r w:rsidR="004F47F5">
              <w:rPr>
                <w:rStyle w:val="affff"/>
                <w:noProof/>
                <w:sz w:val="24"/>
                <w:szCs w:val="24"/>
              </w:rPr>
              <w:t>9.1</w:t>
            </w:r>
            <w:r w:rsidR="004F47F5">
              <w:rPr>
                <w:rStyle w:val="affff"/>
                <w:noProof/>
                <w:sz w:val="24"/>
                <w:szCs w:val="24"/>
              </w:rPr>
              <w:t>施工期环境保护措施</w:t>
            </w:r>
            <w:r w:rsidR="004F47F5">
              <w:rPr>
                <w:noProof/>
                <w:sz w:val="24"/>
                <w:szCs w:val="24"/>
              </w:rPr>
              <w:tab/>
            </w:r>
            <w:r w:rsidR="004F47F5">
              <w:rPr>
                <w:noProof/>
                <w:sz w:val="24"/>
                <w:szCs w:val="24"/>
              </w:rPr>
              <w:fldChar w:fldCharType="begin"/>
            </w:r>
            <w:r w:rsidR="004F47F5">
              <w:rPr>
                <w:noProof/>
                <w:sz w:val="24"/>
                <w:szCs w:val="24"/>
              </w:rPr>
              <w:instrText xml:space="preserve"> PAGEREF _Toc121411804 \h </w:instrText>
            </w:r>
            <w:r w:rsidR="004F47F5">
              <w:rPr>
                <w:noProof/>
                <w:sz w:val="24"/>
                <w:szCs w:val="24"/>
              </w:rPr>
            </w:r>
            <w:r w:rsidR="004F47F5">
              <w:rPr>
                <w:noProof/>
                <w:sz w:val="24"/>
                <w:szCs w:val="24"/>
              </w:rPr>
              <w:fldChar w:fldCharType="separate"/>
            </w:r>
            <w:r w:rsidR="00497E99">
              <w:rPr>
                <w:noProof/>
                <w:sz w:val="24"/>
                <w:szCs w:val="24"/>
              </w:rPr>
              <w:t>149</w:t>
            </w:r>
            <w:r w:rsidR="004F47F5">
              <w:rPr>
                <w:noProof/>
                <w:sz w:val="24"/>
                <w:szCs w:val="24"/>
              </w:rPr>
              <w:fldChar w:fldCharType="end"/>
            </w:r>
          </w:hyperlink>
        </w:p>
        <w:p w14:paraId="6BD53E19" w14:textId="2B9D45C9" w:rsidR="00D12939" w:rsidRDefault="00747ECF">
          <w:pPr>
            <w:pStyle w:val="25"/>
            <w:tabs>
              <w:tab w:val="right" w:leader="dot" w:pos="9736"/>
            </w:tabs>
            <w:spacing w:line="360" w:lineRule="auto"/>
            <w:ind w:firstLine="400"/>
            <w:rPr>
              <w:smallCaps w:val="0"/>
              <w:noProof/>
              <w:sz w:val="24"/>
              <w:szCs w:val="24"/>
            </w:rPr>
          </w:pPr>
          <w:hyperlink w:anchor="_Toc121411811" w:history="1">
            <w:r w:rsidR="004F47F5">
              <w:rPr>
                <w:rStyle w:val="affff"/>
                <w:noProof/>
                <w:sz w:val="24"/>
                <w:szCs w:val="24"/>
              </w:rPr>
              <w:t>9.2</w:t>
            </w:r>
            <w:r w:rsidR="004F47F5">
              <w:rPr>
                <w:rStyle w:val="affff"/>
                <w:noProof/>
                <w:sz w:val="24"/>
                <w:szCs w:val="24"/>
              </w:rPr>
              <w:t>运营期环境保护措施</w:t>
            </w:r>
            <w:r w:rsidR="004F47F5">
              <w:rPr>
                <w:noProof/>
                <w:sz w:val="24"/>
                <w:szCs w:val="24"/>
              </w:rPr>
              <w:tab/>
            </w:r>
            <w:r w:rsidR="004F47F5">
              <w:rPr>
                <w:noProof/>
                <w:sz w:val="24"/>
                <w:szCs w:val="24"/>
              </w:rPr>
              <w:fldChar w:fldCharType="begin"/>
            </w:r>
            <w:r w:rsidR="004F47F5">
              <w:rPr>
                <w:noProof/>
                <w:sz w:val="24"/>
                <w:szCs w:val="24"/>
              </w:rPr>
              <w:instrText xml:space="preserve"> PAGEREF _Toc121411811 \h </w:instrText>
            </w:r>
            <w:r w:rsidR="004F47F5">
              <w:rPr>
                <w:noProof/>
                <w:sz w:val="24"/>
                <w:szCs w:val="24"/>
              </w:rPr>
            </w:r>
            <w:r w:rsidR="004F47F5">
              <w:rPr>
                <w:noProof/>
                <w:sz w:val="24"/>
                <w:szCs w:val="24"/>
              </w:rPr>
              <w:fldChar w:fldCharType="separate"/>
            </w:r>
            <w:r w:rsidR="00497E99">
              <w:rPr>
                <w:noProof/>
                <w:sz w:val="24"/>
                <w:szCs w:val="24"/>
              </w:rPr>
              <w:t>152</w:t>
            </w:r>
            <w:r w:rsidR="004F47F5">
              <w:rPr>
                <w:noProof/>
                <w:sz w:val="24"/>
                <w:szCs w:val="24"/>
              </w:rPr>
              <w:fldChar w:fldCharType="end"/>
            </w:r>
          </w:hyperlink>
        </w:p>
        <w:p w14:paraId="6EBC2C08" w14:textId="2D0F30BD" w:rsidR="00D12939" w:rsidRDefault="00747ECF">
          <w:pPr>
            <w:pStyle w:val="15"/>
            <w:tabs>
              <w:tab w:val="right" w:leader="dot" w:pos="9736"/>
            </w:tabs>
            <w:spacing w:line="360" w:lineRule="auto"/>
            <w:ind w:firstLine="402"/>
            <w:rPr>
              <w:b w:val="0"/>
              <w:bCs w:val="0"/>
              <w:caps w:val="0"/>
              <w:noProof/>
              <w:sz w:val="24"/>
              <w:szCs w:val="24"/>
            </w:rPr>
          </w:pPr>
          <w:hyperlink w:anchor="_Toc121411818" w:history="1">
            <w:r w:rsidR="004F47F5">
              <w:rPr>
                <w:rStyle w:val="affff"/>
                <w:noProof/>
                <w:sz w:val="24"/>
                <w:szCs w:val="24"/>
              </w:rPr>
              <w:t xml:space="preserve">10 </w:t>
            </w:r>
            <w:r w:rsidR="004F47F5">
              <w:rPr>
                <w:rStyle w:val="affff"/>
                <w:noProof/>
                <w:sz w:val="24"/>
                <w:szCs w:val="24"/>
              </w:rPr>
              <w:t>环境影响经济损益分析</w:t>
            </w:r>
            <w:r w:rsidR="004F47F5">
              <w:rPr>
                <w:noProof/>
                <w:sz w:val="24"/>
                <w:szCs w:val="24"/>
              </w:rPr>
              <w:tab/>
            </w:r>
            <w:r w:rsidR="004F47F5">
              <w:rPr>
                <w:noProof/>
                <w:sz w:val="24"/>
                <w:szCs w:val="24"/>
              </w:rPr>
              <w:fldChar w:fldCharType="begin"/>
            </w:r>
            <w:r w:rsidR="004F47F5">
              <w:rPr>
                <w:noProof/>
                <w:sz w:val="24"/>
                <w:szCs w:val="24"/>
              </w:rPr>
              <w:instrText xml:space="preserve"> PAGEREF _Toc121411818 \h </w:instrText>
            </w:r>
            <w:r w:rsidR="004F47F5">
              <w:rPr>
                <w:noProof/>
                <w:sz w:val="24"/>
                <w:szCs w:val="24"/>
              </w:rPr>
            </w:r>
            <w:r w:rsidR="004F47F5">
              <w:rPr>
                <w:noProof/>
                <w:sz w:val="24"/>
                <w:szCs w:val="24"/>
              </w:rPr>
              <w:fldChar w:fldCharType="separate"/>
            </w:r>
            <w:r w:rsidR="00497E99">
              <w:rPr>
                <w:noProof/>
                <w:sz w:val="24"/>
                <w:szCs w:val="24"/>
              </w:rPr>
              <w:t>165</w:t>
            </w:r>
            <w:r w:rsidR="004F47F5">
              <w:rPr>
                <w:noProof/>
                <w:sz w:val="24"/>
                <w:szCs w:val="24"/>
              </w:rPr>
              <w:fldChar w:fldCharType="end"/>
            </w:r>
          </w:hyperlink>
        </w:p>
        <w:p w14:paraId="43F21EED" w14:textId="7939975D" w:rsidR="00D12939" w:rsidRDefault="00747ECF">
          <w:pPr>
            <w:pStyle w:val="25"/>
            <w:tabs>
              <w:tab w:val="right" w:leader="dot" w:pos="9736"/>
            </w:tabs>
            <w:spacing w:line="360" w:lineRule="auto"/>
            <w:ind w:firstLine="400"/>
            <w:rPr>
              <w:smallCaps w:val="0"/>
              <w:noProof/>
              <w:sz w:val="24"/>
              <w:szCs w:val="24"/>
            </w:rPr>
          </w:pPr>
          <w:hyperlink w:anchor="_Toc121411819" w:history="1">
            <w:r w:rsidR="004F47F5">
              <w:rPr>
                <w:rStyle w:val="affff"/>
                <w:noProof/>
                <w:sz w:val="24"/>
                <w:szCs w:val="24"/>
              </w:rPr>
              <w:t>10.1</w:t>
            </w:r>
            <w:r w:rsidR="004F47F5">
              <w:rPr>
                <w:rStyle w:val="affff"/>
                <w:noProof/>
                <w:sz w:val="24"/>
                <w:szCs w:val="24"/>
              </w:rPr>
              <w:t>环境效益分析</w:t>
            </w:r>
            <w:r w:rsidR="004F47F5">
              <w:rPr>
                <w:noProof/>
                <w:sz w:val="24"/>
                <w:szCs w:val="24"/>
              </w:rPr>
              <w:tab/>
            </w:r>
            <w:r w:rsidR="004F47F5">
              <w:rPr>
                <w:noProof/>
                <w:sz w:val="24"/>
                <w:szCs w:val="24"/>
              </w:rPr>
              <w:fldChar w:fldCharType="begin"/>
            </w:r>
            <w:r w:rsidR="004F47F5">
              <w:rPr>
                <w:noProof/>
                <w:sz w:val="24"/>
                <w:szCs w:val="24"/>
              </w:rPr>
              <w:instrText xml:space="preserve"> PAGEREF _Toc121411819 \h </w:instrText>
            </w:r>
            <w:r w:rsidR="004F47F5">
              <w:rPr>
                <w:noProof/>
                <w:sz w:val="24"/>
                <w:szCs w:val="24"/>
              </w:rPr>
            </w:r>
            <w:r w:rsidR="004F47F5">
              <w:rPr>
                <w:noProof/>
                <w:sz w:val="24"/>
                <w:szCs w:val="24"/>
              </w:rPr>
              <w:fldChar w:fldCharType="separate"/>
            </w:r>
            <w:r w:rsidR="00497E99">
              <w:rPr>
                <w:noProof/>
                <w:sz w:val="24"/>
                <w:szCs w:val="24"/>
              </w:rPr>
              <w:t>165</w:t>
            </w:r>
            <w:r w:rsidR="004F47F5">
              <w:rPr>
                <w:noProof/>
                <w:sz w:val="24"/>
                <w:szCs w:val="24"/>
              </w:rPr>
              <w:fldChar w:fldCharType="end"/>
            </w:r>
          </w:hyperlink>
        </w:p>
        <w:p w14:paraId="3A9932DB" w14:textId="4E64A673" w:rsidR="00D12939" w:rsidRDefault="00747ECF">
          <w:pPr>
            <w:pStyle w:val="25"/>
            <w:tabs>
              <w:tab w:val="right" w:leader="dot" w:pos="9736"/>
            </w:tabs>
            <w:spacing w:line="360" w:lineRule="auto"/>
            <w:ind w:firstLine="400"/>
            <w:rPr>
              <w:smallCaps w:val="0"/>
              <w:noProof/>
              <w:sz w:val="24"/>
              <w:szCs w:val="24"/>
            </w:rPr>
          </w:pPr>
          <w:hyperlink w:anchor="_Toc121411820" w:history="1">
            <w:r w:rsidR="004F47F5">
              <w:rPr>
                <w:rStyle w:val="affff"/>
                <w:noProof/>
                <w:sz w:val="24"/>
                <w:szCs w:val="24"/>
              </w:rPr>
              <w:t xml:space="preserve">10.2 </w:t>
            </w:r>
            <w:r w:rsidR="004F47F5">
              <w:rPr>
                <w:rStyle w:val="affff"/>
                <w:noProof/>
                <w:sz w:val="24"/>
                <w:szCs w:val="24"/>
              </w:rPr>
              <w:t>环保投入分析</w:t>
            </w:r>
            <w:r w:rsidR="004F47F5">
              <w:rPr>
                <w:noProof/>
                <w:sz w:val="24"/>
                <w:szCs w:val="24"/>
              </w:rPr>
              <w:tab/>
            </w:r>
            <w:r w:rsidR="004F47F5">
              <w:rPr>
                <w:noProof/>
                <w:sz w:val="24"/>
                <w:szCs w:val="24"/>
              </w:rPr>
              <w:fldChar w:fldCharType="begin"/>
            </w:r>
            <w:r w:rsidR="004F47F5">
              <w:rPr>
                <w:noProof/>
                <w:sz w:val="24"/>
                <w:szCs w:val="24"/>
              </w:rPr>
              <w:instrText xml:space="preserve"> PAGEREF _Toc121411820 \h </w:instrText>
            </w:r>
            <w:r w:rsidR="004F47F5">
              <w:rPr>
                <w:noProof/>
                <w:sz w:val="24"/>
                <w:szCs w:val="24"/>
              </w:rPr>
            </w:r>
            <w:r w:rsidR="004F47F5">
              <w:rPr>
                <w:noProof/>
                <w:sz w:val="24"/>
                <w:szCs w:val="24"/>
              </w:rPr>
              <w:fldChar w:fldCharType="separate"/>
            </w:r>
            <w:r w:rsidR="00497E99">
              <w:rPr>
                <w:noProof/>
                <w:sz w:val="24"/>
                <w:szCs w:val="24"/>
              </w:rPr>
              <w:t>166</w:t>
            </w:r>
            <w:r w:rsidR="004F47F5">
              <w:rPr>
                <w:noProof/>
                <w:sz w:val="24"/>
                <w:szCs w:val="24"/>
              </w:rPr>
              <w:fldChar w:fldCharType="end"/>
            </w:r>
          </w:hyperlink>
        </w:p>
        <w:p w14:paraId="2240BD59" w14:textId="247EF6A5" w:rsidR="00D12939" w:rsidRDefault="00747ECF">
          <w:pPr>
            <w:pStyle w:val="25"/>
            <w:tabs>
              <w:tab w:val="right" w:leader="dot" w:pos="9736"/>
            </w:tabs>
            <w:spacing w:line="360" w:lineRule="auto"/>
            <w:ind w:firstLine="400"/>
            <w:rPr>
              <w:smallCaps w:val="0"/>
              <w:noProof/>
              <w:sz w:val="24"/>
              <w:szCs w:val="24"/>
            </w:rPr>
          </w:pPr>
          <w:hyperlink w:anchor="_Toc121411821" w:history="1">
            <w:r w:rsidR="004F47F5">
              <w:rPr>
                <w:rStyle w:val="affff"/>
                <w:noProof/>
                <w:sz w:val="24"/>
                <w:szCs w:val="24"/>
              </w:rPr>
              <w:t xml:space="preserve">10.3 </w:t>
            </w:r>
            <w:r w:rsidR="004F47F5">
              <w:rPr>
                <w:rStyle w:val="affff"/>
                <w:noProof/>
                <w:sz w:val="24"/>
                <w:szCs w:val="24"/>
              </w:rPr>
              <w:t>环境成本和环境系数的确定与分析</w:t>
            </w:r>
            <w:r w:rsidR="004F47F5">
              <w:rPr>
                <w:noProof/>
                <w:sz w:val="24"/>
                <w:szCs w:val="24"/>
              </w:rPr>
              <w:tab/>
            </w:r>
            <w:r w:rsidR="004F47F5">
              <w:rPr>
                <w:noProof/>
                <w:sz w:val="24"/>
                <w:szCs w:val="24"/>
              </w:rPr>
              <w:fldChar w:fldCharType="begin"/>
            </w:r>
            <w:r w:rsidR="004F47F5">
              <w:rPr>
                <w:noProof/>
                <w:sz w:val="24"/>
                <w:szCs w:val="24"/>
              </w:rPr>
              <w:instrText xml:space="preserve"> PAGEREF _Toc121411821 \h </w:instrText>
            </w:r>
            <w:r w:rsidR="004F47F5">
              <w:rPr>
                <w:noProof/>
                <w:sz w:val="24"/>
                <w:szCs w:val="24"/>
              </w:rPr>
            </w:r>
            <w:r w:rsidR="004F47F5">
              <w:rPr>
                <w:noProof/>
                <w:sz w:val="24"/>
                <w:szCs w:val="24"/>
              </w:rPr>
              <w:fldChar w:fldCharType="separate"/>
            </w:r>
            <w:r w:rsidR="00497E99">
              <w:rPr>
                <w:noProof/>
                <w:sz w:val="24"/>
                <w:szCs w:val="24"/>
              </w:rPr>
              <w:t>166</w:t>
            </w:r>
            <w:r w:rsidR="004F47F5">
              <w:rPr>
                <w:noProof/>
                <w:sz w:val="24"/>
                <w:szCs w:val="24"/>
              </w:rPr>
              <w:fldChar w:fldCharType="end"/>
            </w:r>
          </w:hyperlink>
        </w:p>
        <w:p w14:paraId="28ACC53E" w14:textId="7846BEF5" w:rsidR="00D12939" w:rsidRDefault="00747ECF">
          <w:pPr>
            <w:pStyle w:val="25"/>
            <w:tabs>
              <w:tab w:val="right" w:leader="dot" w:pos="9736"/>
            </w:tabs>
            <w:spacing w:line="360" w:lineRule="auto"/>
            <w:ind w:firstLine="400"/>
            <w:rPr>
              <w:smallCaps w:val="0"/>
              <w:noProof/>
              <w:sz w:val="24"/>
              <w:szCs w:val="24"/>
            </w:rPr>
          </w:pPr>
          <w:hyperlink w:anchor="_Toc121411822" w:history="1">
            <w:r w:rsidR="004F47F5">
              <w:rPr>
                <w:rStyle w:val="affff"/>
                <w:noProof/>
                <w:sz w:val="24"/>
                <w:szCs w:val="24"/>
              </w:rPr>
              <w:t xml:space="preserve">10.4 </w:t>
            </w:r>
            <w:r w:rsidR="004F47F5">
              <w:rPr>
                <w:rStyle w:val="affff"/>
                <w:noProof/>
                <w:sz w:val="24"/>
                <w:szCs w:val="24"/>
              </w:rPr>
              <w:t>环境经济损益分析结论</w:t>
            </w:r>
            <w:r w:rsidR="004F47F5">
              <w:rPr>
                <w:noProof/>
                <w:sz w:val="24"/>
                <w:szCs w:val="24"/>
              </w:rPr>
              <w:tab/>
            </w:r>
            <w:r w:rsidR="004F47F5">
              <w:rPr>
                <w:noProof/>
                <w:sz w:val="24"/>
                <w:szCs w:val="24"/>
              </w:rPr>
              <w:fldChar w:fldCharType="begin"/>
            </w:r>
            <w:r w:rsidR="004F47F5">
              <w:rPr>
                <w:noProof/>
                <w:sz w:val="24"/>
                <w:szCs w:val="24"/>
              </w:rPr>
              <w:instrText xml:space="preserve"> PAGEREF _Toc121411822 \h </w:instrText>
            </w:r>
            <w:r w:rsidR="004F47F5">
              <w:rPr>
                <w:noProof/>
                <w:sz w:val="24"/>
                <w:szCs w:val="24"/>
              </w:rPr>
            </w:r>
            <w:r w:rsidR="004F47F5">
              <w:rPr>
                <w:noProof/>
                <w:sz w:val="24"/>
                <w:szCs w:val="24"/>
              </w:rPr>
              <w:fldChar w:fldCharType="separate"/>
            </w:r>
            <w:r w:rsidR="00497E99">
              <w:rPr>
                <w:noProof/>
                <w:sz w:val="24"/>
                <w:szCs w:val="24"/>
              </w:rPr>
              <w:t>167</w:t>
            </w:r>
            <w:r w:rsidR="004F47F5">
              <w:rPr>
                <w:noProof/>
                <w:sz w:val="24"/>
                <w:szCs w:val="24"/>
              </w:rPr>
              <w:fldChar w:fldCharType="end"/>
            </w:r>
          </w:hyperlink>
        </w:p>
        <w:p w14:paraId="0717A110" w14:textId="453FB8B1" w:rsidR="00D12939" w:rsidRDefault="00747ECF">
          <w:pPr>
            <w:pStyle w:val="15"/>
            <w:tabs>
              <w:tab w:val="right" w:leader="dot" w:pos="9736"/>
            </w:tabs>
            <w:spacing w:line="360" w:lineRule="auto"/>
            <w:ind w:firstLine="402"/>
            <w:rPr>
              <w:b w:val="0"/>
              <w:bCs w:val="0"/>
              <w:caps w:val="0"/>
              <w:noProof/>
              <w:sz w:val="24"/>
              <w:szCs w:val="24"/>
            </w:rPr>
          </w:pPr>
          <w:hyperlink w:anchor="_Toc121411823" w:history="1">
            <w:r w:rsidR="004F47F5">
              <w:rPr>
                <w:rStyle w:val="affff"/>
                <w:noProof/>
                <w:sz w:val="24"/>
                <w:szCs w:val="24"/>
              </w:rPr>
              <w:t xml:space="preserve">11 </w:t>
            </w:r>
            <w:r w:rsidR="004F47F5">
              <w:rPr>
                <w:rStyle w:val="affff"/>
                <w:noProof/>
                <w:sz w:val="24"/>
                <w:szCs w:val="24"/>
              </w:rPr>
              <w:t>环境管理和环境监测计划</w:t>
            </w:r>
            <w:r w:rsidR="004F47F5">
              <w:rPr>
                <w:noProof/>
                <w:sz w:val="24"/>
                <w:szCs w:val="24"/>
              </w:rPr>
              <w:tab/>
            </w:r>
            <w:r w:rsidR="004F47F5">
              <w:rPr>
                <w:noProof/>
                <w:sz w:val="24"/>
                <w:szCs w:val="24"/>
              </w:rPr>
              <w:fldChar w:fldCharType="begin"/>
            </w:r>
            <w:r w:rsidR="004F47F5">
              <w:rPr>
                <w:noProof/>
                <w:sz w:val="24"/>
                <w:szCs w:val="24"/>
              </w:rPr>
              <w:instrText xml:space="preserve"> PAGEREF _Toc121411823 \h </w:instrText>
            </w:r>
            <w:r w:rsidR="004F47F5">
              <w:rPr>
                <w:noProof/>
                <w:sz w:val="24"/>
                <w:szCs w:val="24"/>
              </w:rPr>
            </w:r>
            <w:r w:rsidR="004F47F5">
              <w:rPr>
                <w:noProof/>
                <w:sz w:val="24"/>
                <w:szCs w:val="24"/>
              </w:rPr>
              <w:fldChar w:fldCharType="separate"/>
            </w:r>
            <w:r w:rsidR="00497E99">
              <w:rPr>
                <w:noProof/>
                <w:sz w:val="24"/>
                <w:szCs w:val="24"/>
              </w:rPr>
              <w:t>168</w:t>
            </w:r>
            <w:r w:rsidR="004F47F5">
              <w:rPr>
                <w:noProof/>
                <w:sz w:val="24"/>
                <w:szCs w:val="24"/>
              </w:rPr>
              <w:fldChar w:fldCharType="end"/>
            </w:r>
          </w:hyperlink>
        </w:p>
        <w:p w14:paraId="308A8581" w14:textId="04DE1377" w:rsidR="00D12939" w:rsidRDefault="00747ECF">
          <w:pPr>
            <w:pStyle w:val="25"/>
            <w:tabs>
              <w:tab w:val="right" w:leader="dot" w:pos="9736"/>
            </w:tabs>
            <w:spacing w:line="360" w:lineRule="auto"/>
            <w:ind w:firstLine="400"/>
            <w:rPr>
              <w:smallCaps w:val="0"/>
              <w:noProof/>
              <w:sz w:val="24"/>
              <w:szCs w:val="24"/>
            </w:rPr>
          </w:pPr>
          <w:hyperlink w:anchor="_Toc121411824" w:history="1">
            <w:r w:rsidR="004F47F5">
              <w:rPr>
                <w:rStyle w:val="affff"/>
                <w:noProof/>
                <w:sz w:val="24"/>
                <w:szCs w:val="24"/>
              </w:rPr>
              <w:t>11.1</w:t>
            </w:r>
            <w:r w:rsidR="004F47F5">
              <w:rPr>
                <w:rStyle w:val="affff"/>
                <w:noProof/>
                <w:sz w:val="24"/>
                <w:szCs w:val="24"/>
              </w:rPr>
              <w:t>环境管理</w:t>
            </w:r>
            <w:r w:rsidR="004F47F5">
              <w:rPr>
                <w:noProof/>
                <w:sz w:val="24"/>
                <w:szCs w:val="24"/>
              </w:rPr>
              <w:tab/>
            </w:r>
            <w:r w:rsidR="004F47F5">
              <w:rPr>
                <w:noProof/>
                <w:sz w:val="24"/>
                <w:szCs w:val="24"/>
              </w:rPr>
              <w:fldChar w:fldCharType="begin"/>
            </w:r>
            <w:r w:rsidR="004F47F5">
              <w:rPr>
                <w:noProof/>
                <w:sz w:val="24"/>
                <w:szCs w:val="24"/>
              </w:rPr>
              <w:instrText xml:space="preserve"> PAGEREF _Toc121411824 \h </w:instrText>
            </w:r>
            <w:r w:rsidR="004F47F5">
              <w:rPr>
                <w:noProof/>
                <w:sz w:val="24"/>
                <w:szCs w:val="24"/>
              </w:rPr>
            </w:r>
            <w:r w:rsidR="004F47F5">
              <w:rPr>
                <w:noProof/>
                <w:sz w:val="24"/>
                <w:szCs w:val="24"/>
              </w:rPr>
              <w:fldChar w:fldCharType="separate"/>
            </w:r>
            <w:r w:rsidR="00497E99">
              <w:rPr>
                <w:noProof/>
                <w:sz w:val="24"/>
                <w:szCs w:val="24"/>
              </w:rPr>
              <w:t>168</w:t>
            </w:r>
            <w:r w:rsidR="004F47F5">
              <w:rPr>
                <w:noProof/>
                <w:sz w:val="24"/>
                <w:szCs w:val="24"/>
              </w:rPr>
              <w:fldChar w:fldCharType="end"/>
            </w:r>
          </w:hyperlink>
        </w:p>
        <w:p w14:paraId="4D308386" w14:textId="72AD8F16" w:rsidR="00D12939" w:rsidRDefault="00747ECF">
          <w:pPr>
            <w:pStyle w:val="25"/>
            <w:tabs>
              <w:tab w:val="right" w:leader="dot" w:pos="9736"/>
            </w:tabs>
            <w:spacing w:line="360" w:lineRule="auto"/>
            <w:ind w:firstLine="400"/>
            <w:rPr>
              <w:smallCaps w:val="0"/>
              <w:noProof/>
              <w:sz w:val="24"/>
              <w:szCs w:val="24"/>
            </w:rPr>
          </w:pPr>
          <w:hyperlink w:anchor="_Toc121411829" w:history="1">
            <w:r w:rsidR="004F47F5">
              <w:rPr>
                <w:rStyle w:val="affff"/>
                <w:noProof/>
                <w:sz w:val="24"/>
                <w:szCs w:val="24"/>
              </w:rPr>
              <w:t xml:space="preserve">11.2 </w:t>
            </w:r>
            <w:r w:rsidR="004F47F5">
              <w:rPr>
                <w:rStyle w:val="affff"/>
                <w:noProof/>
                <w:sz w:val="24"/>
                <w:szCs w:val="24"/>
              </w:rPr>
              <w:t>环境监测计划</w:t>
            </w:r>
            <w:r w:rsidR="004F47F5">
              <w:rPr>
                <w:noProof/>
                <w:sz w:val="24"/>
                <w:szCs w:val="24"/>
              </w:rPr>
              <w:tab/>
            </w:r>
            <w:r w:rsidR="004F47F5">
              <w:rPr>
                <w:noProof/>
                <w:sz w:val="24"/>
                <w:szCs w:val="24"/>
              </w:rPr>
              <w:fldChar w:fldCharType="begin"/>
            </w:r>
            <w:r w:rsidR="004F47F5">
              <w:rPr>
                <w:noProof/>
                <w:sz w:val="24"/>
                <w:szCs w:val="24"/>
              </w:rPr>
              <w:instrText xml:space="preserve"> PAGEREF _Toc121411829 \h </w:instrText>
            </w:r>
            <w:r w:rsidR="004F47F5">
              <w:rPr>
                <w:noProof/>
                <w:sz w:val="24"/>
                <w:szCs w:val="24"/>
              </w:rPr>
            </w:r>
            <w:r w:rsidR="004F47F5">
              <w:rPr>
                <w:noProof/>
                <w:sz w:val="24"/>
                <w:szCs w:val="24"/>
              </w:rPr>
              <w:fldChar w:fldCharType="separate"/>
            </w:r>
            <w:r w:rsidR="00497E99">
              <w:rPr>
                <w:noProof/>
                <w:sz w:val="24"/>
                <w:szCs w:val="24"/>
              </w:rPr>
              <w:t>170</w:t>
            </w:r>
            <w:r w:rsidR="004F47F5">
              <w:rPr>
                <w:noProof/>
                <w:sz w:val="24"/>
                <w:szCs w:val="24"/>
              </w:rPr>
              <w:fldChar w:fldCharType="end"/>
            </w:r>
          </w:hyperlink>
        </w:p>
        <w:p w14:paraId="59328777" w14:textId="34E483BE" w:rsidR="00D12939" w:rsidRDefault="00747ECF">
          <w:pPr>
            <w:pStyle w:val="25"/>
            <w:tabs>
              <w:tab w:val="right" w:leader="dot" w:pos="9736"/>
            </w:tabs>
            <w:spacing w:line="360" w:lineRule="auto"/>
            <w:ind w:firstLine="400"/>
            <w:rPr>
              <w:smallCaps w:val="0"/>
              <w:noProof/>
              <w:sz w:val="24"/>
              <w:szCs w:val="24"/>
            </w:rPr>
          </w:pPr>
          <w:hyperlink w:anchor="_Toc121411832" w:history="1">
            <w:r w:rsidR="004F47F5">
              <w:rPr>
                <w:rStyle w:val="affff"/>
                <w:noProof/>
                <w:sz w:val="24"/>
                <w:szCs w:val="24"/>
              </w:rPr>
              <w:t xml:space="preserve">11.3 </w:t>
            </w:r>
            <w:r w:rsidR="004F47F5">
              <w:rPr>
                <w:rStyle w:val="affff"/>
                <w:noProof/>
                <w:sz w:val="24"/>
                <w:szCs w:val="24"/>
              </w:rPr>
              <w:t>排污口规范化管理要求</w:t>
            </w:r>
            <w:r w:rsidR="004F47F5">
              <w:rPr>
                <w:noProof/>
                <w:sz w:val="24"/>
                <w:szCs w:val="24"/>
              </w:rPr>
              <w:tab/>
            </w:r>
            <w:r w:rsidR="004F47F5">
              <w:rPr>
                <w:noProof/>
                <w:sz w:val="24"/>
                <w:szCs w:val="24"/>
              </w:rPr>
              <w:fldChar w:fldCharType="begin"/>
            </w:r>
            <w:r w:rsidR="004F47F5">
              <w:rPr>
                <w:noProof/>
                <w:sz w:val="24"/>
                <w:szCs w:val="24"/>
              </w:rPr>
              <w:instrText xml:space="preserve"> PAGEREF _Toc121411832 \h </w:instrText>
            </w:r>
            <w:r w:rsidR="004F47F5">
              <w:rPr>
                <w:noProof/>
                <w:sz w:val="24"/>
                <w:szCs w:val="24"/>
              </w:rPr>
            </w:r>
            <w:r w:rsidR="004F47F5">
              <w:rPr>
                <w:noProof/>
                <w:sz w:val="24"/>
                <w:szCs w:val="24"/>
              </w:rPr>
              <w:fldChar w:fldCharType="separate"/>
            </w:r>
            <w:r w:rsidR="00497E99">
              <w:rPr>
                <w:noProof/>
                <w:sz w:val="24"/>
                <w:szCs w:val="24"/>
              </w:rPr>
              <w:t>171</w:t>
            </w:r>
            <w:r w:rsidR="004F47F5">
              <w:rPr>
                <w:noProof/>
                <w:sz w:val="24"/>
                <w:szCs w:val="24"/>
              </w:rPr>
              <w:fldChar w:fldCharType="end"/>
            </w:r>
          </w:hyperlink>
        </w:p>
        <w:p w14:paraId="0283CDA1" w14:textId="13A13EEB" w:rsidR="00D12939" w:rsidRDefault="00747ECF">
          <w:pPr>
            <w:pStyle w:val="25"/>
            <w:tabs>
              <w:tab w:val="right" w:leader="dot" w:pos="9736"/>
            </w:tabs>
            <w:spacing w:line="360" w:lineRule="auto"/>
            <w:ind w:firstLine="400"/>
            <w:rPr>
              <w:smallCaps w:val="0"/>
              <w:noProof/>
              <w:sz w:val="24"/>
              <w:szCs w:val="24"/>
            </w:rPr>
          </w:pPr>
          <w:hyperlink w:anchor="_Toc121411833" w:history="1">
            <w:r w:rsidR="004F47F5">
              <w:rPr>
                <w:rStyle w:val="affff"/>
                <w:noProof/>
                <w:sz w:val="24"/>
                <w:szCs w:val="24"/>
              </w:rPr>
              <w:t xml:space="preserve">11.4 </w:t>
            </w:r>
            <w:r w:rsidR="004F47F5">
              <w:rPr>
                <w:rStyle w:val="affff"/>
                <w:noProof/>
                <w:sz w:val="24"/>
                <w:szCs w:val="24"/>
              </w:rPr>
              <w:t>污染物排放清单及管理要求</w:t>
            </w:r>
            <w:r w:rsidR="004F47F5">
              <w:rPr>
                <w:noProof/>
                <w:sz w:val="24"/>
                <w:szCs w:val="24"/>
              </w:rPr>
              <w:tab/>
            </w:r>
            <w:r w:rsidR="004F47F5">
              <w:rPr>
                <w:noProof/>
                <w:sz w:val="24"/>
                <w:szCs w:val="24"/>
              </w:rPr>
              <w:fldChar w:fldCharType="begin"/>
            </w:r>
            <w:r w:rsidR="004F47F5">
              <w:rPr>
                <w:noProof/>
                <w:sz w:val="24"/>
                <w:szCs w:val="24"/>
              </w:rPr>
              <w:instrText xml:space="preserve"> PAGEREF _Toc121411833 \h </w:instrText>
            </w:r>
            <w:r w:rsidR="004F47F5">
              <w:rPr>
                <w:noProof/>
                <w:sz w:val="24"/>
                <w:szCs w:val="24"/>
              </w:rPr>
            </w:r>
            <w:r w:rsidR="004F47F5">
              <w:rPr>
                <w:noProof/>
                <w:sz w:val="24"/>
                <w:szCs w:val="24"/>
              </w:rPr>
              <w:fldChar w:fldCharType="separate"/>
            </w:r>
            <w:r w:rsidR="00497E99">
              <w:rPr>
                <w:noProof/>
                <w:sz w:val="24"/>
                <w:szCs w:val="24"/>
              </w:rPr>
              <w:t>172</w:t>
            </w:r>
            <w:r w:rsidR="004F47F5">
              <w:rPr>
                <w:noProof/>
                <w:sz w:val="24"/>
                <w:szCs w:val="24"/>
              </w:rPr>
              <w:fldChar w:fldCharType="end"/>
            </w:r>
          </w:hyperlink>
        </w:p>
        <w:p w14:paraId="15745476" w14:textId="502F554E" w:rsidR="00D12939" w:rsidRDefault="00747ECF">
          <w:pPr>
            <w:pStyle w:val="25"/>
            <w:tabs>
              <w:tab w:val="right" w:leader="dot" w:pos="9736"/>
            </w:tabs>
            <w:spacing w:line="360" w:lineRule="auto"/>
            <w:ind w:firstLine="400"/>
            <w:rPr>
              <w:smallCaps w:val="0"/>
              <w:noProof/>
              <w:sz w:val="24"/>
              <w:szCs w:val="24"/>
            </w:rPr>
          </w:pPr>
          <w:hyperlink w:anchor="_Toc121411836" w:history="1">
            <w:r w:rsidR="004F47F5">
              <w:rPr>
                <w:rStyle w:val="affff"/>
                <w:noProof/>
                <w:sz w:val="24"/>
                <w:szCs w:val="24"/>
              </w:rPr>
              <w:t xml:space="preserve">11.5 </w:t>
            </w:r>
            <w:r w:rsidR="004F47F5">
              <w:rPr>
                <w:rStyle w:val="affff"/>
                <w:noProof/>
                <w:sz w:val="24"/>
                <w:szCs w:val="24"/>
              </w:rPr>
              <w:t>总量控制指标</w:t>
            </w:r>
            <w:r w:rsidR="004F47F5">
              <w:rPr>
                <w:noProof/>
                <w:sz w:val="24"/>
                <w:szCs w:val="24"/>
              </w:rPr>
              <w:tab/>
            </w:r>
            <w:r w:rsidR="004F47F5">
              <w:rPr>
                <w:noProof/>
                <w:sz w:val="24"/>
                <w:szCs w:val="24"/>
              </w:rPr>
              <w:fldChar w:fldCharType="begin"/>
            </w:r>
            <w:r w:rsidR="004F47F5">
              <w:rPr>
                <w:noProof/>
                <w:sz w:val="24"/>
                <w:szCs w:val="24"/>
              </w:rPr>
              <w:instrText xml:space="preserve"> PAGEREF _Toc121411836 \h </w:instrText>
            </w:r>
            <w:r w:rsidR="004F47F5">
              <w:rPr>
                <w:noProof/>
                <w:sz w:val="24"/>
                <w:szCs w:val="24"/>
              </w:rPr>
            </w:r>
            <w:r w:rsidR="004F47F5">
              <w:rPr>
                <w:noProof/>
                <w:sz w:val="24"/>
                <w:szCs w:val="24"/>
              </w:rPr>
              <w:fldChar w:fldCharType="separate"/>
            </w:r>
            <w:r w:rsidR="00497E99">
              <w:rPr>
                <w:noProof/>
                <w:sz w:val="24"/>
                <w:szCs w:val="24"/>
              </w:rPr>
              <w:t>178</w:t>
            </w:r>
            <w:r w:rsidR="004F47F5">
              <w:rPr>
                <w:noProof/>
                <w:sz w:val="24"/>
                <w:szCs w:val="24"/>
              </w:rPr>
              <w:fldChar w:fldCharType="end"/>
            </w:r>
          </w:hyperlink>
        </w:p>
        <w:p w14:paraId="2AD8E479" w14:textId="67ACA2CE" w:rsidR="00D12939" w:rsidRDefault="00747ECF">
          <w:pPr>
            <w:pStyle w:val="25"/>
            <w:tabs>
              <w:tab w:val="right" w:leader="dot" w:pos="9736"/>
            </w:tabs>
            <w:spacing w:line="360" w:lineRule="auto"/>
            <w:ind w:firstLine="400"/>
            <w:rPr>
              <w:smallCaps w:val="0"/>
              <w:noProof/>
              <w:sz w:val="24"/>
              <w:szCs w:val="24"/>
            </w:rPr>
          </w:pPr>
          <w:hyperlink w:anchor="_Toc121411837" w:history="1">
            <w:r w:rsidR="004F47F5">
              <w:rPr>
                <w:rStyle w:val="affff"/>
                <w:noProof/>
                <w:sz w:val="24"/>
                <w:szCs w:val="24"/>
              </w:rPr>
              <w:t xml:space="preserve">11.6 </w:t>
            </w:r>
            <w:r w:rsidR="004F47F5">
              <w:rPr>
                <w:rStyle w:val="affff"/>
                <w:noProof/>
                <w:sz w:val="24"/>
                <w:szCs w:val="24"/>
              </w:rPr>
              <w:t>企业信息公开</w:t>
            </w:r>
            <w:r w:rsidR="004F47F5">
              <w:rPr>
                <w:noProof/>
                <w:sz w:val="24"/>
                <w:szCs w:val="24"/>
              </w:rPr>
              <w:tab/>
            </w:r>
            <w:r w:rsidR="004F47F5">
              <w:rPr>
                <w:noProof/>
                <w:sz w:val="24"/>
                <w:szCs w:val="24"/>
              </w:rPr>
              <w:fldChar w:fldCharType="begin"/>
            </w:r>
            <w:r w:rsidR="004F47F5">
              <w:rPr>
                <w:noProof/>
                <w:sz w:val="24"/>
                <w:szCs w:val="24"/>
              </w:rPr>
              <w:instrText xml:space="preserve"> PAGEREF _Toc121411837 \h </w:instrText>
            </w:r>
            <w:r w:rsidR="004F47F5">
              <w:rPr>
                <w:noProof/>
                <w:sz w:val="24"/>
                <w:szCs w:val="24"/>
              </w:rPr>
            </w:r>
            <w:r w:rsidR="004F47F5">
              <w:rPr>
                <w:noProof/>
                <w:sz w:val="24"/>
                <w:szCs w:val="24"/>
              </w:rPr>
              <w:fldChar w:fldCharType="separate"/>
            </w:r>
            <w:r w:rsidR="00497E99">
              <w:rPr>
                <w:noProof/>
                <w:sz w:val="24"/>
                <w:szCs w:val="24"/>
              </w:rPr>
              <w:t>178</w:t>
            </w:r>
            <w:r w:rsidR="004F47F5">
              <w:rPr>
                <w:noProof/>
                <w:sz w:val="24"/>
                <w:szCs w:val="24"/>
              </w:rPr>
              <w:fldChar w:fldCharType="end"/>
            </w:r>
          </w:hyperlink>
        </w:p>
        <w:p w14:paraId="5DC1C9E0" w14:textId="31ED8C75" w:rsidR="00D12939" w:rsidRDefault="00747ECF">
          <w:pPr>
            <w:pStyle w:val="15"/>
            <w:tabs>
              <w:tab w:val="right" w:leader="dot" w:pos="9736"/>
            </w:tabs>
            <w:spacing w:line="360" w:lineRule="auto"/>
            <w:ind w:firstLine="402"/>
            <w:rPr>
              <w:b w:val="0"/>
              <w:bCs w:val="0"/>
              <w:caps w:val="0"/>
              <w:noProof/>
              <w:sz w:val="24"/>
              <w:szCs w:val="24"/>
            </w:rPr>
          </w:pPr>
          <w:hyperlink w:anchor="_Toc121411838" w:history="1">
            <w:r w:rsidR="004F47F5">
              <w:rPr>
                <w:rStyle w:val="affff"/>
                <w:noProof/>
                <w:sz w:val="24"/>
                <w:szCs w:val="24"/>
              </w:rPr>
              <w:t xml:space="preserve">12 </w:t>
            </w:r>
            <w:r w:rsidR="004F47F5">
              <w:rPr>
                <w:rStyle w:val="affff"/>
                <w:noProof/>
                <w:sz w:val="24"/>
                <w:szCs w:val="24"/>
              </w:rPr>
              <w:t>环境影响评价结论</w:t>
            </w:r>
            <w:r w:rsidR="004F47F5">
              <w:rPr>
                <w:noProof/>
                <w:sz w:val="24"/>
                <w:szCs w:val="24"/>
              </w:rPr>
              <w:tab/>
            </w:r>
            <w:r w:rsidR="004F47F5">
              <w:rPr>
                <w:noProof/>
                <w:sz w:val="24"/>
                <w:szCs w:val="24"/>
              </w:rPr>
              <w:fldChar w:fldCharType="begin"/>
            </w:r>
            <w:r w:rsidR="004F47F5">
              <w:rPr>
                <w:noProof/>
                <w:sz w:val="24"/>
                <w:szCs w:val="24"/>
              </w:rPr>
              <w:instrText xml:space="preserve"> PAGEREF _Toc121411838 \h </w:instrText>
            </w:r>
            <w:r w:rsidR="004F47F5">
              <w:rPr>
                <w:noProof/>
                <w:sz w:val="24"/>
                <w:szCs w:val="24"/>
              </w:rPr>
            </w:r>
            <w:r w:rsidR="004F47F5">
              <w:rPr>
                <w:noProof/>
                <w:sz w:val="24"/>
                <w:szCs w:val="24"/>
              </w:rPr>
              <w:fldChar w:fldCharType="separate"/>
            </w:r>
            <w:r w:rsidR="00497E99">
              <w:rPr>
                <w:noProof/>
                <w:sz w:val="24"/>
                <w:szCs w:val="24"/>
              </w:rPr>
              <w:t>179</w:t>
            </w:r>
            <w:r w:rsidR="004F47F5">
              <w:rPr>
                <w:noProof/>
                <w:sz w:val="24"/>
                <w:szCs w:val="24"/>
              </w:rPr>
              <w:fldChar w:fldCharType="end"/>
            </w:r>
          </w:hyperlink>
        </w:p>
        <w:p w14:paraId="6E6A80FF" w14:textId="7DB43CFA" w:rsidR="00D12939" w:rsidRDefault="00747ECF">
          <w:pPr>
            <w:pStyle w:val="25"/>
            <w:tabs>
              <w:tab w:val="right" w:leader="dot" w:pos="9736"/>
            </w:tabs>
            <w:spacing w:line="360" w:lineRule="auto"/>
            <w:ind w:firstLine="400"/>
            <w:rPr>
              <w:smallCaps w:val="0"/>
              <w:noProof/>
              <w:sz w:val="24"/>
              <w:szCs w:val="24"/>
            </w:rPr>
          </w:pPr>
          <w:hyperlink w:anchor="_Toc121411839" w:history="1">
            <w:r w:rsidR="004F47F5">
              <w:rPr>
                <w:rStyle w:val="affff"/>
                <w:noProof/>
                <w:sz w:val="24"/>
                <w:szCs w:val="24"/>
              </w:rPr>
              <w:t>12.1</w:t>
            </w:r>
            <w:r w:rsidR="004F47F5">
              <w:rPr>
                <w:rStyle w:val="affff"/>
                <w:noProof/>
                <w:sz w:val="24"/>
                <w:szCs w:val="24"/>
              </w:rPr>
              <w:t>建设项目概况</w:t>
            </w:r>
            <w:r w:rsidR="004F47F5">
              <w:rPr>
                <w:noProof/>
                <w:sz w:val="24"/>
                <w:szCs w:val="24"/>
              </w:rPr>
              <w:tab/>
            </w:r>
            <w:r w:rsidR="004F47F5">
              <w:rPr>
                <w:noProof/>
                <w:sz w:val="24"/>
                <w:szCs w:val="24"/>
              </w:rPr>
              <w:fldChar w:fldCharType="begin"/>
            </w:r>
            <w:r w:rsidR="004F47F5">
              <w:rPr>
                <w:noProof/>
                <w:sz w:val="24"/>
                <w:szCs w:val="24"/>
              </w:rPr>
              <w:instrText xml:space="preserve"> PAGEREF _Toc121411839 \h </w:instrText>
            </w:r>
            <w:r w:rsidR="004F47F5">
              <w:rPr>
                <w:noProof/>
                <w:sz w:val="24"/>
                <w:szCs w:val="24"/>
              </w:rPr>
            </w:r>
            <w:r w:rsidR="004F47F5">
              <w:rPr>
                <w:noProof/>
                <w:sz w:val="24"/>
                <w:szCs w:val="24"/>
              </w:rPr>
              <w:fldChar w:fldCharType="separate"/>
            </w:r>
            <w:r w:rsidR="00497E99">
              <w:rPr>
                <w:noProof/>
                <w:sz w:val="24"/>
                <w:szCs w:val="24"/>
              </w:rPr>
              <w:t>179</w:t>
            </w:r>
            <w:r w:rsidR="004F47F5">
              <w:rPr>
                <w:noProof/>
                <w:sz w:val="24"/>
                <w:szCs w:val="24"/>
              </w:rPr>
              <w:fldChar w:fldCharType="end"/>
            </w:r>
          </w:hyperlink>
        </w:p>
        <w:p w14:paraId="06E3A2B0" w14:textId="7F358D66" w:rsidR="00D12939" w:rsidRDefault="00747ECF">
          <w:pPr>
            <w:pStyle w:val="25"/>
            <w:tabs>
              <w:tab w:val="right" w:leader="dot" w:pos="9736"/>
            </w:tabs>
            <w:spacing w:line="360" w:lineRule="auto"/>
            <w:ind w:firstLine="400"/>
            <w:rPr>
              <w:smallCaps w:val="0"/>
              <w:noProof/>
              <w:sz w:val="24"/>
              <w:szCs w:val="24"/>
            </w:rPr>
          </w:pPr>
          <w:hyperlink w:anchor="_Toc121411840" w:history="1">
            <w:r w:rsidR="004F47F5">
              <w:rPr>
                <w:rStyle w:val="affff"/>
                <w:noProof/>
                <w:sz w:val="24"/>
                <w:szCs w:val="24"/>
              </w:rPr>
              <w:t>12.2</w:t>
            </w:r>
            <w:r w:rsidR="004F47F5">
              <w:rPr>
                <w:rStyle w:val="affff"/>
                <w:noProof/>
                <w:sz w:val="24"/>
                <w:szCs w:val="24"/>
              </w:rPr>
              <w:t>区域环境质量现状</w:t>
            </w:r>
            <w:r w:rsidR="004F47F5">
              <w:rPr>
                <w:noProof/>
                <w:sz w:val="24"/>
                <w:szCs w:val="24"/>
              </w:rPr>
              <w:tab/>
            </w:r>
            <w:r w:rsidR="004F47F5">
              <w:rPr>
                <w:noProof/>
                <w:sz w:val="24"/>
                <w:szCs w:val="24"/>
              </w:rPr>
              <w:fldChar w:fldCharType="begin"/>
            </w:r>
            <w:r w:rsidR="004F47F5">
              <w:rPr>
                <w:noProof/>
                <w:sz w:val="24"/>
                <w:szCs w:val="24"/>
              </w:rPr>
              <w:instrText xml:space="preserve"> PAGEREF _Toc121411840 \h </w:instrText>
            </w:r>
            <w:r w:rsidR="004F47F5">
              <w:rPr>
                <w:noProof/>
                <w:sz w:val="24"/>
                <w:szCs w:val="24"/>
              </w:rPr>
            </w:r>
            <w:r w:rsidR="004F47F5">
              <w:rPr>
                <w:noProof/>
                <w:sz w:val="24"/>
                <w:szCs w:val="24"/>
              </w:rPr>
              <w:fldChar w:fldCharType="separate"/>
            </w:r>
            <w:r w:rsidR="00497E99">
              <w:rPr>
                <w:noProof/>
                <w:sz w:val="24"/>
                <w:szCs w:val="24"/>
              </w:rPr>
              <w:t>179</w:t>
            </w:r>
            <w:r w:rsidR="004F47F5">
              <w:rPr>
                <w:noProof/>
                <w:sz w:val="24"/>
                <w:szCs w:val="24"/>
              </w:rPr>
              <w:fldChar w:fldCharType="end"/>
            </w:r>
          </w:hyperlink>
        </w:p>
        <w:p w14:paraId="65E4EAB7" w14:textId="42EAE013" w:rsidR="00D12939" w:rsidRDefault="00747ECF">
          <w:pPr>
            <w:pStyle w:val="25"/>
            <w:tabs>
              <w:tab w:val="right" w:leader="dot" w:pos="9736"/>
            </w:tabs>
            <w:spacing w:line="360" w:lineRule="auto"/>
            <w:ind w:firstLine="400"/>
            <w:rPr>
              <w:smallCaps w:val="0"/>
              <w:noProof/>
              <w:sz w:val="24"/>
              <w:szCs w:val="24"/>
            </w:rPr>
          </w:pPr>
          <w:hyperlink w:anchor="_Toc121411841" w:history="1">
            <w:r w:rsidR="004F47F5">
              <w:rPr>
                <w:rStyle w:val="affff"/>
                <w:noProof/>
                <w:sz w:val="24"/>
                <w:szCs w:val="24"/>
              </w:rPr>
              <w:t>12.3</w:t>
            </w:r>
            <w:r w:rsidR="004F47F5">
              <w:rPr>
                <w:rStyle w:val="affff"/>
                <w:noProof/>
                <w:sz w:val="24"/>
                <w:szCs w:val="24"/>
              </w:rPr>
              <w:t>环境影响评价结论</w:t>
            </w:r>
            <w:r w:rsidR="004F47F5">
              <w:rPr>
                <w:noProof/>
                <w:sz w:val="24"/>
                <w:szCs w:val="24"/>
              </w:rPr>
              <w:tab/>
            </w:r>
            <w:r w:rsidR="004F47F5">
              <w:rPr>
                <w:noProof/>
                <w:sz w:val="24"/>
                <w:szCs w:val="24"/>
              </w:rPr>
              <w:fldChar w:fldCharType="begin"/>
            </w:r>
            <w:r w:rsidR="004F47F5">
              <w:rPr>
                <w:noProof/>
                <w:sz w:val="24"/>
                <w:szCs w:val="24"/>
              </w:rPr>
              <w:instrText xml:space="preserve"> PAGEREF _Toc121411841 \h </w:instrText>
            </w:r>
            <w:r w:rsidR="004F47F5">
              <w:rPr>
                <w:noProof/>
                <w:sz w:val="24"/>
                <w:szCs w:val="24"/>
              </w:rPr>
            </w:r>
            <w:r w:rsidR="004F47F5">
              <w:rPr>
                <w:noProof/>
                <w:sz w:val="24"/>
                <w:szCs w:val="24"/>
              </w:rPr>
              <w:fldChar w:fldCharType="separate"/>
            </w:r>
            <w:r w:rsidR="00497E99">
              <w:rPr>
                <w:noProof/>
                <w:sz w:val="24"/>
                <w:szCs w:val="24"/>
              </w:rPr>
              <w:t>180</w:t>
            </w:r>
            <w:r w:rsidR="004F47F5">
              <w:rPr>
                <w:noProof/>
                <w:sz w:val="24"/>
                <w:szCs w:val="24"/>
              </w:rPr>
              <w:fldChar w:fldCharType="end"/>
            </w:r>
          </w:hyperlink>
        </w:p>
        <w:p w14:paraId="1A0D51D7" w14:textId="53F38D23" w:rsidR="00D12939" w:rsidRDefault="00747ECF">
          <w:pPr>
            <w:pStyle w:val="25"/>
            <w:tabs>
              <w:tab w:val="right" w:leader="dot" w:pos="9736"/>
            </w:tabs>
            <w:spacing w:line="360" w:lineRule="auto"/>
            <w:ind w:firstLine="400"/>
            <w:rPr>
              <w:smallCaps w:val="0"/>
              <w:noProof/>
              <w:sz w:val="24"/>
              <w:szCs w:val="24"/>
            </w:rPr>
          </w:pPr>
          <w:hyperlink w:anchor="_Toc121411849" w:history="1">
            <w:r w:rsidR="004F47F5">
              <w:rPr>
                <w:rStyle w:val="affff"/>
                <w:noProof/>
                <w:sz w:val="24"/>
                <w:szCs w:val="24"/>
              </w:rPr>
              <w:t>12.4</w:t>
            </w:r>
            <w:r w:rsidR="004F47F5">
              <w:rPr>
                <w:rStyle w:val="affff"/>
                <w:noProof/>
                <w:sz w:val="24"/>
                <w:szCs w:val="24"/>
              </w:rPr>
              <w:t>环境风险影响分析结论</w:t>
            </w:r>
            <w:r w:rsidR="004F47F5">
              <w:rPr>
                <w:noProof/>
                <w:sz w:val="24"/>
                <w:szCs w:val="24"/>
              </w:rPr>
              <w:tab/>
            </w:r>
            <w:r w:rsidR="004F47F5">
              <w:rPr>
                <w:noProof/>
                <w:sz w:val="24"/>
                <w:szCs w:val="24"/>
              </w:rPr>
              <w:fldChar w:fldCharType="begin"/>
            </w:r>
            <w:r w:rsidR="004F47F5">
              <w:rPr>
                <w:noProof/>
                <w:sz w:val="24"/>
                <w:szCs w:val="24"/>
              </w:rPr>
              <w:instrText xml:space="preserve"> PAGEREF _Toc121411849 \h </w:instrText>
            </w:r>
            <w:r w:rsidR="004F47F5">
              <w:rPr>
                <w:noProof/>
                <w:sz w:val="24"/>
                <w:szCs w:val="24"/>
              </w:rPr>
            </w:r>
            <w:r w:rsidR="004F47F5">
              <w:rPr>
                <w:noProof/>
                <w:sz w:val="24"/>
                <w:szCs w:val="24"/>
              </w:rPr>
              <w:fldChar w:fldCharType="separate"/>
            </w:r>
            <w:r w:rsidR="00497E99">
              <w:rPr>
                <w:noProof/>
                <w:sz w:val="24"/>
                <w:szCs w:val="24"/>
              </w:rPr>
              <w:t>182</w:t>
            </w:r>
            <w:r w:rsidR="004F47F5">
              <w:rPr>
                <w:noProof/>
                <w:sz w:val="24"/>
                <w:szCs w:val="24"/>
              </w:rPr>
              <w:fldChar w:fldCharType="end"/>
            </w:r>
          </w:hyperlink>
        </w:p>
        <w:p w14:paraId="0C09530A" w14:textId="0E43D2FE" w:rsidR="00D12939" w:rsidRDefault="00747ECF">
          <w:pPr>
            <w:pStyle w:val="25"/>
            <w:tabs>
              <w:tab w:val="right" w:leader="dot" w:pos="9736"/>
            </w:tabs>
            <w:spacing w:line="360" w:lineRule="auto"/>
            <w:ind w:firstLine="400"/>
            <w:rPr>
              <w:smallCaps w:val="0"/>
              <w:noProof/>
              <w:sz w:val="24"/>
              <w:szCs w:val="24"/>
            </w:rPr>
          </w:pPr>
          <w:hyperlink w:anchor="_Toc121411850" w:history="1">
            <w:r w:rsidR="004F47F5">
              <w:rPr>
                <w:rStyle w:val="affff"/>
                <w:noProof/>
                <w:sz w:val="24"/>
                <w:szCs w:val="24"/>
              </w:rPr>
              <w:t>12.5</w:t>
            </w:r>
            <w:r w:rsidR="004F47F5">
              <w:rPr>
                <w:rStyle w:val="affff"/>
                <w:noProof/>
                <w:sz w:val="24"/>
                <w:szCs w:val="24"/>
              </w:rPr>
              <w:t>公众参与评价结论</w:t>
            </w:r>
            <w:r w:rsidR="004F47F5">
              <w:rPr>
                <w:noProof/>
                <w:sz w:val="24"/>
                <w:szCs w:val="24"/>
              </w:rPr>
              <w:tab/>
            </w:r>
            <w:r w:rsidR="004F47F5">
              <w:rPr>
                <w:noProof/>
                <w:sz w:val="24"/>
                <w:szCs w:val="24"/>
              </w:rPr>
              <w:fldChar w:fldCharType="begin"/>
            </w:r>
            <w:r w:rsidR="004F47F5">
              <w:rPr>
                <w:noProof/>
                <w:sz w:val="24"/>
                <w:szCs w:val="24"/>
              </w:rPr>
              <w:instrText xml:space="preserve"> PAGEREF _Toc121411850 \h </w:instrText>
            </w:r>
            <w:r w:rsidR="004F47F5">
              <w:rPr>
                <w:noProof/>
                <w:sz w:val="24"/>
                <w:szCs w:val="24"/>
              </w:rPr>
            </w:r>
            <w:r w:rsidR="004F47F5">
              <w:rPr>
                <w:noProof/>
                <w:sz w:val="24"/>
                <w:szCs w:val="24"/>
              </w:rPr>
              <w:fldChar w:fldCharType="separate"/>
            </w:r>
            <w:r w:rsidR="00497E99">
              <w:rPr>
                <w:noProof/>
                <w:sz w:val="24"/>
                <w:szCs w:val="24"/>
              </w:rPr>
              <w:t>182</w:t>
            </w:r>
            <w:r w:rsidR="004F47F5">
              <w:rPr>
                <w:noProof/>
                <w:sz w:val="24"/>
                <w:szCs w:val="24"/>
              </w:rPr>
              <w:fldChar w:fldCharType="end"/>
            </w:r>
          </w:hyperlink>
        </w:p>
        <w:p w14:paraId="5CC3675F" w14:textId="78BC7195" w:rsidR="00D12939" w:rsidRDefault="00747ECF">
          <w:pPr>
            <w:pStyle w:val="25"/>
            <w:tabs>
              <w:tab w:val="right" w:leader="dot" w:pos="9736"/>
            </w:tabs>
            <w:spacing w:line="360" w:lineRule="auto"/>
            <w:ind w:firstLine="400"/>
            <w:rPr>
              <w:smallCaps w:val="0"/>
              <w:noProof/>
              <w:sz w:val="24"/>
              <w:szCs w:val="24"/>
            </w:rPr>
          </w:pPr>
          <w:hyperlink w:anchor="_Toc121411851" w:history="1">
            <w:r w:rsidR="004F47F5">
              <w:rPr>
                <w:rStyle w:val="affff"/>
                <w:noProof/>
                <w:sz w:val="24"/>
                <w:szCs w:val="24"/>
              </w:rPr>
              <w:t>12.6</w:t>
            </w:r>
            <w:r w:rsidR="004F47F5">
              <w:rPr>
                <w:rStyle w:val="affff"/>
                <w:noProof/>
                <w:sz w:val="24"/>
                <w:szCs w:val="24"/>
              </w:rPr>
              <w:t>结论</w:t>
            </w:r>
            <w:r w:rsidR="004F47F5">
              <w:rPr>
                <w:noProof/>
                <w:sz w:val="24"/>
                <w:szCs w:val="24"/>
              </w:rPr>
              <w:tab/>
            </w:r>
            <w:r w:rsidR="004F47F5">
              <w:rPr>
                <w:noProof/>
                <w:sz w:val="24"/>
                <w:szCs w:val="24"/>
              </w:rPr>
              <w:fldChar w:fldCharType="begin"/>
            </w:r>
            <w:r w:rsidR="004F47F5">
              <w:rPr>
                <w:noProof/>
                <w:sz w:val="24"/>
                <w:szCs w:val="24"/>
              </w:rPr>
              <w:instrText xml:space="preserve"> PAGEREF _Toc121411851 \h </w:instrText>
            </w:r>
            <w:r w:rsidR="004F47F5">
              <w:rPr>
                <w:noProof/>
                <w:sz w:val="24"/>
                <w:szCs w:val="24"/>
              </w:rPr>
            </w:r>
            <w:r w:rsidR="004F47F5">
              <w:rPr>
                <w:noProof/>
                <w:sz w:val="24"/>
                <w:szCs w:val="24"/>
              </w:rPr>
              <w:fldChar w:fldCharType="separate"/>
            </w:r>
            <w:r w:rsidR="00497E99">
              <w:rPr>
                <w:noProof/>
                <w:sz w:val="24"/>
                <w:szCs w:val="24"/>
              </w:rPr>
              <w:t>183</w:t>
            </w:r>
            <w:r w:rsidR="004F47F5">
              <w:rPr>
                <w:noProof/>
                <w:sz w:val="24"/>
                <w:szCs w:val="24"/>
              </w:rPr>
              <w:fldChar w:fldCharType="end"/>
            </w:r>
          </w:hyperlink>
        </w:p>
        <w:p w14:paraId="4F617EF4" w14:textId="6F86AE86" w:rsidR="00D12939" w:rsidRDefault="00747ECF">
          <w:pPr>
            <w:pStyle w:val="25"/>
            <w:tabs>
              <w:tab w:val="right" w:leader="dot" w:pos="9736"/>
            </w:tabs>
            <w:spacing w:line="360" w:lineRule="auto"/>
            <w:ind w:firstLine="400"/>
            <w:rPr>
              <w:rFonts w:asciiTheme="minorHAnsi" w:eastAsiaTheme="minorEastAsia" w:hAnsiTheme="minorHAnsi" w:cstheme="minorBidi"/>
              <w:smallCaps w:val="0"/>
              <w:noProof/>
              <w:sz w:val="21"/>
              <w:szCs w:val="22"/>
            </w:rPr>
          </w:pPr>
          <w:hyperlink w:anchor="_Toc121411852" w:history="1">
            <w:r w:rsidR="004F47F5">
              <w:rPr>
                <w:rStyle w:val="affff"/>
                <w:noProof/>
                <w:sz w:val="24"/>
                <w:szCs w:val="24"/>
              </w:rPr>
              <w:t>12.7</w:t>
            </w:r>
            <w:r w:rsidR="004F47F5">
              <w:rPr>
                <w:rStyle w:val="affff"/>
                <w:noProof/>
                <w:sz w:val="24"/>
                <w:szCs w:val="24"/>
              </w:rPr>
              <w:t>要求与建议</w:t>
            </w:r>
            <w:r w:rsidR="004F47F5">
              <w:rPr>
                <w:noProof/>
                <w:sz w:val="24"/>
                <w:szCs w:val="24"/>
              </w:rPr>
              <w:tab/>
            </w:r>
            <w:r w:rsidR="004F47F5">
              <w:rPr>
                <w:noProof/>
                <w:sz w:val="24"/>
                <w:szCs w:val="24"/>
              </w:rPr>
              <w:fldChar w:fldCharType="begin"/>
            </w:r>
            <w:r w:rsidR="004F47F5">
              <w:rPr>
                <w:noProof/>
                <w:sz w:val="24"/>
                <w:szCs w:val="24"/>
              </w:rPr>
              <w:instrText xml:space="preserve"> PAGEREF _Toc121411852 \h </w:instrText>
            </w:r>
            <w:r w:rsidR="004F47F5">
              <w:rPr>
                <w:noProof/>
                <w:sz w:val="24"/>
                <w:szCs w:val="24"/>
              </w:rPr>
            </w:r>
            <w:r w:rsidR="004F47F5">
              <w:rPr>
                <w:noProof/>
                <w:sz w:val="24"/>
                <w:szCs w:val="24"/>
              </w:rPr>
              <w:fldChar w:fldCharType="separate"/>
            </w:r>
            <w:r w:rsidR="00497E99">
              <w:rPr>
                <w:noProof/>
                <w:sz w:val="24"/>
                <w:szCs w:val="24"/>
              </w:rPr>
              <w:t>183</w:t>
            </w:r>
            <w:r w:rsidR="004F47F5">
              <w:rPr>
                <w:noProof/>
                <w:sz w:val="24"/>
                <w:szCs w:val="24"/>
              </w:rPr>
              <w:fldChar w:fldCharType="end"/>
            </w:r>
          </w:hyperlink>
        </w:p>
        <w:p w14:paraId="6A502F81" w14:textId="77777777" w:rsidR="00D12939" w:rsidRDefault="004F47F5">
          <w:r>
            <w:rPr>
              <w:b/>
              <w:bCs/>
              <w:lang w:val="zh-CN"/>
            </w:rPr>
            <w:fldChar w:fldCharType="end"/>
          </w:r>
        </w:p>
      </w:sdtContent>
    </w:sdt>
    <w:p w14:paraId="3CB65F95" w14:textId="77777777" w:rsidR="0087355D" w:rsidRPr="0087355D" w:rsidRDefault="0087355D" w:rsidP="0087355D">
      <w:bookmarkStart w:id="14" w:name="_Toc121411672"/>
    </w:p>
    <w:p w14:paraId="5E9742DF" w14:textId="77777777" w:rsidR="0087355D" w:rsidRPr="0087355D" w:rsidRDefault="0087355D" w:rsidP="0087355D">
      <w:pPr>
        <w:pStyle w:val="2"/>
        <w:ind w:firstLine="480"/>
        <w:sectPr w:rsidR="0087355D" w:rsidRPr="0087355D" w:rsidSect="00497E99">
          <w:headerReference w:type="default" r:id="rId15"/>
          <w:footerReference w:type="default" r:id="rId16"/>
          <w:pgSz w:w="11906" w:h="16838"/>
          <w:pgMar w:top="1440" w:right="1080" w:bottom="1440" w:left="1080" w:header="851" w:footer="992" w:gutter="0"/>
          <w:pgNumType w:fmt="upperRoman" w:start="1"/>
          <w:cols w:space="425"/>
          <w:docGrid w:type="lines" w:linePitch="312"/>
        </w:sectPr>
      </w:pPr>
    </w:p>
    <w:p w14:paraId="49843EE2" w14:textId="77777777" w:rsidR="00D12939" w:rsidRDefault="004F47F5">
      <w:pPr>
        <w:pStyle w:val="1"/>
        <w:jc w:val="center"/>
        <w:rPr>
          <w:sz w:val="30"/>
          <w:szCs w:val="30"/>
        </w:rPr>
      </w:pPr>
      <w:r>
        <w:rPr>
          <w:sz w:val="30"/>
          <w:szCs w:val="30"/>
        </w:rPr>
        <w:lastRenderedPageBreak/>
        <w:t>1</w:t>
      </w:r>
      <w:r>
        <w:rPr>
          <w:sz w:val="30"/>
          <w:szCs w:val="30"/>
        </w:rPr>
        <w:t>概述</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14:paraId="716D4B93" w14:textId="77777777" w:rsidR="00D12939" w:rsidRDefault="004F47F5">
      <w:pPr>
        <w:pStyle w:val="2"/>
        <w:spacing w:line="360" w:lineRule="auto"/>
        <w:ind w:firstLine="560"/>
        <w:rPr>
          <w:sz w:val="28"/>
        </w:rPr>
      </w:pPr>
      <w:bookmarkStart w:id="15" w:name="_Toc22744214"/>
      <w:bookmarkStart w:id="16" w:name="_Toc15804"/>
      <w:bookmarkStart w:id="17" w:name="_Toc23721"/>
      <w:bookmarkStart w:id="18" w:name="_Toc476130106"/>
      <w:bookmarkStart w:id="19" w:name="_Toc23735"/>
      <w:bookmarkStart w:id="20" w:name="_Toc397434465"/>
      <w:bookmarkStart w:id="21" w:name="_Toc402430600"/>
      <w:bookmarkStart w:id="22" w:name="_Toc10173"/>
      <w:bookmarkStart w:id="23" w:name="_Toc29624"/>
      <w:bookmarkStart w:id="24" w:name="_Toc1454"/>
      <w:bookmarkStart w:id="25" w:name="_Toc18379"/>
      <w:bookmarkStart w:id="26" w:name="_Toc6043"/>
      <w:bookmarkStart w:id="27" w:name="_Toc16077"/>
      <w:bookmarkStart w:id="28" w:name="_Toc26481"/>
      <w:bookmarkStart w:id="29" w:name="_Toc27788"/>
      <w:bookmarkStart w:id="30" w:name="_Toc520"/>
      <w:bookmarkStart w:id="31" w:name="_Toc480180480"/>
      <w:bookmarkStart w:id="32" w:name="_Toc389143282"/>
      <w:bookmarkStart w:id="33" w:name="_Toc16102"/>
      <w:bookmarkStart w:id="34" w:name="_Toc10998"/>
      <w:bookmarkStart w:id="35" w:name="_Toc121411673"/>
      <w:r>
        <w:rPr>
          <w:sz w:val="28"/>
        </w:rPr>
        <w:t>1.1</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rFonts w:hint="eastAsia"/>
          <w:sz w:val="28"/>
        </w:rPr>
        <w:t>项目背景</w:t>
      </w:r>
      <w:bookmarkEnd w:id="35"/>
    </w:p>
    <w:p w14:paraId="08F940B0" w14:textId="4B7E2833" w:rsidR="00D12939" w:rsidRPr="002A4A5F" w:rsidRDefault="004F47F5">
      <w:pPr>
        <w:autoSpaceDE w:val="0"/>
        <w:autoSpaceDN w:val="0"/>
        <w:adjustRightInd w:val="0"/>
        <w:spacing w:line="360" w:lineRule="auto"/>
        <w:ind w:firstLineChars="200" w:firstLine="480"/>
        <w:rPr>
          <w:rFonts w:ascii="Times New Roman" w:eastAsia="宋体" w:hAnsi="Times New Roman" w:cs="Times New Roman"/>
          <w:color w:val="FF0000"/>
          <w:kern w:val="0"/>
          <w:sz w:val="24"/>
          <w:szCs w:val="24"/>
        </w:rPr>
      </w:pPr>
      <w:r>
        <w:rPr>
          <w:rFonts w:ascii="Times New Roman" w:eastAsia="宋体" w:hAnsi="Times New Roman" w:cs="Times New Roman"/>
          <w:kern w:val="21"/>
          <w:sz w:val="24"/>
          <w:szCs w:val="24"/>
        </w:rPr>
        <w:t>随着我国经济社会的腾飞，社会主义新农村建设全面开展，农村环境保护工作取得了较大进展，但农村环境形势仍然十分严峻，点源与面源污染共存，生活与工业污染叠加等现象，严重制约了农村经济社会的可持续发展。</w:t>
      </w:r>
      <w:r>
        <w:rPr>
          <w:rFonts w:ascii="Times New Roman" w:eastAsia="宋体" w:hAnsi="Times New Roman" w:cs="Times New Roman"/>
          <w:kern w:val="0"/>
          <w:sz w:val="24"/>
          <w:szCs w:val="24"/>
        </w:rPr>
        <w:t>自</w:t>
      </w:r>
      <w:r>
        <w:rPr>
          <w:rFonts w:ascii="Times New Roman" w:eastAsia="宋体" w:hAnsi="Times New Roman" w:cs="Times New Roman"/>
          <w:kern w:val="0"/>
          <w:sz w:val="24"/>
          <w:szCs w:val="24"/>
        </w:rPr>
        <w:t xml:space="preserve">2017 </w:t>
      </w:r>
      <w:r>
        <w:rPr>
          <w:rFonts w:ascii="Times New Roman" w:eastAsia="宋体" w:hAnsi="Times New Roman" w:cs="Times New Roman"/>
          <w:kern w:val="0"/>
          <w:sz w:val="24"/>
          <w:szCs w:val="24"/>
        </w:rPr>
        <w:t>年柞水县实施清洁城镇工作后，致使垃圾量剧增，各乡镇垃圾通过村镇收集</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转运至柞水县县城生活垃圾填埋场进行填埋</w:t>
      </w:r>
      <w:r>
        <w:rPr>
          <w:rFonts w:ascii="Times New Roman" w:eastAsia="宋体" w:hAnsi="Times New Roman" w:cs="Times New Roman" w:hint="eastAsia"/>
          <w:kern w:val="0"/>
          <w:sz w:val="24"/>
          <w:szCs w:val="24"/>
        </w:rPr>
        <w:t>。柞水县县城生活垃圾填埋场位于柞水县下梁镇明星社区冷水沟，始建于</w:t>
      </w:r>
      <w:r>
        <w:rPr>
          <w:rFonts w:ascii="Times New Roman" w:eastAsia="宋体" w:hAnsi="Times New Roman" w:cs="Times New Roman"/>
          <w:kern w:val="0"/>
          <w:sz w:val="24"/>
          <w:szCs w:val="24"/>
        </w:rPr>
        <w:t xml:space="preserve">2004 </w:t>
      </w:r>
      <w:r>
        <w:rPr>
          <w:rFonts w:ascii="Times New Roman" w:eastAsia="宋体" w:hAnsi="Times New Roman" w:cs="Times New Roman"/>
          <w:kern w:val="0"/>
          <w:sz w:val="24"/>
          <w:szCs w:val="24"/>
        </w:rPr>
        <w:t>年，</w:t>
      </w:r>
      <w:r>
        <w:rPr>
          <w:rFonts w:ascii="Times New Roman" w:eastAsia="宋体" w:hAnsi="Times New Roman" w:cs="Times New Roman"/>
          <w:kern w:val="0"/>
          <w:sz w:val="24"/>
          <w:szCs w:val="24"/>
        </w:rPr>
        <w:t xml:space="preserve">2010 </w:t>
      </w:r>
      <w:r>
        <w:rPr>
          <w:rFonts w:ascii="Times New Roman" w:eastAsia="宋体" w:hAnsi="Times New Roman" w:cs="Times New Roman"/>
          <w:kern w:val="0"/>
          <w:sz w:val="24"/>
          <w:szCs w:val="24"/>
        </w:rPr>
        <w:t>年和</w:t>
      </w:r>
      <w:r>
        <w:rPr>
          <w:rFonts w:ascii="Times New Roman" w:eastAsia="宋体" w:hAnsi="Times New Roman" w:cs="Times New Roman"/>
          <w:kern w:val="0"/>
          <w:sz w:val="24"/>
          <w:szCs w:val="24"/>
        </w:rPr>
        <w:t xml:space="preserve">2014 </w:t>
      </w:r>
      <w:r>
        <w:rPr>
          <w:rFonts w:ascii="Times New Roman" w:eastAsia="宋体" w:hAnsi="Times New Roman" w:cs="Times New Roman"/>
          <w:kern w:val="0"/>
          <w:sz w:val="24"/>
          <w:szCs w:val="24"/>
        </w:rPr>
        <w:t>年进行了扩建，设计总库容</w:t>
      </w:r>
      <w:r>
        <w:rPr>
          <w:rFonts w:ascii="Times New Roman" w:eastAsia="宋体" w:hAnsi="Times New Roman" w:cs="Times New Roman"/>
          <w:kern w:val="0"/>
          <w:sz w:val="24"/>
          <w:szCs w:val="24"/>
        </w:rPr>
        <w:t xml:space="preserve">90.58 </w:t>
      </w:r>
      <w:r>
        <w:rPr>
          <w:rFonts w:ascii="Times New Roman" w:eastAsia="宋体" w:hAnsi="Times New Roman" w:cs="Times New Roman"/>
          <w:kern w:val="0"/>
          <w:sz w:val="24"/>
          <w:szCs w:val="24"/>
        </w:rPr>
        <w:t>万</w:t>
      </w:r>
      <w:r>
        <w:rPr>
          <w:rFonts w:ascii="Times New Roman" w:eastAsia="宋体" w:hAnsi="Times New Roman" w:cs="Times New Roman"/>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，生活垃圾填</w:t>
      </w:r>
      <w:r>
        <w:rPr>
          <w:rFonts w:ascii="Times New Roman" w:eastAsia="宋体" w:hAnsi="Times New Roman" w:cs="Times New Roman" w:hint="eastAsia"/>
          <w:kern w:val="0"/>
          <w:sz w:val="24"/>
          <w:szCs w:val="24"/>
        </w:rPr>
        <w:t>埋场总用地面积</w:t>
      </w:r>
      <w:r>
        <w:rPr>
          <w:rFonts w:ascii="Times New Roman" w:eastAsia="宋体" w:hAnsi="Times New Roman" w:cs="Times New Roman"/>
          <w:kern w:val="0"/>
          <w:sz w:val="24"/>
          <w:szCs w:val="24"/>
        </w:rPr>
        <w:t>54084.161m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 xml:space="preserve">81.13 </w:t>
      </w:r>
      <w:r>
        <w:rPr>
          <w:rFonts w:ascii="Times New Roman" w:eastAsia="宋体" w:hAnsi="Times New Roman" w:cs="Times New Roman"/>
          <w:kern w:val="0"/>
          <w:sz w:val="24"/>
          <w:szCs w:val="24"/>
        </w:rPr>
        <w:t>亩），填埋库区用地面积</w:t>
      </w:r>
      <w:r>
        <w:rPr>
          <w:rFonts w:ascii="Times New Roman" w:eastAsia="宋体" w:hAnsi="Times New Roman" w:cs="Times New Roman"/>
          <w:kern w:val="0"/>
          <w:sz w:val="24"/>
          <w:szCs w:val="24"/>
        </w:rPr>
        <w:t>32294.427m</w:t>
      </w:r>
      <w:r>
        <w:rPr>
          <w:rFonts w:ascii="Times New Roman" w:eastAsia="宋体" w:hAnsi="Times New Roman" w:cs="Times New Roman"/>
          <w:kern w:val="0"/>
          <w:sz w:val="24"/>
          <w:szCs w:val="24"/>
          <w:vertAlign w:val="superscript"/>
        </w:rPr>
        <w:t>2</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 xml:space="preserve">48.44 </w:t>
      </w:r>
      <w:r>
        <w:rPr>
          <w:rFonts w:ascii="Times New Roman" w:eastAsia="宋体" w:hAnsi="Times New Roman" w:cs="Times New Roman"/>
          <w:kern w:val="0"/>
          <w:sz w:val="24"/>
          <w:szCs w:val="24"/>
        </w:rPr>
        <w:t>亩）</w:t>
      </w:r>
      <w:r>
        <w:rPr>
          <w:rFonts w:ascii="Times New Roman" w:eastAsia="宋体" w:hAnsi="Times New Roman" w:cs="Times New Roman" w:hint="eastAsia"/>
          <w:kern w:val="0"/>
          <w:sz w:val="24"/>
          <w:szCs w:val="24"/>
        </w:rPr>
        <w:t>，</w:t>
      </w:r>
      <w:r w:rsidRPr="002A4A5F">
        <w:rPr>
          <w:rFonts w:ascii="Times New Roman" w:eastAsia="宋体" w:hAnsi="Times New Roman" w:cs="Times New Roman"/>
          <w:color w:val="FF0000"/>
          <w:kern w:val="0"/>
          <w:sz w:val="24"/>
          <w:szCs w:val="24"/>
        </w:rPr>
        <w:t>目前柞水县县城生活垃圾填埋场</w:t>
      </w:r>
      <w:r w:rsidR="002A4A5F" w:rsidRPr="002A4A5F">
        <w:rPr>
          <w:rFonts w:ascii="Times New Roman" w:eastAsia="宋体" w:hAnsi="Times New Roman" w:cs="Times New Roman"/>
          <w:color w:val="FF0000"/>
          <w:kern w:val="0"/>
          <w:sz w:val="24"/>
          <w:szCs w:val="24"/>
        </w:rPr>
        <w:t>已经填埋了</w:t>
      </w:r>
      <w:r w:rsidR="002A4A5F" w:rsidRPr="002A4A5F">
        <w:rPr>
          <w:rFonts w:ascii="Times New Roman" w:eastAsia="宋体" w:hAnsi="Times New Roman" w:cs="Times New Roman"/>
          <w:color w:val="FF0000"/>
          <w:kern w:val="0"/>
          <w:sz w:val="24"/>
          <w:szCs w:val="24"/>
        </w:rPr>
        <w:t>88.9</w:t>
      </w:r>
      <w:r w:rsidR="002A4A5F" w:rsidRPr="002A4A5F">
        <w:rPr>
          <w:rFonts w:ascii="Times New Roman" w:eastAsia="宋体" w:hAnsi="Times New Roman" w:cs="Times New Roman"/>
          <w:color w:val="FF0000"/>
          <w:kern w:val="0"/>
          <w:sz w:val="24"/>
          <w:szCs w:val="24"/>
        </w:rPr>
        <w:t>万</w:t>
      </w:r>
      <w:r w:rsidR="002A4A5F" w:rsidRPr="002A4A5F">
        <w:rPr>
          <w:rFonts w:ascii="Times New Roman" w:eastAsia="宋体" w:hAnsi="Times New Roman" w:cs="Times New Roman"/>
          <w:color w:val="FF0000"/>
          <w:kern w:val="0"/>
          <w:sz w:val="24"/>
          <w:szCs w:val="24"/>
        </w:rPr>
        <w:t>m</w:t>
      </w:r>
      <w:r w:rsidR="002A4A5F" w:rsidRPr="002A4A5F">
        <w:rPr>
          <w:rFonts w:ascii="Times New Roman" w:eastAsia="宋体" w:hAnsi="Times New Roman" w:cs="Times New Roman"/>
          <w:color w:val="FF0000"/>
          <w:kern w:val="0"/>
          <w:sz w:val="24"/>
          <w:szCs w:val="24"/>
          <w:vertAlign w:val="superscript"/>
        </w:rPr>
        <w:t>3</w:t>
      </w:r>
      <w:r w:rsidR="002A4A5F" w:rsidRPr="002A4A5F">
        <w:rPr>
          <w:rFonts w:ascii="Times New Roman" w:eastAsia="宋体" w:hAnsi="Times New Roman" w:cs="Times New Roman"/>
          <w:color w:val="FF0000"/>
          <w:kern w:val="0"/>
          <w:sz w:val="24"/>
          <w:szCs w:val="24"/>
        </w:rPr>
        <w:t>，填埋场</w:t>
      </w:r>
      <w:r w:rsidRPr="002A4A5F">
        <w:rPr>
          <w:rFonts w:ascii="Times New Roman" w:eastAsia="宋体" w:hAnsi="Times New Roman" w:cs="Times New Roman"/>
          <w:color w:val="FF0000"/>
          <w:kern w:val="0"/>
          <w:sz w:val="24"/>
          <w:szCs w:val="24"/>
        </w:rPr>
        <w:t>库容即将饱和。</w:t>
      </w:r>
    </w:p>
    <w:p w14:paraId="1797BE37"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宋体" w:eastAsia="宋体" w:cs="宋体" w:hint="eastAsia"/>
          <w:kern w:val="0"/>
          <w:sz w:val="24"/>
          <w:szCs w:val="24"/>
        </w:rPr>
        <w:t>为了解决柞水县及周边市县的生活垃圾处理问题，</w:t>
      </w:r>
      <w:r>
        <w:rPr>
          <w:rFonts w:ascii="Times New Roman" w:eastAsia="宋体" w:hAnsi="Times New Roman" w:cs="Times New Roman"/>
          <w:kern w:val="0"/>
          <w:sz w:val="24"/>
          <w:szCs w:val="24"/>
        </w:rPr>
        <w:t>商洛市及柞水县规划建设一座处理规模为</w:t>
      </w:r>
      <w:r>
        <w:rPr>
          <w:rFonts w:ascii="Times New Roman" w:eastAsia="宋体" w:hAnsi="Times New Roman" w:cs="Times New Roman"/>
          <w:kern w:val="0"/>
          <w:sz w:val="24"/>
          <w:szCs w:val="24"/>
        </w:rPr>
        <w:t xml:space="preserve">550 </w:t>
      </w:r>
      <w:r>
        <w:rPr>
          <w:rFonts w:ascii="Times New Roman" w:eastAsia="宋体" w:hAnsi="Times New Roman" w:cs="Times New Roman"/>
          <w:kern w:val="0"/>
          <w:sz w:val="24"/>
          <w:szCs w:val="24"/>
        </w:rPr>
        <w:t>吨</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日的生活垃圾焚烧厂，处理商洛市镇安县、柞水县全域及山阳县部分区域生活垃圾。生活垃圾焚烧厂虽然对生活垃圾减量化率高，但仍然有</w:t>
      </w:r>
      <w:r>
        <w:rPr>
          <w:rFonts w:ascii="Times New Roman" w:eastAsia="宋体" w:hAnsi="Times New Roman" w:cs="Times New Roman"/>
          <w:kern w:val="0"/>
          <w:sz w:val="24"/>
          <w:szCs w:val="24"/>
        </w:rPr>
        <w:t>3%~5%</w:t>
      </w:r>
      <w:r>
        <w:rPr>
          <w:rFonts w:ascii="Times New Roman" w:eastAsia="宋体" w:hAnsi="Times New Roman" w:cs="Times New Roman"/>
          <w:kern w:val="0"/>
          <w:sz w:val="24"/>
          <w:szCs w:val="24"/>
        </w:rPr>
        <w:t>的飞灰需采用填埋处理，而且建设一座焚烧厂需要的周期较长，一般为</w:t>
      </w:r>
      <w:r>
        <w:rPr>
          <w:rFonts w:ascii="Times New Roman" w:eastAsia="宋体" w:hAnsi="Times New Roman" w:cs="Times New Roman"/>
          <w:kern w:val="0"/>
          <w:sz w:val="24"/>
          <w:szCs w:val="24"/>
        </w:rPr>
        <w:t xml:space="preserve">3~5 </w:t>
      </w:r>
      <w:r>
        <w:rPr>
          <w:rFonts w:ascii="Times New Roman" w:eastAsia="宋体" w:hAnsi="Times New Roman" w:cs="Times New Roman"/>
          <w:kern w:val="0"/>
          <w:sz w:val="24"/>
          <w:szCs w:val="24"/>
        </w:rPr>
        <w:t>年，在焚烧厂建成投运之前的生活垃圾处理处置问题仍然需要解决。因此，商洛市及柞水县政府决定建设一座固体废弃物综合处置场，用于解决未来焚烧厂产生的飞灰以及焚烧厂投运前的生活垃圾处理问题，同时可以作为柞水县未来在焚烧厂检修及特殊情况下生活垃圾应急处理的兜底保障设施。</w:t>
      </w:r>
    </w:p>
    <w:p w14:paraId="3368F49C" w14:textId="77777777" w:rsidR="00D12939" w:rsidRDefault="004F47F5">
      <w:pPr>
        <w:spacing w:line="360" w:lineRule="auto"/>
        <w:ind w:firstLineChars="200" w:firstLine="480"/>
        <w:rPr>
          <w:rFonts w:ascii="Times New Roman" w:eastAsia="宋体" w:hAnsi="Times New Roman" w:cs="Times New Roman"/>
          <w:b/>
          <w:sz w:val="24"/>
          <w:szCs w:val="24"/>
        </w:rPr>
      </w:pPr>
      <w:r>
        <w:rPr>
          <w:rFonts w:ascii="Times New Roman" w:eastAsia="宋体" w:hAnsi="Times New Roman" w:cs="Times New Roman" w:hint="eastAsia"/>
          <w:kern w:val="0"/>
          <w:sz w:val="24"/>
          <w:szCs w:val="24"/>
        </w:rPr>
        <w:t>综上所述，柞水县城市管理局拟投资</w:t>
      </w:r>
      <w:r>
        <w:rPr>
          <w:rFonts w:ascii="Times New Roman" w:eastAsia="宋体" w:hAnsi="Times New Roman" w:cs="Times New Roman"/>
          <w:sz w:val="24"/>
        </w:rPr>
        <w:t>6990.66</w:t>
      </w:r>
      <w:r>
        <w:rPr>
          <w:rFonts w:ascii="Times New Roman" w:eastAsia="宋体" w:hAnsi="Times New Roman" w:cs="Times New Roman"/>
          <w:sz w:val="24"/>
        </w:rPr>
        <w:t>万元</w:t>
      </w:r>
      <w:r>
        <w:rPr>
          <w:rFonts w:ascii="Times New Roman" w:eastAsia="宋体" w:hAnsi="Times New Roman" w:cs="Times New Roman" w:hint="eastAsia"/>
          <w:sz w:val="24"/>
        </w:rPr>
        <w:t>在</w:t>
      </w:r>
      <w:r>
        <w:rPr>
          <w:rFonts w:ascii="Times New Roman" w:eastAsia="宋体" w:hAnsi="Times New Roman" w:cs="Times New Roman"/>
          <w:kern w:val="0"/>
          <w:sz w:val="24"/>
          <w:szCs w:val="24"/>
        </w:rPr>
        <w:t>商洛市柞水县小六里沟</w:t>
      </w:r>
      <w:r>
        <w:rPr>
          <w:rFonts w:ascii="Times New Roman" w:eastAsia="宋体" w:hAnsi="Times New Roman" w:cs="Times New Roman" w:hint="eastAsia"/>
          <w:kern w:val="0"/>
          <w:sz w:val="24"/>
          <w:szCs w:val="24"/>
        </w:rPr>
        <w:t>新建一座</w:t>
      </w:r>
      <w:r>
        <w:rPr>
          <w:rFonts w:ascii="Times New Roman" w:eastAsia="宋体" w:hAnsi="Times New Roman" w:cs="Times New Roman"/>
          <w:sz w:val="24"/>
        </w:rPr>
        <w:t>固体废弃物综合处置场</w:t>
      </w:r>
      <w:r>
        <w:rPr>
          <w:rFonts w:ascii="Times New Roman" w:eastAsia="宋体" w:hAnsi="Times New Roman" w:cs="Times New Roman" w:hint="eastAsia"/>
          <w:sz w:val="24"/>
        </w:rPr>
        <w:t>，</w:t>
      </w:r>
      <w:r>
        <w:rPr>
          <w:rFonts w:ascii="Times New Roman" w:eastAsia="宋体" w:hAnsi="Times New Roman" w:cs="Times New Roman"/>
          <w:sz w:val="24"/>
          <w:szCs w:val="24"/>
        </w:rPr>
        <w:t>项目分两期建设，一期建设</w:t>
      </w:r>
      <w:r>
        <w:rPr>
          <w:rFonts w:ascii="Times New Roman" w:eastAsia="宋体" w:hAnsi="Times New Roman" w:cs="Times New Roman"/>
          <w:kern w:val="0"/>
          <w:sz w:val="24"/>
          <w:szCs w:val="24"/>
        </w:rPr>
        <w:t>生活垃圾填埋库区、渗沥液处理区和生活区</w:t>
      </w:r>
      <w:r>
        <w:rPr>
          <w:rFonts w:ascii="Times New Roman" w:eastAsia="宋体" w:hAnsi="Times New Roman" w:cs="Times New Roman"/>
          <w:sz w:val="24"/>
          <w:szCs w:val="24"/>
        </w:rPr>
        <w:t>，二期建设</w:t>
      </w:r>
      <w:r>
        <w:rPr>
          <w:rFonts w:ascii="Times New Roman" w:eastAsia="宋体" w:hAnsi="Times New Roman" w:cs="Times New Roman"/>
          <w:kern w:val="0"/>
          <w:sz w:val="24"/>
          <w:szCs w:val="24"/>
        </w:rPr>
        <w:t>飞灰填埋库区</w:t>
      </w:r>
      <w:r>
        <w:rPr>
          <w:rFonts w:ascii="Times New Roman" w:eastAsia="宋体" w:hAnsi="Times New Roman" w:cs="Times New Roman"/>
          <w:sz w:val="24"/>
          <w:szCs w:val="24"/>
        </w:rPr>
        <w:t>。</w:t>
      </w:r>
      <w:r>
        <w:rPr>
          <w:rFonts w:ascii="Times New Roman" w:eastAsia="宋体" w:hAnsi="Times New Roman" w:cs="Times New Roman"/>
          <w:kern w:val="0"/>
          <w:sz w:val="24"/>
          <w:szCs w:val="24"/>
        </w:rPr>
        <w:t>其中一期生活垃圾填埋总设计库容约</w:t>
      </w:r>
      <w:r>
        <w:rPr>
          <w:rFonts w:ascii="Times New Roman" w:eastAsia="宋体" w:hAnsi="Times New Roman" w:cs="Times New Roman"/>
          <w:kern w:val="0"/>
          <w:sz w:val="24"/>
          <w:szCs w:val="24"/>
        </w:rPr>
        <w:t>65.49</w:t>
      </w:r>
      <w:r>
        <w:rPr>
          <w:rFonts w:ascii="Times New Roman" w:eastAsia="宋体" w:hAnsi="Times New Roman" w:cs="Times New Roman"/>
          <w:kern w:val="0"/>
          <w:sz w:val="24"/>
          <w:szCs w:val="24"/>
        </w:rPr>
        <w:t>万</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，使用年限为</w:t>
      </w:r>
      <w:r>
        <w:rPr>
          <w:rFonts w:ascii="Times New Roman" w:eastAsia="宋体" w:hAnsi="Times New Roman" w:cs="Times New Roman"/>
          <w:kern w:val="0"/>
          <w:sz w:val="24"/>
          <w:szCs w:val="24"/>
        </w:rPr>
        <w:t>13</w:t>
      </w:r>
      <w:r>
        <w:rPr>
          <w:rFonts w:ascii="Times New Roman" w:eastAsia="宋体" w:hAnsi="Times New Roman" w:cs="Times New Roman"/>
          <w:kern w:val="0"/>
          <w:sz w:val="24"/>
          <w:szCs w:val="24"/>
        </w:rPr>
        <w:t>年；二期飞灰填埋总设计库容约</w:t>
      </w:r>
      <w:r>
        <w:rPr>
          <w:rFonts w:ascii="Times New Roman" w:eastAsia="宋体" w:hAnsi="Times New Roman" w:cs="Times New Roman"/>
          <w:kern w:val="0"/>
          <w:sz w:val="24"/>
          <w:szCs w:val="24"/>
        </w:rPr>
        <w:t xml:space="preserve">20.70 </w:t>
      </w:r>
      <w:r>
        <w:rPr>
          <w:rFonts w:ascii="Times New Roman" w:eastAsia="宋体" w:hAnsi="Times New Roman" w:cs="Times New Roman"/>
          <w:kern w:val="0"/>
          <w:sz w:val="24"/>
          <w:szCs w:val="24"/>
        </w:rPr>
        <w:t>万</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使用年限为</w:t>
      </w:r>
      <w:r>
        <w:rPr>
          <w:rFonts w:ascii="Times New Roman" w:eastAsia="宋体" w:hAnsi="Times New Roman" w:cs="Times New Roman"/>
          <w:kern w:val="0"/>
          <w:sz w:val="24"/>
          <w:szCs w:val="24"/>
        </w:rPr>
        <w:t>20</w:t>
      </w:r>
      <w:r>
        <w:rPr>
          <w:rFonts w:ascii="Times New Roman" w:eastAsia="宋体" w:hAnsi="Times New Roman" w:cs="Times New Roman"/>
          <w:kern w:val="0"/>
          <w:sz w:val="24"/>
          <w:szCs w:val="24"/>
        </w:rPr>
        <w:t>年</w:t>
      </w:r>
      <w:r>
        <w:rPr>
          <w:rFonts w:ascii="Times New Roman" w:eastAsia="宋体" w:hAnsi="Times New Roman" w:cs="Times New Roman"/>
          <w:b/>
          <w:sz w:val="24"/>
          <w:szCs w:val="24"/>
        </w:rPr>
        <w:t>。</w:t>
      </w:r>
      <w:r>
        <w:rPr>
          <w:rFonts w:ascii="Times New Roman" w:eastAsia="宋体" w:hAnsi="Times New Roman" w:cs="Times New Roman" w:hint="eastAsia"/>
          <w:b/>
          <w:sz w:val="24"/>
          <w:szCs w:val="24"/>
        </w:rPr>
        <w:t>本次评价仅涉及一期工程，后期建设二期工程前需另行办理环境影响评价等相关手续。</w:t>
      </w:r>
    </w:p>
    <w:p w14:paraId="5C7CDA17" w14:textId="77777777" w:rsidR="00D12939" w:rsidRDefault="004F47F5">
      <w:pPr>
        <w:pStyle w:val="2"/>
        <w:spacing w:line="360" w:lineRule="auto"/>
        <w:ind w:firstLine="560"/>
        <w:rPr>
          <w:sz w:val="28"/>
        </w:rPr>
      </w:pPr>
      <w:bookmarkStart w:id="36" w:name="_Toc121411674"/>
      <w:bookmarkStart w:id="37" w:name="_Toc21464"/>
      <w:bookmarkStart w:id="38" w:name="_Toc28299"/>
      <w:bookmarkStart w:id="39" w:name="_Toc22744215"/>
      <w:bookmarkStart w:id="40" w:name="_Toc24190"/>
      <w:bookmarkStart w:id="41" w:name="_Toc26137"/>
      <w:bookmarkStart w:id="42" w:name="_Toc13065"/>
      <w:bookmarkStart w:id="43" w:name="_Toc19550"/>
      <w:bookmarkStart w:id="44" w:name="_Toc21910"/>
      <w:bookmarkStart w:id="45" w:name="_Toc28523"/>
      <w:bookmarkStart w:id="46" w:name="_Toc1208"/>
      <w:bookmarkStart w:id="47" w:name="_Toc1808"/>
      <w:bookmarkStart w:id="48" w:name="_Toc19142"/>
      <w:bookmarkStart w:id="49" w:name="_Toc2857"/>
      <w:bookmarkStart w:id="50" w:name="_Toc9011"/>
      <w:r>
        <w:rPr>
          <w:sz w:val="28"/>
        </w:rPr>
        <w:t>1.2</w:t>
      </w:r>
      <w:r>
        <w:rPr>
          <w:sz w:val="28"/>
        </w:rPr>
        <w:t>环境影响评价的工作过程</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3CC780E4" w14:textId="77777777" w:rsidR="00D12939" w:rsidRDefault="004F47F5">
      <w:pPr>
        <w:pStyle w:val="affffffffe"/>
        <w:ind w:firstLine="480"/>
        <w:rPr>
          <w:color w:val="auto"/>
          <w:spacing w:val="0"/>
        </w:rPr>
      </w:pPr>
      <w:r>
        <w:rPr>
          <w:color w:val="auto"/>
          <w:spacing w:val="0"/>
        </w:rPr>
        <w:t>根据《中华人民共和国环境影响评价法》、《建设项目环境保护管理条例》和生态环境部</w:t>
      </w:r>
      <w:r>
        <w:rPr>
          <w:color w:val="auto"/>
          <w:spacing w:val="0"/>
        </w:rPr>
        <w:t>1</w:t>
      </w:r>
      <w:r>
        <w:rPr>
          <w:color w:val="auto"/>
          <w:spacing w:val="0"/>
        </w:rPr>
        <w:t>号令《建设项目环境影响评价分类管理名录》</w:t>
      </w:r>
      <w:r>
        <w:rPr>
          <w:color w:val="auto"/>
        </w:rPr>
        <w:t>（</w:t>
      </w:r>
      <w:r>
        <w:rPr>
          <w:color w:val="auto"/>
        </w:rPr>
        <w:t>2021</w:t>
      </w:r>
      <w:r>
        <w:rPr>
          <w:color w:val="auto"/>
        </w:rPr>
        <w:t>年）</w:t>
      </w:r>
      <w:r>
        <w:rPr>
          <w:color w:val="auto"/>
          <w:spacing w:val="0"/>
        </w:rPr>
        <w:t>等有关规定，</w:t>
      </w:r>
      <w:r>
        <w:rPr>
          <w:rFonts w:hint="eastAsia"/>
          <w:color w:val="auto"/>
          <w:spacing w:val="0"/>
        </w:rPr>
        <w:t>本</w:t>
      </w:r>
      <w:r>
        <w:rPr>
          <w:color w:val="auto"/>
          <w:spacing w:val="0"/>
        </w:rPr>
        <w:t>项目属于</w:t>
      </w:r>
      <w:r>
        <w:rPr>
          <w:rFonts w:hint="eastAsia"/>
          <w:color w:val="auto"/>
          <w:spacing w:val="0"/>
        </w:rPr>
        <w:t>四十八</w:t>
      </w:r>
      <w:r>
        <w:rPr>
          <w:color w:val="auto"/>
          <w:spacing w:val="0"/>
        </w:rPr>
        <w:t>、公共设施管理业</w:t>
      </w:r>
      <w:r>
        <w:rPr>
          <w:color w:val="auto"/>
          <w:spacing w:val="0"/>
        </w:rPr>
        <w:t xml:space="preserve"> 106 </w:t>
      </w:r>
      <w:r>
        <w:rPr>
          <w:rFonts w:hint="eastAsia"/>
          <w:color w:val="auto"/>
          <w:spacing w:val="0"/>
        </w:rPr>
        <w:t>生活垃圾（含餐厨废弃物）集中处置（生活垃圾发电除外）</w:t>
      </w:r>
      <w:r>
        <w:rPr>
          <w:color w:val="auto"/>
          <w:spacing w:val="0"/>
        </w:rPr>
        <w:t>，应进行环境影响评价并编制环境影响报告书。为此，商洛市</w:t>
      </w:r>
      <w:r>
        <w:rPr>
          <w:rFonts w:hint="eastAsia"/>
          <w:color w:val="auto"/>
          <w:spacing w:val="0"/>
        </w:rPr>
        <w:t>柞水县</w:t>
      </w:r>
      <w:r>
        <w:rPr>
          <w:color w:val="auto"/>
          <w:spacing w:val="0"/>
        </w:rPr>
        <w:t>城市管理局</w:t>
      </w:r>
      <w:r>
        <w:rPr>
          <w:rFonts w:hint="eastAsia"/>
          <w:color w:val="auto"/>
          <w:spacing w:val="0"/>
        </w:rPr>
        <w:t>委托我</w:t>
      </w:r>
      <w:r>
        <w:rPr>
          <w:color w:val="auto"/>
          <w:spacing w:val="0"/>
        </w:rPr>
        <w:t>公司承担本项目的环境影响评价工作。</w:t>
      </w:r>
    </w:p>
    <w:p w14:paraId="4CA8912E" w14:textId="77777777" w:rsidR="00D12939" w:rsidRDefault="004F47F5">
      <w:pPr>
        <w:pStyle w:val="affffffffe"/>
        <w:ind w:firstLine="496"/>
        <w:rPr>
          <w:color w:val="auto"/>
        </w:rPr>
      </w:pPr>
      <w:r>
        <w:rPr>
          <w:color w:val="auto"/>
        </w:rPr>
        <w:lastRenderedPageBreak/>
        <w:t>接受委托后，我公司立即组织技术人员对项目所在区域进行现场勘查、环境现状监测和资料收集工作。在掌握现场环境状况的条件下，通过工程分析、技术论证、综合整理及认真分析研究等工作基础上，按照环境影响评价相关法律法规及技术导则的要求，编制完成了《</w:t>
      </w:r>
      <w:r>
        <w:rPr>
          <w:rFonts w:hint="eastAsia"/>
          <w:color w:val="auto"/>
        </w:rPr>
        <w:t>柞水县固体废弃物综合处置场项目环境影响报告书</w:t>
      </w:r>
      <w:r>
        <w:rPr>
          <w:color w:val="auto"/>
        </w:rPr>
        <w:t>》</w:t>
      </w:r>
    </w:p>
    <w:p w14:paraId="79D67031" w14:textId="77777777" w:rsidR="00D12939" w:rsidRDefault="004F47F5">
      <w:pPr>
        <w:pStyle w:val="2"/>
        <w:spacing w:line="360" w:lineRule="auto"/>
        <w:ind w:firstLine="560"/>
        <w:rPr>
          <w:sz w:val="28"/>
        </w:rPr>
      </w:pPr>
      <w:bookmarkStart w:id="51" w:name="_Toc121411675"/>
      <w:r>
        <w:rPr>
          <w:sz w:val="28"/>
        </w:rPr>
        <w:t>1.3</w:t>
      </w:r>
      <w:r>
        <w:rPr>
          <w:rFonts w:hint="eastAsia"/>
          <w:sz w:val="28"/>
        </w:rPr>
        <w:t>建设项目特点</w:t>
      </w:r>
      <w:bookmarkEnd w:id="51"/>
    </w:p>
    <w:p w14:paraId="329B09E1" w14:textId="00CB1B6E" w:rsidR="00D12939" w:rsidRDefault="004F47F5">
      <w:pPr>
        <w:pStyle w:val="affffffffe"/>
        <w:ind w:firstLine="496"/>
        <w:rPr>
          <w:color w:val="auto"/>
        </w:rPr>
      </w:pPr>
      <w:r>
        <w:rPr>
          <w:color w:val="auto"/>
        </w:rPr>
        <w:t>（</w:t>
      </w:r>
      <w:r>
        <w:rPr>
          <w:color w:val="auto"/>
        </w:rPr>
        <w:t>1</w:t>
      </w:r>
      <w:r>
        <w:rPr>
          <w:color w:val="auto"/>
        </w:rPr>
        <w:t>）</w:t>
      </w:r>
      <w:r w:rsidRPr="009C1516">
        <w:rPr>
          <w:color w:val="FF0000"/>
        </w:rPr>
        <w:t>本项目为</w:t>
      </w:r>
      <w:r w:rsidR="009C1516" w:rsidRPr="009C1516">
        <w:rPr>
          <w:rFonts w:hint="eastAsia"/>
          <w:color w:val="FF0000"/>
        </w:rPr>
        <w:t>固体废弃物综合处置场</w:t>
      </w:r>
      <w:r w:rsidRPr="009C1516">
        <w:rPr>
          <w:color w:val="FF0000"/>
        </w:rPr>
        <w:t>，</w:t>
      </w:r>
      <w:r w:rsidR="009C1516" w:rsidRPr="009C1516">
        <w:rPr>
          <w:rFonts w:hint="eastAsia"/>
          <w:color w:val="FF0000"/>
        </w:rPr>
        <w:t>一期工程</w:t>
      </w:r>
      <w:r>
        <w:rPr>
          <w:rFonts w:hint="eastAsia"/>
          <w:color w:val="auto"/>
        </w:rPr>
        <w:t>主要接收柞水县居民生活垃圾，不包括建筑垃圾、工业垃圾、城镇生活污水厂污泥、电子垃圾、医疗垃圾和其他特种垃圾及危险废弃物。</w:t>
      </w:r>
    </w:p>
    <w:p w14:paraId="4915E9ED" w14:textId="77777777" w:rsidR="00D12939" w:rsidRDefault="004F47F5">
      <w:pPr>
        <w:pStyle w:val="affffffffe"/>
        <w:ind w:firstLine="496"/>
        <w:rPr>
          <w:color w:val="auto"/>
        </w:rPr>
      </w:pPr>
      <w:r>
        <w:rPr>
          <w:color w:val="auto"/>
        </w:rPr>
        <w:t>（</w:t>
      </w:r>
      <w:r>
        <w:rPr>
          <w:color w:val="auto"/>
        </w:rPr>
        <w:t>2</w:t>
      </w:r>
      <w:r>
        <w:rPr>
          <w:color w:val="auto"/>
        </w:rPr>
        <w:t>）项目位于商洛市</w:t>
      </w:r>
      <w:r>
        <w:rPr>
          <w:rFonts w:hint="eastAsia"/>
          <w:color w:val="auto"/>
        </w:rPr>
        <w:t>柞水县</w:t>
      </w:r>
      <w:r>
        <w:rPr>
          <w:color w:val="auto"/>
        </w:rPr>
        <w:t>小六里沟，</w:t>
      </w:r>
      <w:r>
        <w:rPr>
          <w:rFonts w:hint="eastAsia"/>
          <w:color w:val="auto"/>
        </w:rPr>
        <w:t>项目占地西侧、南侧、北侧为山体，东侧</w:t>
      </w:r>
      <w:r>
        <w:rPr>
          <w:color w:val="auto"/>
        </w:rPr>
        <w:t>80</w:t>
      </w:r>
      <w:r>
        <w:rPr>
          <w:color w:val="auto"/>
        </w:rPr>
        <w:t>米处</w:t>
      </w:r>
      <w:r>
        <w:rPr>
          <w:rFonts w:hint="eastAsia"/>
          <w:color w:val="auto"/>
        </w:rPr>
        <w:t>有道路，</w:t>
      </w:r>
      <w:r>
        <w:rPr>
          <w:color w:val="auto"/>
        </w:rPr>
        <w:t>采取卫生填埋方式填埋后对周边区域村庄影响较小。</w:t>
      </w:r>
    </w:p>
    <w:p w14:paraId="68BC00B0" w14:textId="77777777" w:rsidR="00D12939" w:rsidRDefault="004F47F5">
      <w:pPr>
        <w:pStyle w:val="affffffffe"/>
        <w:ind w:firstLine="496"/>
        <w:rPr>
          <w:color w:val="auto"/>
        </w:rPr>
      </w:pPr>
      <w:r>
        <w:rPr>
          <w:color w:val="auto"/>
        </w:rPr>
        <w:t>（</w:t>
      </w:r>
      <w:r>
        <w:rPr>
          <w:color w:val="auto"/>
        </w:rPr>
        <w:t>3</w:t>
      </w:r>
      <w:r>
        <w:rPr>
          <w:color w:val="auto"/>
        </w:rPr>
        <w:t>）项目</w:t>
      </w:r>
      <w:r>
        <w:rPr>
          <w:rFonts w:hint="eastAsia"/>
          <w:color w:val="auto"/>
        </w:rPr>
        <w:t>建设一座渗滤液处理站，采用</w:t>
      </w:r>
      <w:r>
        <w:rPr>
          <w:color w:val="auto"/>
        </w:rPr>
        <w:t>预处理</w:t>
      </w:r>
      <w:r>
        <w:rPr>
          <w:color w:val="auto"/>
        </w:rPr>
        <w:t>-</w:t>
      </w:r>
      <w:r>
        <w:rPr>
          <w:color w:val="auto"/>
        </w:rPr>
        <w:t>一体化反应池</w:t>
      </w:r>
      <w:r>
        <w:rPr>
          <w:color w:val="auto"/>
        </w:rPr>
        <w:t>-</w:t>
      </w:r>
      <w:r>
        <w:rPr>
          <w:color w:val="auto"/>
        </w:rPr>
        <w:t>气浮</w:t>
      </w:r>
      <w:r>
        <w:rPr>
          <w:color w:val="auto"/>
        </w:rPr>
        <w:t>-</w:t>
      </w:r>
      <w:r>
        <w:rPr>
          <w:color w:val="auto"/>
        </w:rPr>
        <w:t>斜板沉淀</w:t>
      </w:r>
      <w:r>
        <w:rPr>
          <w:color w:val="auto"/>
        </w:rPr>
        <w:t>-A</w:t>
      </w:r>
      <w:r>
        <w:rPr>
          <w:color w:val="auto"/>
          <w:vertAlign w:val="superscript"/>
        </w:rPr>
        <w:t>2</w:t>
      </w:r>
      <w:r>
        <w:rPr>
          <w:color w:val="auto"/>
        </w:rPr>
        <w:t>/O-MBR</w:t>
      </w:r>
      <w:r>
        <w:rPr>
          <w:color w:val="auto"/>
        </w:rPr>
        <w:t>膜池</w:t>
      </w:r>
      <w:r>
        <w:rPr>
          <w:color w:val="auto"/>
        </w:rPr>
        <w:t>-</w:t>
      </w:r>
      <w:r>
        <w:rPr>
          <w:color w:val="auto"/>
        </w:rPr>
        <w:t>纳滤</w:t>
      </w:r>
      <w:r>
        <w:rPr>
          <w:color w:val="auto"/>
        </w:rPr>
        <w:t>-</w:t>
      </w:r>
      <w:r>
        <w:rPr>
          <w:color w:val="auto"/>
        </w:rPr>
        <w:t>反渗透</w:t>
      </w:r>
      <w:r>
        <w:rPr>
          <w:rFonts w:hint="eastAsia"/>
          <w:color w:val="auto"/>
        </w:rPr>
        <w:t>处理工艺</w:t>
      </w:r>
      <w:r>
        <w:rPr>
          <w:color w:val="auto"/>
        </w:rPr>
        <w:t>，填埋场渗沥液经收集处理达标后，</w:t>
      </w:r>
      <w:r>
        <w:rPr>
          <w:rFonts w:hint="eastAsia"/>
          <w:color w:val="auto"/>
        </w:rPr>
        <w:t>部分</w:t>
      </w:r>
      <w:r>
        <w:rPr>
          <w:color w:val="auto"/>
        </w:rPr>
        <w:t>用于场内自用，</w:t>
      </w:r>
      <w:r>
        <w:rPr>
          <w:rFonts w:hint="eastAsia"/>
          <w:color w:val="auto"/>
        </w:rPr>
        <w:t>剩余尾水</w:t>
      </w:r>
      <w:r>
        <w:rPr>
          <w:color w:val="auto"/>
        </w:rPr>
        <w:t>采用槽罐车运输方式，运至柞水县污水处理厂</w:t>
      </w:r>
      <w:r>
        <w:rPr>
          <w:rFonts w:hint="eastAsia"/>
          <w:color w:val="auto"/>
        </w:rPr>
        <w:t>进一步处理</w:t>
      </w:r>
      <w:r>
        <w:rPr>
          <w:color w:val="auto"/>
        </w:rPr>
        <w:t>。</w:t>
      </w:r>
    </w:p>
    <w:p w14:paraId="0F735235" w14:textId="637B4DBF" w:rsidR="00D12939" w:rsidRDefault="004F47F5">
      <w:pPr>
        <w:pStyle w:val="affffffffe"/>
        <w:ind w:firstLine="496"/>
        <w:rPr>
          <w:color w:val="auto"/>
        </w:rPr>
      </w:pPr>
      <w:r>
        <w:rPr>
          <w:rFonts w:hint="eastAsia"/>
          <w:color w:val="auto"/>
        </w:rPr>
        <w:t>（</w:t>
      </w:r>
      <w:r>
        <w:rPr>
          <w:rFonts w:hint="eastAsia"/>
          <w:color w:val="auto"/>
        </w:rPr>
        <w:t>4</w:t>
      </w:r>
      <w:r>
        <w:rPr>
          <w:rFonts w:hint="eastAsia"/>
          <w:color w:val="auto"/>
        </w:rPr>
        <w:t>）项目采取</w:t>
      </w:r>
      <w:r>
        <w:rPr>
          <w:color w:val="auto"/>
        </w:rPr>
        <w:t>分单元作业，当日压实覆膜</w:t>
      </w:r>
      <w:r>
        <w:rPr>
          <w:rFonts w:hint="eastAsia"/>
          <w:color w:val="auto"/>
        </w:rPr>
        <w:t>，</w:t>
      </w:r>
      <w:r>
        <w:rPr>
          <w:color w:val="auto"/>
        </w:rPr>
        <w:t>填埋气通过导气</w:t>
      </w:r>
      <w:r>
        <w:rPr>
          <w:rFonts w:hint="eastAsia"/>
          <w:color w:val="auto"/>
        </w:rPr>
        <w:t>石笼</w:t>
      </w:r>
      <w:r>
        <w:rPr>
          <w:color w:val="auto"/>
        </w:rPr>
        <w:t>直接排放，填埋区定时喷洒除臭剂，采用便捷式甲烷测定仪定期对填埋区和填埋区气体进行监测</w:t>
      </w:r>
      <w:r>
        <w:rPr>
          <w:rFonts w:hint="eastAsia"/>
          <w:color w:val="auto"/>
        </w:rPr>
        <w:t>，</w:t>
      </w:r>
      <w:r w:rsidRPr="004F47F5">
        <w:rPr>
          <w:color w:val="FF0000"/>
        </w:rPr>
        <w:t>若发现导气管排放口甲烷体积分数大于</w:t>
      </w:r>
      <w:r w:rsidRPr="004F47F5">
        <w:rPr>
          <w:color w:val="FF0000"/>
        </w:rPr>
        <w:t>5%</w:t>
      </w:r>
      <w:r w:rsidRPr="004F47F5">
        <w:rPr>
          <w:color w:val="FF0000"/>
        </w:rPr>
        <w:t>时，采用火炬燃烧方式进行处理。</w:t>
      </w:r>
    </w:p>
    <w:p w14:paraId="7518AD79" w14:textId="77777777" w:rsidR="00D12939" w:rsidRDefault="004F47F5">
      <w:pPr>
        <w:pStyle w:val="2"/>
        <w:spacing w:line="360" w:lineRule="auto"/>
        <w:ind w:firstLine="560"/>
        <w:rPr>
          <w:sz w:val="28"/>
        </w:rPr>
      </w:pPr>
      <w:bookmarkStart w:id="52" w:name="_Toc1476"/>
      <w:bookmarkStart w:id="53" w:name="_Toc476130108"/>
      <w:bookmarkStart w:id="54" w:name="_Toc28003"/>
      <w:bookmarkStart w:id="55" w:name="_Toc12831"/>
      <w:bookmarkStart w:id="56" w:name="_Toc20065"/>
      <w:bookmarkStart w:id="57" w:name="_Toc15225"/>
      <w:bookmarkStart w:id="58" w:name="_Toc22744216"/>
      <w:bookmarkStart w:id="59" w:name="_Toc16730"/>
      <w:bookmarkStart w:id="60" w:name="_Toc480180482"/>
      <w:bookmarkStart w:id="61" w:name="_Toc30348"/>
      <w:bookmarkStart w:id="62" w:name="_Toc21065"/>
      <w:bookmarkStart w:id="63" w:name="_Toc25755"/>
      <w:bookmarkStart w:id="64" w:name="_Toc29853"/>
      <w:bookmarkStart w:id="65" w:name="_Toc24062"/>
      <w:bookmarkStart w:id="66" w:name="_Toc20285"/>
      <w:bookmarkStart w:id="67" w:name="_Toc25873"/>
      <w:bookmarkStart w:id="68" w:name="_Toc19832"/>
      <w:bookmarkStart w:id="69" w:name="_Toc121411676"/>
      <w:r>
        <w:rPr>
          <w:sz w:val="28"/>
        </w:rPr>
        <w:t>1.4</w:t>
      </w:r>
      <w:r>
        <w:rPr>
          <w:sz w:val="28"/>
        </w:rPr>
        <w:t>分析判定相关情况</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4ED7CD9B"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70" w:name="_Toc121411677"/>
      <w:r>
        <w:rPr>
          <w:rFonts w:ascii="Times New Roman" w:eastAsia="黑体" w:hAnsi="Times New Roman" w:cs="Times New Roman"/>
          <w:b w:val="0"/>
          <w:sz w:val="24"/>
        </w:rPr>
        <w:t>1.4.1</w:t>
      </w:r>
      <w:r>
        <w:rPr>
          <w:rFonts w:ascii="Times New Roman" w:eastAsia="黑体" w:hAnsi="Times New Roman" w:cs="Times New Roman"/>
          <w:b w:val="0"/>
          <w:sz w:val="24"/>
        </w:rPr>
        <w:t>产业政策符合性分析</w:t>
      </w:r>
      <w:bookmarkEnd w:id="70"/>
    </w:p>
    <w:p w14:paraId="47F7897A" w14:textId="7720F650" w:rsidR="00D12939" w:rsidRDefault="004F47F5">
      <w:pPr>
        <w:pStyle w:val="affffffffe"/>
        <w:ind w:firstLine="496"/>
        <w:rPr>
          <w:color w:val="auto"/>
        </w:rPr>
      </w:pPr>
      <w:r>
        <w:rPr>
          <w:color w:val="auto"/>
        </w:rPr>
        <w:t>本项目为</w:t>
      </w:r>
      <w:r w:rsidRPr="009C1516">
        <w:rPr>
          <w:rFonts w:hint="eastAsia"/>
          <w:color w:val="FF0000"/>
        </w:rPr>
        <w:t>固体废弃物综合处置场</w:t>
      </w:r>
      <w:r>
        <w:rPr>
          <w:color w:val="auto"/>
        </w:rPr>
        <w:t>项目，属于《产业结构调整指导目录（</w:t>
      </w:r>
      <w:r>
        <w:rPr>
          <w:color w:val="auto"/>
        </w:rPr>
        <w:t>2019</w:t>
      </w:r>
      <w:r>
        <w:rPr>
          <w:color w:val="auto"/>
        </w:rPr>
        <w:t>年本）》中第一类鼓励类：</w:t>
      </w:r>
      <w:r>
        <w:rPr>
          <w:rFonts w:hint="eastAsia"/>
          <w:color w:val="auto"/>
        </w:rPr>
        <w:t>四十三</w:t>
      </w:r>
      <w:r>
        <w:rPr>
          <w:color w:val="auto"/>
        </w:rPr>
        <w:t>、环境保护与资源节约综合利用</w:t>
      </w:r>
      <w:r>
        <w:rPr>
          <w:rFonts w:hint="eastAsia"/>
          <w:color w:val="auto"/>
        </w:rPr>
        <w:t>20</w:t>
      </w:r>
      <w:r>
        <w:rPr>
          <w:rFonts w:hint="eastAsia"/>
          <w:color w:val="auto"/>
        </w:rPr>
        <w:t>、城镇垃圾、农村生活垃圾、农村生活污水、污泥及其他固体废弃物减量化、资源化、无害化处理和综合利用工程</w:t>
      </w:r>
      <w:r>
        <w:rPr>
          <w:color w:val="auto"/>
        </w:rPr>
        <w:t>。</w:t>
      </w:r>
      <w:r>
        <w:rPr>
          <w:rFonts w:hint="eastAsia"/>
          <w:color w:val="auto"/>
        </w:rPr>
        <w:t>项目属于鼓励类，符合国家产业政策。</w:t>
      </w:r>
    </w:p>
    <w:p w14:paraId="7E61E2CF" w14:textId="77777777" w:rsidR="00D12939" w:rsidRDefault="004F47F5">
      <w:pPr>
        <w:pStyle w:val="affffffffe"/>
        <w:ind w:firstLine="496"/>
        <w:rPr>
          <w:color w:val="auto"/>
        </w:rPr>
      </w:pPr>
      <w:r>
        <w:rPr>
          <w:rFonts w:hint="eastAsia"/>
          <w:color w:val="auto"/>
        </w:rPr>
        <w:t>本项目已获得柞水县行政审批服务局关于《</w:t>
      </w:r>
      <w:r>
        <w:rPr>
          <w:color w:val="auto"/>
        </w:rPr>
        <w:t>柞水县固体废弃物综合处置场项目</w:t>
      </w:r>
      <w:r>
        <w:rPr>
          <w:rFonts w:hint="eastAsia"/>
          <w:color w:val="auto"/>
        </w:rPr>
        <w:t>可行性研究报告的批复》（柞行审许发【</w:t>
      </w:r>
      <w:r>
        <w:rPr>
          <w:rFonts w:hint="eastAsia"/>
          <w:color w:val="auto"/>
        </w:rPr>
        <w:t>2</w:t>
      </w:r>
      <w:r>
        <w:rPr>
          <w:color w:val="auto"/>
        </w:rPr>
        <w:t>022</w:t>
      </w:r>
      <w:r>
        <w:rPr>
          <w:rFonts w:hint="eastAsia"/>
          <w:color w:val="auto"/>
        </w:rPr>
        <w:t>】</w:t>
      </w:r>
      <w:r>
        <w:rPr>
          <w:rFonts w:hint="eastAsia"/>
          <w:color w:val="auto"/>
        </w:rPr>
        <w:t>2</w:t>
      </w:r>
      <w:r>
        <w:rPr>
          <w:color w:val="auto"/>
        </w:rPr>
        <w:t>61</w:t>
      </w:r>
      <w:r>
        <w:rPr>
          <w:rFonts w:hint="eastAsia"/>
          <w:color w:val="auto"/>
        </w:rPr>
        <w:t>号）。项目符合地方产业政策。</w:t>
      </w:r>
    </w:p>
    <w:p w14:paraId="0C472912"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71" w:name="_Toc121411678"/>
      <w:r>
        <w:rPr>
          <w:rFonts w:ascii="Times New Roman" w:eastAsia="黑体" w:hAnsi="Times New Roman" w:cs="Times New Roman"/>
          <w:b w:val="0"/>
          <w:sz w:val="24"/>
        </w:rPr>
        <w:t>1.4.2</w:t>
      </w:r>
      <w:r>
        <w:rPr>
          <w:rFonts w:ascii="Times New Roman" w:eastAsia="黑体" w:hAnsi="Times New Roman" w:cs="Times New Roman" w:hint="eastAsia"/>
          <w:b w:val="0"/>
          <w:sz w:val="24"/>
        </w:rPr>
        <w:t>与秦岭相关规划的</w:t>
      </w:r>
      <w:r>
        <w:rPr>
          <w:rFonts w:ascii="Times New Roman" w:eastAsia="黑体" w:hAnsi="Times New Roman" w:cs="Times New Roman"/>
          <w:b w:val="0"/>
          <w:sz w:val="24"/>
        </w:rPr>
        <w:t>符合性分析</w:t>
      </w:r>
      <w:bookmarkEnd w:id="71"/>
    </w:p>
    <w:p w14:paraId="20FF5369" w14:textId="77777777" w:rsidR="00D12939" w:rsidRDefault="004F47F5">
      <w:pPr>
        <w:pStyle w:val="affffffffe"/>
        <w:ind w:firstLine="496"/>
        <w:rPr>
          <w:color w:val="auto"/>
        </w:rPr>
      </w:pPr>
      <w:r>
        <w:rPr>
          <w:rFonts w:hint="eastAsia"/>
          <w:color w:val="auto"/>
        </w:rPr>
        <w:t>本项目与秦岭相关规划的符合性分析见表</w:t>
      </w:r>
      <w:r>
        <w:rPr>
          <w:rFonts w:hint="eastAsia"/>
          <w:color w:val="auto"/>
        </w:rPr>
        <w:t>1.</w:t>
      </w:r>
      <w:r>
        <w:rPr>
          <w:color w:val="auto"/>
        </w:rPr>
        <w:t>4</w:t>
      </w:r>
      <w:r>
        <w:rPr>
          <w:rFonts w:hint="eastAsia"/>
          <w:color w:val="auto"/>
        </w:rPr>
        <w:t>-1</w:t>
      </w:r>
      <w:r>
        <w:rPr>
          <w:rFonts w:hint="eastAsia"/>
          <w:color w:val="auto"/>
        </w:rPr>
        <w:t>。</w:t>
      </w:r>
    </w:p>
    <w:p w14:paraId="7E2F9BA3" w14:textId="77777777" w:rsidR="00D12939" w:rsidRDefault="004F47F5">
      <w:pPr>
        <w:pStyle w:val="affffffffe"/>
        <w:spacing w:line="240" w:lineRule="auto"/>
        <w:ind w:firstLineChars="0" w:firstLine="0"/>
        <w:jc w:val="center"/>
        <w:rPr>
          <w:rStyle w:val="afffd"/>
          <w:rFonts w:ascii="黑体" w:eastAsia="黑体" w:hAnsi="黑体"/>
          <w:bCs/>
          <w:color w:val="auto"/>
          <w:spacing w:val="0"/>
          <w:kern w:val="2"/>
        </w:rPr>
      </w:pPr>
      <w:r>
        <w:rPr>
          <w:rStyle w:val="afffd"/>
          <w:rFonts w:ascii="黑体" w:eastAsia="黑体" w:hAnsi="黑体" w:hint="eastAsia"/>
          <w:bCs/>
          <w:color w:val="auto"/>
          <w:spacing w:val="0"/>
          <w:kern w:val="2"/>
        </w:rPr>
        <w:t>表1.</w:t>
      </w:r>
      <w:r>
        <w:rPr>
          <w:rStyle w:val="afffd"/>
          <w:rFonts w:ascii="黑体" w:eastAsia="黑体" w:hAnsi="黑体"/>
          <w:bCs/>
          <w:color w:val="auto"/>
          <w:spacing w:val="0"/>
          <w:kern w:val="2"/>
        </w:rPr>
        <w:t>4</w:t>
      </w:r>
      <w:r>
        <w:rPr>
          <w:rStyle w:val="afffd"/>
          <w:rFonts w:ascii="黑体" w:eastAsia="黑体" w:hAnsi="黑体" w:hint="eastAsia"/>
          <w:bCs/>
          <w:color w:val="auto"/>
          <w:spacing w:val="0"/>
          <w:kern w:val="2"/>
        </w:rPr>
        <w:t>-1</w:t>
      </w:r>
      <w:r>
        <w:rPr>
          <w:rStyle w:val="afffd"/>
          <w:rFonts w:ascii="黑体" w:eastAsia="黑体" w:hAnsi="黑体"/>
          <w:bCs/>
          <w:color w:val="auto"/>
          <w:spacing w:val="0"/>
          <w:kern w:val="2"/>
        </w:rPr>
        <w:t xml:space="preserve">  </w:t>
      </w:r>
      <w:r>
        <w:rPr>
          <w:rStyle w:val="afffd"/>
          <w:rFonts w:ascii="黑体" w:eastAsia="黑体" w:hAnsi="黑体" w:hint="eastAsia"/>
          <w:bCs/>
          <w:color w:val="auto"/>
          <w:spacing w:val="0"/>
          <w:kern w:val="2"/>
        </w:rPr>
        <w:t>本项目与秦岭相关规划的符合性分析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253"/>
        <w:gridCol w:w="3402"/>
        <w:gridCol w:w="952"/>
      </w:tblGrid>
      <w:tr w:rsidR="00D12939" w14:paraId="5728FD36" w14:textId="77777777">
        <w:tc>
          <w:tcPr>
            <w:tcW w:w="1129" w:type="dxa"/>
            <w:vAlign w:val="center"/>
          </w:tcPr>
          <w:p w14:paraId="0372BAC6"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相关政策</w:t>
            </w:r>
          </w:p>
        </w:tc>
        <w:tc>
          <w:tcPr>
            <w:tcW w:w="4253" w:type="dxa"/>
            <w:vAlign w:val="center"/>
          </w:tcPr>
          <w:p w14:paraId="6373E976"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政策要求</w:t>
            </w:r>
          </w:p>
        </w:tc>
        <w:tc>
          <w:tcPr>
            <w:tcW w:w="3402" w:type="dxa"/>
            <w:vAlign w:val="center"/>
          </w:tcPr>
          <w:p w14:paraId="70D04229"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本项目情况</w:t>
            </w:r>
          </w:p>
        </w:tc>
        <w:tc>
          <w:tcPr>
            <w:tcW w:w="952" w:type="dxa"/>
            <w:vAlign w:val="center"/>
          </w:tcPr>
          <w:p w14:paraId="00870720"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符合性</w:t>
            </w:r>
          </w:p>
        </w:tc>
      </w:tr>
      <w:tr w:rsidR="00D12939" w14:paraId="684141B5" w14:textId="77777777">
        <w:tc>
          <w:tcPr>
            <w:tcW w:w="1129" w:type="dxa"/>
            <w:vMerge w:val="restart"/>
            <w:vAlign w:val="center"/>
          </w:tcPr>
          <w:p w14:paraId="5A86EF5C" w14:textId="77777777" w:rsidR="00D12939" w:rsidRDefault="004F47F5">
            <w:pPr>
              <w:pStyle w:val="Default"/>
              <w:jc w:val="center"/>
              <w:rPr>
                <w:rFonts w:hAnsi="Times New Roman"/>
                <w:color w:val="auto"/>
                <w:szCs w:val="21"/>
              </w:rPr>
            </w:pPr>
            <w:r>
              <w:rPr>
                <w:rFonts w:hint="eastAsia"/>
                <w:color w:val="auto"/>
                <w:sz w:val="21"/>
                <w:szCs w:val="21"/>
              </w:rPr>
              <w:t>《陕西省秦岭生态</w:t>
            </w:r>
            <w:r>
              <w:rPr>
                <w:rFonts w:hint="eastAsia"/>
                <w:color w:val="auto"/>
                <w:sz w:val="21"/>
                <w:szCs w:val="21"/>
              </w:rPr>
              <w:lastRenderedPageBreak/>
              <w:t>环境保护条例（</w:t>
            </w:r>
            <w:r>
              <w:rPr>
                <w:rFonts w:ascii="Times New Roman" w:hAnsi="Times New Roman" w:cs="Times New Roman"/>
                <w:color w:val="auto"/>
                <w:sz w:val="21"/>
                <w:szCs w:val="21"/>
              </w:rPr>
              <w:t>2019</w:t>
            </w:r>
            <w:r>
              <w:rPr>
                <w:rFonts w:hAnsi="Times New Roman" w:hint="eastAsia"/>
                <w:color w:val="auto"/>
                <w:sz w:val="21"/>
                <w:szCs w:val="21"/>
              </w:rPr>
              <w:t>年</w:t>
            </w:r>
            <w:r>
              <w:rPr>
                <w:rFonts w:ascii="Times New Roman" w:hAnsi="Times New Roman" w:cs="Times New Roman"/>
                <w:color w:val="auto"/>
                <w:sz w:val="21"/>
                <w:szCs w:val="21"/>
              </w:rPr>
              <w:t>9</w:t>
            </w:r>
            <w:r>
              <w:rPr>
                <w:rFonts w:hAnsi="Times New Roman" w:hint="eastAsia"/>
                <w:color w:val="auto"/>
                <w:sz w:val="21"/>
                <w:szCs w:val="21"/>
              </w:rPr>
              <w:t>月</w:t>
            </w:r>
            <w:r>
              <w:rPr>
                <w:rFonts w:ascii="Times New Roman" w:hAnsi="Times New Roman" w:cs="Times New Roman"/>
                <w:color w:val="auto"/>
                <w:sz w:val="21"/>
                <w:szCs w:val="21"/>
              </w:rPr>
              <w:t>27</w:t>
            </w:r>
            <w:r>
              <w:rPr>
                <w:rFonts w:hAnsi="Times New Roman" w:hint="eastAsia"/>
                <w:color w:val="auto"/>
                <w:sz w:val="21"/>
                <w:szCs w:val="21"/>
              </w:rPr>
              <w:t>日）》</w:t>
            </w:r>
          </w:p>
        </w:tc>
        <w:tc>
          <w:tcPr>
            <w:tcW w:w="4253" w:type="dxa"/>
            <w:vAlign w:val="center"/>
          </w:tcPr>
          <w:p w14:paraId="05999390" w14:textId="77777777" w:rsidR="00D12939" w:rsidRDefault="004F47F5">
            <w:pPr>
              <w:pStyle w:val="Default"/>
              <w:rPr>
                <w:color w:val="auto"/>
                <w:sz w:val="21"/>
                <w:szCs w:val="21"/>
              </w:rPr>
            </w:pPr>
            <w:r>
              <w:rPr>
                <w:rFonts w:hint="eastAsia"/>
                <w:color w:val="auto"/>
                <w:sz w:val="21"/>
                <w:szCs w:val="21"/>
              </w:rPr>
              <w:lastRenderedPageBreak/>
              <w:t>第十五条秦岭范围下列区域，除国土空间规划确定的城镇开发边界范围外，应当划为核</w:t>
            </w:r>
            <w:r>
              <w:rPr>
                <w:rFonts w:hint="eastAsia"/>
                <w:color w:val="auto"/>
                <w:sz w:val="21"/>
                <w:szCs w:val="21"/>
              </w:rPr>
              <w:lastRenderedPageBreak/>
              <w:t>心保护区：</w:t>
            </w:r>
          </w:p>
          <w:p w14:paraId="6FBEA771" w14:textId="77777777" w:rsidR="00D12939" w:rsidRDefault="004F47F5">
            <w:pPr>
              <w:pStyle w:val="Default"/>
              <w:rPr>
                <w:rFonts w:hAnsi="Times New Roman"/>
                <w:color w:val="auto"/>
                <w:sz w:val="21"/>
                <w:szCs w:val="21"/>
              </w:rPr>
            </w:pPr>
            <w:r>
              <w:rPr>
                <w:color w:val="auto"/>
                <w:sz w:val="21"/>
                <w:szCs w:val="21"/>
              </w:rPr>
              <w:t xml:space="preserve"> </w:t>
            </w:r>
            <w:r>
              <w:rPr>
                <w:rFonts w:hint="eastAsia"/>
                <w:color w:val="auto"/>
                <w:sz w:val="21"/>
                <w:szCs w:val="21"/>
              </w:rPr>
              <w:t>（一）海拔</w:t>
            </w:r>
            <w:r>
              <w:rPr>
                <w:rFonts w:ascii="Times New Roman" w:hAnsi="Times New Roman" w:cs="Times New Roman"/>
                <w:color w:val="auto"/>
                <w:sz w:val="21"/>
                <w:szCs w:val="21"/>
              </w:rPr>
              <w:t>2000</w:t>
            </w:r>
            <w:r>
              <w:rPr>
                <w:rFonts w:hAnsi="Times New Roman" w:hint="eastAsia"/>
                <w:color w:val="auto"/>
                <w:sz w:val="21"/>
                <w:szCs w:val="21"/>
              </w:rPr>
              <w:t>米以上区域，秦岭山系主梁两侧各</w:t>
            </w:r>
            <w:r>
              <w:rPr>
                <w:rFonts w:ascii="Times New Roman" w:hAnsi="Times New Roman" w:cs="Times New Roman"/>
                <w:color w:val="auto"/>
                <w:sz w:val="21"/>
                <w:szCs w:val="21"/>
              </w:rPr>
              <w:t>1000</w:t>
            </w:r>
            <w:r>
              <w:rPr>
                <w:rFonts w:hAnsi="Times New Roman" w:hint="eastAsia"/>
                <w:color w:val="auto"/>
                <w:sz w:val="21"/>
                <w:szCs w:val="21"/>
              </w:rPr>
              <w:t>米以内、主要支脉两侧各</w:t>
            </w:r>
            <w:r>
              <w:rPr>
                <w:rFonts w:ascii="Times New Roman" w:hAnsi="Times New Roman" w:cs="Times New Roman"/>
                <w:color w:val="auto"/>
                <w:sz w:val="21"/>
                <w:szCs w:val="21"/>
              </w:rPr>
              <w:t>500</w:t>
            </w:r>
            <w:r>
              <w:rPr>
                <w:rFonts w:hAnsi="Times New Roman" w:hint="eastAsia"/>
                <w:color w:val="auto"/>
                <w:sz w:val="21"/>
                <w:szCs w:val="21"/>
              </w:rPr>
              <w:t>米以内的区域；（二）国家公园、自然保护区的核心保护区，世界遗产；（三）饮用水水源一级保护区；（四）自然保护区一般控制区中珍稀濒危野生动物栖息地与其他重要生态功能区集中连片，需要整体性、系统性保护的区域。</w:t>
            </w:r>
          </w:p>
          <w:p w14:paraId="002A99BC" w14:textId="77777777" w:rsidR="00D12939" w:rsidRDefault="004F47F5">
            <w:pPr>
              <w:pStyle w:val="Default"/>
              <w:rPr>
                <w:rFonts w:hAnsi="Times New Roman"/>
                <w:color w:val="auto"/>
                <w:sz w:val="21"/>
                <w:szCs w:val="21"/>
              </w:rPr>
            </w:pPr>
            <w:r>
              <w:rPr>
                <w:rFonts w:hAnsi="Times New Roman" w:hint="eastAsia"/>
                <w:color w:val="auto"/>
                <w:sz w:val="21"/>
                <w:szCs w:val="21"/>
              </w:rPr>
              <w:t>第十六条秦岭范围下列区域，除核心保护区、国土空间规划确定的城镇开发边界范围外，应当划为重点保护区：</w:t>
            </w:r>
          </w:p>
          <w:p w14:paraId="7D586230" w14:textId="7B33F766" w:rsidR="00D12939" w:rsidRDefault="004F47F5">
            <w:pPr>
              <w:pStyle w:val="Default"/>
              <w:rPr>
                <w:rFonts w:hAnsi="Times New Roman"/>
                <w:color w:val="auto"/>
                <w:sz w:val="21"/>
                <w:szCs w:val="21"/>
              </w:rPr>
            </w:pPr>
            <w:r>
              <w:rPr>
                <w:rFonts w:hAnsi="Times New Roman" w:hint="eastAsia"/>
                <w:color w:val="auto"/>
                <w:sz w:val="21"/>
                <w:szCs w:val="21"/>
              </w:rPr>
              <w:t>（一）海拔</w:t>
            </w:r>
            <w:r>
              <w:rPr>
                <w:rFonts w:ascii="Times New Roman" w:hAnsi="Times New Roman" w:cs="Times New Roman"/>
                <w:color w:val="auto"/>
                <w:sz w:val="21"/>
                <w:szCs w:val="21"/>
              </w:rPr>
              <w:t>1500</w:t>
            </w:r>
            <w:r>
              <w:rPr>
                <w:rFonts w:hAnsi="Times New Roman" w:hint="eastAsia"/>
                <w:color w:val="auto"/>
                <w:sz w:val="21"/>
                <w:szCs w:val="21"/>
              </w:rPr>
              <w:t>米至</w:t>
            </w:r>
            <w:r>
              <w:rPr>
                <w:rFonts w:ascii="Times New Roman" w:hAnsi="Times New Roman" w:cs="Times New Roman"/>
                <w:color w:val="auto"/>
                <w:sz w:val="21"/>
                <w:szCs w:val="21"/>
              </w:rPr>
              <w:t>2000</w:t>
            </w:r>
            <w:r>
              <w:rPr>
                <w:rFonts w:hAnsi="Times New Roman" w:hint="eastAsia"/>
                <w:color w:val="auto"/>
                <w:sz w:val="21"/>
                <w:szCs w:val="21"/>
              </w:rPr>
              <w:t>米之间的区域；（二）国家公园、自然保护区的一般控制区，饮用水水源二级保护区；（三）国家级和省级风景名胜区、地质公园、森林公园、湿地公园等自然公园的重要功能区，植物园、水利风景区；（四）水产种质资源保护区、野生植物原生境保护区（点）、野生动物重要栖息地，国有天然林分布区，重要湿地，重要的大中型水库、天然湖泊；（五）全国重点文物保护单位、省级文物保护单位。</w:t>
            </w:r>
          </w:p>
          <w:p w14:paraId="42BBC1AD" w14:textId="77777777" w:rsidR="00D12939" w:rsidRDefault="004F47F5">
            <w:pPr>
              <w:pStyle w:val="Default"/>
              <w:rPr>
                <w:rFonts w:hAnsi="Times New Roman"/>
                <w:color w:val="auto"/>
                <w:sz w:val="21"/>
                <w:szCs w:val="21"/>
              </w:rPr>
            </w:pPr>
            <w:r>
              <w:rPr>
                <w:rFonts w:hAnsi="Times New Roman" w:hint="eastAsia"/>
                <w:color w:val="auto"/>
                <w:sz w:val="21"/>
                <w:szCs w:val="21"/>
              </w:rPr>
              <w:t>第十七条秦岭范围内除核心保护区、重点保护区以外的区域，为一般保护区。</w:t>
            </w:r>
          </w:p>
          <w:p w14:paraId="3B8E685A" w14:textId="0287A403" w:rsidR="00D12939" w:rsidRPr="009C2515" w:rsidRDefault="004F47F5">
            <w:pPr>
              <w:pStyle w:val="Default"/>
              <w:rPr>
                <w:rFonts w:hAnsi="Times New Roman"/>
                <w:color w:val="auto"/>
                <w:sz w:val="21"/>
                <w:szCs w:val="21"/>
              </w:rPr>
            </w:pPr>
            <w:r>
              <w:rPr>
                <w:rFonts w:hAnsi="Times New Roman" w:hint="eastAsia"/>
                <w:color w:val="auto"/>
                <w:sz w:val="21"/>
                <w:szCs w:val="21"/>
              </w:rPr>
              <w:t>第十八条除本条例另有规定外，核心保护区不得进行与生态保护、科学研究无关的活动；重点保护区不得进行与其保护功能不相符的开发建设活动。一般保护区生产、生活和建设活动，应当严格执行法律、法规和本条例的规定。</w:t>
            </w:r>
          </w:p>
        </w:tc>
        <w:tc>
          <w:tcPr>
            <w:tcW w:w="3402" w:type="dxa"/>
            <w:vAlign w:val="center"/>
          </w:tcPr>
          <w:p w14:paraId="58C0CE71" w14:textId="7C1D30E8" w:rsidR="00D12939" w:rsidRDefault="004F47F5">
            <w:pPr>
              <w:pStyle w:val="Default"/>
              <w:rPr>
                <w:rFonts w:hAnsi="Times New Roman"/>
                <w:color w:val="auto"/>
                <w:szCs w:val="21"/>
              </w:rPr>
            </w:pPr>
            <w:r>
              <w:rPr>
                <w:rFonts w:hint="eastAsia"/>
                <w:color w:val="auto"/>
                <w:sz w:val="21"/>
                <w:szCs w:val="21"/>
              </w:rPr>
              <w:lastRenderedPageBreak/>
              <w:t>建设项目所在地不在秦岭核心保护区和重点保护区，位于一般保护</w:t>
            </w:r>
            <w:r>
              <w:rPr>
                <w:rFonts w:hint="eastAsia"/>
                <w:color w:val="auto"/>
                <w:sz w:val="21"/>
                <w:szCs w:val="21"/>
              </w:rPr>
              <w:lastRenderedPageBreak/>
              <w:t>区，本项目与秦岭保护区位置关系如图</w:t>
            </w:r>
            <w:r>
              <w:rPr>
                <w:rFonts w:ascii="Times New Roman" w:hAnsi="Times New Roman" w:cs="Times New Roman"/>
                <w:color w:val="auto"/>
                <w:sz w:val="21"/>
                <w:szCs w:val="21"/>
              </w:rPr>
              <w:t>1.4-1</w:t>
            </w:r>
            <w:r>
              <w:rPr>
                <w:rFonts w:hAnsi="Times New Roman" w:hint="eastAsia"/>
                <w:color w:val="auto"/>
                <w:sz w:val="21"/>
                <w:szCs w:val="21"/>
              </w:rPr>
              <w:t>所示。本项目产生的噪声采取相应的环保措施后达标排放，填埋</w:t>
            </w:r>
            <w:r w:rsidR="009C2515">
              <w:rPr>
                <w:rFonts w:hAnsi="Times New Roman" w:hint="eastAsia"/>
                <w:color w:val="auto"/>
                <w:sz w:val="21"/>
                <w:szCs w:val="21"/>
              </w:rPr>
              <w:t>废气</w:t>
            </w:r>
            <w:r>
              <w:rPr>
                <w:rFonts w:hAnsi="Times New Roman" w:hint="eastAsia"/>
                <w:color w:val="auto"/>
                <w:sz w:val="21"/>
                <w:szCs w:val="21"/>
              </w:rPr>
              <w:t>经导气石笼排放，填埋区及渗滤液处理站定期喷洒除臭剂，渗滤液经处理达标后部分回用于填埋区，剩余废水运至柞水县污水处理厂进一步处理，固废按要求处置，对环境影响小。本项目正在办理相关环评手续。</w:t>
            </w:r>
            <w:r w:rsidR="009C2515">
              <w:rPr>
                <w:rFonts w:hAnsi="Times New Roman" w:hint="eastAsia"/>
                <w:color w:val="auto"/>
                <w:sz w:val="21"/>
                <w:szCs w:val="21"/>
              </w:rPr>
              <w:t>项目</w:t>
            </w:r>
            <w:r w:rsidR="009C2515">
              <w:rPr>
                <w:rFonts w:hint="eastAsia"/>
                <w:color w:val="auto"/>
                <w:sz w:val="21"/>
                <w:szCs w:val="21"/>
              </w:rPr>
              <w:t>不在《陕西省秦岭重点保护区一般保护区产业准入清单》所列</w:t>
            </w:r>
            <w:r w:rsidR="009C2515">
              <w:rPr>
                <w:color w:val="auto"/>
                <w:sz w:val="21"/>
                <w:szCs w:val="21"/>
              </w:rPr>
              <w:t>“</w:t>
            </w:r>
            <w:r w:rsidR="009C2515">
              <w:rPr>
                <w:rFonts w:hint="eastAsia"/>
                <w:color w:val="auto"/>
                <w:sz w:val="21"/>
                <w:szCs w:val="21"/>
              </w:rPr>
              <w:t>限制目录</w:t>
            </w:r>
            <w:r w:rsidR="009C2515">
              <w:rPr>
                <w:color w:val="auto"/>
                <w:sz w:val="21"/>
                <w:szCs w:val="21"/>
              </w:rPr>
              <w:t>”</w:t>
            </w:r>
            <w:r w:rsidR="009C2515">
              <w:rPr>
                <w:rFonts w:hint="eastAsia"/>
                <w:color w:val="auto"/>
                <w:sz w:val="21"/>
                <w:szCs w:val="21"/>
              </w:rPr>
              <w:t>、</w:t>
            </w:r>
            <w:r w:rsidR="009C2515">
              <w:rPr>
                <w:color w:val="auto"/>
                <w:sz w:val="21"/>
                <w:szCs w:val="21"/>
              </w:rPr>
              <w:t>“</w:t>
            </w:r>
            <w:r w:rsidR="009C2515">
              <w:rPr>
                <w:rFonts w:hint="eastAsia"/>
                <w:color w:val="auto"/>
                <w:sz w:val="21"/>
                <w:szCs w:val="21"/>
              </w:rPr>
              <w:t>禁止目录</w:t>
            </w:r>
            <w:r w:rsidR="009C2515">
              <w:rPr>
                <w:color w:val="auto"/>
                <w:sz w:val="21"/>
                <w:szCs w:val="21"/>
              </w:rPr>
              <w:t>”</w:t>
            </w:r>
            <w:r w:rsidR="009C2515">
              <w:rPr>
                <w:rFonts w:hint="eastAsia"/>
                <w:color w:val="auto"/>
                <w:sz w:val="21"/>
                <w:szCs w:val="21"/>
              </w:rPr>
              <w:t>清单中。</w:t>
            </w:r>
          </w:p>
          <w:p w14:paraId="2D9AC4BE" w14:textId="77777777" w:rsidR="00D12939" w:rsidRDefault="00D12939">
            <w:pPr>
              <w:pStyle w:val="affffffffe"/>
              <w:spacing w:line="240" w:lineRule="auto"/>
              <w:ind w:firstLineChars="0" w:firstLine="0"/>
              <w:rPr>
                <w:color w:val="auto"/>
                <w:sz w:val="21"/>
                <w:szCs w:val="21"/>
              </w:rPr>
            </w:pPr>
          </w:p>
        </w:tc>
        <w:tc>
          <w:tcPr>
            <w:tcW w:w="952" w:type="dxa"/>
            <w:vAlign w:val="center"/>
          </w:tcPr>
          <w:p w14:paraId="257A84B1"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lastRenderedPageBreak/>
              <w:t>符合</w:t>
            </w:r>
          </w:p>
        </w:tc>
      </w:tr>
      <w:tr w:rsidR="00D12939" w14:paraId="1DDABF18" w14:textId="77777777">
        <w:tc>
          <w:tcPr>
            <w:tcW w:w="1129" w:type="dxa"/>
            <w:vMerge/>
            <w:vAlign w:val="center"/>
          </w:tcPr>
          <w:p w14:paraId="2A829A91" w14:textId="77777777" w:rsidR="00D12939" w:rsidRDefault="00D12939">
            <w:pPr>
              <w:pStyle w:val="Default"/>
              <w:jc w:val="center"/>
              <w:rPr>
                <w:color w:val="auto"/>
                <w:sz w:val="21"/>
                <w:szCs w:val="21"/>
              </w:rPr>
            </w:pPr>
          </w:p>
        </w:tc>
        <w:tc>
          <w:tcPr>
            <w:tcW w:w="4253" w:type="dxa"/>
            <w:vAlign w:val="center"/>
          </w:tcPr>
          <w:p w14:paraId="6F707009" w14:textId="77777777" w:rsidR="00D12939" w:rsidRDefault="004F47F5">
            <w:pPr>
              <w:pStyle w:val="Default"/>
              <w:rPr>
                <w:color w:val="auto"/>
                <w:sz w:val="21"/>
                <w:szCs w:val="21"/>
              </w:rPr>
            </w:pPr>
            <w:r>
              <w:rPr>
                <w:rFonts w:hint="eastAsia"/>
                <w:color w:val="auto"/>
                <w:sz w:val="21"/>
                <w:szCs w:val="21"/>
              </w:rPr>
              <w:t>秦岭范围内的城镇应当建设、完善生活污水处理、生活垃圾无害化处理、供排水等公共设施。乡（镇）人民政府在人口相对集中的村庄，应当组织推广使用沼气、太阳能等清洁能源，统一规划建设生活垃圾处理、污水排放等设施。</w:t>
            </w:r>
          </w:p>
        </w:tc>
        <w:tc>
          <w:tcPr>
            <w:tcW w:w="3402" w:type="dxa"/>
            <w:vAlign w:val="center"/>
          </w:tcPr>
          <w:p w14:paraId="4786EE6C" w14:textId="77777777" w:rsidR="00D12939" w:rsidRDefault="004F47F5">
            <w:pPr>
              <w:pStyle w:val="Default"/>
              <w:rPr>
                <w:color w:val="auto"/>
                <w:sz w:val="21"/>
                <w:szCs w:val="21"/>
              </w:rPr>
            </w:pPr>
            <w:r>
              <w:rPr>
                <w:rFonts w:hint="eastAsia"/>
                <w:color w:val="auto"/>
                <w:sz w:val="21"/>
                <w:szCs w:val="21"/>
              </w:rPr>
              <w:t>本项目为柞水县固体废弃物综合处置场，用于解决未来焚烧厂产生的飞灰以及焚烧厂投运前的生活垃圾处理问题，同时可以作为柞水县未来在焚烧厂检修及特殊情况下生活垃圾应急处理的兜底保障设施。</w:t>
            </w:r>
          </w:p>
        </w:tc>
        <w:tc>
          <w:tcPr>
            <w:tcW w:w="952" w:type="dxa"/>
            <w:vAlign w:val="center"/>
          </w:tcPr>
          <w:p w14:paraId="1E758778"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符合</w:t>
            </w:r>
          </w:p>
        </w:tc>
      </w:tr>
      <w:tr w:rsidR="00D12939" w14:paraId="1E7EF267" w14:textId="77777777">
        <w:tc>
          <w:tcPr>
            <w:tcW w:w="1129" w:type="dxa"/>
            <w:vAlign w:val="center"/>
          </w:tcPr>
          <w:p w14:paraId="6BE1AD8B" w14:textId="77777777" w:rsidR="00D12939" w:rsidRDefault="004F47F5">
            <w:pPr>
              <w:pStyle w:val="Default"/>
              <w:jc w:val="center"/>
              <w:rPr>
                <w:color w:val="auto"/>
                <w:szCs w:val="21"/>
              </w:rPr>
            </w:pPr>
            <w:r>
              <w:rPr>
                <w:rFonts w:hint="eastAsia"/>
                <w:color w:val="auto"/>
                <w:sz w:val="21"/>
                <w:szCs w:val="21"/>
              </w:rPr>
              <w:t>《陕西省秦岭重点保护区一般保护区产业准入清单（试行）》</w:t>
            </w:r>
          </w:p>
        </w:tc>
        <w:tc>
          <w:tcPr>
            <w:tcW w:w="4253" w:type="dxa"/>
            <w:vAlign w:val="center"/>
          </w:tcPr>
          <w:p w14:paraId="4BCBA5AE" w14:textId="77777777" w:rsidR="00D12939" w:rsidRDefault="004F47F5">
            <w:pPr>
              <w:pStyle w:val="Default"/>
              <w:rPr>
                <w:color w:val="auto"/>
                <w:szCs w:val="21"/>
              </w:rPr>
            </w:pPr>
            <w:r>
              <w:rPr>
                <w:rFonts w:hint="eastAsia"/>
                <w:color w:val="auto"/>
                <w:sz w:val="21"/>
                <w:szCs w:val="21"/>
              </w:rPr>
              <w:t>坚持</w:t>
            </w:r>
            <w:r>
              <w:rPr>
                <w:color w:val="auto"/>
                <w:sz w:val="21"/>
                <w:szCs w:val="21"/>
              </w:rPr>
              <w:t>“</w:t>
            </w:r>
            <w:r>
              <w:rPr>
                <w:rFonts w:hint="eastAsia"/>
                <w:color w:val="auto"/>
                <w:sz w:val="21"/>
                <w:szCs w:val="21"/>
              </w:rPr>
              <w:t>生态优先、绿色发展</w:t>
            </w:r>
            <w:r>
              <w:rPr>
                <w:color w:val="auto"/>
                <w:sz w:val="21"/>
                <w:szCs w:val="21"/>
              </w:rPr>
              <w:t>”</w:t>
            </w:r>
            <w:r>
              <w:rPr>
                <w:rFonts w:hint="eastAsia"/>
                <w:color w:val="auto"/>
                <w:sz w:val="21"/>
                <w:szCs w:val="21"/>
              </w:rPr>
              <w:t>导向，结合秦岭生态环境分区保护实际，《产业准入清单》分类设置目录管理措施。重点保护区施行</w:t>
            </w:r>
            <w:r>
              <w:rPr>
                <w:color w:val="auto"/>
                <w:sz w:val="21"/>
                <w:szCs w:val="21"/>
              </w:rPr>
              <w:t>“</w:t>
            </w:r>
            <w:r>
              <w:rPr>
                <w:rFonts w:hint="eastAsia"/>
                <w:color w:val="auto"/>
                <w:sz w:val="21"/>
                <w:szCs w:val="21"/>
              </w:rPr>
              <w:t>允许目录</w:t>
            </w:r>
            <w:r>
              <w:rPr>
                <w:color w:val="auto"/>
                <w:sz w:val="21"/>
                <w:szCs w:val="21"/>
              </w:rPr>
              <w:t>”</w:t>
            </w:r>
            <w:r>
              <w:rPr>
                <w:rFonts w:hint="eastAsia"/>
                <w:color w:val="auto"/>
                <w:sz w:val="21"/>
                <w:szCs w:val="21"/>
              </w:rPr>
              <w:t>，</w:t>
            </w:r>
            <w:r>
              <w:rPr>
                <w:color w:val="auto"/>
                <w:sz w:val="21"/>
                <w:szCs w:val="21"/>
              </w:rPr>
              <w:t>“</w:t>
            </w:r>
            <w:r>
              <w:rPr>
                <w:rFonts w:hint="eastAsia"/>
                <w:color w:val="auto"/>
                <w:sz w:val="21"/>
                <w:szCs w:val="21"/>
              </w:rPr>
              <w:t>允许目录</w:t>
            </w:r>
            <w:r>
              <w:rPr>
                <w:color w:val="auto"/>
                <w:sz w:val="21"/>
                <w:szCs w:val="21"/>
              </w:rPr>
              <w:t>”</w:t>
            </w:r>
            <w:r>
              <w:rPr>
                <w:rFonts w:hint="eastAsia"/>
                <w:color w:val="auto"/>
                <w:sz w:val="21"/>
                <w:szCs w:val="21"/>
              </w:rPr>
              <w:t>之外的产业、项目不得进入；一般保护区施行</w:t>
            </w:r>
            <w:r>
              <w:rPr>
                <w:color w:val="auto"/>
                <w:sz w:val="21"/>
                <w:szCs w:val="21"/>
              </w:rPr>
              <w:t>“</w:t>
            </w:r>
            <w:r>
              <w:rPr>
                <w:rFonts w:hint="eastAsia"/>
                <w:color w:val="auto"/>
                <w:sz w:val="21"/>
                <w:szCs w:val="21"/>
              </w:rPr>
              <w:t>限制目录</w:t>
            </w:r>
            <w:r>
              <w:rPr>
                <w:color w:val="auto"/>
                <w:sz w:val="21"/>
                <w:szCs w:val="21"/>
              </w:rPr>
              <w:t>”“</w:t>
            </w:r>
            <w:r>
              <w:rPr>
                <w:rFonts w:hint="eastAsia"/>
                <w:color w:val="auto"/>
                <w:sz w:val="21"/>
                <w:szCs w:val="21"/>
              </w:rPr>
              <w:t>禁止目录</w:t>
            </w:r>
            <w:r>
              <w:rPr>
                <w:color w:val="auto"/>
                <w:sz w:val="21"/>
                <w:szCs w:val="21"/>
              </w:rPr>
              <w:t>”</w:t>
            </w:r>
            <w:r>
              <w:rPr>
                <w:rFonts w:hint="eastAsia"/>
                <w:color w:val="auto"/>
                <w:sz w:val="21"/>
                <w:szCs w:val="21"/>
              </w:rPr>
              <w:t>，</w:t>
            </w:r>
            <w:r>
              <w:rPr>
                <w:color w:val="auto"/>
                <w:sz w:val="21"/>
                <w:szCs w:val="21"/>
              </w:rPr>
              <w:t>“</w:t>
            </w:r>
            <w:r>
              <w:rPr>
                <w:rFonts w:hint="eastAsia"/>
                <w:color w:val="auto"/>
                <w:sz w:val="21"/>
                <w:szCs w:val="21"/>
              </w:rPr>
              <w:t>限制目录</w:t>
            </w:r>
            <w:r>
              <w:rPr>
                <w:color w:val="auto"/>
                <w:sz w:val="21"/>
                <w:szCs w:val="21"/>
              </w:rPr>
              <w:t>”</w:t>
            </w:r>
            <w:r>
              <w:rPr>
                <w:rFonts w:hint="eastAsia"/>
                <w:color w:val="auto"/>
                <w:sz w:val="21"/>
                <w:szCs w:val="21"/>
              </w:rPr>
              <w:t>内的产业、项目必须满足相关规定，</w:t>
            </w:r>
            <w:r>
              <w:rPr>
                <w:color w:val="auto"/>
                <w:sz w:val="21"/>
                <w:szCs w:val="21"/>
              </w:rPr>
              <w:t>“</w:t>
            </w:r>
            <w:r>
              <w:rPr>
                <w:rFonts w:hint="eastAsia"/>
                <w:color w:val="auto"/>
                <w:sz w:val="21"/>
                <w:szCs w:val="21"/>
              </w:rPr>
              <w:t>禁止目录</w:t>
            </w:r>
            <w:r>
              <w:rPr>
                <w:color w:val="auto"/>
                <w:sz w:val="21"/>
                <w:szCs w:val="21"/>
              </w:rPr>
              <w:t>”</w:t>
            </w:r>
            <w:r>
              <w:rPr>
                <w:rFonts w:hint="eastAsia"/>
                <w:color w:val="auto"/>
                <w:sz w:val="21"/>
                <w:szCs w:val="21"/>
              </w:rPr>
              <w:lastRenderedPageBreak/>
              <w:t>内的产业、项目一律不得进入。</w:t>
            </w:r>
          </w:p>
        </w:tc>
        <w:tc>
          <w:tcPr>
            <w:tcW w:w="3402" w:type="dxa"/>
            <w:vAlign w:val="center"/>
          </w:tcPr>
          <w:p w14:paraId="5E9FEB89" w14:textId="77777777" w:rsidR="00D12939" w:rsidRDefault="004F47F5">
            <w:pPr>
              <w:pStyle w:val="Default"/>
              <w:rPr>
                <w:color w:val="auto"/>
                <w:szCs w:val="21"/>
              </w:rPr>
            </w:pPr>
            <w:r>
              <w:rPr>
                <w:rFonts w:hint="eastAsia"/>
                <w:color w:val="auto"/>
                <w:sz w:val="21"/>
                <w:szCs w:val="21"/>
              </w:rPr>
              <w:lastRenderedPageBreak/>
              <w:t>项目位于陕西省秦岭一般保护区，本项目为生活垃圾填埋项目，均不在上述所列</w:t>
            </w:r>
            <w:r>
              <w:rPr>
                <w:color w:val="auto"/>
                <w:sz w:val="21"/>
                <w:szCs w:val="21"/>
              </w:rPr>
              <w:t>“</w:t>
            </w:r>
            <w:r>
              <w:rPr>
                <w:rFonts w:hint="eastAsia"/>
                <w:color w:val="auto"/>
                <w:sz w:val="21"/>
                <w:szCs w:val="21"/>
              </w:rPr>
              <w:t>限制目录</w:t>
            </w:r>
            <w:r>
              <w:rPr>
                <w:color w:val="auto"/>
                <w:sz w:val="21"/>
                <w:szCs w:val="21"/>
              </w:rPr>
              <w:t>”</w:t>
            </w:r>
            <w:r>
              <w:rPr>
                <w:rFonts w:hint="eastAsia"/>
                <w:color w:val="auto"/>
                <w:sz w:val="21"/>
                <w:szCs w:val="21"/>
              </w:rPr>
              <w:t>、</w:t>
            </w:r>
            <w:r>
              <w:rPr>
                <w:color w:val="auto"/>
                <w:sz w:val="21"/>
                <w:szCs w:val="21"/>
              </w:rPr>
              <w:t>“</w:t>
            </w:r>
            <w:r>
              <w:rPr>
                <w:rFonts w:hint="eastAsia"/>
                <w:color w:val="auto"/>
                <w:sz w:val="21"/>
                <w:szCs w:val="21"/>
              </w:rPr>
              <w:t>禁止目录</w:t>
            </w:r>
            <w:r>
              <w:rPr>
                <w:color w:val="auto"/>
                <w:sz w:val="21"/>
                <w:szCs w:val="21"/>
              </w:rPr>
              <w:t>”</w:t>
            </w:r>
            <w:r>
              <w:rPr>
                <w:rFonts w:hint="eastAsia"/>
                <w:color w:val="auto"/>
                <w:sz w:val="21"/>
                <w:szCs w:val="21"/>
              </w:rPr>
              <w:t>清单中。</w:t>
            </w:r>
          </w:p>
        </w:tc>
        <w:tc>
          <w:tcPr>
            <w:tcW w:w="952" w:type="dxa"/>
            <w:vAlign w:val="center"/>
          </w:tcPr>
          <w:p w14:paraId="381BD31E"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符合</w:t>
            </w:r>
          </w:p>
        </w:tc>
      </w:tr>
      <w:tr w:rsidR="00D12939" w14:paraId="00076DD2" w14:textId="77777777">
        <w:tc>
          <w:tcPr>
            <w:tcW w:w="1129" w:type="dxa"/>
            <w:vAlign w:val="center"/>
          </w:tcPr>
          <w:p w14:paraId="07261E5B" w14:textId="77777777" w:rsidR="00D12939" w:rsidRDefault="004F47F5">
            <w:pPr>
              <w:pStyle w:val="Default"/>
              <w:jc w:val="center"/>
              <w:rPr>
                <w:color w:val="auto"/>
                <w:szCs w:val="21"/>
              </w:rPr>
            </w:pPr>
            <w:r>
              <w:rPr>
                <w:rFonts w:hint="eastAsia"/>
                <w:color w:val="auto"/>
                <w:sz w:val="21"/>
                <w:szCs w:val="21"/>
              </w:rPr>
              <w:lastRenderedPageBreak/>
              <w:t>《陕西省</w:t>
            </w:r>
          </w:p>
          <w:p w14:paraId="5C6740BB" w14:textId="77777777" w:rsidR="00D12939" w:rsidRDefault="004F47F5">
            <w:pPr>
              <w:pStyle w:val="Default"/>
              <w:jc w:val="center"/>
              <w:rPr>
                <w:color w:val="auto"/>
                <w:szCs w:val="21"/>
              </w:rPr>
            </w:pPr>
            <w:r>
              <w:rPr>
                <w:rFonts w:hint="eastAsia"/>
                <w:color w:val="auto"/>
                <w:sz w:val="21"/>
                <w:szCs w:val="21"/>
              </w:rPr>
              <w:t>秦岭生态环境保护总体规划》</w:t>
            </w:r>
          </w:p>
        </w:tc>
        <w:tc>
          <w:tcPr>
            <w:tcW w:w="4253" w:type="dxa"/>
            <w:vAlign w:val="center"/>
          </w:tcPr>
          <w:p w14:paraId="002B1E34" w14:textId="77777777" w:rsidR="00D12939" w:rsidRDefault="004F47F5">
            <w:pPr>
              <w:pStyle w:val="Default"/>
              <w:rPr>
                <w:color w:val="auto"/>
                <w:sz w:val="21"/>
                <w:szCs w:val="21"/>
              </w:rPr>
            </w:pPr>
            <w:r>
              <w:rPr>
                <w:rFonts w:hint="eastAsia"/>
                <w:color w:val="auto"/>
                <w:sz w:val="21"/>
                <w:szCs w:val="21"/>
              </w:rPr>
              <w:t>一般保护区内各类生产、生活和建设活动应当严格执行《条例》和相关法规、规划的规定，严格执行一般保护区产业准入清单制度。牢固树立“共抓大保护、不搞大开发”理念，持续推进生态破坏和环境污染的修复治理，稳步提高森林植被覆盖率，加快小流域综合治理，提高水源涵养能力。综合提升城乡给排水、公厕、道路、电网、污水垃圾处理、水源地保护等基础设施水平。</w:t>
            </w:r>
          </w:p>
        </w:tc>
        <w:tc>
          <w:tcPr>
            <w:tcW w:w="3402" w:type="dxa"/>
            <w:vAlign w:val="center"/>
          </w:tcPr>
          <w:p w14:paraId="11326352" w14:textId="2E58229D" w:rsidR="00D12939" w:rsidRDefault="004F47F5">
            <w:pPr>
              <w:pStyle w:val="affffffffe"/>
              <w:spacing w:line="240" w:lineRule="auto"/>
              <w:ind w:firstLineChars="0" w:firstLine="0"/>
              <w:rPr>
                <w:color w:val="auto"/>
                <w:sz w:val="21"/>
                <w:szCs w:val="21"/>
              </w:rPr>
            </w:pPr>
            <w:r>
              <w:rPr>
                <w:rFonts w:hint="eastAsia"/>
                <w:color w:val="auto"/>
                <w:sz w:val="21"/>
                <w:szCs w:val="21"/>
              </w:rPr>
              <w:t>项目位于陕西省秦岭一般保护区，</w:t>
            </w:r>
            <w:r w:rsidR="009C2515">
              <w:rPr>
                <w:rFonts w:hint="eastAsia"/>
                <w:color w:val="auto"/>
                <w:sz w:val="21"/>
                <w:szCs w:val="21"/>
              </w:rPr>
              <w:t>本项目为柞水县固体废弃物综合处置场</w:t>
            </w:r>
            <w:r>
              <w:rPr>
                <w:rFonts w:hint="eastAsia"/>
                <w:color w:val="auto"/>
                <w:sz w:val="21"/>
                <w:szCs w:val="21"/>
              </w:rPr>
              <w:t>，符合</w:t>
            </w:r>
            <w:r>
              <w:rPr>
                <w:rFonts w:ascii="宋体" w:hAnsi="宋体" w:hint="eastAsia"/>
                <w:color w:val="auto"/>
                <w:sz w:val="21"/>
                <w:szCs w:val="21"/>
              </w:rPr>
              <w:t>《条例》和相关法规、规划的规定，不在</w:t>
            </w:r>
            <w:r>
              <w:rPr>
                <w:rFonts w:hint="eastAsia"/>
                <w:color w:val="auto"/>
                <w:sz w:val="21"/>
                <w:szCs w:val="21"/>
              </w:rPr>
              <w:t>《陕西省秦岭重点保护区一般保护区产业准入清单》所列</w:t>
            </w:r>
            <w:r>
              <w:rPr>
                <w:color w:val="auto"/>
                <w:sz w:val="21"/>
                <w:szCs w:val="21"/>
              </w:rPr>
              <w:t>“</w:t>
            </w:r>
            <w:r>
              <w:rPr>
                <w:rFonts w:hint="eastAsia"/>
                <w:color w:val="auto"/>
                <w:sz w:val="21"/>
                <w:szCs w:val="21"/>
              </w:rPr>
              <w:t>限制目录</w:t>
            </w:r>
            <w:r>
              <w:rPr>
                <w:color w:val="auto"/>
                <w:sz w:val="21"/>
                <w:szCs w:val="21"/>
              </w:rPr>
              <w:t>”</w:t>
            </w:r>
            <w:r>
              <w:rPr>
                <w:rFonts w:hint="eastAsia"/>
                <w:color w:val="auto"/>
                <w:sz w:val="21"/>
                <w:szCs w:val="21"/>
              </w:rPr>
              <w:t>、</w:t>
            </w:r>
            <w:r>
              <w:rPr>
                <w:color w:val="auto"/>
                <w:sz w:val="21"/>
                <w:szCs w:val="21"/>
              </w:rPr>
              <w:t>“</w:t>
            </w:r>
            <w:r>
              <w:rPr>
                <w:rFonts w:hint="eastAsia"/>
                <w:color w:val="auto"/>
                <w:sz w:val="21"/>
                <w:szCs w:val="21"/>
              </w:rPr>
              <w:t>禁止目录</w:t>
            </w:r>
            <w:r>
              <w:rPr>
                <w:color w:val="auto"/>
                <w:sz w:val="21"/>
                <w:szCs w:val="21"/>
              </w:rPr>
              <w:t>”</w:t>
            </w:r>
            <w:r>
              <w:rPr>
                <w:rFonts w:hint="eastAsia"/>
                <w:color w:val="auto"/>
                <w:sz w:val="21"/>
                <w:szCs w:val="21"/>
              </w:rPr>
              <w:t>清单中。</w:t>
            </w:r>
          </w:p>
          <w:p w14:paraId="5518FDA2" w14:textId="09E75334" w:rsidR="00D12939" w:rsidRDefault="009C2515" w:rsidP="009C2515">
            <w:pPr>
              <w:pStyle w:val="affffffffe"/>
              <w:spacing w:line="240" w:lineRule="auto"/>
              <w:ind w:firstLineChars="0" w:firstLine="0"/>
              <w:rPr>
                <w:color w:val="auto"/>
                <w:sz w:val="21"/>
                <w:szCs w:val="21"/>
              </w:rPr>
            </w:pPr>
            <w:r>
              <w:rPr>
                <w:rFonts w:hint="eastAsia"/>
                <w:color w:val="auto"/>
                <w:sz w:val="21"/>
                <w:szCs w:val="21"/>
              </w:rPr>
              <w:t>本项目为柞水县固体废弃物综合处置场</w:t>
            </w:r>
            <w:r w:rsidR="004F47F5">
              <w:rPr>
                <w:rFonts w:hint="eastAsia"/>
                <w:color w:val="auto"/>
                <w:sz w:val="21"/>
                <w:szCs w:val="21"/>
              </w:rPr>
              <w:t>，</w:t>
            </w:r>
            <w:r>
              <w:rPr>
                <w:rFonts w:hint="eastAsia"/>
                <w:color w:val="auto"/>
                <w:sz w:val="21"/>
                <w:szCs w:val="21"/>
              </w:rPr>
              <w:t>一期工程</w:t>
            </w:r>
            <w:r w:rsidR="004F47F5">
              <w:rPr>
                <w:rFonts w:hint="eastAsia"/>
                <w:color w:val="auto"/>
                <w:sz w:val="21"/>
                <w:szCs w:val="21"/>
              </w:rPr>
              <w:t>主要接收</w:t>
            </w:r>
            <w:r>
              <w:rPr>
                <w:rFonts w:hint="eastAsia"/>
                <w:color w:val="auto"/>
                <w:sz w:val="21"/>
                <w:szCs w:val="21"/>
              </w:rPr>
              <w:t>柞水县</w:t>
            </w:r>
            <w:r w:rsidR="004F47F5">
              <w:rPr>
                <w:rFonts w:hint="eastAsia"/>
                <w:color w:val="auto"/>
                <w:sz w:val="21"/>
                <w:szCs w:val="21"/>
              </w:rPr>
              <w:t>生活垃圾。</w:t>
            </w:r>
          </w:p>
        </w:tc>
        <w:tc>
          <w:tcPr>
            <w:tcW w:w="952" w:type="dxa"/>
            <w:vAlign w:val="center"/>
          </w:tcPr>
          <w:p w14:paraId="3AC70494"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符合</w:t>
            </w:r>
          </w:p>
        </w:tc>
      </w:tr>
      <w:tr w:rsidR="00D12939" w14:paraId="5DDCD2BC" w14:textId="77777777">
        <w:tc>
          <w:tcPr>
            <w:tcW w:w="1129" w:type="dxa"/>
            <w:vMerge w:val="restart"/>
            <w:vAlign w:val="center"/>
          </w:tcPr>
          <w:p w14:paraId="380CD2C7"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《商洛市秦岭生态环境保护规划》</w:t>
            </w:r>
          </w:p>
        </w:tc>
        <w:tc>
          <w:tcPr>
            <w:tcW w:w="4253" w:type="dxa"/>
            <w:vAlign w:val="center"/>
          </w:tcPr>
          <w:p w14:paraId="5EFEECB1" w14:textId="77777777" w:rsidR="00D12939" w:rsidRDefault="004F47F5">
            <w:pPr>
              <w:pStyle w:val="affffffffe"/>
              <w:spacing w:line="240" w:lineRule="auto"/>
              <w:ind w:firstLineChars="0" w:firstLine="0"/>
              <w:rPr>
                <w:color w:val="auto"/>
                <w:sz w:val="21"/>
                <w:szCs w:val="21"/>
              </w:rPr>
            </w:pPr>
            <w:r>
              <w:rPr>
                <w:rFonts w:hint="eastAsia"/>
                <w:color w:val="auto"/>
                <w:sz w:val="21"/>
                <w:szCs w:val="21"/>
              </w:rPr>
              <w:t>一般保护区涉及</w:t>
            </w:r>
            <w:r>
              <w:rPr>
                <w:color w:val="auto"/>
                <w:sz w:val="21"/>
                <w:szCs w:val="21"/>
              </w:rPr>
              <w:t>7</w:t>
            </w:r>
            <w:r>
              <w:rPr>
                <w:color w:val="auto"/>
                <w:sz w:val="21"/>
                <w:szCs w:val="21"/>
              </w:rPr>
              <w:t>个县（区），</w:t>
            </w:r>
            <w:r>
              <w:rPr>
                <w:color w:val="auto"/>
                <w:sz w:val="21"/>
                <w:szCs w:val="21"/>
              </w:rPr>
              <w:t>98</w:t>
            </w:r>
            <w:r>
              <w:rPr>
                <w:color w:val="auto"/>
                <w:sz w:val="21"/>
                <w:szCs w:val="21"/>
              </w:rPr>
              <w:t>个镇（办），常住人口</w:t>
            </w:r>
            <w:r>
              <w:rPr>
                <w:color w:val="auto"/>
                <w:sz w:val="21"/>
                <w:szCs w:val="21"/>
              </w:rPr>
              <w:t>224.86</w:t>
            </w:r>
            <w:r>
              <w:rPr>
                <w:color w:val="auto"/>
                <w:sz w:val="21"/>
                <w:szCs w:val="21"/>
              </w:rPr>
              <w:t>万左右，面积约</w:t>
            </w:r>
            <w:r>
              <w:rPr>
                <w:color w:val="auto"/>
                <w:sz w:val="21"/>
                <w:szCs w:val="21"/>
              </w:rPr>
              <w:t>15722.59</w:t>
            </w:r>
            <w:r>
              <w:rPr>
                <w:color w:val="auto"/>
                <w:sz w:val="21"/>
                <w:szCs w:val="21"/>
              </w:rPr>
              <w:t>平方公里，约占全市保护区范围的</w:t>
            </w:r>
            <w:r>
              <w:rPr>
                <w:color w:val="auto"/>
                <w:sz w:val="21"/>
                <w:szCs w:val="21"/>
              </w:rPr>
              <w:t>80.3%</w:t>
            </w:r>
            <w:r>
              <w:rPr>
                <w:color w:val="auto"/>
                <w:sz w:val="21"/>
                <w:szCs w:val="21"/>
              </w:rPr>
              <w:t>。</w:t>
            </w:r>
            <w:r>
              <w:rPr>
                <w:rFonts w:hint="eastAsia"/>
                <w:color w:val="auto"/>
                <w:sz w:val="21"/>
                <w:szCs w:val="21"/>
              </w:rPr>
              <w:t>区域内各类生产、生活和建设活动应当严格执行《条例》和相关法规、规划的规定，严格执行一般保护区产业准入清单制度。综合提升城乡给排水、公厕、道路、电网、污水垃圾处理、水源地保护等基础设施水平。</w:t>
            </w:r>
          </w:p>
        </w:tc>
        <w:tc>
          <w:tcPr>
            <w:tcW w:w="3402" w:type="dxa"/>
            <w:vMerge w:val="restart"/>
            <w:vAlign w:val="center"/>
          </w:tcPr>
          <w:p w14:paraId="74CB25F4" w14:textId="77777777" w:rsidR="00D12939" w:rsidRDefault="004F47F5">
            <w:pPr>
              <w:pStyle w:val="affffffffe"/>
              <w:spacing w:line="240" w:lineRule="auto"/>
              <w:ind w:firstLineChars="0" w:firstLine="0"/>
              <w:rPr>
                <w:color w:val="auto"/>
                <w:sz w:val="21"/>
                <w:szCs w:val="21"/>
              </w:rPr>
            </w:pPr>
            <w:r>
              <w:rPr>
                <w:rFonts w:hint="eastAsia"/>
                <w:color w:val="auto"/>
                <w:sz w:val="21"/>
                <w:szCs w:val="21"/>
              </w:rPr>
              <w:t>项目位于陕西省秦岭一般保护区，本项目在秦岭生态环境保护规划分区图中位置关系如图</w:t>
            </w:r>
            <w:r>
              <w:rPr>
                <w:color w:val="auto"/>
                <w:sz w:val="21"/>
                <w:szCs w:val="21"/>
              </w:rPr>
              <w:t>1.4-1</w:t>
            </w:r>
            <w:r>
              <w:rPr>
                <w:rFonts w:hint="eastAsia"/>
                <w:color w:val="auto"/>
                <w:sz w:val="21"/>
                <w:szCs w:val="21"/>
              </w:rPr>
              <w:t>所示。本项目为生活垃圾填埋项目，符合</w:t>
            </w:r>
            <w:r>
              <w:rPr>
                <w:rFonts w:ascii="宋体" w:hAnsi="宋体" w:hint="eastAsia"/>
                <w:color w:val="auto"/>
                <w:sz w:val="21"/>
                <w:szCs w:val="21"/>
              </w:rPr>
              <w:t>《条例》和相关法规、规划的规定，不在</w:t>
            </w:r>
            <w:r>
              <w:rPr>
                <w:rFonts w:hint="eastAsia"/>
                <w:color w:val="auto"/>
                <w:sz w:val="21"/>
                <w:szCs w:val="21"/>
              </w:rPr>
              <w:t>《陕西省秦岭重点保护区一般保护区产业准入清单》所列</w:t>
            </w:r>
            <w:r>
              <w:rPr>
                <w:color w:val="auto"/>
                <w:sz w:val="21"/>
                <w:szCs w:val="21"/>
              </w:rPr>
              <w:t>“</w:t>
            </w:r>
            <w:r>
              <w:rPr>
                <w:rFonts w:hint="eastAsia"/>
                <w:color w:val="auto"/>
                <w:sz w:val="21"/>
                <w:szCs w:val="21"/>
              </w:rPr>
              <w:t>限制目录</w:t>
            </w:r>
            <w:r>
              <w:rPr>
                <w:color w:val="auto"/>
                <w:sz w:val="21"/>
                <w:szCs w:val="21"/>
              </w:rPr>
              <w:t>”</w:t>
            </w:r>
            <w:r>
              <w:rPr>
                <w:rFonts w:hint="eastAsia"/>
                <w:color w:val="auto"/>
                <w:sz w:val="21"/>
                <w:szCs w:val="21"/>
              </w:rPr>
              <w:t>、</w:t>
            </w:r>
            <w:r>
              <w:rPr>
                <w:color w:val="auto"/>
                <w:sz w:val="21"/>
                <w:szCs w:val="21"/>
              </w:rPr>
              <w:t>“</w:t>
            </w:r>
            <w:r>
              <w:rPr>
                <w:rFonts w:hint="eastAsia"/>
                <w:color w:val="auto"/>
                <w:sz w:val="21"/>
                <w:szCs w:val="21"/>
              </w:rPr>
              <w:t>禁止目录</w:t>
            </w:r>
            <w:r>
              <w:rPr>
                <w:color w:val="auto"/>
                <w:sz w:val="21"/>
                <w:szCs w:val="21"/>
              </w:rPr>
              <w:t>”</w:t>
            </w:r>
            <w:r>
              <w:rPr>
                <w:rFonts w:hint="eastAsia"/>
                <w:color w:val="auto"/>
                <w:sz w:val="21"/>
                <w:szCs w:val="21"/>
              </w:rPr>
              <w:t>清单中。</w:t>
            </w:r>
          </w:p>
          <w:p w14:paraId="307BF1CF" w14:textId="5D9D7C0A" w:rsidR="00D12939" w:rsidRDefault="009C2515">
            <w:pPr>
              <w:pStyle w:val="affffffffe"/>
              <w:spacing w:line="240" w:lineRule="auto"/>
              <w:ind w:firstLineChars="0" w:firstLine="0"/>
              <w:rPr>
                <w:color w:val="auto"/>
                <w:sz w:val="21"/>
                <w:szCs w:val="21"/>
              </w:rPr>
            </w:pPr>
            <w:r>
              <w:rPr>
                <w:rFonts w:hint="eastAsia"/>
                <w:color w:val="auto"/>
                <w:sz w:val="21"/>
                <w:szCs w:val="21"/>
              </w:rPr>
              <w:t>本项目为柞水县固体废弃物综合处置场，一期工程主要接收柞水县生活垃圾。</w:t>
            </w:r>
          </w:p>
        </w:tc>
        <w:tc>
          <w:tcPr>
            <w:tcW w:w="952" w:type="dxa"/>
            <w:vAlign w:val="center"/>
          </w:tcPr>
          <w:p w14:paraId="1DF868E5"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符合</w:t>
            </w:r>
          </w:p>
        </w:tc>
      </w:tr>
      <w:tr w:rsidR="00D12939" w14:paraId="3BF7ABA0" w14:textId="77777777">
        <w:tc>
          <w:tcPr>
            <w:tcW w:w="1129" w:type="dxa"/>
            <w:vMerge/>
            <w:vAlign w:val="center"/>
          </w:tcPr>
          <w:p w14:paraId="7B8D6350" w14:textId="77777777" w:rsidR="00D12939" w:rsidRDefault="00D12939">
            <w:pPr>
              <w:pStyle w:val="affffffffe"/>
              <w:spacing w:line="240" w:lineRule="auto"/>
              <w:ind w:firstLineChars="0" w:firstLine="0"/>
              <w:jc w:val="center"/>
              <w:rPr>
                <w:color w:val="auto"/>
                <w:sz w:val="21"/>
                <w:szCs w:val="21"/>
              </w:rPr>
            </w:pPr>
          </w:p>
        </w:tc>
        <w:tc>
          <w:tcPr>
            <w:tcW w:w="4253" w:type="dxa"/>
            <w:vAlign w:val="center"/>
          </w:tcPr>
          <w:p w14:paraId="7A27FF47" w14:textId="77777777" w:rsidR="00D12939" w:rsidRDefault="004F47F5">
            <w:pPr>
              <w:pStyle w:val="affffffffe"/>
              <w:spacing w:line="240" w:lineRule="auto"/>
              <w:ind w:firstLineChars="0" w:firstLine="0"/>
              <w:rPr>
                <w:color w:val="auto"/>
                <w:sz w:val="21"/>
                <w:szCs w:val="21"/>
              </w:rPr>
            </w:pPr>
            <w:r>
              <w:rPr>
                <w:rFonts w:hint="eastAsia"/>
                <w:color w:val="auto"/>
                <w:sz w:val="21"/>
                <w:szCs w:val="21"/>
              </w:rPr>
              <w:t>加强城乡生活污水处理、生活垃圾无害化处理、供排水等公共设施建设。在人口相对集中的村庄推广使用太阳能等清洁能源，统一规划建设生活垃圾处理、污水处理等设施。</w:t>
            </w:r>
          </w:p>
          <w:p w14:paraId="6B793383" w14:textId="77777777" w:rsidR="00D12939" w:rsidRDefault="004F47F5">
            <w:pPr>
              <w:pStyle w:val="affffffffe"/>
              <w:spacing w:line="240" w:lineRule="auto"/>
              <w:ind w:firstLineChars="0" w:firstLine="0"/>
              <w:rPr>
                <w:color w:val="auto"/>
                <w:sz w:val="21"/>
                <w:szCs w:val="21"/>
              </w:rPr>
            </w:pPr>
            <w:r>
              <w:rPr>
                <w:rFonts w:hint="eastAsia"/>
                <w:color w:val="auto"/>
                <w:sz w:val="21"/>
                <w:szCs w:val="21"/>
              </w:rPr>
              <w:t>鼓励就地就近资源化利用，因地制宜推进农村生活垃圾“户分类、村收集、镇转运、县处理”模式。</w:t>
            </w:r>
          </w:p>
        </w:tc>
        <w:tc>
          <w:tcPr>
            <w:tcW w:w="3402" w:type="dxa"/>
            <w:vMerge/>
            <w:vAlign w:val="center"/>
          </w:tcPr>
          <w:p w14:paraId="23BA1803" w14:textId="77777777" w:rsidR="00D12939" w:rsidRDefault="00D12939">
            <w:pPr>
              <w:pStyle w:val="affffffffe"/>
              <w:spacing w:line="240" w:lineRule="auto"/>
              <w:ind w:firstLineChars="0" w:firstLine="0"/>
              <w:jc w:val="center"/>
              <w:rPr>
                <w:color w:val="auto"/>
                <w:sz w:val="21"/>
                <w:szCs w:val="21"/>
              </w:rPr>
            </w:pPr>
          </w:p>
        </w:tc>
        <w:tc>
          <w:tcPr>
            <w:tcW w:w="952" w:type="dxa"/>
            <w:vAlign w:val="center"/>
          </w:tcPr>
          <w:p w14:paraId="3537E276"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符合</w:t>
            </w:r>
          </w:p>
        </w:tc>
      </w:tr>
      <w:tr w:rsidR="00D12939" w14:paraId="70AC7C4E" w14:textId="77777777">
        <w:tc>
          <w:tcPr>
            <w:tcW w:w="1129" w:type="dxa"/>
            <w:vMerge/>
            <w:vAlign w:val="center"/>
          </w:tcPr>
          <w:p w14:paraId="277FDC0A" w14:textId="77777777" w:rsidR="00D12939" w:rsidRDefault="00D12939">
            <w:pPr>
              <w:pStyle w:val="affffffffe"/>
              <w:spacing w:line="240" w:lineRule="auto"/>
              <w:ind w:firstLineChars="0" w:firstLine="0"/>
              <w:jc w:val="center"/>
              <w:rPr>
                <w:color w:val="auto"/>
                <w:sz w:val="21"/>
                <w:szCs w:val="21"/>
              </w:rPr>
            </w:pPr>
          </w:p>
        </w:tc>
        <w:tc>
          <w:tcPr>
            <w:tcW w:w="4253" w:type="dxa"/>
            <w:vAlign w:val="center"/>
          </w:tcPr>
          <w:p w14:paraId="6F2926F9" w14:textId="77777777" w:rsidR="00D12939" w:rsidRDefault="004F47F5">
            <w:pPr>
              <w:pStyle w:val="affffffffe"/>
              <w:spacing w:line="240" w:lineRule="auto"/>
              <w:ind w:firstLineChars="0" w:firstLine="0"/>
              <w:rPr>
                <w:color w:val="auto"/>
                <w:sz w:val="21"/>
                <w:szCs w:val="21"/>
              </w:rPr>
            </w:pPr>
            <w:r>
              <w:rPr>
                <w:rFonts w:hint="eastAsia"/>
                <w:color w:val="auto"/>
                <w:sz w:val="21"/>
                <w:szCs w:val="21"/>
              </w:rPr>
              <w:t>以丹江、洛河、旬河、金钱河、乾佑河等沿岸为重点，加快推进重点镇污水垃圾设施建设，积极推进城镇污水、垃圾处理设施和服务向农村延伸。</w:t>
            </w:r>
          </w:p>
        </w:tc>
        <w:tc>
          <w:tcPr>
            <w:tcW w:w="3402" w:type="dxa"/>
            <w:vMerge/>
            <w:vAlign w:val="center"/>
          </w:tcPr>
          <w:p w14:paraId="18C91944" w14:textId="77777777" w:rsidR="00D12939" w:rsidRDefault="00D12939">
            <w:pPr>
              <w:pStyle w:val="affffffffe"/>
              <w:spacing w:line="240" w:lineRule="auto"/>
              <w:ind w:firstLineChars="0" w:firstLine="0"/>
              <w:jc w:val="center"/>
              <w:rPr>
                <w:color w:val="auto"/>
                <w:sz w:val="21"/>
                <w:szCs w:val="21"/>
              </w:rPr>
            </w:pPr>
          </w:p>
        </w:tc>
        <w:tc>
          <w:tcPr>
            <w:tcW w:w="952" w:type="dxa"/>
            <w:vAlign w:val="center"/>
          </w:tcPr>
          <w:p w14:paraId="75DB1473" w14:textId="77777777" w:rsidR="00D12939" w:rsidRDefault="004F47F5">
            <w:pPr>
              <w:pStyle w:val="affffffffe"/>
              <w:spacing w:line="240" w:lineRule="auto"/>
              <w:ind w:firstLineChars="0" w:firstLine="0"/>
              <w:jc w:val="center"/>
              <w:rPr>
                <w:color w:val="auto"/>
                <w:sz w:val="21"/>
                <w:szCs w:val="21"/>
              </w:rPr>
            </w:pPr>
            <w:r>
              <w:rPr>
                <w:rFonts w:hint="eastAsia"/>
                <w:color w:val="auto"/>
                <w:sz w:val="21"/>
                <w:szCs w:val="21"/>
              </w:rPr>
              <w:t>符合</w:t>
            </w:r>
          </w:p>
        </w:tc>
      </w:tr>
    </w:tbl>
    <w:p w14:paraId="0A507232" w14:textId="77777777" w:rsidR="00747ECF" w:rsidRDefault="00747ECF">
      <w:pPr>
        <w:pStyle w:val="30"/>
        <w:spacing w:before="0" w:after="0" w:line="360" w:lineRule="auto"/>
        <w:ind w:firstLineChars="200" w:firstLine="480"/>
        <w:rPr>
          <w:rFonts w:ascii="Times New Roman" w:eastAsia="黑体" w:hAnsi="Times New Roman" w:cs="Times New Roman"/>
          <w:b w:val="0"/>
          <w:sz w:val="24"/>
        </w:rPr>
        <w:sectPr w:rsidR="00747ECF">
          <w:headerReference w:type="default" r:id="rId17"/>
          <w:footerReference w:type="default" r:id="rId18"/>
          <w:pgSz w:w="11906" w:h="16838"/>
          <w:pgMar w:top="1440" w:right="1080" w:bottom="1440" w:left="1080" w:header="851" w:footer="992" w:gutter="0"/>
          <w:pgNumType w:start="1"/>
          <w:cols w:space="425"/>
          <w:docGrid w:type="lines" w:linePitch="312"/>
        </w:sectPr>
      </w:pPr>
      <w:bookmarkStart w:id="72" w:name="_Toc121411679"/>
    </w:p>
    <w:p w14:paraId="629F23DD" w14:textId="77777777" w:rsidR="00747ECF" w:rsidRDefault="00747ECF" w:rsidP="00747ECF">
      <w:pPr>
        <w:jc w:val="center"/>
      </w:pPr>
      <w:r w:rsidRPr="00F86587">
        <w:rPr>
          <w:rFonts w:hint="eastAsia"/>
          <w:noProof/>
        </w:rPr>
        <w:lastRenderedPageBreak/>
        <w:drawing>
          <wp:inline distT="0" distB="0" distL="0" distR="0" wp14:anchorId="58079D28" wp14:editId="0AABDBFF">
            <wp:extent cx="7564363" cy="533693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75136" cy="5344531"/>
                    </a:xfrm>
                    <a:prstGeom prst="rect">
                      <a:avLst/>
                    </a:prstGeom>
                    <a:noFill/>
                    <a:ln>
                      <a:noFill/>
                    </a:ln>
                  </pic:spPr>
                </pic:pic>
              </a:graphicData>
            </a:graphic>
          </wp:inline>
        </w:drawing>
      </w:r>
    </w:p>
    <w:p w14:paraId="0E2FBA38" w14:textId="77777777" w:rsidR="00747ECF" w:rsidRDefault="00747ECF" w:rsidP="00747ECF">
      <w:pPr>
        <w:jc w:val="center"/>
        <w:rPr>
          <w:rFonts w:ascii="黑体" w:eastAsia="黑体" w:hAnsi="黑体"/>
          <w:sz w:val="24"/>
        </w:rPr>
      </w:pPr>
      <w:r w:rsidRPr="00F86587">
        <w:rPr>
          <w:rFonts w:ascii="黑体" w:eastAsia="黑体" w:hAnsi="黑体" w:hint="eastAsia"/>
          <w:sz w:val="24"/>
        </w:rPr>
        <w:t>图1</w:t>
      </w:r>
      <w:r w:rsidRPr="00F86587">
        <w:rPr>
          <w:rFonts w:ascii="黑体" w:eastAsia="黑体" w:hAnsi="黑体"/>
          <w:sz w:val="24"/>
        </w:rPr>
        <w:t xml:space="preserve">.4-1  </w:t>
      </w:r>
      <w:r w:rsidRPr="00F86587">
        <w:rPr>
          <w:rFonts w:ascii="黑体" w:eastAsia="黑体" w:hAnsi="黑体" w:hint="eastAsia"/>
          <w:sz w:val="24"/>
        </w:rPr>
        <w:t>项目拟建地在秦岭生态环境保护规划分区图位置示意图</w:t>
      </w:r>
    </w:p>
    <w:p w14:paraId="2311AE35" w14:textId="77777777" w:rsidR="00747ECF" w:rsidRDefault="00747ECF">
      <w:pPr>
        <w:pStyle w:val="30"/>
        <w:spacing w:before="0" w:after="0" w:line="360" w:lineRule="auto"/>
        <w:ind w:firstLineChars="200" w:firstLine="480"/>
        <w:rPr>
          <w:rFonts w:ascii="Times New Roman" w:eastAsia="黑体" w:hAnsi="Times New Roman" w:cs="Times New Roman"/>
          <w:b w:val="0"/>
          <w:sz w:val="24"/>
        </w:rPr>
        <w:sectPr w:rsidR="00747ECF" w:rsidSect="00747ECF">
          <w:pgSz w:w="16838" w:h="11906" w:orient="landscape"/>
          <w:pgMar w:top="1080" w:right="1440" w:bottom="1080" w:left="1440" w:header="851" w:footer="992" w:gutter="0"/>
          <w:pgNumType w:start="1"/>
          <w:cols w:space="425"/>
          <w:docGrid w:type="lines" w:linePitch="312"/>
        </w:sectPr>
      </w:pPr>
    </w:p>
    <w:p w14:paraId="2429B858" w14:textId="5C8CDD46" w:rsidR="00D12939" w:rsidRDefault="004F47F5">
      <w:pPr>
        <w:pStyle w:val="30"/>
        <w:spacing w:before="0" w:after="0" w:line="360" w:lineRule="auto"/>
        <w:ind w:firstLineChars="200" w:firstLine="480"/>
        <w:rPr>
          <w:rFonts w:ascii="Times New Roman" w:eastAsia="黑体" w:hAnsi="Times New Roman" w:cs="Times New Roman"/>
          <w:b w:val="0"/>
          <w:sz w:val="24"/>
        </w:rPr>
      </w:pPr>
      <w:r>
        <w:rPr>
          <w:rFonts w:ascii="Times New Roman" w:eastAsia="黑体" w:hAnsi="Times New Roman" w:cs="Times New Roman"/>
          <w:b w:val="0"/>
          <w:sz w:val="24"/>
        </w:rPr>
        <w:lastRenderedPageBreak/>
        <w:t>1.4.3</w:t>
      </w:r>
      <w:r>
        <w:rPr>
          <w:rFonts w:ascii="Times New Roman" w:eastAsia="黑体" w:hAnsi="Times New Roman" w:cs="Times New Roman" w:hint="eastAsia"/>
          <w:b w:val="0"/>
          <w:sz w:val="24"/>
        </w:rPr>
        <w:t>与环境管理政策及相关规划的</w:t>
      </w:r>
      <w:r>
        <w:rPr>
          <w:rFonts w:ascii="Times New Roman" w:eastAsia="黑体" w:hAnsi="Times New Roman" w:cs="Times New Roman"/>
          <w:b w:val="0"/>
          <w:sz w:val="24"/>
        </w:rPr>
        <w:t>符合性分析</w:t>
      </w:r>
      <w:bookmarkEnd w:id="72"/>
    </w:p>
    <w:p w14:paraId="6F91D31F" w14:textId="77777777" w:rsidR="00D12939" w:rsidRDefault="004F47F5">
      <w:pPr>
        <w:pStyle w:val="affffffffe"/>
        <w:ind w:firstLine="496"/>
        <w:rPr>
          <w:color w:val="auto"/>
        </w:rPr>
      </w:pPr>
      <w:r>
        <w:rPr>
          <w:rFonts w:hint="eastAsia"/>
          <w:color w:val="auto"/>
        </w:rPr>
        <w:t>本项目与环境管理政策及相关规划相符性分析见表</w:t>
      </w:r>
      <w:r>
        <w:rPr>
          <w:rFonts w:hint="eastAsia"/>
          <w:color w:val="auto"/>
        </w:rPr>
        <w:t>1.</w:t>
      </w:r>
      <w:r>
        <w:rPr>
          <w:color w:val="auto"/>
        </w:rPr>
        <w:t>4</w:t>
      </w:r>
      <w:r>
        <w:rPr>
          <w:rFonts w:hint="eastAsia"/>
          <w:color w:val="auto"/>
        </w:rPr>
        <w:t>-</w:t>
      </w:r>
      <w:r>
        <w:rPr>
          <w:color w:val="auto"/>
        </w:rPr>
        <w:t>2</w:t>
      </w:r>
      <w:r>
        <w:rPr>
          <w:rFonts w:hint="eastAsia"/>
          <w:color w:val="auto"/>
        </w:rPr>
        <w:t>。</w:t>
      </w:r>
    </w:p>
    <w:p w14:paraId="485D2D38" w14:textId="77777777" w:rsidR="00D12939" w:rsidRDefault="004F47F5">
      <w:pPr>
        <w:pStyle w:val="affffffffe"/>
        <w:spacing w:line="240" w:lineRule="auto"/>
        <w:ind w:firstLineChars="0" w:firstLine="0"/>
        <w:jc w:val="center"/>
        <w:rPr>
          <w:rStyle w:val="afffd"/>
          <w:rFonts w:ascii="黑体" w:eastAsia="黑体" w:hAnsi="黑体"/>
          <w:bCs/>
          <w:color w:val="auto"/>
          <w:spacing w:val="0"/>
          <w:kern w:val="2"/>
        </w:rPr>
      </w:pPr>
      <w:r>
        <w:rPr>
          <w:rStyle w:val="afffd"/>
          <w:rFonts w:ascii="黑体" w:eastAsia="黑体" w:hAnsi="黑体" w:hint="eastAsia"/>
          <w:bCs/>
          <w:color w:val="auto"/>
          <w:spacing w:val="0"/>
          <w:kern w:val="2"/>
        </w:rPr>
        <w:t>表1.</w:t>
      </w:r>
      <w:r>
        <w:rPr>
          <w:rStyle w:val="afffd"/>
          <w:rFonts w:ascii="黑体" w:eastAsia="黑体" w:hAnsi="黑体"/>
          <w:bCs/>
          <w:color w:val="auto"/>
          <w:spacing w:val="0"/>
          <w:kern w:val="2"/>
        </w:rPr>
        <w:t>4</w:t>
      </w:r>
      <w:r>
        <w:rPr>
          <w:rStyle w:val="afffd"/>
          <w:rFonts w:ascii="黑体" w:eastAsia="黑体" w:hAnsi="黑体" w:hint="eastAsia"/>
          <w:bCs/>
          <w:color w:val="auto"/>
          <w:spacing w:val="0"/>
          <w:kern w:val="2"/>
        </w:rPr>
        <w:t>-</w:t>
      </w:r>
      <w:r>
        <w:rPr>
          <w:rStyle w:val="afffd"/>
          <w:rFonts w:ascii="黑体" w:eastAsia="黑体" w:hAnsi="黑体"/>
          <w:bCs/>
          <w:color w:val="auto"/>
          <w:spacing w:val="0"/>
          <w:kern w:val="2"/>
        </w:rPr>
        <w:t xml:space="preserve">2   </w:t>
      </w:r>
      <w:r>
        <w:rPr>
          <w:rStyle w:val="afffd"/>
          <w:rFonts w:ascii="黑体" w:eastAsia="黑体" w:hAnsi="黑体" w:hint="eastAsia"/>
          <w:bCs/>
          <w:color w:val="auto"/>
          <w:spacing w:val="0"/>
          <w:kern w:val="2"/>
        </w:rPr>
        <w:t>本项目与环境管理政策及相关规划相符性分析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1"/>
        <w:gridCol w:w="3763"/>
        <w:gridCol w:w="3094"/>
        <w:gridCol w:w="1118"/>
      </w:tblGrid>
      <w:tr w:rsidR="00D12939" w14:paraId="2E73D5ED" w14:textId="77777777" w:rsidTr="0072055C">
        <w:trPr>
          <w:trHeight w:val="325"/>
          <w:jc w:val="center"/>
        </w:trPr>
        <w:tc>
          <w:tcPr>
            <w:tcW w:w="1761" w:type="dxa"/>
            <w:vAlign w:val="center"/>
          </w:tcPr>
          <w:p w14:paraId="399C98FB" w14:textId="77777777" w:rsidR="00D12939" w:rsidRDefault="004F47F5">
            <w:pPr>
              <w:pStyle w:val="a8"/>
              <w:ind w:firstLineChars="0" w:firstLine="0"/>
              <w:jc w:val="center"/>
              <w:rPr>
                <w:rStyle w:val="1f8"/>
              </w:rPr>
            </w:pPr>
            <w:r>
              <w:rPr>
                <w:rStyle w:val="1f8"/>
              </w:rPr>
              <w:t>相关环境管理政策名称</w:t>
            </w:r>
          </w:p>
        </w:tc>
        <w:tc>
          <w:tcPr>
            <w:tcW w:w="3763" w:type="dxa"/>
            <w:vAlign w:val="center"/>
          </w:tcPr>
          <w:p w14:paraId="47A5B4A4" w14:textId="77777777" w:rsidR="00D12939" w:rsidRDefault="004F47F5">
            <w:pPr>
              <w:pStyle w:val="a8"/>
              <w:ind w:firstLineChars="0" w:firstLine="0"/>
              <w:jc w:val="center"/>
              <w:rPr>
                <w:rStyle w:val="1f8"/>
              </w:rPr>
            </w:pPr>
            <w:r>
              <w:rPr>
                <w:rStyle w:val="1f8"/>
              </w:rPr>
              <w:t>政策要求</w:t>
            </w:r>
          </w:p>
        </w:tc>
        <w:tc>
          <w:tcPr>
            <w:tcW w:w="3094" w:type="dxa"/>
            <w:vAlign w:val="center"/>
          </w:tcPr>
          <w:p w14:paraId="3B0FE127" w14:textId="77777777" w:rsidR="00D12939" w:rsidRDefault="004F47F5">
            <w:pPr>
              <w:pStyle w:val="a8"/>
              <w:ind w:firstLineChars="0" w:firstLine="0"/>
              <w:jc w:val="center"/>
              <w:rPr>
                <w:rStyle w:val="1f8"/>
              </w:rPr>
            </w:pPr>
            <w:r>
              <w:rPr>
                <w:rStyle w:val="1f8"/>
              </w:rPr>
              <w:t>本项目情况</w:t>
            </w:r>
          </w:p>
        </w:tc>
        <w:tc>
          <w:tcPr>
            <w:tcW w:w="1118" w:type="dxa"/>
            <w:vAlign w:val="center"/>
          </w:tcPr>
          <w:p w14:paraId="6B3D6C62" w14:textId="77777777" w:rsidR="00D12939" w:rsidRDefault="004F47F5">
            <w:pPr>
              <w:pStyle w:val="a8"/>
              <w:ind w:firstLineChars="0" w:firstLine="0"/>
              <w:jc w:val="center"/>
              <w:rPr>
                <w:rStyle w:val="1f8"/>
              </w:rPr>
            </w:pPr>
            <w:r>
              <w:rPr>
                <w:rStyle w:val="1f8"/>
              </w:rPr>
              <w:t>符合性</w:t>
            </w:r>
          </w:p>
        </w:tc>
      </w:tr>
      <w:tr w:rsidR="00D12939" w14:paraId="05D91168" w14:textId="77777777" w:rsidTr="0072055C">
        <w:trPr>
          <w:trHeight w:val="325"/>
          <w:jc w:val="center"/>
        </w:trPr>
        <w:tc>
          <w:tcPr>
            <w:tcW w:w="1761" w:type="dxa"/>
            <w:vAlign w:val="center"/>
          </w:tcPr>
          <w:p w14:paraId="2CE2B559" w14:textId="77777777" w:rsidR="00D12939" w:rsidRDefault="004F47F5">
            <w:pPr>
              <w:pStyle w:val="a8"/>
              <w:ind w:firstLineChars="0" w:firstLine="0"/>
              <w:jc w:val="center"/>
              <w:rPr>
                <w:rStyle w:val="1f8"/>
              </w:rPr>
            </w:pPr>
            <w:r>
              <w:rPr>
                <w:rStyle w:val="1f8"/>
                <w:rFonts w:hint="eastAsia"/>
              </w:rPr>
              <w:t>《土壤污染防治行动计划》（国发</w:t>
            </w:r>
            <w:r>
              <w:rPr>
                <w:rStyle w:val="1f8"/>
                <w:rFonts w:hint="eastAsia"/>
              </w:rPr>
              <w:t>[2016]31</w:t>
            </w:r>
            <w:r>
              <w:rPr>
                <w:rStyle w:val="1f8"/>
                <w:rFonts w:hint="eastAsia"/>
              </w:rPr>
              <w:t>号）</w:t>
            </w:r>
          </w:p>
        </w:tc>
        <w:tc>
          <w:tcPr>
            <w:tcW w:w="3763" w:type="dxa"/>
            <w:vAlign w:val="center"/>
          </w:tcPr>
          <w:p w14:paraId="1053DF6B" w14:textId="77777777" w:rsidR="00D12939" w:rsidRDefault="004F47F5">
            <w:pPr>
              <w:pStyle w:val="a8"/>
              <w:ind w:firstLineChars="0" w:firstLine="0"/>
              <w:rPr>
                <w:rStyle w:val="1f8"/>
              </w:rPr>
            </w:pPr>
            <w:r>
              <w:rPr>
                <w:rStyle w:val="1f8"/>
                <w:rFonts w:hint="eastAsia"/>
              </w:rPr>
              <w:t>（二十）减少生活污染。建立政府、社区、企业和居民协调机制，通过分类投放收集、综合循环利用，促进垃圾减量化、资源化、无害化。</w:t>
            </w:r>
          </w:p>
        </w:tc>
        <w:tc>
          <w:tcPr>
            <w:tcW w:w="3094" w:type="dxa"/>
            <w:vAlign w:val="center"/>
          </w:tcPr>
          <w:p w14:paraId="7CAEB54E" w14:textId="34BAE938" w:rsidR="00D12939" w:rsidRDefault="009C2515" w:rsidP="009C2515">
            <w:pPr>
              <w:pStyle w:val="a8"/>
              <w:ind w:firstLineChars="0" w:firstLine="0"/>
              <w:rPr>
                <w:rStyle w:val="1f8"/>
              </w:rPr>
            </w:pPr>
            <w:r>
              <w:rPr>
                <w:rFonts w:hint="eastAsia"/>
                <w:sz w:val="21"/>
                <w:szCs w:val="21"/>
              </w:rPr>
              <w:t>本项目为柞水县固体废弃物综合处置场，一期工程主要接收柞水县生活垃圾。</w:t>
            </w:r>
          </w:p>
        </w:tc>
        <w:tc>
          <w:tcPr>
            <w:tcW w:w="1118" w:type="dxa"/>
            <w:vAlign w:val="center"/>
          </w:tcPr>
          <w:p w14:paraId="556E5C55" w14:textId="77777777" w:rsidR="00D12939" w:rsidRDefault="004F47F5">
            <w:pPr>
              <w:pStyle w:val="a8"/>
              <w:ind w:firstLineChars="0" w:firstLine="0"/>
              <w:jc w:val="center"/>
              <w:rPr>
                <w:rStyle w:val="1f8"/>
              </w:rPr>
            </w:pPr>
            <w:r>
              <w:rPr>
                <w:rStyle w:val="1f8"/>
              </w:rPr>
              <w:t>符合</w:t>
            </w:r>
          </w:p>
        </w:tc>
      </w:tr>
      <w:tr w:rsidR="00D12939" w14:paraId="12E43CE8" w14:textId="77777777" w:rsidTr="0072055C">
        <w:trPr>
          <w:trHeight w:val="325"/>
          <w:jc w:val="center"/>
        </w:trPr>
        <w:tc>
          <w:tcPr>
            <w:tcW w:w="1761" w:type="dxa"/>
            <w:vAlign w:val="center"/>
          </w:tcPr>
          <w:p w14:paraId="737D852A" w14:textId="77777777" w:rsidR="00D12939" w:rsidRDefault="004F47F5">
            <w:pPr>
              <w:pStyle w:val="a8"/>
              <w:ind w:firstLineChars="0" w:firstLine="0"/>
              <w:jc w:val="center"/>
              <w:rPr>
                <w:rStyle w:val="1f8"/>
              </w:rPr>
            </w:pPr>
            <w:r>
              <w:rPr>
                <w:rStyle w:val="1f8"/>
                <w:rFonts w:hint="eastAsia"/>
              </w:rPr>
              <w:t>《水污染防治行动计划》（国发</w:t>
            </w:r>
            <w:r>
              <w:rPr>
                <w:rStyle w:val="1f8"/>
                <w:rFonts w:hint="eastAsia"/>
              </w:rPr>
              <w:t>[2015]17</w:t>
            </w:r>
            <w:r>
              <w:rPr>
                <w:rStyle w:val="1f8"/>
                <w:rFonts w:hint="eastAsia"/>
              </w:rPr>
              <w:t>号）</w:t>
            </w:r>
          </w:p>
        </w:tc>
        <w:tc>
          <w:tcPr>
            <w:tcW w:w="3763" w:type="dxa"/>
            <w:vAlign w:val="center"/>
          </w:tcPr>
          <w:p w14:paraId="316A99EA" w14:textId="77777777" w:rsidR="00D12939" w:rsidRDefault="004F47F5">
            <w:pPr>
              <w:pStyle w:val="a8"/>
              <w:ind w:firstLineChars="0" w:firstLine="0"/>
              <w:rPr>
                <w:rStyle w:val="1f8"/>
              </w:rPr>
            </w:pPr>
            <w:r>
              <w:rPr>
                <w:rStyle w:val="1f8"/>
              </w:rPr>
              <w:t>防治地下水污染</w:t>
            </w:r>
            <w:r>
              <w:rPr>
                <w:rStyle w:val="1f8"/>
                <w:rFonts w:hint="eastAsia"/>
              </w:rPr>
              <w:t>。</w:t>
            </w:r>
            <w:r>
              <w:rPr>
                <w:rStyle w:val="1f8"/>
              </w:rPr>
              <w:t>垃圾填埋场等</w:t>
            </w:r>
            <w:r>
              <w:rPr>
                <w:rStyle w:val="1f8"/>
                <w:rFonts w:hint="eastAsia"/>
              </w:rPr>
              <w:t>区域应进行必要的防渗处理。</w:t>
            </w:r>
          </w:p>
        </w:tc>
        <w:tc>
          <w:tcPr>
            <w:tcW w:w="3094" w:type="dxa"/>
            <w:vAlign w:val="center"/>
          </w:tcPr>
          <w:p w14:paraId="619F7102" w14:textId="77777777" w:rsidR="00D12939" w:rsidRDefault="004F47F5">
            <w:pPr>
              <w:pStyle w:val="a8"/>
              <w:ind w:firstLineChars="0" w:firstLine="0"/>
              <w:rPr>
                <w:rStyle w:val="1f8"/>
              </w:rPr>
            </w:pPr>
            <w:r>
              <w:rPr>
                <w:rFonts w:ascii="宋体" w:hAnsi="宋体" w:cs="宋体" w:hint="eastAsia"/>
                <w:sz w:val="21"/>
                <w:szCs w:val="21"/>
              </w:rPr>
              <w:t>垃圾填埋场采用</w:t>
            </w:r>
            <w:r>
              <w:rPr>
                <w:rStyle w:val="1f8"/>
              </w:rPr>
              <w:t>HDPE</w:t>
            </w:r>
            <w:r>
              <w:rPr>
                <w:rStyle w:val="1f8"/>
              </w:rPr>
              <w:t>土工膜等防渗层进行防渗</w:t>
            </w:r>
            <w:r>
              <w:rPr>
                <w:rStyle w:val="1f8"/>
                <w:rFonts w:hint="eastAsia"/>
              </w:rPr>
              <w:t>，</w:t>
            </w:r>
            <w:r>
              <w:rPr>
                <w:rStyle w:val="1f8"/>
              </w:rPr>
              <w:t>防止对地下水产生污染</w:t>
            </w:r>
            <w:r>
              <w:rPr>
                <w:rStyle w:val="1f8"/>
                <w:rFonts w:hint="eastAsia"/>
              </w:rPr>
              <w:t>。</w:t>
            </w:r>
          </w:p>
        </w:tc>
        <w:tc>
          <w:tcPr>
            <w:tcW w:w="1118" w:type="dxa"/>
            <w:vAlign w:val="center"/>
          </w:tcPr>
          <w:p w14:paraId="3CBF531C" w14:textId="77777777" w:rsidR="00D12939" w:rsidRDefault="004F47F5">
            <w:pPr>
              <w:pStyle w:val="a8"/>
              <w:ind w:firstLineChars="0" w:firstLine="0"/>
              <w:jc w:val="center"/>
              <w:rPr>
                <w:rStyle w:val="1f8"/>
              </w:rPr>
            </w:pPr>
            <w:r>
              <w:rPr>
                <w:rStyle w:val="1f8"/>
              </w:rPr>
              <w:t>符合</w:t>
            </w:r>
          </w:p>
        </w:tc>
      </w:tr>
      <w:tr w:rsidR="00D12939" w14:paraId="33D9E26F" w14:textId="77777777" w:rsidTr="0072055C">
        <w:trPr>
          <w:trHeight w:val="325"/>
          <w:jc w:val="center"/>
        </w:trPr>
        <w:tc>
          <w:tcPr>
            <w:tcW w:w="1761" w:type="dxa"/>
            <w:vAlign w:val="center"/>
          </w:tcPr>
          <w:p w14:paraId="59013AB1" w14:textId="77777777" w:rsidR="00D12939" w:rsidRDefault="004F47F5">
            <w:pPr>
              <w:pStyle w:val="a8"/>
              <w:ind w:firstLineChars="0" w:firstLine="0"/>
              <w:jc w:val="center"/>
              <w:rPr>
                <w:rStyle w:val="1f8"/>
              </w:rPr>
            </w:pPr>
            <w:r>
              <w:rPr>
                <w:rStyle w:val="1f8"/>
                <w:rFonts w:hint="eastAsia"/>
              </w:rPr>
              <w:t>《陕西省固体废物污染环境防治条例》</w:t>
            </w:r>
          </w:p>
        </w:tc>
        <w:tc>
          <w:tcPr>
            <w:tcW w:w="3763" w:type="dxa"/>
            <w:vAlign w:val="center"/>
          </w:tcPr>
          <w:p w14:paraId="1F356ACD" w14:textId="77777777" w:rsidR="00D12939" w:rsidRDefault="004F47F5">
            <w:pPr>
              <w:pStyle w:val="a8"/>
              <w:ind w:firstLineChars="0" w:firstLine="0"/>
              <w:rPr>
                <w:rStyle w:val="1f8"/>
              </w:rPr>
            </w:pPr>
            <w:r>
              <w:rPr>
                <w:rStyle w:val="1f8"/>
              </w:rPr>
              <w:t>城乡生活垃圾利用</w:t>
            </w:r>
            <w:r>
              <w:rPr>
                <w:rStyle w:val="1f8"/>
                <w:rFonts w:hint="eastAsia"/>
              </w:rPr>
              <w:t>、处置设施项目建设，按照地域统筹、设施共享的原则科学合理布局，纳入公共服务体系，推进减量化措施实施，提高生活垃圾的资源化利用率和无害化处置率，促进生活垃圾收集、利目、处置的专业化、市场化、产业化。</w:t>
            </w:r>
          </w:p>
        </w:tc>
        <w:tc>
          <w:tcPr>
            <w:tcW w:w="3094" w:type="dxa"/>
            <w:vAlign w:val="center"/>
          </w:tcPr>
          <w:p w14:paraId="5F4EED6C" w14:textId="77777777" w:rsidR="00D12939" w:rsidRDefault="004F47F5">
            <w:pPr>
              <w:pStyle w:val="a8"/>
              <w:ind w:firstLineChars="0" w:firstLine="0"/>
              <w:rPr>
                <w:rStyle w:val="1f8"/>
              </w:rPr>
            </w:pPr>
            <w:r>
              <w:rPr>
                <w:rStyle w:val="1f8"/>
              </w:rPr>
              <w:t>本项目为</w:t>
            </w:r>
            <w:r>
              <w:rPr>
                <w:rFonts w:ascii="宋体" w:hAnsi="宋体" w:cs="宋体" w:hint="eastAsia"/>
                <w:sz w:val="21"/>
                <w:szCs w:val="21"/>
              </w:rPr>
              <w:t>生活垃圾填埋场，</w:t>
            </w:r>
            <w:r>
              <w:rPr>
                <w:sz w:val="21"/>
                <w:szCs w:val="21"/>
              </w:rPr>
              <w:t>垃圾无害化处理率达到</w:t>
            </w:r>
            <w:r>
              <w:rPr>
                <w:sz w:val="21"/>
                <w:szCs w:val="21"/>
              </w:rPr>
              <w:t>100%</w:t>
            </w:r>
            <w:r>
              <w:rPr>
                <w:rFonts w:hint="eastAsia"/>
                <w:sz w:val="21"/>
                <w:szCs w:val="21"/>
              </w:rPr>
              <w:t>。</w:t>
            </w:r>
          </w:p>
        </w:tc>
        <w:tc>
          <w:tcPr>
            <w:tcW w:w="1118" w:type="dxa"/>
            <w:vAlign w:val="center"/>
          </w:tcPr>
          <w:p w14:paraId="71F735DA" w14:textId="77777777" w:rsidR="00D12939" w:rsidRDefault="004F47F5">
            <w:pPr>
              <w:pStyle w:val="a8"/>
              <w:ind w:firstLineChars="0" w:firstLine="0"/>
              <w:jc w:val="center"/>
              <w:rPr>
                <w:rStyle w:val="1f8"/>
              </w:rPr>
            </w:pPr>
            <w:r>
              <w:rPr>
                <w:rStyle w:val="1f8"/>
              </w:rPr>
              <w:t>符合</w:t>
            </w:r>
          </w:p>
        </w:tc>
      </w:tr>
      <w:tr w:rsidR="00D12939" w14:paraId="6B2BBA9E" w14:textId="77777777" w:rsidTr="0072055C">
        <w:trPr>
          <w:trHeight w:val="325"/>
          <w:jc w:val="center"/>
        </w:trPr>
        <w:tc>
          <w:tcPr>
            <w:tcW w:w="1761" w:type="dxa"/>
            <w:vMerge w:val="restart"/>
            <w:vAlign w:val="center"/>
          </w:tcPr>
          <w:p w14:paraId="48D08814" w14:textId="77777777" w:rsidR="00D12939" w:rsidRDefault="004F47F5">
            <w:pPr>
              <w:pStyle w:val="a8"/>
              <w:ind w:firstLineChars="0" w:firstLine="0"/>
              <w:jc w:val="center"/>
              <w:rPr>
                <w:rStyle w:val="1f8"/>
              </w:rPr>
            </w:pPr>
            <w:r>
              <w:rPr>
                <w:rStyle w:val="1f8"/>
                <w:rFonts w:hint="eastAsia"/>
              </w:rPr>
              <w:t>《“十四五”城镇生活垃圾分类和处理设施发展规划》（</w:t>
            </w:r>
            <w:r>
              <w:rPr>
                <w:rStyle w:val="1f8"/>
              </w:rPr>
              <w:t>2021-2025</w:t>
            </w:r>
            <w:r>
              <w:rPr>
                <w:rStyle w:val="1f8"/>
              </w:rPr>
              <w:t>年）</w:t>
            </w:r>
          </w:p>
        </w:tc>
        <w:tc>
          <w:tcPr>
            <w:tcW w:w="3763" w:type="dxa"/>
            <w:vAlign w:val="center"/>
          </w:tcPr>
          <w:p w14:paraId="0301333F" w14:textId="77777777" w:rsidR="00D12939" w:rsidRDefault="004F47F5">
            <w:pPr>
              <w:pStyle w:val="a8"/>
              <w:ind w:firstLineChars="0" w:firstLine="0"/>
              <w:rPr>
                <w:rStyle w:val="1f8"/>
              </w:rPr>
            </w:pPr>
            <w:r>
              <w:rPr>
                <w:rStyle w:val="1f8"/>
                <w:rFonts w:hint="eastAsia"/>
              </w:rPr>
              <w:t>到</w:t>
            </w:r>
            <w:r>
              <w:rPr>
                <w:rStyle w:val="1f8"/>
              </w:rPr>
              <w:t xml:space="preserve"> 2025 </w:t>
            </w:r>
            <w:r>
              <w:rPr>
                <w:rStyle w:val="1f8"/>
              </w:rPr>
              <w:t>年底，全国城市生活垃圾资源化利用率达到</w:t>
            </w:r>
            <w:r>
              <w:rPr>
                <w:rStyle w:val="1f8"/>
              </w:rPr>
              <w:t>60%</w:t>
            </w:r>
            <w:r>
              <w:rPr>
                <w:rStyle w:val="1f8"/>
              </w:rPr>
              <w:t>左右。全国生活垃圾分类收运能力达到</w:t>
            </w:r>
            <w:r>
              <w:rPr>
                <w:rStyle w:val="1f8"/>
              </w:rPr>
              <w:t xml:space="preserve"> 70 </w:t>
            </w:r>
            <w:r>
              <w:rPr>
                <w:rStyle w:val="1f8"/>
              </w:rPr>
              <w:t>万吨</w:t>
            </w:r>
            <w:r>
              <w:rPr>
                <w:rStyle w:val="1f8"/>
              </w:rPr>
              <w:t>/</w:t>
            </w:r>
            <w:r>
              <w:rPr>
                <w:rStyle w:val="1f8"/>
              </w:rPr>
              <w:t>日左右，基本满足地级及以上城市生活垃圾分类收集、分类转运、分类处理需求；鼓励有条件的县城推进生活垃圾分类和处理设施建设。全国城镇生活垃圾焚烧处理能力达到</w:t>
            </w:r>
            <w:r>
              <w:rPr>
                <w:rStyle w:val="1f8"/>
              </w:rPr>
              <w:t xml:space="preserve"> 80 </w:t>
            </w:r>
            <w:r>
              <w:rPr>
                <w:rStyle w:val="1f8"/>
              </w:rPr>
              <w:t>万吨</w:t>
            </w:r>
            <w:r>
              <w:rPr>
                <w:rStyle w:val="1f8"/>
              </w:rPr>
              <w:t>/</w:t>
            </w:r>
            <w:r>
              <w:rPr>
                <w:rStyle w:val="1f8"/>
              </w:rPr>
              <w:t>日左右，城市生活垃圾焚烧处理能力占比</w:t>
            </w:r>
            <w:r>
              <w:rPr>
                <w:rStyle w:val="1f8"/>
              </w:rPr>
              <w:t xml:space="preserve"> 65%</w:t>
            </w:r>
            <w:r>
              <w:rPr>
                <w:rStyle w:val="1f8"/>
              </w:rPr>
              <w:t>左右。</w:t>
            </w:r>
          </w:p>
        </w:tc>
        <w:tc>
          <w:tcPr>
            <w:tcW w:w="3094" w:type="dxa"/>
            <w:vMerge w:val="restart"/>
            <w:vAlign w:val="center"/>
          </w:tcPr>
          <w:p w14:paraId="6017B267" w14:textId="6A995E86" w:rsidR="00D12939" w:rsidRDefault="009C2515" w:rsidP="009C2515">
            <w:pPr>
              <w:pStyle w:val="a8"/>
              <w:ind w:firstLineChars="0" w:firstLine="0"/>
              <w:rPr>
                <w:rStyle w:val="1f8"/>
              </w:rPr>
            </w:pPr>
            <w:r>
              <w:rPr>
                <w:rFonts w:hint="eastAsia"/>
                <w:sz w:val="21"/>
                <w:szCs w:val="21"/>
              </w:rPr>
              <w:t>本项目为柞水县固体废弃物综合处置场，</w:t>
            </w:r>
            <w:r w:rsidR="004F47F5">
              <w:rPr>
                <w:rFonts w:hint="eastAsia"/>
                <w:sz w:val="21"/>
                <w:szCs w:val="21"/>
              </w:rPr>
              <w:t>主要接收未来焚烧厂产生的飞灰以及焚烧厂投运前的生活垃圾，同时可以作为柞水县未来在焚烧厂检修及特殊情况下生活垃圾应急处理的兜底保障设施</w:t>
            </w:r>
            <w:r w:rsidR="004F47F5">
              <w:rPr>
                <w:rFonts w:ascii="宋体" w:hAnsi="宋体" w:cs="宋体" w:hint="eastAsia"/>
                <w:sz w:val="21"/>
                <w:szCs w:val="21"/>
              </w:rPr>
              <w:t>。</w:t>
            </w:r>
          </w:p>
        </w:tc>
        <w:tc>
          <w:tcPr>
            <w:tcW w:w="1118" w:type="dxa"/>
            <w:vAlign w:val="center"/>
          </w:tcPr>
          <w:p w14:paraId="0824144E" w14:textId="77777777" w:rsidR="00D12939" w:rsidRDefault="004F47F5">
            <w:pPr>
              <w:jc w:val="center"/>
            </w:pPr>
            <w:r>
              <w:rPr>
                <w:rStyle w:val="1f8"/>
              </w:rPr>
              <w:t>符合</w:t>
            </w:r>
          </w:p>
        </w:tc>
      </w:tr>
      <w:tr w:rsidR="00D12939" w14:paraId="02F2FA4A" w14:textId="77777777" w:rsidTr="0072055C">
        <w:trPr>
          <w:trHeight w:val="325"/>
          <w:jc w:val="center"/>
        </w:trPr>
        <w:tc>
          <w:tcPr>
            <w:tcW w:w="1761" w:type="dxa"/>
            <w:vMerge/>
            <w:vAlign w:val="center"/>
          </w:tcPr>
          <w:p w14:paraId="07A327C7" w14:textId="77777777" w:rsidR="00D12939" w:rsidRDefault="00D12939">
            <w:pPr>
              <w:pStyle w:val="a8"/>
              <w:ind w:firstLineChars="0" w:firstLine="0"/>
              <w:jc w:val="center"/>
              <w:rPr>
                <w:rStyle w:val="1f8"/>
              </w:rPr>
            </w:pPr>
          </w:p>
        </w:tc>
        <w:tc>
          <w:tcPr>
            <w:tcW w:w="3763" w:type="dxa"/>
            <w:vAlign w:val="center"/>
          </w:tcPr>
          <w:p w14:paraId="1939B1D2" w14:textId="77777777" w:rsidR="00D12939" w:rsidRDefault="004F47F5">
            <w:pPr>
              <w:pStyle w:val="a8"/>
              <w:ind w:firstLineChars="0" w:firstLine="0"/>
              <w:rPr>
                <w:rStyle w:val="1f8"/>
              </w:rPr>
            </w:pPr>
            <w:r>
              <w:rPr>
                <w:rStyle w:val="1f8"/>
                <w:rFonts w:hint="eastAsia"/>
              </w:rPr>
              <w:t>适度规划建设兜底保障填埋设施。原则上地级及以上城市和具备焚烧处理能力或建设条件的县城，不再规划和新建原生垃圾填埋设施，现有生活垃圾填埋场剩余库容转为兜底保障填埋设施备用。西藏、青海、新疆、甘肃、内蒙古等省（区）的人口稀疏地区，受运输距离、垃圾产生规模等因素制约，经评估暂不具备建设焚烧设施条件的，可适度规划建设符合标准的兜底保障填埋设施</w:t>
            </w:r>
          </w:p>
        </w:tc>
        <w:tc>
          <w:tcPr>
            <w:tcW w:w="3094" w:type="dxa"/>
            <w:vMerge/>
            <w:vAlign w:val="center"/>
          </w:tcPr>
          <w:p w14:paraId="5567856D" w14:textId="77777777" w:rsidR="00D12939" w:rsidRDefault="00D12939">
            <w:pPr>
              <w:pStyle w:val="a8"/>
              <w:ind w:firstLineChars="0" w:firstLine="0"/>
              <w:rPr>
                <w:rStyle w:val="1f8"/>
              </w:rPr>
            </w:pPr>
          </w:p>
        </w:tc>
        <w:tc>
          <w:tcPr>
            <w:tcW w:w="1118" w:type="dxa"/>
            <w:vAlign w:val="center"/>
          </w:tcPr>
          <w:p w14:paraId="7F769304" w14:textId="77777777" w:rsidR="00D12939" w:rsidRDefault="004F47F5">
            <w:pPr>
              <w:jc w:val="center"/>
            </w:pPr>
            <w:r>
              <w:rPr>
                <w:rStyle w:val="1f8"/>
              </w:rPr>
              <w:t>符合</w:t>
            </w:r>
          </w:p>
        </w:tc>
      </w:tr>
      <w:tr w:rsidR="00D12939" w14:paraId="68BD64BC" w14:textId="77777777" w:rsidTr="0072055C">
        <w:trPr>
          <w:trHeight w:val="325"/>
          <w:jc w:val="center"/>
        </w:trPr>
        <w:tc>
          <w:tcPr>
            <w:tcW w:w="1761" w:type="dxa"/>
            <w:vMerge/>
            <w:vAlign w:val="center"/>
          </w:tcPr>
          <w:p w14:paraId="3E78A9D9" w14:textId="77777777" w:rsidR="00D12939" w:rsidRDefault="00D12939">
            <w:pPr>
              <w:pStyle w:val="a8"/>
              <w:ind w:firstLineChars="0" w:firstLine="0"/>
              <w:jc w:val="center"/>
              <w:rPr>
                <w:rStyle w:val="1f8"/>
              </w:rPr>
            </w:pPr>
          </w:p>
        </w:tc>
        <w:tc>
          <w:tcPr>
            <w:tcW w:w="3763" w:type="dxa"/>
            <w:vAlign w:val="center"/>
          </w:tcPr>
          <w:p w14:paraId="3618AFD1" w14:textId="77777777" w:rsidR="00D12939" w:rsidRDefault="004F47F5">
            <w:pPr>
              <w:pStyle w:val="a8"/>
              <w:ind w:firstLineChars="0" w:firstLine="0"/>
              <w:rPr>
                <w:rStyle w:val="1f8"/>
              </w:rPr>
            </w:pPr>
            <w:r>
              <w:rPr>
                <w:rStyle w:val="1f8"/>
                <w:rFonts w:hint="eastAsia"/>
              </w:rPr>
              <w:t>完善垃圾渗滤液处理设施。新建生活垃圾处理设施要根据处理规模、垃圾含水率等特性，配套建设相应能力的渗滤液处理设施。对于具备纳管排放条件的地</w:t>
            </w:r>
            <w:r>
              <w:rPr>
                <w:rStyle w:val="1f8"/>
                <w:rFonts w:hint="eastAsia"/>
              </w:rPr>
              <w:lastRenderedPageBreak/>
              <w:t>区或设施，在渗滤液经预处理后达到环保和纳管标准的前提下，推动达标渗滤液纳管排放。</w:t>
            </w:r>
          </w:p>
        </w:tc>
        <w:tc>
          <w:tcPr>
            <w:tcW w:w="3094" w:type="dxa"/>
            <w:vAlign w:val="center"/>
          </w:tcPr>
          <w:p w14:paraId="6C1DC86E" w14:textId="77777777" w:rsidR="00D12939" w:rsidRDefault="004F47F5">
            <w:pPr>
              <w:pStyle w:val="a8"/>
              <w:ind w:firstLineChars="0" w:firstLine="0"/>
              <w:rPr>
                <w:rStyle w:val="1f8"/>
              </w:rPr>
            </w:pPr>
            <w:r>
              <w:rPr>
                <w:rStyle w:val="1f8"/>
                <w:rFonts w:hint="eastAsia"/>
              </w:rPr>
              <w:lastRenderedPageBreak/>
              <w:t>本项目设有垃圾渗滤液处理站，</w:t>
            </w:r>
            <w:r>
              <w:rPr>
                <w:rFonts w:hint="eastAsia"/>
                <w:sz w:val="21"/>
                <w:szCs w:val="21"/>
              </w:rPr>
              <w:t>渗滤液经处理达标后部分回用于填埋区，剩余废水运至柞水县污水处理厂进一步处理。</w:t>
            </w:r>
          </w:p>
        </w:tc>
        <w:tc>
          <w:tcPr>
            <w:tcW w:w="1118" w:type="dxa"/>
            <w:vAlign w:val="center"/>
          </w:tcPr>
          <w:p w14:paraId="4D9F0631" w14:textId="77777777" w:rsidR="00D12939" w:rsidRDefault="004F47F5">
            <w:pPr>
              <w:jc w:val="center"/>
            </w:pPr>
            <w:r>
              <w:rPr>
                <w:rStyle w:val="1f8"/>
              </w:rPr>
              <w:t>符合</w:t>
            </w:r>
          </w:p>
        </w:tc>
      </w:tr>
      <w:tr w:rsidR="00D12939" w14:paraId="478BB578" w14:textId="77777777" w:rsidTr="0072055C">
        <w:trPr>
          <w:trHeight w:val="325"/>
          <w:jc w:val="center"/>
        </w:trPr>
        <w:tc>
          <w:tcPr>
            <w:tcW w:w="1761" w:type="dxa"/>
            <w:vAlign w:val="center"/>
          </w:tcPr>
          <w:p w14:paraId="44CE5F75" w14:textId="77777777" w:rsidR="00D12939" w:rsidRDefault="004F47F5">
            <w:pPr>
              <w:pStyle w:val="a8"/>
              <w:ind w:firstLineChars="0" w:firstLine="0"/>
              <w:jc w:val="center"/>
              <w:rPr>
                <w:rStyle w:val="1f8"/>
              </w:rPr>
            </w:pPr>
            <w:r>
              <w:rPr>
                <w:rStyle w:val="1f8"/>
                <w:rFonts w:hint="eastAsia"/>
              </w:rPr>
              <w:lastRenderedPageBreak/>
              <w:t>《陕西省“十四五”生态环境保护规划》</w:t>
            </w:r>
          </w:p>
        </w:tc>
        <w:tc>
          <w:tcPr>
            <w:tcW w:w="3763" w:type="dxa"/>
            <w:vAlign w:val="center"/>
          </w:tcPr>
          <w:p w14:paraId="3C30D935" w14:textId="77777777" w:rsidR="00D12939" w:rsidRDefault="004F47F5">
            <w:pPr>
              <w:pStyle w:val="a8"/>
              <w:ind w:firstLineChars="0" w:firstLine="0"/>
              <w:rPr>
                <w:rStyle w:val="1f8"/>
              </w:rPr>
            </w:pPr>
            <w:r>
              <w:rPr>
                <w:rStyle w:val="1f8"/>
                <w:rFonts w:hint="eastAsia"/>
              </w:rPr>
              <w:t>强化生活垃圾处理处置。完善生活垃圾分类收集和分类运输系统建设，加快推进生活垃圾源头减量和分类处理，全面推进焚烧处理能力建设，合理规划建设生活垃圾填埋场，因地制宜推进厨余垃圾处理设施建设。</w:t>
            </w:r>
          </w:p>
        </w:tc>
        <w:tc>
          <w:tcPr>
            <w:tcW w:w="3094" w:type="dxa"/>
            <w:vMerge w:val="restart"/>
            <w:vAlign w:val="center"/>
          </w:tcPr>
          <w:p w14:paraId="39098798" w14:textId="2551714E" w:rsidR="00D12939" w:rsidRDefault="009C2515">
            <w:pPr>
              <w:pStyle w:val="a8"/>
              <w:ind w:firstLineChars="0" w:firstLine="0"/>
              <w:rPr>
                <w:rStyle w:val="1f8"/>
              </w:rPr>
            </w:pPr>
            <w:r>
              <w:rPr>
                <w:rFonts w:hint="eastAsia"/>
                <w:sz w:val="21"/>
                <w:szCs w:val="21"/>
              </w:rPr>
              <w:t>本项目为柞水县固体废弃物综合处置场</w:t>
            </w:r>
            <w:r w:rsidR="004F47F5">
              <w:rPr>
                <w:rFonts w:hint="eastAsia"/>
                <w:sz w:val="21"/>
                <w:szCs w:val="21"/>
              </w:rPr>
              <w:t>，主要接收未来焚烧厂产生的飞灰以及焚烧厂投运前的生活垃圾，同时可以作为柞水县未来在焚烧厂检修及特殊情况下生活垃圾应急处理的兜底保障设施</w:t>
            </w:r>
            <w:r>
              <w:rPr>
                <w:rFonts w:ascii="宋体" w:hAnsi="宋体" w:cs="宋体" w:hint="eastAsia"/>
                <w:sz w:val="21"/>
                <w:szCs w:val="21"/>
              </w:rPr>
              <w:t>，</w:t>
            </w:r>
            <w:r>
              <w:rPr>
                <w:rFonts w:hint="eastAsia"/>
                <w:sz w:val="21"/>
                <w:szCs w:val="21"/>
              </w:rPr>
              <w:t>一期工程主要接收柞水县生活垃圾。</w:t>
            </w:r>
          </w:p>
        </w:tc>
        <w:tc>
          <w:tcPr>
            <w:tcW w:w="1118" w:type="dxa"/>
            <w:vAlign w:val="center"/>
          </w:tcPr>
          <w:p w14:paraId="3DA394AE" w14:textId="77777777" w:rsidR="00D12939" w:rsidRDefault="004F47F5">
            <w:pPr>
              <w:jc w:val="center"/>
            </w:pPr>
            <w:r>
              <w:rPr>
                <w:rStyle w:val="1f8"/>
              </w:rPr>
              <w:t>符合</w:t>
            </w:r>
          </w:p>
        </w:tc>
      </w:tr>
      <w:tr w:rsidR="00D12939" w14:paraId="031BD586" w14:textId="77777777" w:rsidTr="0072055C">
        <w:trPr>
          <w:trHeight w:val="325"/>
          <w:jc w:val="center"/>
        </w:trPr>
        <w:tc>
          <w:tcPr>
            <w:tcW w:w="1761" w:type="dxa"/>
            <w:vAlign w:val="center"/>
          </w:tcPr>
          <w:p w14:paraId="55BDA9C3" w14:textId="77777777" w:rsidR="00D12939" w:rsidRDefault="004F47F5">
            <w:pPr>
              <w:pStyle w:val="a8"/>
              <w:ind w:firstLineChars="0" w:firstLine="0"/>
              <w:jc w:val="center"/>
              <w:rPr>
                <w:rStyle w:val="1f8"/>
              </w:rPr>
            </w:pPr>
            <w:r>
              <w:rPr>
                <w:rStyle w:val="1f8"/>
                <w:rFonts w:hint="eastAsia"/>
              </w:rPr>
              <w:t>《商洛市“十四五”生态环境保护规划》</w:t>
            </w:r>
          </w:p>
        </w:tc>
        <w:tc>
          <w:tcPr>
            <w:tcW w:w="3763" w:type="dxa"/>
            <w:vAlign w:val="center"/>
          </w:tcPr>
          <w:p w14:paraId="682690A1" w14:textId="77777777" w:rsidR="00D12939" w:rsidRDefault="004F47F5">
            <w:pPr>
              <w:pStyle w:val="a8"/>
              <w:ind w:firstLineChars="0" w:firstLine="0"/>
              <w:rPr>
                <w:rStyle w:val="1f8"/>
              </w:rPr>
            </w:pPr>
            <w:r>
              <w:rPr>
                <w:rStyle w:val="1f8"/>
                <w:rFonts w:hint="eastAsia"/>
              </w:rPr>
              <w:t>推动农村生活垃圾处置。推广分类减量。制定生活垃圾分类管理办法，构建“政府主导、企业主体、全民参与”垃圾分类体系。建设生活垃圾分类投放、分类收集、分类运输和分类处置设施，补齐处理能力短板。健全收运处置体系。优化垃圾收运处置设施布局，完善县城生活垃圾处理系统。分区分类选择收运处置模式，提升垃圾焚烧处理能力，开展既有焚烧处理设施提标改造，推进厨余垃圾处理设施建设。提升资源化利用水平。强化农村生活垃圾分类和资源化利用指导，积极开展垃圾就地分类和资源化利用示范创建。统筹推进农村生活垃圾处理和农业废弃物资源化利用，健全农村生活垃圾收运处置体系，完善运行维护长效管理机制。到</w:t>
            </w:r>
            <w:r>
              <w:rPr>
                <w:rStyle w:val="1f8"/>
              </w:rPr>
              <w:t>2025</w:t>
            </w:r>
            <w:r>
              <w:rPr>
                <w:rStyle w:val="1f8"/>
              </w:rPr>
              <w:t>年，实现农村生活垃圾治理收运处置体系全覆盖，</w:t>
            </w:r>
            <w:r>
              <w:rPr>
                <w:rStyle w:val="1f8"/>
              </w:rPr>
              <w:t>90%</w:t>
            </w:r>
            <w:r>
              <w:rPr>
                <w:rStyle w:val="1f8"/>
              </w:rPr>
              <w:t>的自然村生活垃圾得到有效处理。</w:t>
            </w:r>
          </w:p>
        </w:tc>
        <w:tc>
          <w:tcPr>
            <w:tcW w:w="3094" w:type="dxa"/>
            <w:vMerge/>
            <w:vAlign w:val="center"/>
          </w:tcPr>
          <w:p w14:paraId="2A8754D2" w14:textId="77777777" w:rsidR="00D12939" w:rsidRDefault="00D12939">
            <w:pPr>
              <w:pStyle w:val="a8"/>
              <w:ind w:firstLineChars="0" w:firstLine="0"/>
              <w:rPr>
                <w:rStyle w:val="1f8"/>
              </w:rPr>
            </w:pPr>
          </w:p>
        </w:tc>
        <w:tc>
          <w:tcPr>
            <w:tcW w:w="1118" w:type="dxa"/>
            <w:vAlign w:val="center"/>
          </w:tcPr>
          <w:p w14:paraId="24CDB815" w14:textId="77777777" w:rsidR="00D12939" w:rsidRDefault="004F47F5">
            <w:pPr>
              <w:jc w:val="center"/>
            </w:pPr>
            <w:r>
              <w:rPr>
                <w:rStyle w:val="1f8"/>
              </w:rPr>
              <w:t>符合</w:t>
            </w:r>
          </w:p>
        </w:tc>
      </w:tr>
      <w:tr w:rsidR="00D12939" w14:paraId="7FFCBFF6" w14:textId="77777777" w:rsidTr="0072055C">
        <w:trPr>
          <w:trHeight w:val="325"/>
          <w:jc w:val="center"/>
        </w:trPr>
        <w:tc>
          <w:tcPr>
            <w:tcW w:w="1761" w:type="dxa"/>
            <w:vAlign w:val="center"/>
          </w:tcPr>
          <w:p w14:paraId="5DDB2BA0" w14:textId="77777777" w:rsidR="00D12939" w:rsidRDefault="004F47F5">
            <w:pPr>
              <w:pStyle w:val="a8"/>
              <w:ind w:firstLineChars="0" w:firstLine="0"/>
              <w:jc w:val="center"/>
              <w:rPr>
                <w:rStyle w:val="1f8"/>
              </w:rPr>
            </w:pPr>
            <w:r>
              <w:rPr>
                <w:rStyle w:val="1f8"/>
                <w:rFonts w:hint="eastAsia"/>
              </w:rPr>
              <w:t>《商洛市国民经济和社会发展第十四个五年规划和二〇三五年远景目标纲要》</w:t>
            </w:r>
          </w:p>
        </w:tc>
        <w:tc>
          <w:tcPr>
            <w:tcW w:w="3763" w:type="dxa"/>
            <w:vAlign w:val="center"/>
          </w:tcPr>
          <w:p w14:paraId="3C2590F0" w14:textId="77777777" w:rsidR="00D12939" w:rsidRDefault="004F47F5">
            <w:pPr>
              <w:pStyle w:val="a8"/>
              <w:ind w:firstLineChars="0" w:firstLine="0"/>
              <w:rPr>
                <w:rStyle w:val="1f8"/>
              </w:rPr>
            </w:pPr>
            <w:r>
              <w:rPr>
                <w:rStyle w:val="1f8"/>
                <w:rFonts w:hint="eastAsia"/>
              </w:rPr>
              <w:t>实施全域生活垃圾分类处置，健全农村生活垃圾收集运输处置体系和长效管理机制，开展生活垃圾源头分类减量和处理利用。</w:t>
            </w:r>
          </w:p>
        </w:tc>
        <w:tc>
          <w:tcPr>
            <w:tcW w:w="3094" w:type="dxa"/>
            <w:vMerge/>
            <w:vAlign w:val="center"/>
          </w:tcPr>
          <w:p w14:paraId="083622AE" w14:textId="77777777" w:rsidR="00D12939" w:rsidRDefault="00D12939">
            <w:pPr>
              <w:pStyle w:val="a8"/>
              <w:ind w:firstLineChars="0" w:firstLine="0"/>
              <w:rPr>
                <w:rStyle w:val="1f8"/>
              </w:rPr>
            </w:pPr>
          </w:p>
        </w:tc>
        <w:tc>
          <w:tcPr>
            <w:tcW w:w="1118" w:type="dxa"/>
            <w:vAlign w:val="center"/>
          </w:tcPr>
          <w:p w14:paraId="1FDD185F" w14:textId="77777777" w:rsidR="00D12939" w:rsidRDefault="004F47F5">
            <w:pPr>
              <w:jc w:val="center"/>
            </w:pPr>
            <w:r>
              <w:rPr>
                <w:rStyle w:val="1f8"/>
              </w:rPr>
              <w:t>符合</w:t>
            </w:r>
          </w:p>
        </w:tc>
      </w:tr>
      <w:tr w:rsidR="00D12939" w14:paraId="5709486F" w14:textId="77777777" w:rsidTr="0072055C">
        <w:trPr>
          <w:trHeight w:val="325"/>
          <w:jc w:val="center"/>
        </w:trPr>
        <w:tc>
          <w:tcPr>
            <w:tcW w:w="1761" w:type="dxa"/>
            <w:vAlign w:val="center"/>
          </w:tcPr>
          <w:p w14:paraId="1E5D3D33" w14:textId="77777777" w:rsidR="00D12939" w:rsidRDefault="004F47F5">
            <w:pPr>
              <w:pStyle w:val="a8"/>
              <w:ind w:firstLineChars="0" w:firstLine="0"/>
              <w:jc w:val="center"/>
              <w:rPr>
                <w:rStyle w:val="1f8"/>
              </w:rPr>
            </w:pPr>
            <w:r>
              <w:rPr>
                <w:rStyle w:val="1f8"/>
                <w:rFonts w:hint="eastAsia"/>
              </w:rPr>
              <w:t>《陕西省土壤污染防治工作方案》</w:t>
            </w:r>
          </w:p>
        </w:tc>
        <w:tc>
          <w:tcPr>
            <w:tcW w:w="3763" w:type="dxa"/>
            <w:vAlign w:val="center"/>
          </w:tcPr>
          <w:p w14:paraId="7A0198AD" w14:textId="77777777" w:rsidR="00D12939" w:rsidRDefault="004F47F5">
            <w:pPr>
              <w:pStyle w:val="a8"/>
              <w:ind w:firstLineChars="0" w:firstLine="0"/>
              <w:rPr>
                <w:rStyle w:val="1f8"/>
              </w:rPr>
            </w:pPr>
            <w:r>
              <w:rPr>
                <w:rStyle w:val="1f8"/>
                <w:rFonts w:hint="eastAsia"/>
              </w:rPr>
              <w:t>减少生活污染。不断提升废弃物资源综合循环利用水平，提高生活垃圾减量化、资源化、无害化，提高收集、利用、处置的专业化、市场化、产业化程度。城乡生活垃圾实行分类投放、收集、运输和处置。</w:t>
            </w:r>
          </w:p>
        </w:tc>
        <w:tc>
          <w:tcPr>
            <w:tcW w:w="3094" w:type="dxa"/>
            <w:vAlign w:val="center"/>
          </w:tcPr>
          <w:p w14:paraId="2A4B2C2B" w14:textId="77777777" w:rsidR="00D12939" w:rsidRDefault="004F47F5">
            <w:pPr>
              <w:pStyle w:val="a8"/>
              <w:ind w:firstLineChars="0" w:firstLine="0"/>
              <w:rPr>
                <w:rStyle w:val="1f8"/>
              </w:rPr>
            </w:pPr>
            <w:r>
              <w:rPr>
                <w:rStyle w:val="1f8"/>
              </w:rPr>
              <w:t>本项目为</w:t>
            </w:r>
            <w:r>
              <w:rPr>
                <w:rFonts w:ascii="宋体" w:hAnsi="宋体" w:cs="宋体" w:hint="eastAsia"/>
                <w:sz w:val="21"/>
                <w:szCs w:val="21"/>
              </w:rPr>
              <w:t>生活垃圾填埋场，</w:t>
            </w:r>
            <w:r>
              <w:rPr>
                <w:sz w:val="21"/>
                <w:szCs w:val="21"/>
              </w:rPr>
              <w:t>垃圾无害化处理率达到</w:t>
            </w:r>
            <w:r>
              <w:rPr>
                <w:sz w:val="21"/>
                <w:szCs w:val="21"/>
              </w:rPr>
              <w:t>100%</w:t>
            </w:r>
            <w:r>
              <w:rPr>
                <w:rFonts w:hint="eastAsia"/>
                <w:sz w:val="21"/>
                <w:szCs w:val="21"/>
              </w:rPr>
              <w:t>。</w:t>
            </w:r>
          </w:p>
        </w:tc>
        <w:tc>
          <w:tcPr>
            <w:tcW w:w="1118" w:type="dxa"/>
            <w:vAlign w:val="center"/>
          </w:tcPr>
          <w:p w14:paraId="20EA4943" w14:textId="77777777" w:rsidR="00D12939" w:rsidRDefault="004F47F5">
            <w:pPr>
              <w:jc w:val="center"/>
            </w:pPr>
            <w:r>
              <w:rPr>
                <w:rStyle w:val="1f8"/>
              </w:rPr>
              <w:t>符合</w:t>
            </w:r>
          </w:p>
        </w:tc>
      </w:tr>
      <w:tr w:rsidR="0028025F" w14:paraId="6166C437" w14:textId="77777777" w:rsidTr="00E756FC">
        <w:trPr>
          <w:trHeight w:val="325"/>
          <w:jc w:val="center"/>
        </w:trPr>
        <w:tc>
          <w:tcPr>
            <w:tcW w:w="1761" w:type="dxa"/>
            <w:vMerge w:val="restart"/>
            <w:vAlign w:val="center"/>
          </w:tcPr>
          <w:p w14:paraId="00F07649" w14:textId="2C09A3C8" w:rsidR="0028025F" w:rsidRPr="0028025F" w:rsidRDefault="0028025F" w:rsidP="0028025F">
            <w:pPr>
              <w:pStyle w:val="a8"/>
              <w:ind w:firstLineChars="0" w:firstLine="0"/>
              <w:jc w:val="center"/>
              <w:rPr>
                <w:rStyle w:val="1f8"/>
                <w:color w:val="FF0000"/>
              </w:rPr>
            </w:pPr>
            <w:r w:rsidRPr="0028025F">
              <w:rPr>
                <w:rStyle w:val="1f8"/>
                <w:rFonts w:hint="eastAsia"/>
                <w:color w:val="FF0000"/>
              </w:rPr>
              <w:t>《生活垃圾卫生填埋处理技术规范》（</w:t>
            </w:r>
            <w:r w:rsidRPr="0028025F">
              <w:rPr>
                <w:rStyle w:val="1f8"/>
                <w:color w:val="FF0000"/>
              </w:rPr>
              <w:t>GB50869-2013</w:t>
            </w:r>
            <w:r w:rsidRPr="0028025F">
              <w:rPr>
                <w:rStyle w:val="1f8"/>
                <w:color w:val="FF0000"/>
              </w:rPr>
              <w:t>）</w:t>
            </w:r>
          </w:p>
        </w:tc>
        <w:tc>
          <w:tcPr>
            <w:tcW w:w="3763" w:type="dxa"/>
            <w:vAlign w:val="center"/>
          </w:tcPr>
          <w:p w14:paraId="23F67FF9" w14:textId="093CF04D" w:rsidR="0028025F" w:rsidRPr="0028025F" w:rsidRDefault="0028025F" w:rsidP="0028025F">
            <w:pPr>
              <w:pStyle w:val="a8"/>
              <w:ind w:firstLineChars="0" w:firstLine="0"/>
              <w:rPr>
                <w:rStyle w:val="1f8"/>
                <w:color w:val="FF0000"/>
              </w:rPr>
            </w:pPr>
            <w:r w:rsidRPr="0028025F">
              <w:rPr>
                <w:rStyle w:val="1f8"/>
                <w:rFonts w:hint="eastAsia"/>
                <w:color w:val="FF0000"/>
              </w:rPr>
              <w:t>进入填埋场的填埋物应是居民家庭垃圾、园林绿化废弃物、商业服务网点垃圾、清扫保洁垃圾、交通物流场站垃圾、企事业单位的生活垃圾及其他具有生</w:t>
            </w:r>
            <w:r w:rsidRPr="0028025F">
              <w:rPr>
                <w:rStyle w:val="1f8"/>
                <w:rFonts w:hint="eastAsia"/>
                <w:color w:val="FF0000"/>
              </w:rPr>
              <w:lastRenderedPageBreak/>
              <w:t>活垃圾属性的一般固体废弃物。</w:t>
            </w:r>
          </w:p>
        </w:tc>
        <w:tc>
          <w:tcPr>
            <w:tcW w:w="3094" w:type="dxa"/>
            <w:vAlign w:val="center"/>
          </w:tcPr>
          <w:p w14:paraId="429848CD" w14:textId="3A80EBCA" w:rsidR="0028025F" w:rsidRPr="0028025F" w:rsidRDefault="0028025F" w:rsidP="0028025F">
            <w:pPr>
              <w:pStyle w:val="a8"/>
              <w:ind w:firstLineChars="0" w:firstLine="0"/>
              <w:rPr>
                <w:rStyle w:val="1f8"/>
                <w:color w:val="FF0000"/>
              </w:rPr>
            </w:pPr>
            <w:r w:rsidRPr="0028025F">
              <w:rPr>
                <w:rStyle w:val="1f8"/>
                <w:rFonts w:hint="eastAsia"/>
                <w:color w:val="FF0000"/>
              </w:rPr>
              <w:lastRenderedPageBreak/>
              <w:t>本项目为固体废弃物综合处置场，一期工程主要接收柞水县居民生活垃圾，不包括建筑垃圾、工业垃圾、城镇生活污水厂污</w:t>
            </w:r>
            <w:r w:rsidRPr="0028025F">
              <w:rPr>
                <w:rStyle w:val="1f8"/>
                <w:rFonts w:hint="eastAsia"/>
                <w:color w:val="FF0000"/>
              </w:rPr>
              <w:lastRenderedPageBreak/>
              <w:t>泥、电子垃圾、医疗垃圾和其他特种垃圾及危险废弃物。</w:t>
            </w:r>
          </w:p>
        </w:tc>
        <w:tc>
          <w:tcPr>
            <w:tcW w:w="1118" w:type="dxa"/>
          </w:tcPr>
          <w:p w14:paraId="672DC18A" w14:textId="37C1FC6A" w:rsidR="0028025F" w:rsidRDefault="0028025F" w:rsidP="0028025F">
            <w:pPr>
              <w:jc w:val="center"/>
              <w:rPr>
                <w:rStyle w:val="1f8"/>
              </w:rPr>
            </w:pPr>
            <w:r w:rsidRPr="00A7718A">
              <w:rPr>
                <w:rStyle w:val="1f8"/>
              </w:rPr>
              <w:lastRenderedPageBreak/>
              <w:t>符合</w:t>
            </w:r>
          </w:p>
        </w:tc>
      </w:tr>
      <w:tr w:rsidR="0028025F" w14:paraId="1B444519" w14:textId="77777777" w:rsidTr="00E756FC">
        <w:trPr>
          <w:trHeight w:val="325"/>
          <w:jc w:val="center"/>
        </w:trPr>
        <w:tc>
          <w:tcPr>
            <w:tcW w:w="1761" w:type="dxa"/>
            <w:vMerge/>
            <w:vAlign w:val="center"/>
          </w:tcPr>
          <w:p w14:paraId="1CCC20C8" w14:textId="2B639AB2" w:rsidR="0028025F" w:rsidRPr="0028025F" w:rsidRDefault="0028025F" w:rsidP="0028025F">
            <w:pPr>
              <w:pStyle w:val="a8"/>
              <w:jc w:val="center"/>
              <w:rPr>
                <w:rStyle w:val="1f8"/>
                <w:color w:val="FF0000"/>
              </w:rPr>
            </w:pPr>
          </w:p>
        </w:tc>
        <w:tc>
          <w:tcPr>
            <w:tcW w:w="3763" w:type="dxa"/>
            <w:vAlign w:val="center"/>
          </w:tcPr>
          <w:p w14:paraId="53956C2E" w14:textId="77777777" w:rsidR="0028025F" w:rsidRPr="0028025F" w:rsidRDefault="0028025F" w:rsidP="0028025F">
            <w:pPr>
              <w:autoSpaceDE w:val="0"/>
              <w:autoSpaceDN w:val="0"/>
              <w:adjustRightInd w:val="0"/>
              <w:jc w:val="left"/>
              <w:rPr>
                <w:rStyle w:val="1f8"/>
                <w:rFonts w:ascii="Times New Roman" w:eastAsia="宋体" w:cs="Times New Roman"/>
                <w:color w:val="FF0000"/>
              </w:rPr>
            </w:pPr>
            <w:r w:rsidRPr="0028025F">
              <w:rPr>
                <w:rStyle w:val="1f8"/>
                <w:rFonts w:ascii="Times New Roman" w:eastAsia="宋体" w:cs="Times New Roman" w:hint="eastAsia"/>
                <w:color w:val="FF0000"/>
              </w:rPr>
              <w:t>填埋场不应设在下列地区：</w:t>
            </w:r>
          </w:p>
          <w:p w14:paraId="5E124AEE" w14:textId="72F46F8A" w:rsidR="0028025F" w:rsidRPr="0028025F" w:rsidRDefault="0028025F" w:rsidP="0028025F">
            <w:pPr>
              <w:autoSpaceDE w:val="0"/>
              <w:autoSpaceDN w:val="0"/>
              <w:adjustRightInd w:val="0"/>
              <w:jc w:val="left"/>
              <w:rPr>
                <w:rFonts w:ascii="微软雅黑" w:eastAsia="微软雅黑" w:hAnsi="Times New Roman" w:cs="微软雅黑"/>
                <w:color w:val="FF0000"/>
                <w:kern w:val="0"/>
                <w:sz w:val="18"/>
                <w:szCs w:val="18"/>
              </w:rPr>
            </w:pPr>
            <w:r w:rsidRPr="0028025F">
              <w:rPr>
                <w:rStyle w:val="1f8"/>
                <w:rFonts w:ascii="Times New Roman" w:eastAsia="宋体" w:cs="Times New Roman"/>
                <w:color w:val="FF0000"/>
              </w:rPr>
              <w:t xml:space="preserve">1 </w:t>
            </w:r>
            <w:r w:rsidRPr="0028025F">
              <w:rPr>
                <w:rStyle w:val="1f8"/>
                <w:rFonts w:ascii="Times New Roman" w:eastAsia="宋体" w:cs="Times New Roman"/>
                <w:color w:val="FF0000"/>
              </w:rPr>
              <w:t>地下水集中供水水源地及补给区，水源保护区；</w:t>
            </w:r>
            <w:r w:rsidRPr="0028025F">
              <w:rPr>
                <w:rStyle w:val="1f8"/>
                <w:rFonts w:ascii="Times New Roman" w:eastAsia="宋体" w:cs="Times New Roman"/>
                <w:color w:val="FF0000"/>
              </w:rPr>
              <w:t xml:space="preserve">2 </w:t>
            </w:r>
            <w:r w:rsidRPr="0028025F">
              <w:rPr>
                <w:rStyle w:val="1f8"/>
                <w:rFonts w:ascii="Times New Roman" w:eastAsia="宋体" w:cs="Times New Roman"/>
                <w:color w:val="FF0000"/>
              </w:rPr>
              <w:t>洪泛区和泄洪道；</w:t>
            </w:r>
            <w:r w:rsidRPr="0028025F">
              <w:rPr>
                <w:rStyle w:val="1f8"/>
                <w:rFonts w:ascii="Times New Roman" w:eastAsia="宋体" w:cs="Times New Roman"/>
                <w:color w:val="FF0000"/>
              </w:rPr>
              <w:t xml:space="preserve">3 </w:t>
            </w:r>
            <w:r w:rsidRPr="0028025F">
              <w:rPr>
                <w:rStyle w:val="1f8"/>
                <w:rFonts w:ascii="Times New Roman" w:eastAsia="宋体" w:cs="Times New Roman"/>
                <w:color w:val="FF0000"/>
              </w:rPr>
              <w:t>填埋库区与敞开式渗沥液处理区边界距居民居住区或人</w:t>
            </w:r>
            <w:r w:rsidRPr="0028025F">
              <w:rPr>
                <w:rStyle w:val="1f8"/>
                <w:rFonts w:ascii="Times New Roman" w:eastAsia="宋体" w:cs="Times New Roman" w:hint="eastAsia"/>
                <w:color w:val="FF0000"/>
              </w:rPr>
              <w:t>畜供水点的卫生防护距离在</w:t>
            </w:r>
            <w:r w:rsidRPr="0028025F">
              <w:rPr>
                <w:rStyle w:val="1f8"/>
                <w:rFonts w:ascii="Times New Roman" w:eastAsia="宋体" w:cs="Times New Roman"/>
                <w:color w:val="FF0000"/>
              </w:rPr>
              <w:t>500m</w:t>
            </w:r>
            <w:r w:rsidRPr="0028025F">
              <w:rPr>
                <w:rStyle w:val="1f8"/>
                <w:rFonts w:ascii="Times New Roman" w:eastAsia="宋体" w:cs="Times New Roman"/>
                <w:color w:val="FF0000"/>
              </w:rPr>
              <w:t>以内的地区；</w:t>
            </w:r>
            <w:r w:rsidRPr="0028025F">
              <w:rPr>
                <w:rStyle w:val="1f8"/>
                <w:rFonts w:ascii="Times New Roman" w:eastAsia="宋体" w:cs="Times New Roman"/>
                <w:color w:val="FF0000"/>
              </w:rPr>
              <w:t xml:space="preserve">4 </w:t>
            </w:r>
            <w:r w:rsidRPr="0028025F">
              <w:rPr>
                <w:rStyle w:val="1f8"/>
                <w:rFonts w:ascii="Times New Roman" w:eastAsia="宋体" w:cs="Times New Roman"/>
                <w:color w:val="FF0000"/>
              </w:rPr>
              <w:t>填埋库区与渗沥液处理区边界距河流和湖泊</w:t>
            </w:r>
            <w:r w:rsidRPr="0028025F">
              <w:rPr>
                <w:rStyle w:val="1f8"/>
                <w:rFonts w:ascii="Times New Roman" w:eastAsia="宋体" w:cs="Times New Roman"/>
                <w:color w:val="FF0000"/>
              </w:rPr>
              <w:t>50m</w:t>
            </w:r>
            <w:r w:rsidRPr="0028025F">
              <w:rPr>
                <w:rStyle w:val="1f8"/>
                <w:rFonts w:ascii="Times New Roman" w:eastAsia="宋体" w:cs="Times New Roman"/>
                <w:color w:val="FF0000"/>
              </w:rPr>
              <w:t>以内的</w:t>
            </w:r>
            <w:r w:rsidRPr="0028025F">
              <w:rPr>
                <w:rStyle w:val="1f8"/>
                <w:rFonts w:ascii="Times New Roman" w:eastAsia="宋体" w:cs="Times New Roman" w:hint="eastAsia"/>
                <w:color w:val="FF0000"/>
              </w:rPr>
              <w:t>地区，</w:t>
            </w:r>
            <w:r w:rsidRPr="0028025F">
              <w:rPr>
                <w:rStyle w:val="1f8"/>
                <w:rFonts w:ascii="Times New Roman" w:eastAsia="宋体" w:cs="Times New Roman"/>
                <w:color w:val="FF0000"/>
              </w:rPr>
              <w:t xml:space="preserve">5 </w:t>
            </w:r>
            <w:r w:rsidRPr="0028025F">
              <w:rPr>
                <w:rStyle w:val="1f8"/>
                <w:rFonts w:ascii="Times New Roman" w:eastAsia="宋体" w:cs="Times New Roman"/>
                <w:color w:val="FF0000"/>
              </w:rPr>
              <w:t>填埋库区与渗沥液处理区边界距民用机场</w:t>
            </w:r>
            <w:r w:rsidRPr="0028025F">
              <w:rPr>
                <w:rStyle w:val="1f8"/>
                <w:rFonts w:ascii="Times New Roman" w:eastAsia="宋体" w:cs="Times New Roman"/>
                <w:color w:val="FF0000"/>
              </w:rPr>
              <w:t>3km</w:t>
            </w:r>
            <w:r w:rsidRPr="0028025F">
              <w:rPr>
                <w:rStyle w:val="1f8"/>
                <w:rFonts w:ascii="Times New Roman" w:eastAsia="宋体" w:cs="Times New Roman"/>
                <w:color w:val="FF0000"/>
              </w:rPr>
              <w:t>以内的</w:t>
            </w:r>
            <w:r w:rsidRPr="0028025F">
              <w:rPr>
                <w:rStyle w:val="1f8"/>
                <w:rFonts w:ascii="Times New Roman" w:eastAsia="宋体" w:cs="Times New Roman" w:hint="eastAsia"/>
                <w:color w:val="FF0000"/>
              </w:rPr>
              <w:t>地区；</w:t>
            </w:r>
            <w:r w:rsidRPr="0028025F">
              <w:rPr>
                <w:rStyle w:val="1f8"/>
                <w:rFonts w:ascii="Times New Roman" w:eastAsia="宋体" w:cs="Times New Roman"/>
                <w:color w:val="FF0000"/>
              </w:rPr>
              <w:t xml:space="preserve">6 </w:t>
            </w:r>
            <w:r w:rsidRPr="0028025F">
              <w:rPr>
                <w:rStyle w:val="1f8"/>
                <w:rFonts w:ascii="Times New Roman" w:eastAsia="宋体" w:cs="Times New Roman"/>
                <w:color w:val="FF0000"/>
              </w:rPr>
              <w:t>尚未开采的地下蕴矿区；</w:t>
            </w:r>
            <w:r w:rsidRPr="0028025F">
              <w:rPr>
                <w:rStyle w:val="1f8"/>
                <w:rFonts w:ascii="Times New Roman" w:eastAsia="宋体" w:cs="Times New Roman"/>
                <w:color w:val="FF0000"/>
              </w:rPr>
              <w:t xml:space="preserve">7 </w:t>
            </w:r>
            <w:r w:rsidRPr="0028025F">
              <w:rPr>
                <w:rStyle w:val="1f8"/>
                <w:rFonts w:ascii="Times New Roman" w:eastAsia="宋体" w:cs="Times New Roman"/>
                <w:color w:val="FF0000"/>
              </w:rPr>
              <w:t>珍贵动植物保护区和国家、地方自然保护区；</w:t>
            </w:r>
            <w:r w:rsidRPr="0028025F">
              <w:rPr>
                <w:rStyle w:val="1f8"/>
                <w:rFonts w:ascii="Times New Roman" w:eastAsia="宋体" w:cs="Times New Roman"/>
                <w:color w:val="FF0000"/>
              </w:rPr>
              <w:t xml:space="preserve">8 </w:t>
            </w:r>
            <w:r w:rsidRPr="0028025F">
              <w:rPr>
                <w:rStyle w:val="1f8"/>
                <w:rFonts w:ascii="Times New Roman" w:eastAsia="宋体" w:cs="Times New Roman"/>
                <w:color w:val="FF0000"/>
              </w:rPr>
              <w:t>公园，风景、游览区，文物古迹，考古学、历史学及生物学</w:t>
            </w:r>
            <w:r w:rsidRPr="0028025F">
              <w:rPr>
                <w:rStyle w:val="1f8"/>
                <w:rFonts w:ascii="Times New Roman" w:eastAsia="宋体" w:cs="Times New Roman" w:hint="eastAsia"/>
                <w:color w:val="FF0000"/>
              </w:rPr>
              <w:t>研究考察区；</w:t>
            </w:r>
            <w:r w:rsidRPr="0028025F">
              <w:rPr>
                <w:rStyle w:val="1f8"/>
                <w:rFonts w:ascii="Times New Roman" w:eastAsia="宋体" w:cs="Times New Roman"/>
                <w:color w:val="FF0000"/>
              </w:rPr>
              <w:t xml:space="preserve">9 </w:t>
            </w:r>
            <w:r w:rsidRPr="0028025F">
              <w:rPr>
                <w:rStyle w:val="1f8"/>
                <w:rFonts w:ascii="Times New Roman" w:eastAsia="宋体" w:cs="Times New Roman"/>
                <w:color w:val="FF0000"/>
              </w:rPr>
              <w:t>军事要地、军工基地和国家保密地区。</w:t>
            </w:r>
          </w:p>
        </w:tc>
        <w:tc>
          <w:tcPr>
            <w:tcW w:w="3094" w:type="dxa"/>
            <w:vAlign w:val="center"/>
          </w:tcPr>
          <w:p w14:paraId="7ED18817" w14:textId="3128E760" w:rsidR="0028025F" w:rsidRPr="0028025F" w:rsidRDefault="0028025F" w:rsidP="0028025F">
            <w:pPr>
              <w:pStyle w:val="a8"/>
              <w:ind w:firstLineChars="0" w:firstLine="0"/>
              <w:rPr>
                <w:rStyle w:val="1f8"/>
                <w:color w:val="FF0000"/>
              </w:rPr>
            </w:pPr>
            <w:r w:rsidRPr="0028025F">
              <w:rPr>
                <w:rStyle w:val="1f8"/>
                <w:rFonts w:hint="eastAsia"/>
                <w:color w:val="FF0000"/>
              </w:rPr>
              <w:t>本项目位于柞水县小六里沟，不在</w:t>
            </w:r>
            <w:r w:rsidRPr="0028025F">
              <w:rPr>
                <w:rStyle w:val="1f8"/>
                <w:color w:val="FF0000"/>
              </w:rPr>
              <w:t>地下水集中供水水源地及补给区，水源保护区</w:t>
            </w:r>
            <w:r w:rsidRPr="0028025F">
              <w:rPr>
                <w:rStyle w:val="1f8"/>
                <w:rFonts w:hint="eastAsia"/>
                <w:color w:val="FF0000"/>
              </w:rPr>
              <w:t>、</w:t>
            </w:r>
            <w:r w:rsidRPr="0028025F">
              <w:rPr>
                <w:rStyle w:val="1f8"/>
                <w:color w:val="FF0000"/>
              </w:rPr>
              <w:t>洪泛区和泄洪道</w:t>
            </w:r>
            <w:r w:rsidRPr="0028025F">
              <w:rPr>
                <w:rStyle w:val="1f8"/>
                <w:rFonts w:hint="eastAsia"/>
                <w:color w:val="FF0000"/>
              </w:rPr>
              <w:t>等，根据现场勘查，项目东侧直线距离</w:t>
            </w:r>
            <w:r w:rsidRPr="0028025F">
              <w:rPr>
                <w:rStyle w:val="1f8"/>
                <w:color w:val="FF0000"/>
              </w:rPr>
              <w:t>455m</w:t>
            </w:r>
            <w:r w:rsidRPr="0028025F">
              <w:rPr>
                <w:rStyle w:val="1f8"/>
                <w:color w:val="FF0000"/>
              </w:rPr>
              <w:t>为松林村，但本项目位于沟谷内，松林村和填埋场通过一道天然屏障（山梁）相隔。</w:t>
            </w:r>
            <w:r w:rsidRPr="0028025F">
              <w:rPr>
                <w:rStyle w:val="1f8"/>
                <w:rFonts w:hint="eastAsia"/>
                <w:color w:val="FF0000"/>
              </w:rPr>
              <w:t>渗滤液处理区边界距离乾佑河约</w:t>
            </w:r>
            <w:r w:rsidRPr="0028025F">
              <w:rPr>
                <w:rStyle w:val="1f8"/>
                <w:rFonts w:hint="eastAsia"/>
                <w:color w:val="FF0000"/>
              </w:rPr>
              <w:t>4</w:t>
            </w:r>
            <w:r w:rsidRPr="0028025F">
              <w:rPr>
                <w:rStyle w:val="1f8"/>
                <w:color w:val="FF0000"/>
              </w:rPr>
              <w:t>23</w:t>
            </w:r>
            <w:r w:rsidRPr="0028025F">
              <w:rPr>
                <w:rStyle w:val="1f8"/>
                <w:rFonts w:hint="eastAsia"/>
                <w:color w:val="FF0000"/>
              </w:rPr>
              <w:t>m</w:t>
            </w:r>
            <w:r w:rsidRPr="0028025F">
              <w:rPr>
                <w:rStyle w:val="1f8"/>
                <w:rFonts w:hint="eastAsia"/>
                <w:color w:val="FF0000"/>
              </w:rPr>
              <w:t>，项目所在地不涉及</w:t>
            </w:r>
            <w:r w:rsidRPr="0028025F">
              <w:rPr>
                <w:rStyle w:val="1f8"/>
                <w:color w:val="FF0000"/>
              </w:rPr>
              <w:t>尚未开采的地下蕴矿区</w:t>
            </w:r>
            <w:r w:rsidRPr="0028025F">
              <w:rPr>
                <w:rStyle w:val="1f8"/>
                <w:rFonts w:hint="eastAsia"/>
                <w:color w:val="FF0000"/>
              </w:rPr>
              <w:t>、</w:t>
            </w:r>
            <w:r w:rsidRPr="0028025F">
              <w:rPr>
                <w:rStyle w:val="1f8"/>
                <w:color w:val="FF0000"/>
              </w:rPr>
              <w:t xml:space="preserve"> </w:t>
            </w:r>
            <w:r w:rsidRPr="0028025F">
              <w:rPr>
                <w:rStyle w:val="1f8"/>
                <w:color w:val="FF0000"/>
              </w:rPr>
              <w:t>珍贵动植物保护区和国家、地方自然保护区</w:t>
            </w:r>
            <w:r w:rsidRPr="0028025F">
              <w:rPr>
                <w:rStyle w:val="1f8"/>
                <w:rFonts w:hint="eastAsia"/>
                <w:color w:val="FF0000"/>
              </w:rPr>
              <w:t>、</w:t>
            </w:r>
            <w:r w:rsidRPr="0028025F">
              <w:rPr>
                <w:rStyle w:val="1f8"/>
                <w:color w:val="FF0000"/>
              </w:rPr>
              <w:t>公园，风景、游览区，文物古迹，考古学、历史学及生物学</w:t>
            </w:r>
            <w:r w:rsidRPr="0028025F">
              <w:rPr>
                <w:rStyle w:val="1f8"/>
                <w:rFonts w:hint="eastAsia"/>
                <w:color w:val="FF0000"/>
              </w:rPr>
              <w:t>研究考察区、</w:t>
            </w:r>
            <w:r w:rsidRPr="0028025F">
              <w:rPr>
                <w:rStyle w:val="1f8"/>
                <w:color w:val="FF0000"/>
              </w:rPr>
              <w:t>军事要地、军工基地和国家保密地区。</w:t>
            </w:r>
          </w:p>
        </w:tc>
        <w:tc>
          <w:tcPr>
            <w:tcW w:w="1118" w:type="dxa"/>
          </w:tcPr>
          <w:p w14:paraId="475ECF52" w14:textId="27FD4BF2" w:rsidR="0028025F" w:rsidRDefault="0028025F" w:rsidP="0028025F">
            <w:pPr>
              <w:jc w:val="center"/>
              <w:rPr>
                <w:rStyle w:val="1f8"/>
              </w:rPr>
            </w:pPr>
            <w:r w:rsidRPr="00A7718A">
              <w:rPr>
                <w:rStyle w:val="1f8"/>
              </w:rPr>
              <w:t>符合</w:t>
            </w:r>
          </w:p>
        </w:tc>
      </w:tr>
      <w:tr w:rsidR="0028025F" w14:paraId="53F46C0A" w14:textId="77777777" w:rsidTr="00E756FC">
        <w:trPr>
          <w:trHeight w:val="325"/>
          <w:jc w:val="center"/>
        </w:trPr>
        <w:tc>
          <w:tcPr>
            <w:tcW w:w="1761" w:type="dxa"/>
            <w:vMerge/>
            <w:vAlign w:val="center"/>
          </w:tcPr>
          <w:p w14:paraId="69893335" w14:textId="03CEDD10" w:rsidR="0028025F" w:rsidRPr="0028025F" w:rsidRDefault="0028025F" w:rsidP="0028025F">
            <w:pPr>
              <w:pStyle w:val="a8"/>
              <w:ind w:firstLineChars="0" w:firstLine="0"/>
              <w:jc w:val="center"/>
              <w:rPr>
                <w:rStyle w:val="1f8"/>
                <w:color w:val="FF0000"/>
              </w:rPr>
            </w:pPr>
          </w:p>
        </w:tc>
        <w:tc>
          <w:tcPr>
            <w:tcW w:w="3763" w:type="dxa"/>
            <w:vAlign w:val="center"/>
          </w:tcPr>
          <w:p w14:paraId="061687A4" w14:textId="77777777" w:rsidR="0028025F" w:rsidRPr="0028025F" w:rsidRDefault="0028025F" w:rsidP="0028025F">
            <w:pPr>
              <w:autoSpaceDE w:val="0"/>
              <w:autoSpaceDN w:val="0"/>
              <w:adjustRightInd w:val="0"/>
              <w:rPr>
                <w:rStyle w:val="1f8"/>
                <w:rFonts w:ascii="Times New Roman" w:eastAsia="宋体" w:cs="Times New Roman"/>
                <w:color w:val="FF0000"/>
              </w:rPr>
            </w:pPr>
            <w:r w:rsidRPr="0028025F">
              <w:rPr>
                <w:rStyle w:val="1f8"/>
                <w:rFonts w:ascii="Times New Roman" w:eastAsia="宋体" w:cs="Times New Roman" w:hint="eastAsia"/>
                <w:color w:val="FF0000"/>
              </w:rPr>
              <w:t>填埋场处理规模宜符合下列规定：</w:t>
            </w:r>
          </w:p>
          <w:p w14:paraId="295E5A26" w14:textId="15AECFEE" w:rsidR="0028025F" w:rsidRPr="0028025F" w:rsidRDefault="0028025F" w:rsidP="0028025F">
            <w:pPr>
              <w:autoSpaceDE w:val="0"/>
              <w:autoSpaceDN w:val="0"/>
              <w:adjustRightInd w:val="0"/>
              <w:rPr>
                <w:rStyle w:val="1f8"/>
                <w:rFonts w:ascii="Times New Roman" w:eastAsia="宋体" w:hAnsi="Times New Roman" w:cs="Times New Roman"/>
                <w:color w:val="FF0000"/>
              </w:rPr>
            </w:pPr>
            <w:r w:rsidRPr="0028025F">
              <w:rPr>
                <w:rStyle w:val="1f8"/>
                <w:rFonts w:ascii="Times New Roman" w:eastAsia="宋体" w:cs="Times New Roman"/>
                <w:color w:val="FF0000"/>
              </w:rPr>
              <w:t>I</w:t>
            </w:r>
            <w:r w:rsidRPr="0028025F">
              <w:rPr>
                <w:rStyle w:val="1f8"/>
                <w:rFonts w:ascii="Times New Roman" w:eastAsia="宋体" w:hAnsi="Times New Roman" w:cs="Times New Roman"/>
                <w:color w:val="FF0000"/>
              </w:rPr>
              <w:t xml:space="preserve"> </w:t>
            </w:r>
            <w:r w:rsidRPr="0028025F">
              <w:rPr>
                <w:rStyle w:val="1f8"/>
                <w:rFonts w:ascii="Times New Roman" w:eastAsia="宋体" w:hAnsi="Times New Roman" w:cs="Times New Roman"/>
                <w:color w:val="FF0000"/>
              </w:rPr>
              <w:t>类填埋场：日平均填埋量宜为</w:t>
            </w:r>
            <w:r w:rsidRPr="0028025F">
              <w:rPr>
                <w:rStyle w:val="1f8"/>
                <w:rFonts w:ascii="Times New Roman" w:eastAsia="宋体" w:hAnsi="Times New Roman" w:cs="Times New Roman"/>
                <w:color w:val="FF0000"/>
              </w:rPr>
              <w:t>1200t/d</w:t>
            </w:r>
            <w:r w:rsidRPr="0028025F">
              <w:rPr>
                <w:rStyle w:val="1f8"/>
                <w:rFonts w:ascii="Times New Roman" w:eastAsia="宋体" w:hAnsi="Times New Roman" w:cs="Times New Roman"/>
                <w:color w:val="FF0000"/>
              </w:rPr>
              <w:t>及以上；</w:t>
            </w:r>
          </w:p>
          <w:p w14:paraId="779DFC0E" w14:textId="7ABFE271" w:rsidR="0028025F" w:rsidRPr="0028025F" w:rsidRDefault="0028025F" w:rsidP="0028025F">
            <w:pPr>
              <w:autoSpaceDE w:val="0"/>
              <w:autoSpaceDN w:val="0"/>
              <w:adjustRightInd w:val="0"/>
              <w:rPr>
                <w:rStyle w:val="1f8"/>
                <w:rFonts w:ascii="Times New Roman" w:eastAsia="宋体" w:hAnsi="Times New Roman" w:cs="Times New Roman"/>
                <w:color w:val="FF0000"/>
              </w:rPr>
            </w:pPr>
            <w:r w:rsidRPr="0028025F">
              <w:rPr>
                <w:rStyle w:val="1f8"/>
                <w:rFonts w:ascii="Times New Roman" w:eastAsia="宋体" w:hAnsi="Times New Roman" w:cs="Times New Roman"/>
                <w:color w:val="FF0000"/>
              </w:rPr>
              <w:t>II</w:t>
            </w:r>
            <w:r w:rsidRPr="0028025F">
              <w:rPr>
                <w:rStyle w:val="1f8"/>
                <w:rFonts w:ascii="Times New Roman" w:eastAsia="宋体" w:hAnsi="Times New Roman" w:cs="Times New Roman"/>
                <w:color w:val="FF0000"/>
              </w:rPr>
              <w:t>类填埋场：日平均填埋量宜为</w:t>
            </w:r>
            <w:r w:rsidRPr="0028025F">
              <w:rPr>
                <w:rStyle w:val="1f8"/>
                <w:rFonts w:ascii="Times New Roman" w:eastAsia="宋体" w:hAnsi="Times New Roman" w:cs="Times New Roman"/>
                <w:color w:val="FF0000"/>
              </w:rPr>
              <w:t>500t/d</w:t>
            </w:r>
            <w:r w:rsidRPr="0028025F">
              <w:rPr>
                <w:rStyle w:val="1f8"/>
                <w:rFonts w:ascii="Times New Roman" w:eastAsia="微软雅黑" w:hAnsi="Times New Roman" w:cs="Times New Roman" w:hint="eastAsia"/>
                <w:color w:val="FF0000"/>
              </w:rPr>
              <w:t>-</w:t>
            </w:r>
            <w:r w:rsidRPr="0028025F">
              <w:rPr>
                <w:rStyle w:val="1f8"/>
                <w:rFonts w:ascii="Times New Roman" w:eastAsia="宋体" w:hAnsi="Times New Roman" w:cs="Times New Roman"/>
                <w:color w:val="FF0000"/>
              </w:rPr>
              <w:t>1200t/d (</w:t>
            </w:r>
            <w:r w:rsidRPr="0028025F">
              <w:rPr>
                <w:rStyle w:val="1f8"/>
                <w:rFonts w:ascii="Times New Roman" w:eastAsia="宋体" w:hAnsi="Times New Roman" w:cs="Times New Roman"/>
                <w:color w:val="FF0000"/>
              </w:rPr>
              <w:t>含</w:t>
            </w:r>
            <w:r w:rsidRPr="0028025F">
              <w:rPr>
                <w:rStyle w:val="1f8"/>
                <w:rFonts w:ascii="Times New Roman" w:eastAsia="宋体" w:hAnsi="Times New Roman" w:cs="Times New Roman"/>
                <w:color w:val="FF0000"/>
              </w:rPr>
              <w:t xml:space="preserve">500t/d) </w:t>
            </w:r>
            <w:r w:rsidRPr="0028025F">
              <w:rPr>
                <w:rStyle w:val="1f8"/>
                <w:rFonts w:ascii="Times New Roman" w:eastAsia="宋体" w:hAnsi="Times New Roman" w:cs="Times New Roman"/>
                <w:color w:val="FF0000"/>
              </w:rPr>
              <w:t>；</w:t>
            </w:r>
          </w:p>
          <w:p w14:paraId="3DF3C9FB" w14:textId="7DBD7CB1" w:rsidR="0028025F" w:rsidRPr="0028025F" w:rsidRDefault="0028025F" w:rsidP="0028025F">
            <w:pPr>
              <w:autoSpaceDE w:val="0"/>
              <w:autoSpaceDN w:val="0"/>
              <w:adjustRightInd w:val="0"/>
              <w:rPr>
                <w:rStyle w:val="1f8"/>
                <w:rFonts w:ascii="Times New Roman" w:eastAsia="宋体" w:hAnsi="Times New Roman" w:cs="Times New Roman"/>
                <w:color w:val="FF0000"/>
              </w:rPr>
            </w:pPr>
            <w:r w:rsidRPr="0028025F">
              <w:rPr>
                <w:rStyle w:val="1f8"/>
                <w:rFonts w:ascii="Times New Roman" w:eastAsia="宋体" w:hAnsi="Times New Roman" w:cs="Times New Roman"/>
                <w:color w:val="FF0000"/>
              </w:rPr>
              <w:t>III</w:t>
            </w:r>
            <w:r w:rsidRPr="0028025F">
              <w:rPr>
                <w:rStyle w:val="1f8"/>
                <w:rFonts w:ascii="Times New Roman" w:eastAsia="宋体" w:hAnsi="Times New Roman" w:cs="Times New Roman"/>
                <w:color w:val="FF0000"/>
              </w:rPr>
              <w:t>类填埋场：日平均填埋量宜为</w:t>
            </w:r>
            <w:r w:rsidRPr="0028025F">
              <w:rPr>
                <w:rStyle w:val="1f8"/>
                <w:rFonts w:ascii="Times New Roman" w:eastAsia="宋体" w:hAnsi="Times New Roman" w:cs="Times New Roman"/>
                <w:color w:val="FF0000"/>
              </w:rPr>
              <w:t>200t/d</w:t>
            </w:r>
            <w:r w:rsidRPr="0028025F">
              <w:rPr>
                <w:rStyle w:val="1f8"/>
                <w:rFonts w:ascii="Times New Roman" w:eastAsia="微软雅黑" w:hAnsi="Times New Roman" w:cs="Times New Roman" w:hint="eastAsia"/>
                <w:color w:val="FF0000"/>
              </w:rPr>
              <w:t>-</w:t>
            </w:r>
            <w:r w:rsidRPr="0028025F">
              <w:rPr>
                <w:rStyle w:val="1f8"/>
                <w:rFonts w:ascii="Times New Roman" w:eastAsia="宋体" w:hAnsi="Times New Roman" w:cs="Times New Roman"/>
                <w:color w:val="FF0000"/>
              </w:rPr>
              <w:t>500t/d (</w:t>
            </w:r>
            <w:r w:rsidRPr="0028025F">
              <w:rPr>
                <w:rStyle w:val="1f8"/>
                <w:rFonts w:ascii="Times New Roman" w:eastAsia="宋体" w:hAnsi="Times New Roman" w:cs="Times New Roman"/>
                <w:color w:val="FF0000"/>
              </w:rPr>
              <w:t>含</w:t>
            </w:r>
            <w:r w:rsidRPr="0028025F">
              <w:rPr>
                <w:rStyle w:val="1f8"/>
                <w:rFonts w:ascii="Times New Roman" w:eastAsia="宋体" w:hAnsi="Times New Roman" w:cs="Times New Roman"/>
                <w:color w:val="FF0000"/>
              </w:rPr>
              <w:t xml:space="preserve">200t/d) </w:t>
            </w:r>
            <w:r w:rsidRPr="0028025F">
              <w:rPr>
                <w:rStyle w:val="1f8"/>
                <w:rFonts w:ascii="Times New Roman" w:eastAsia="宋体" w:hAnsi="Times New Roman" w:cs="Times New Roman"/>
                <w:color w:val="FF0000"/>
              </w:rPr>
              <w:t>；</w:t>
            </w:r>
          </w:p>
          <w:p w14:paraId="4B6CF825" w14:textId="77777777" w:rsidR="0028025F" w:rsidRPr="0028025F" w:rsidRDefault="0028025F" w:rsidP="0028025F">
            <w:pPr>
              <w:autoSpaceDE w:val="0"/>
              <w:autoSpaceDN w:val="0"/>
              <w:adjustRightInd w:val="0"/>
              <w:rPr>
                <w:rStyle w:val="1f8"/>
                <w:rFonts w:ascii="Times New Roman" w:eastAsia="宋体" w:hAnsi="Times New Roman" w:cs="Times New Roman"/>
                <w:color w:val="FF0000"/>
              </w:rPr>
            </w:pPr>
            <w:r w:rsidRPr="0028025F">
              <w:rPr>
                <w:rStyle w:val="1f8"/>
                <w:rFonts w:ascii="Times New Roman" w:eastAsia="宋体" w:hAnsi="Times New Roman" w:cs="Times New Roman"/>
                <w:color w:val="FF0000"/>
              </w:rPr>
              <w:t>IV</w:t>
            </w:r>
            <w:r w:rsidRPr="0028025F">
              <w:rPr>
                <w:rStyle w:val="1f8"/>
                <w:rFonts w:ascii="Times New Roman" w:eastAsia="宋体" w:hAnsi="Times New Roman" w:cs="Times New Roman"/>
                <w:color w:val="FF0000"/>
              </w:rPr>
              <w:t>类填埋场：日平均填埋量宜为</w:t>
            </w:r>
            <w:r w:rsidRPr="0028025F">
              <w:rPr>
                <w:rStyle w:val="1f8"/>
                <w:rFonts w:ascii="Times New Roman" w:eastAsia="宋体" w:hAnsi="Times New Roman" w:cs="Times New Roman"/>
                <w:color w:val="FF0000"/>
              </w:rPr>
              <w:t>200t/d</w:t>
            </w:r>
            <w:r w:rsidRPr="0028025F">
              <w:rPr>
                <w:rStyle w:val="1f8"/>
                <w:rFonts w:ascii="Times New Roman" w:eastAsia="宋体" w:hAnsi="Times New Roman" w:cs="Times New Roman"/>
                <w:color w:val="FF0000"/>
              </w:rPr>
              <w:t>以下。</w:t>
            </w:r>
          </w:p>
          <w:p w14:paraId="4F7E71DD" w14:textId="2E5D46AC" w:rsidR="0028025F" w:rsidRPr="0028025F" w:rsidRDefault="0028025F" w:rsidP="0028025F">
            <w:pPr>
              <w:autoSpaceDE w:val="0"/>
              <w:autoSpaceDN w:val="0"/>
              <w:adjustRightInd w:val="0"/>
              <w:jc w:val="left"/>
              <w:rPr>
                <w:rStyle w:val="1f8"/>
                <w:rFonts w:ascii="Times New Roman" w:eastAsia="宋体" w:cs="Times New Roman"/>
                <w:color w:val="FF0000"/>
              </w:rPr>
            </w:pPr>
            <w:r w:rsidRPr="0028025F">
              <w:rPr>
                <w:rStyle w:val="1f8"/>
                <w:rFonts w:ascii="Times New Roman" w:eastAsia="宋体" w:cs="Times New Roman" w:hint="eastAsia"/>
                <w:color w:val="FF0000"/>
              </w:rPr>
              <w:t>填埋库容应保证填埋场使用年限在</w:t>
            </w:r>
            <w:r w:rsidRPr="0028025F">
              <w:rPr>
                <w:rStyle w:val="1f8"/>
                <w:rFonts w:ascii="Times New Roman" w:eastAsia="宋体" w:cs="Times New Roman"/>
                <w:color w:val="FF0000"/>
              </w:rPr>
              <w:t>10</w:t>
            </w:r>
            <w:r w:rsidRPr="0028025F">
              <w:rPr>
                <w:rStyle w:val="1f8"/>
                <w:rFonts w:ascii="Times New Roman" w:eastAsia="宋体" w:cs="Times New Roman"/>
                <w:color w:val="FF0000"/>
              </w:rPr>
              <w:t>年及以上，特殊情</w:t>
            </w:r>
            <w:r w:rsidRPr="0028025F">
              <w:rPr>
                <w:rStyle w:val="1f8"/>
                <w:rFonts w:ascii="Times New Roman" w:eastAsia="宋体" w:cs="Times New Roman" w:hint="eastAsia"/>
                <w:color w:val="FF0000"/>
              </w:rPr>
              <w:t>况下不应低于</w:t>
            </w:r>
            <w:r w:rsidRPr="0028025F">
              <w:rPr>
                <w:rStyle w:val="1f8"/>
                <w:rFonts w:ascii="Times New Roman" w:eastAsia="宋体" w:cs="Times New Roman"/>
                <w:color w:val="FF0000"/>
              </w:rPr>
              <w:t>8</w:t>
            </w:r>
            <w:r w:rsidRPr="0028025F">
              <w:rPr>
                <w:rStyle w:val="1f8"/>
                <w:rFonts w:ascii="Times New Roman" w:eastAsia="宋体" w:cs="Times New Roman"/>
                <w:color w:val="FF0000"/>
              </w:rPr>
              <w:t>年。</w:t>
            </w:r>
          </w:p>
        </w:tc>
        <w:tc>
          <w:tcPr>
            <w:tcW w:w="3094" w:type="dxa"/>
            <w:vAlign w:val="center"/>
          </w:tcPr>
          <w:p w14:paraId="40E2FD8F" w14:textId="0597CE80" w:rsidR="0028025F" w:rsidRPr="0028025F" w:rsidRDefault="0028025F" w:rsidP="0028025F">
            <w:pPr>
              <w:pStyle w:val="a8"/>
              <w:ind w:firstLineChars="0" w:firstLine="0"/>
              <w:rPr>
                <w:rStyle w:val="1f8"/>
                <w:color w:val="FF0000"/>
              </w:rPr>
            </w:pPr>
            <w:r w:rsidRPr="0028025F">
              <w:rPr>
                <w:rStyle w:val="1f8"/>
                <w:rFonts w:hint="eastAsia"/>
                <w:color w:val="FF0000"/>
              </w:rPr>
              <w:t>本项目设计日处理规模为</w:t>
            </w:r>
            <w:r w:rsidRPr="0028025F">
              <w:rPr>
                <w:rStyle w:val="1f8"/>
                <w:color w:val="FF0000"/>
              </w:rPr>
              <w:t>110t/d</w:t>
            </w:r>
            <w:r w:rsidRPr="0028025F">
              <w:rPr>
                <w:rStyle w:val="1f8"/>
                <w:rFonts w:hint="eastAsia"/>
                <w:color w:val="FF0000"/>
              </w:rPr>
              <w:t>，</w:t>
            </w:r>
            <w:r w:rsidRPr="0028025F">
              <w:rPr>
                <w:rStyle w:val="1f8"/>
                <w:color w:val="FF0000"/>
              </w:rPr>
              <w:t>为</w:t>
            </w:r>
            <w:r w:rsidRPr="0028025F">
              <w:rPr>
                <w:rStyle w:val="1f8"/>
                <w:color w:val="FF0000"/>
              </w:rPr>
              <w:t>Ⅳ</w:t>
            </w:r>
            <w:r w:rsidRPr="0028025F">
              <w:rPr>
                <w:rStyle w:val="1f8"/>
                <w:color w:val="FF0000"/>
              </w:rPr>
              <w:t>类填埋场。</w:t>
            </w:r>
            <w:r w:rsidRPr="0028025F">
              <w:rPr>
                <w:rStyle w:val="1f8"/>
                <w:rFonts w:hint="eastAsia"/>
                <w:color w:val="FF0000"/>
              </w:rPr>
              <w:t>一期生活垃圾填埋总设计库容约</w:t>
            </w:r>
            <w:r w:rsidRPr="0028025F">
              <w:rPr>
                <w:rStyle w:val="1f8"/>
                <w:color w:val="FF0000"/>
              </w:rPr>
              <w:t>65.49</w:t>
            </w:r>
            <w:r w:rsidRPr="0028025F">
              <w:rPr>
                <w:rStyle w:val="1f8"/>
                <w:color w:val="FF0000"/>
              </w:rPr>
              <w:t>万</w:t>
            </w:r>
            <w:r w:rsidRPr="0028025F">
              <w:rPr>
                <w:rStyle w:val="1f8"/>
                <w:color w:val="FF0000"/>
              </w:rPr>
              <w:t>m</w:t>
            </w:r>
            <w:r w:rsidRPr="0028025F">
              <w:rPr>
                <w:rStyle w:val="1f8"/>
                <w:color w:val="FF0000"/>
                <w:vertAlign w:val="superscript"/>
              </w:rPr>
              <w:t>3</w:t>
            </w:r>
            <w:r w:rsidRPr="0028025F">
              <w:rPr>
                <w:rStyle w:val="1f8"/>
                <w:color w:val="FF0000"/>
              </w:rPr>
              <w:t>，使用年限为</w:t>
            </w:r>
            <w:r w:rsidRPr="0028025F">
              <w:rPr>
                <w:rStyle w:val="1f8"/>
                <w:color w:val="FF0000"/>
              </w:rPr>
              <w:t>13</w:t>
            </w:r>
            <w:r w:rsidRPr="0028025F">
              <w:rPr>
                <w:rStyle w:val="1f8"/>
                <w:color w:val="FF0000"/>
              </w:rPr>
              <w:t>年；二期飞灰填埋总设计库容约</w:t>
            </w:r>
            <w:r w:rsidRPr="0028025F">
              <w:rPr>
                <w:rStyle w:val="1f8"/>
                <w:color w:val="FF0000"/>
              </w:rPr>
              <w:t xml:space="preserve">20.70 </w:t>
            </w:r>
            <w:r w:rsidRPr="0028025F">
              <w:rPr>
                <w:rStyle w:val="1f8"/>
                <w:color w:val="FF0000"/>
              </w:rPr>
              <w:t>万</w:t>
            </w:r>
            <w:r w:rsidRPr="0028025F">
              <w:rPr>
                <w:rStyle w:val="1f8"/>
                <w:color w:val="FF0000"/>
              </w:rPr>
              <w:t>m</w:t>
            </w:r>
            <w:r w:rsidRPr="0028025F">
              <w:rPr>
                <w:rStyle w:val="1f8"/>
                <w:color w:val="FF0000"/>
                <w:vertAlign w:val="superscript"/>
              </w:rPr>
              <w:t>3</w:t>
            </w:r>
            <w:r w:rsidRPr="0028025F">
              <w:rPr>
                <w:rStyle w:val="1f8"/>
                <w:color w:val="FF0000"/>
              </w:rPr>
              <w:t>，使用年限为</w:t>
            </w:r>
            <w:r w:rsidRPr="0028025F">
              <w:rPr>
                <w:rStyle w:val="1f8"/>
                <w:color w:val="FF0000"/>
              </w:rPr>
              <w:t>20</w:t>
            </w:r>
            <w:r w:rsidRPr="0028025F">
              <w:rPr>
                <w:rStyle w:val="1f8"/>
                <w:color w:val="FF0000"/>
              </w:rPr>
              <w:t>年。</w:t>
            </w:r>
          </w:p>
        </w:tc>
        <w:tc>
          <w:tcPr>
            <w:tcW w:w="1118" w:type="dxa"/>
          </w:tcPr>
          <w:p w14:paraId="5F261B5B" w14:textId="3B5749CC" w:rsidR="0028025F" w:rsidRDefault="0028025F" w:rsidP="0028025F">
            <w:pPr>
              <w:jc w:val="center"/>
              <w:rPr>
                <w:rStyle w:val="1f8"/>
              </w:rPr>
            </w:pPr>
            <w:r w:rsidRPr="00A7718A">
              <w:rPr>
                <w:rStyle w:val="1f8"/>
              </w:rPr>
              <w:t>符合</w:t>
            </w:r>
          </w:p>
        </w:tc>
      </w:tr>
      <w:tr w:rsidR="0028025F" w14:paraId="3604F43A" w14:textId="77777777" w:rsidTr="00E756FC">
        <w:trPr>
          <w:trHeight w:val="325"/>
          <w:jc w:val="center"/>
        </w:trPr>
        <w:tc>
          <w:tcPr>
            <w:tcW w:w="1761" w:type="dxa"/>
            <w:vMerge/>
            <w:vAlign w:val="center"/>
          </w:tcPr>
          <w:p w14:paraId="514407CD"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39EC19A4" w14:textId="7C259DE8" w:rsidR="0028025F" w:rsidRPr="0028025F" w:rsidRDefault="0028025F" w:rsidP="0028025F">
            <w:pPr>
              <w:autoSpaceDE w:val="0"/>
              <w:autoSpaceDN w:val="0"/>
              <w:adjustRightInd w:val="0"/>
              <w:rPr>
                <w:rStyle w:val="1f8"/>
                <w:rFonts w:ascii="Times New Roman" w:eastAsia="宋体" w:cs="Times New Roman"/>
                <w:color w:val="FF0000"/>
              </w:rPr>
            </w:pPr>
            <w:r w:rsidRPr="0028025F">
              <w:rPr>
                <w:rStyle w:val="1f8"/>
                <w:rFonts w:ascii="Times New Roman" w:eastAsia="宋体" w:cs="Times New Roman" w:hint="eastAsia"/>
                <w:color w:val="FF0000"/>
              </w:rPr>
              <w:t>填埋场必须进行防渗处理，防止对地下水和地表水的污染，同时还应防止地下水进入填埋场。</w:t>
            </w:r>
          </w:p>
        </w:tc>
        <w:tc>
          <w:tcPr>
            <w:tcW w:w="3094" w:type="dxa"/>
            <w:vAlign w:val="center"/>
          </w:tcPr>
          <w:p w14:paraId="4B3BBD50" w14:textId="77777777" w:rsidR="0028025F" w:rsidRPr="0028025F" w:rsidRDefault="0028025F" w:rsidP="0028025F">
            <w:pPr>
              <w:pStyle w:val="affffd"/>
              <w:jc w:val="both"/>
              <w:rPr>
                <w:rFonts w:ascii="Times New Roman" w:eastAsia="宋体" w:hAnsi="Times New Roman" w:cs="Times New Roman"/>
                <w:color w:val="FF0000"/>
              </w:rPr>
            </w:pPr>
            <w:r w:rsidRPr="0028025F">
              <w:rPr>
                <w:rFonts w:ascii="Times New Roman" w:eastAsia="宋体" w:hAnsi="Times New Roman" w:cs="Times New Roman"/>
                <w:color w:val="FF0000"/>
              </w:rPr>
              <w:t>填埋库区库底和边坡做防渗处理，均采用单层复合防渗结构层，库区场底从上而下包括</w:t>
            </w:r>
            <w:r w:rsidRPr="0028025F">
              <w:rPr>
                <w:rFonts w:ascii="Times New Roman" w:eastAsia="宋体" w:hAnsi="Times New Roman" w:cs="Times New Roman"/>
                <w:color w:val="FF0000"/>
              </w:rPr>
              <w:t>200g/m</w:t>
            </w:r>
            <w:r w:rsidRPr="0028025F">
              <w:rPr>
                <w:rFonts w:ascii="Times New Roman" w:eastAsia="宋体" w:hAnsi="Times New Roman" w:cs="Times New Roman"/>
                <w:color w:val="FF0000"/>
                <w:vertAlign w:val="superscript"/>
              </w:rPr>
              <w:t>2</w:t>
            </w:r>
            <w:r w:rsidRPr="0028025F">
              <w:rPr>
                <w:rFonts w:ascii="Times New Roman" w:eastAsia="宋体" w:hAnsi="Times New Roman" w:cs="Times New Roman"/>
                <w:color w:val="FF0000"/>
              </w:rPr>
              <w:t xml:space="preserve"> </w:t>
            </w:r>
            <w:r w:rsidRPr="0028025F">
              <w:rPr>
                <w:rFonts w:ascii="Times New Roman" w:eastAsia="宋体" w:hAnsi="Times New Roman" w:cs="Times New Roman"/>
                <w:color w:val="FF0000"/>
              </w:rPr>
              <w:t>土工滤网层、</w:t>
            </w:r>
            <w:r w:rsidRPr="0028025F">
              <w:rPr>
                <w:rFonts w:ascii="Times New Roman" w:eastAsia="宋体" w:hAnsi="Times New Roman" w:cs="Times New Roman"/>
                <w:color w:val="FF0000"/>
              </w:rPr>
              <w:t>30cm</w:t>
            </w:r>
            <w:r w:rsidRPr="0028025F">
              <w:rPr>
                <w:rFonts w:ascii="Times New Roman" w:eastAsia="宋体" w:hAnsi="Times New Roman" w:cs="Times New Roman"/>
                <w:color w:val="FF0000"/>
              </w:rPr>
              <w:t>粒径为</w:t>
            </w:r>
            <w:r w:rsidRPr="0028025F">
              <w:rPr>
                <w:rFonts w:ascii="Times New Roman" w:eastAsia="宋体" w:hAnsi="Times New Roman" w:cs="Times New Roman"/>
                <w:color w:val="FF0000"/>
              </w:rPr>
              <w:t>20~40mm</w:t>
            </w:r>
            <w:r w:rsidRPr="0028025F">
              <w:rPr>
                <w:rFonts w:ascii="Times New Roman" w:eastAsia="宋体" w:hAnsi="Times New Roman" w:cs="Times New Roman"/>
                <w:color w:val="FF0000"/>
              </w:rPr>
              <w:t>厚卵石层、</w:t>
            </w:r>
            <w:r w:rsidRPr="0028025F">
              <w:rPr>
                <w:rFonts w:ascii="Times New Roman" w:eastAsia="宋体" w:hAnsi="Times New Roman" w:cs="Times New Roman"/>
                <w:color w:val="FF0000"/>
              </w:rPr>
              <w:t xml:space="preserve"> 600g/m2 </w:t>
            </w:r>
            <w:r w:rsidRPr="0028025F">
              <w:rPr>
                <w:rFonts w:ascii="Times New Roman" w:eastAsia="宋体" w:hAnsi="Times New Roman" w:cs="Times New Roman"/>
                <w:color w:val="FF0000"/>
              </w:rPr>
              <w:t>的无纺土工布层、</w:t>
            </w:r>
            <w:r w:rsidRPr="0028025F">
              <w:rPr>
                <w:rFonts w:ascii="Times New Roman" w:eastAsia="宋体" w:hAnsi="Times New Roman" w:cs="Times New Roman"/>
                <w:color w:val="FF0000"/>
              </w:rPr>
              <w:t>2.0mm</w:t>
            </w:r>
            <w:r w:rsidRPr="0028025F">
              <w:rPr>
                <w:rFonts w:ascii="Times New Roman" w:eastAsia="宋体" w:hAnsi="Times New Roman" w:cs="Times New Roman"/>
                <w:color w:val="FF0000"/>
              </w:rPr>
              <w:t>厚</w:t>
            </w:r>
            <w:r w:rsidRPr="0028025F">
              <w:rPr>
                <w:rFonts w:ascii="Times New Roman" w:eastAsia="宋体" w:hAnsi="Times New Roman" w:cs="Times New Roman"/>
                <w:color w:val="FF0000"/>
              </w:rPr>
              <w:t xml:space="preserve">HDPE </w:t>
            </w:r>
            <w:r w:rsidRPr="0028025F">
              <w:rPr>
                <w:rFonts w:ascii="Times New Roman" w:eastAsia="宋体" w:hAnsi="Times New Roman" w:cs="Times New Roman"/>
                <w:color w:val="FF0000"/>
              </w:rPr>
              <w:t>土工膜层、</w:t>
            </w:r>
            <w:r w:rsidRPr="0028025F">
              <w:rPr>
                <w:rFonts w:ascii="Times New Roman" w:eastAsia="宋体" w:hAnsi="Times New Roman" w:cs="Times New Roman"/>
                <w:color w:val="FF0000"/>
              </w:rPr>
              <w:t>5000g/m</w:t>
            </w:r>
            <w:r w:rsidRPr="0028025F">
              <w:rPr>
                <w:rFonts w:ascii="Times New Roman" w:eastAsia="宋体" w:hAnsi="Times New Roman" w:cs="Times New Roman"/>
                <w:color w:val="FF0000"/>
                <w:vertAlign w:val="superscript"/>
              </w:rPr>
              <w:t>2</w:t>
            </w:r>
            <w:r w:rsidRPr="0028025F">
              <w:rPr>
                <w:rFonts w:ascii="Times New Roman" w:eastAsia="宋体" w:hAnsi="Times New Roman" w:cs="Times New Roman"/>
                <w:color w:val="FF0000"/>
              </w:rPr>
              <w:t xml:space="preserve"> </w:t>
            </w:r>
            <w:r w:rsidRPr="0028025F">
              <w:rPr>
                <w:rFonts w:ascii="Times New Roman" w:eastAsia="宋体" w:hAnsi="Times New Roman" w:cs="Times New Roman"/>
                <w:color w:val="FF0000"/>
              </w:rPr>
              <w:t>膨润土垫（</w:t>
            </w:r>
            <w:r w:rsidRPr="0028025F">
              <w:rPr>
                <w:rFonts w:ascii="Times New Roman" w:eastAsia="宋体" w:hAnsi="Times New Roman" w:cs="Times New Roman"/>
                <w:color w:val="FF0000"/>
              </w:rPr>
              <w:t>GCL</w:t>
            </w:r>
            <w:r w:rsidRPr="0028025F">
              <w:rPr>
                <w:rFonts w:ascii="Times New Roman" w:eastAsia="宋体" w:hAnsi="Times New Roman" w:cs="Times New Roman"/>
                <w:color w:val="FF0000"/>
              </w:rPr>
              <w:t>）、</w:t>
            </w:r>
            <w:r w:rsidRPr="0028025F">
              <w:rPr>
                <w:rFonts w:ascii="Times New Roman" w:eastAsia="宋体" w:hAnsi="Times New Roman" w:cs="Times New Roman"/>
                <w:color w:val="FF0000"/>
              </w:rPr>
              <w:t xml:space="preserve"> </w:t>
            </w:r>
            <w:r w:rsidRPr="0028025F">
              <w:rPr>
                <w:rFonts w:ascii="Times New Roman" w:eastAsia="宋体" w:hAnsi="Times New Roman" w:cs="Times New Roman"/>
                <w:color w:val="FF0000"/>
              </w:rPr>
              <w:t>压实基础层（压实度</w:t>
            </w:r>
            <w:r w:rsidRPr="0028025F">
              <w:rPr>
                <w:rFonts w:ascii="Times New Roman" w:eastAsia="宋体" w:hAnsi="Times New Roman" w:cs="Times New Roman"/>
                <w:color w:val="FF0000"/>
              </w:rPr>
              <w:t>≥93%</w:t>
            </w:r>
            <w:r w:rsidRPr="0028025F">
              <w:rPr>
                <w:rFonts w:ascii="Times New Roman" w:eastAsia="宋体" w:hAnsi="Times New Roman" w:cs="Times New Roman"/>
                <w:color w:val="FF0000"/>
              </w:rPr>
              <w:t>）</w:t>
            </w:r>
            <w:r w:rsidRPr="0028025F">
              <w:rPr>
                <w:rFonts w:ascii="Times New Roman" w:eastAsia="宋体" w:hAnsi="Times New Roman" w:cs="Times New Roman" w:hint="eastAsia"/>
                <w:color w:val="FF0000"/>
              </w:rPr>
              <w:t>。</w:t>
            </w:r>
          </w:p>
          <w:p w14:paraId="4DDA763D" w14:textId="77777777" w:rsidR="0028025F" w:rsidRPr="0028025F" w:rsidRDefault="0028025F" w:rsidP="0028025F">
            <w:pPr>
              <w:pStyle w:val="affffd"/>
              <w:jc w:val="both"/>
              <w:rPr>
                <w:rFonts w:ascii="Times New Roman" w:eastAsia="宋体" w:hAnsi="Times New Roman" w:cs="Times New Roman"/>
                <w:color w:val="FF0000"/>
              </w:rPr>
            </w:pPr>
            <w:r w:rsidRPr="0028025F">
              <w:rPr>
                <w:rFonts w:ascii="Times New Roman" w:eastAsia="宋体" w:hAnsi="Times New Roman" w:cs="Times New Roman"/>
                <w:color w:val="FF0000"/>
              </w:rPr>
              <w:t>边坡防渗层从上而下依次包括</w:t>
            </w:r>
            <w:r w:rsidRPr="0028025F">
              <w:rPr>
                <w:rFonts w:ascii="Times New Roman" w:eastAsia="宋体" w:hAnsi="Times New Roman" w:cs="Times New Roman"/>
                <w:color w:val="FF0000"/>
              </w:rPr>
              <w:t xml:space="preserve">300mm </w:t>
            </w:r>
            <w:r w:rsidRPr="0028025F">
              <w:rPr>
                <w:rFonts w:ascii="Times New Roman" w:eastAsia="宋体" w:hAnsi="Times New Roman" w:cs="Times New Roman"/>
                <w:color w:val="FF0000"/>
              </w:rPr>
              <w:t>厚袋装砂石的边坡保护层、</w:t>
            </w:r>
            <w:r w:rsidRPr="0028025F">
              <w:rPr>
                <w:rFonts w:ascii="Times New Roman" w:eastAsia="宋体" w:hAnsi="Times New Roman" w:cs="Times New Roman"/>
                <w:color w:val="FF0000"/>
              </w:rPr>
              <w:t>600g/ m</w:t>
            </w:r>
            <w:r w:rsidRPr="0028025F">
              <w:rPr>
                <w:rFonts w:ascii="Times New Roman" w:eastAsia="宋体" w:hAnsi="Times New Roman" w:cs="Times New Roman"/>
                <w:color w:val="FF0000"/>
                <w:vertAlign w:val="superscript"/>
              </w:rPr>
              <w:t>2</w:t>
            </w:r>
            <w:r w:rsidRPr="0028025F">
              <w:rPr>
                <w:rFonts w:ascii="Times New Roman" w:eastAsia="宋体" w:hAnsi="Times New Roman" w:cs="Times New Roman"/>
                <w:color w:val="FF0000"/>
              </w:rPr>
              <w:t>的无纺土工布层、</w:t>
            </w:r>
            <w:r w:rsidRPr="0028025F">
              <w:rPr>
                <w:rFonts w:ascii="Times New Roman" w:eastAsia="宋体" w:hAnsi="Times New Roman" w:cs="Times New Roman"/>
                <w:color w:val="FF0000"/>
              </w:rPr>
              <w:t xml:space="preserve">2.0mm </w:t>
            </w:r>
            <w:r w:rsidRPr="0028025F">
              <w:rPr>
                <w:rFonts w:ascii="Times New Roman" w:eastAsia="宋体" w:hAnsi="Times New Roman" w:cs="Times New Roman"/>
                <w:color w:val="FF0000"/>
              </w:rPr>
              <w:t>厚</w:t>
            </w:r>
            <w:r w:rsidRPr="0028025F">
              <w:rPr>
                <w:rFonts w:ascii="Times New Roman" w:eastAsia="宋体" w:hAnsi="Times New Roman" w:cs="Times New Roman"/>
                <w:color w:val="FF0000"/>
              </w:rPr>
              <w:t xml:space="preserve">HDPE </w:t>
            </w:r>
            <w:r w:rsidRPr="0028025F">
              <w:rPr>
                <w:rFonts w:ascii="Times New Roman" w:eastAsia="宋体" w:hAnsi="Times New Roman" w:cs="Times New Roman"/>
                <w:color w:val="FF0000"/>
              </w:rPr>
              <w:t>土工膜层、</w:t>
            </w:r>
            <w:r w:rsidRPr="0028025F">
              <w:rPr>
                <w:rFonts w:ascii="Times New Roman" w:eastAsia="宋体" w:hAnsi="Times New Roman" w:cs="Times New Roman"/>
                <w:color w:val="FF0000"/>
              </w:rPr>
              <w:t>5000g/ m</w:t>
            </w:r>
            <w:r w:rsidRPr="0028025F">
              <w:rPr>
                <w:rFonts w:ascii="Times New Roman" w:eastAsia="宋体" w:hAnsi="Times New Roman" w:cs="Times New Roman"/>
                <w:color w:val="FF0000"/>
                <w:vertAlign w:val="superscript"/>
              </w:rPr>
              <w:t>2</w:t>
            </w:r>
            <w:r w:rsidRPr="0028025F">
              <w:rPr>
                <w:rFonts w:ascii="Times New Roman" w:eastAsia="宋体" w:hAnsi="Times New Roman" w:cs="Times New Roman"/>
                <w:color w:val="FF0000"/>
              </w:rPr>
              <w:t>膨润土垫（</w:t>
            </w:r>
            <w:r w:rsidRPr="0028025F">
              <w:rPr>
                <w:rFonts w:ascii="Times New Roman" w:eastAsia="宋体" w:hAnsi="Times New Roman" w:cs="Times New Roman"/>
                <w:color w:val="FF0000"/>
              </w:rPr>
              <w:t>GCL</w:t>
            </w:r>
            <w:r w:rsidRPr="0028025F">
              <w:rPr>
                <w:rFonts w:ascii="Times New Roman" w:eastAsia="宋体" w:hAnsi="Times New Roman" w:cs="Times New Roman"/>
                <w:color w:val="FF0000"/>
              </w:rPr>
              <w:t>）、压实基础层（压实度</w:t>
            </w:r>
            <w:r w:rsidRPr="0028025F">
              <w:rPr>
                <w:rFonts w:ascii="Times New Roman" w:eastAsia="宋体" w:hAnsi="Times New Roman" w:cs="Times New Roman"/>
                <w:color w:val="FF0000"/>
              </w:rPr>
              <w:t>≥90%</w:t>
            </w:r>
            <w:r w:rsidRPr="0028025F">
              <w:rPr>
                <w:rFonts w:ascii="Times New Roman" w:eastAsia="宋体" w:hAnsi="Times New Roman" w:cs="Times New Roman"/>
                <w:color w:val="FF0000"/>
              </w:rPr>
              <w:t>）。</w:t>
            </w:r>
          </w:p>
          <w:p w14:paraId="31A07E13" w14:textId="50F6D1A9" w:rsidR="0028025F" w:rsidRPr="0028025F" w:rsidRDefault="0028025F" w:rsidP="0028025F">
            <w:pPr>
              <w:pStyle w:val="a8"/>
              <w:ind w:firstLineChars="0" w:firstLine="0"/>
              <w:rPr>
                <w:rStyle w:val="1f8"/>
                <w:color w:val="FF0000"/>
              </w:rPr>
            </w:pPr>
            <w:r w:rsidRPr="0028025F">
              <w:rPr>
                <w:color w:val="FF0000"/>
                <w:sz w:val="21"/>
                <w:szCs w:val="21"/>
              </w:rPr>
              <w:t>环场锚固沟设计尺寸采用</w:t>
            </w:r>
            <w:r w:rsidRPr="0028025F">
              <w:rPr>
                <w:color w:val="FF0000"/>
                <w:sz w:val="21"/>
                <w:szCs w:val="21"/>
              </w:rPr>
              <w:t>1.0m×1.0m</w:t>
            </w:r>
            <w:r w:rsidRPr="0028025F">
              <w:rPr>
                <w:color w:val="FF0000"/>
                <w:sz w:val="21"/>
                <w:szCs w:val="21"/>
              </w:rPr>
              <w:t>，回填粘土，压实度</w:t>
            </w:r>
            <w:r w:rsidRPr="0028025F">
              <w:rPr>
                <w:color w:val="FF0000"/>
                <w:sz w:val="21"/>
                <w:szCs w:val="21"/>
              </w:rPr>
              <w:t>≥93%</w:t>
            </w:r>
            <w:r w:rsidRPr="0028025F">
              <w:rPr>
                <w:color w:val="FF0000"/>
                <w:sz w:val="21"/>
                <w:szCs w:val="21"/>
              </w:rPr>
              <w:t>。</w:t>
            </w:r>
          </w:p>
        </w:tc>
        <w:tc>
          <w:tcPr>
            <w:tcW w:w="1118" w:type="dxa"/>
          </w:tcPr>
          <w:p w14:paraId="75115C0A" w14:textId="1EB6EA82" w:rsidR="0028025F" w:rsidRDefault="0028025F" w:rsidP="0028025F">
            <w:pPr>
              <w:jc w:val="center"/>
              <w:rPr>
                <w:rStyle w:val="1f8"/>
              </w:rPr>
            </w:pPr>
            <w:r w:rsidRPr="00A7718A">
              <w:rPr>
                <w:rStyle w:val="1f8"/>
              </w:rPr>
              <w:t>符合</w:t>
            </w:r>
          </w:p>
        </w:tc>
      </w:tr>
      <w:tr w:rsidR="0028025F" w14:paraId="45C8D146" w14:textId="77777777" w:rsidTr="00E756FC">
        <w:trPr>
          <w:trHeight w:val="325"/>
          <w:jc w:val="center"/>
        </w:trPr>
        <w:tc>
          <w:tcPr>
            <w:tcW w:w="1761" w:type="dxa"/>
            <w:vMerge/>
            <w:vAlign w:val="center"/>
          </w:tcPr>
          <w:p w14:paraId="12ABBB66"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614101B5" w14:textId="2D9AE707" w:rsidR="0028025F" w:rsidRPr="0028025F" w:rsidRDefault="0028025F" w:rsidP="0028025F">
            <w:pPr>
              <w:autoSpaceDE w:val="0"/>
              <w:autoSpaceDN w:val="0"/>
              <w:adjustRightInd w:val="0"/>
              <w:rPr>
                <w:rStyle w:val="1f8"/>
                <w:rFonts w:ascii="Times New Roman" w:eastAsia="宋体" w:cs="Times New Roman"/>
                <w:color w:val="FF0000"/>
              </w:rPr>
            </w:pPr>
            <w:r w:rsidRPr="0028025F">
              <w:rPr>
                <w:rStyle w:val="1f8"/>
                <w:rFonts w:ascii="Times New Roman" w:eastAsia="宋体" w:cs="Times New Roman" w:hint="eastAsia"/>
                <w:color w:val="FF0000"/>
              </w:rPr>
              <w:t>根据填埋场场址水文地质情况</w:t>
            </w:r>
            <w:r w:rsidRPr="0028025F">
              <w:rPr>
                <w:rStyle w:val="1f8"/>
                <w:rFonts w:ascii="Times New Roman" w:eastAsia="宋体" w:cs="Times New Roman"/>
                <w:color w:val="FF0000"/>
              </w:rPr>
              <w:t>,</w:t>
            </w:r>
            <w:r w:rsidRPr="0028025F">
              <w:rPr>
                <w:rStyle w:val="1f8"/>
                <w:rFonts w:ascii="Times New Roman" w:eastAsia="宋体" w:cs="Times New Roman"/>
                <w:color w:val="FF0000"/>
              </w:rPr>
              <w:t>对可能发生地下水对基础</w:t>
            </w:r>
            <w:r w:rsidRPr="0028025F">
              <w:rPr>
                <w:rStyle w:val="1f8"/>
                <w:rFonts w:ascii="Times New Roman" w:eastAsia="宋体" w:cs="Times New Roman" w:hint="eastAsia"/>
                <w:color w:val="FF0000"/>
              </w:rPr>
              <w:t>层稳定或对防渗系统破坏的潜在危害时，应设置地下水收集导排系统。根据地下水水量、水位及其他水文地质情况的不同，可选择采用碎石导流层、导排盲沟、土工复合排水网导流层等方法进行地下水导排或阻断。地下水收集导排系统应具有长期的导排性能。</w:t>
            </w:r>
          </w:p>
        </w:tc>
        <w:tc>
          <w:tcPr>
            <w:tcW w:w="3094" w:type="dxa"/>
            <w:vAlign w:val="center"/>
          </w:tcPr>
          <w:p w14:paraId="15EB6BCD" w14:textId="638FFDF6" w:rsidR="0028025F" w:rsidRPr="0028025F" w:rsidRDefault="0028025F" w:rsidP="0028025F">
            <w:pPr>
              <w:pStyle w:val="a8"/>
              <w:ind w:firstLineChars="0" w:firstLine="0"/>
              <w:rPr>
                <w:rStyle w:val="1f8"/>
                <w:color w:val="FF0000"/>
              </w:rPr>
            </w:pPr>
            <w:r w:rsidRPr="0028025F">
              <w:rPr>
                <w:rStyle w:val="1f8"/>
                <w:rFonts w:hint="eastAsia"/>
                <w:color w:val="FF0000"/>
              </w:rPr>
              <w:t>本项目设地下水收集导排系统，具体为库底设置一条地下水导排主盲沟对场地地下水进行收集，地下水盲沟位于防渗系统以下，为梯型断面，底宽</w:t>
            </w:r>
            <w:r w:rsidRPr="0028025F">
              <w:rPr>
                <w:rStyle w:val="1f8"/>
                <w:color w:val="FF0000"/>
              </w:rPr>
              <w:t>1.0m</w:t>
            </w:r>
            <w:r w:rsidRPr="0028025F">
              <w:rPr>
                <w:rStyle w:val="1f8"/>
                <w:color w:val="FF0000"/>
              </w:rPr>
              <w:t>，沟深</w:t>
            </w:r>
            <w:r w:rsidRPr="0028025F">
              <w:rPr>
                <w:rStyle w:val="1f8"/>
                <w:color w:val="FF0000"/>
              </w:rPr>
              <w:t>1.0m</w:t>
            </w:r>
            <w:r w:rsidRPr="0028025F">
              <w:rPr>
                <w:rStyle w:val="1f8"/>
                <w:color w:val="FF0000"/>
              </w:rPr>
              <w:t>，盲沟内埋设一根</w:t>
            </w:r>
            <w:r w:rsidRPr="0028025F">
              <w:rPr>
                <w:rStyle w:val="1f8"/>
                <w:color w:val="FF0000"/>
              </w:rPr>
              <w:t xml:space="preserve">dn250HDPE </w:t>
            </w:r>
            <w:r w:rsidRPr="0028025F">
              <w:rPr>
                <w:rStyle w:val="1f8"/>
                <w:color w:val="FF0000"/>
              </w:rPr>
              <w:t>穿孔花管，花管周围用卵石填充，盲沟用</w:t>
            </w:r>
            <w:r w:rsidRPr="0028025F">
              <w:rPr>
                <w:rStyle w:val="1f8"/>
                <w:color w:val="FF0000"/>
              </w:rPr>
              <w:t>200g/m²</w:t>
            </w:r>
            <w:r w:rsidRPr="0028025F">
              <w:rPr>
                <w:rStyle w:val="1f8"/>
                <w:color w:val="FF0000"/>
              </w:rPr>
              <w:t>土工滤网包裹。</w:t>
            </w:r>
          </w:p>
        </w:tc>
        <w:tc>
          <w:tcPr>
            <w:tcW w:w="1118" w:type="dxa"/>
          </w:tcPr>
          <w:p w14:paraId="0393524C" w14:textId="6A4F3712" w:rsidR="0028025F" w:rsidRDefault="0028025F" w:rsidP="0028025F">
            <w:pPr>
              <w:jc w:val="center"/>
              <w:rPr>
                <w:rStyle w:val="1f8"/>
              </w:rPr>
            </w:pPr>
            <w:r w:rsidRPr="00A7718A">
              <w:rPr>
                <w:rStyle w:val="1f8"/>
              </w:rPr>
              <w:t>符合</w:t>
            </w:r>
          </w:p>
        </w:tc>
      </w:tr>
      <w:tr w:rsidR="0028025F" w14:paraId="6DF9EAC9" w14:textId="77777777" w:rsidTr="00E756FC">
        <w:trPr>
          <w:trHeight w:val="325"/>
          <w:jc w:val="center"/>
        </w:trPr>
        <w:tc>
          <w:tcPr>
            <w:tcW w:w="1761" w:type="dxa"/>
            <w:vMerge/>
            <w:vAlign w:val="center"/>
          </w:tcPr>
          <w:p w14:paraId="62B03E0A"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1E4900AB" w14:textId="2E7C152E" w:rsidR="0028025F" w:rsidRPr="0028025F" w:rsidRDefault="0028025F" w:rsidP="0028025F">
            <w:pPr>
              <w:autoSpaceDE w:val="0"/>
              <w:autoSpaceDN w:val="0"/>
              <w:adjustRightInd w:val="0"/>
              <w:rPr>
                <w:rStyle w:val="1f8"/>
                <w:rFonts w:ascii="Times New Roman" w:eastAsia="宋体" w:cs="Times New Roman"/>
                <w:color w:val="FF0000"/>
              </w:rPr>
            </w:pPr>
            <w:r w:rsidRPr="0028025F">
              <w:rPr>
                <w:rStyle w:val="1f8"/>
                <w:rFonts w:ascii="Times New Roman" w:eastAsia="宋体" w:cs="Times New Roman" w:hint="eastAsia"/>
                <w:color w:val="FF0000"/>
              </w:rPr>
              <w:t>填埋场必须设置有效的渗沥液收集系统和采取有效的渗沥液处理措施，严防渗沥液污染环境。</w:t>
            </w:r>
          </w:p>
        </w:tc>
        <w:tc>
          <w:tcPr>
            <w:tcW w:w="3094" w:type="dxa"/>
            <w:vAlign w:val="center"/>
          </w:tcPr>
          <w:p w14:paraId="71AB5D56" w14:textId="3ED7D164" w:rsidR="0028025F" w:rsidRPr="0028025F" w:rsidRDefault="0028025F" w:rsidP="0028025F">
            <w:pPr>
              <w:pStyle w:val="a8"/>
              <w:ind w:firstLineChars="0" w:firstLine="0"/>
              <w:rPr>
                <w:rStyle w:val="1f8"/>
                <w:color w:val="FF0000"/>
              </w:rPr>
            </w:pPr>
            <w:r w:rsidRPr="0028025F">
              <w:rPr>
                <w:rStyle w:val="1f8"/>
                <w:rFonts w:hint="eastAsia"/>
                <w:color w:val="FF0000"/>
              </w:rPr>
              <w:t>本项目设有渗滤液收集系统和渗滤液处理站。渗滤液处理站处理规模为</w:t>
            </w:r>
            <w:r w:rsidRPr="0028025F">
              <w:rPr>
                <w:rStyle w:val="1f8"/>
                <w:color w:val="FF0000"/>
              </w:rPr>
              <w:t>65t/d</w:t>
            </w:r>
            <w:r w:rsidRPr="0028025F">
              <w:rPr>
                <w:rStyle w:val="1f8"/>
                <w:color w:val="FF0000"/>
              </w:rPr>
              <w:t>，处理工艺为预处理</w:t>
            </w:r>
            <w:r w:rsidRPr="0028025F">
              <w:rPr>
                <w:rStyle w:val="1f8"/>
                <w:color w:val="FF0000"/>
              </w:rPr>
              <w:t>-</w:t>
            </w:r>
            <w:r w:rsidRPr="0028025F">
              <w:rPr>
                <w:rStyle w:val="1f8"/>
                <w:color w:val="FF0000"/>
              </w:rPr>
              <w:t>一体化反应池</w:t>
            </w:r>
            <w:r w:rsidRPr="0028025F">
              <w:rPr>
                <w:rStyle w:val="1f8"/>
                <w:color w:val="FF0000"/>
              </w:rPr>
              <w:t>-</w:t>
            </w:r>
            <w:r w:rsidRPr="0028025F">
              <w:rPr>
                <w:rStyle w:val="1f8"/>
                <w:color w:val="FF0000"/>
              </w:rPr>
              <w:t>气浮</w:t>
            </w:r>
            <w:r w:rsidRPr="0028025F">
              <w:rPr>
                <w:rStyle w:val="1f8"/>
                <w:color w:val="FF0000"/>
              </w:rPr>
              <w:t>-</w:t>
            </w:r>
            <w:r w:rsidRPr="0028025F">
              <w:rPr>
                <w:rStyle w:val="1f8"/>
                <w:color w:val="FF0000"/>
              </w:rPr>
              <w:t>斜板沉淀</w:t>
            </w:r>
            <w:r w:rsidRPr="0028025F">
              <w:rPr>
                <w:rStyle w:val="1f8"/>
                <w:color w:val="FF0000"/>
              </w:rPr>
              <w:t>-A</w:t>
            </w:r>
            <w:r w:rsidRPr="0028025F">
              <w:rPr>
                <w:rStyle w:val="1f8"/>
                <w:color w:val="FF0000"/>
                <w:vertAlign w:val="superscript"/>
              </w:rPr>
              <w:t>2</w:t>
            </w:r>
            <w:r w:rsidRPr="0028025F">
              <w:rPr>
                <w:rStyle w:val="1f8"/>
                <w:color w:val="FF0000"/>
              </w:rPr>
              <w:t>/O-MBR</w:t>
            </w:r>
            <w:r w:rsidRPr="0028025F">
              <w:rPr>
                <w:rStyle w:val="1f8"/>
                <w:color w:val="FF0000"/>
              </w:rPr>
              <w:t>膜池</w:t>
            </w:r>
            <w:r w:rsidRPr="0028025F">
              <w:rPr>
                <w:rStyle w:val="1f8"/>
                <w:color w:val="FF0000"/>
              </w:rPr>
              <w:t>-</w:t>
            </w:r>
            <w:r w:rsidRPr="0028025F">
              <w:rPr>
                <w:rStyle w:val="1f8"/>
                <w:color w:val="FF0000"/>
              </w:rPr>
              <w:t>纳滤</w:t>
            </w:r>
            <w:r w:rsidRPr="0028025F">
              <w:rPr>
                <w:rStyle w:val="1f8"/>
                <w:color w:val="FF0000"/>
              </w:rPr>
              <w:t>-</w:t>
            </w:r>
            <w:r w:rsidRPr="0028025F">
              <w:rPr>
                <w:rStyle w:val="1f8"/>
                <w:color w:val="FF0000"/>
              </w:rPr>
              <w:t>反渗透，填埋场渗沥液经收集处理达标后，部分用于场内自用，剩余尾水采用槽罐车运输方式，运至柞水县污水处理厂</w:t>
            </w:r>
            <w:r w:rsidRPr="0028025F">
              <w:rPr>
                <w:rStyle w:val="1f8"/>
                <w:rFonts w:hint="eastAsia"/>
                <w:color w:val="FF0000"/>
              </w:rPr>
              <w:t>。</w:t>
            </w:r>
          </w:p>
        </w:tc>
        <w:tc>
          <w:tcPr>
            <w:tcW w:w="1118" w:type="dxa"/>
          </w:tcPr>
          <w:p w14:paraId="56289571" w14:textId="7C009011" w:rsidR="0028025F" w:rsidRDefault="0028025F" w:rsidP="0028025F">
            <w:pPr>
              <w:jc w:val="center"/>
              <w:rPr>
                <w:rStyle w:val="1f8"/>
              </w:rPr>
            </w:pPr>
            <w:r w:rsidRPr="00A7718A">
              <w:rPr>
                <w:rStyle w:val="1f8"/>
              </w:rPr>
              <w:t>符合</w:t>
            </w:r>
          </w:p>
        </w:tc>
      </w:tr>
      <w:tr w:rsidR="0028025F" w14:paraId="05053B67" w14:textId="77777777" w:rsidTr="00E756FC">
        <w:trPr>
          <w:trHeight w:val="325"/>
          <w:jc w:val="center"/>
        </w:trPr>
        <w:tc>
          <w:tcPr>
            <w:tcW w:w="1761" w:type="dxa"/>
            <w:vMerge/>
            <w:vAlign w:val="center"/>
          </w:tcPr>
          <w:p w14:paraId="0D3438CB"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27738469" w14:textId="2069F5F3" w:rsidR="0028025F" w:rsidRPr="0028025F" w:rsidRDefault="0028025F" w:rsidP="0028025F">
            <w:pPr>
              <w:autoSpaceDE w:val="0"/>
              <w:autoSpaceDN w:val="0"/>
              <w:adjustRightInd w:val="0"/>
              <w:rPr>
                <w:rStyle w:val="1f8"/>
                <w:rFonts w:ascii="Times New Roman" w:eastAsia="宋体" w:cs="Times New Roman"/>
                <w:color w:val="FF0000"/>
              </w:rPr>
            </w:pPr>
            <w:r w:rsidRPr="0028025F">
              <w:rPr>
                <w:rStyle w:val="1f8"/>
                <w:rFonts w:ascii="Times New Roman" w:eastAsia="宋体" w:cs="Times New Roman" w:hint="eastAsia"/>
                <w:color w:val="FF0000"/>
              </w:rPr>
              <w:t>填埋场必须设置有效的填埋气体导排设施，严防填埋气体自然聚集、迁移引起的火灾和爆炸。</w:t>
            </w:r>
          </w:p>
        </w:tc>
        <w:tc>
          <w:tcPr>
            <w:tcW w:w="3094" w:type="dxa"/>
            <w:vAlign w:val="center"/>
          </w:tcPr>
          <w:p w14:paraId="15AB809F" w14:textId="6CB01B09"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生活垃圾填埋库区内设导气石笼，填埋气通过导气井直接排放，填埋区定时喷洒除臭剂，采用便捷式甲烷测定仪定期对填埋区和填埋区气体进行监测。若发现导气管排放口甲烷体积分数大于</w:t>
            </w:r>
            <w:r w:rsidRPr="0028025F">
              <w:rPr>
                <w:rStyle w:val="1f8"/>
                <w:color w:val="FF0000"/>
              </w:rPr>
              <w:t>5%</w:t>
            </w:r>
            <w:r w:rsidRPr="0028025F">
              <w:rPr>
                <w:rStyle w:val="1f8"/>
                <w:color w:val="FF0000"/>
              </w:rPr>
              <w:t>时，采用火炬燃烧方式进行处理。</w:t>
            </w:r>
          </w:p>
        </w:tc>
        <w:tc>
          <w:tcPr>
            <w:tcW w:w="1118" w:type="dxa"/>
          </w:tcPr>
          <w:p w14:paraId="6F720A62" w14:textId="3CA3D6E9" w:rsidR="0028025F" w:rsidRDefault="0028025F" w:rsidP="0028025F">
            <w:pPr>
              <w:jc w:val="center"/>
              <w:rPr>
                <w:rStyle w:val="1f8"/>
              </w:rPr>
            </w:pPr>
            <w:r w:rsidRPr="00A7718A">
              <w:rPr>
                <w:rStyle w:val="1f8"/>
              </w:rPr>
              <w:t>符合</w:t>
            </w:r>
          </w:p>
        </w:tc>
      </w:tr>
      <w:tr w:rsidR="0028025F" w14:paraId="4D4B53D6" w14:textId="77777777" w:rsidTr="00E756FC">
        <w:trPr>
          <w:trHeight w:val="325"/>
          <w:jc w:val="center"/>
        </w:trPr>
        <w:tc>
          <w:tcPr>
            <w:tcW w:w="1761" w:type="dxa"/>
            <w:vMerge w:val="restart"/>
            <w:vAlign w:val="center"/>
          </w:tcPr>
          <w:p w14:paraId="776BFF54" w14:textId="4D79026C" w:rsidR="0028025F" w:rsidRPr="0028025F" w:rsidRDefault="0028025F" w:rsidP="0028025F">
            <w:pPr>
              <w:pStyle w:val="a8"/>
              <w:ind w:firstLineChars="0" w:firstLine="0"/>
              <w:jc w:val="center"/>
              <w:rPr>
                <w:rStyle w:val="1f8"/>
                <w:color w:val="FF0000"/>
              </w:rPr>
            </w:pPr>
            <w:r w:rsidRPr="0028025F">
              <w:rPr>
                <w:rStyle w:val="1f8"/>
                <w:rFonts w:hint="eastAsia"/>
                <w:color w:val="FF0000"/>
              </w:rPr>
              <w:t>《生活垃圾渗滤液处理技术规范》（</w:t>
            </w:r>
            <w:r w:rsidRPr="0028025F">
              <w:rPr>
                <w:rStyle w:val="1f8"/>
                <w:color w:val="FF0000"/>
              </w:rPr>
              <w:t>CJJ150-2010</w:t>
            </w:r>
            <w:r w:rsidRPr="0028025F">
              <w:rPr>
                <w:rStyle w:val="1f8"/>
                <w:color w:val="FF0000"/>
              </w:rPr>
              <w:t>）</w:t>
            </w:r>
          </w:p>
        </w:tc>
        <w:tc>
          <w:tcPr>
            <w:tcW w:w="3763" w:type="dxa"/>
            <w:vAlign w:val="center"/>
          </w:tcPr>
          <w:p w14:paraId="052F32FA" w14:textId="371CC161" w:rsidR="0028025F" w:rsidRPr="0028025F" w:rsidRDefault="0028025F" w:rsidP="0028025F">
            <w:pPr>
              <w:pStyle w:val="a8"/>
              <w:ind w:firstLineChars="0" w:firstLine="0"/>
              <w:rPr>
                <w:rStyle w:val="1f8"/>
                <w:color w:val="FF0000"/>
              </w:rPr>
            </w:pPr>
            <w:r w:rsidRPr="0028025F">
              <w:rPr>
                <w:rStyle w:val="1f8"/>
                <w:rFonts w:hint="eastAsia"/>
                <w:color w:val="FF0000"/>
              </w:rPr>
              <w:t>渗滤液处理工艺宜采用组合处理工艺，组合处理工艺应以生物处理为主体工艺。渗滤液处理工艺可分为预处理、生物处理和深度处理。渗滤液处理工程应设调节池，并采取有效措施均化水质、水量。</w:t>
            </w:r>
          </w:p>
        </w:tc>
        <w:tc>
          <w:tcPr>
            <w:tcW w:w="3094" w:type="dxa"/>
            <w:vAlign w:val="center"/>
          </w:tcPr>
          <w:p w14:paraId="7EC3653A" w14:textId="42305F6C" w:rsidR="0028025F" w:rsidRPr="0028025F" w:rsidRDefault="0028025F" w:rsidP="0028025F">
            <w:pPr>
              <w:pStyle w:val="a8"/>
              <w:ind w:firstLineChars="0" w:firstLine="0"/>
              <w:rPr>
                <w:rStyle w:val="1f8"/>
                <w:color w:val="FF0000"/>
              </w:rPr>
            </w:pPr>
            <w:r w:rsidRPr="0028025F">
              <w:rPr>
                <w:rStyle w:val="1f8"/>
                <w:rFonts w:hint="eastAsia"/>
                <w:color w:val="FF0000"/>
              </w:rPr>
              <w:t>本项目设有渗滤液处理车间。渗滤液处理车间处理规模为</w:t>
            </w:r>
            <w:r w:rsidRPr="0028025F">
              <w:rPr>
                <w:rStyle w:val="1f8"/>
                <w:color w:val="FF0000"/>
              </w:rPr>
              <w:t>65t/d</w:t>
            </w:r>
            <w:r w:rsidRPr="0028025F">
              <w:rPr>
                <w:rStyle w:val="1f8"/>
                <w:color w:val="FF0000"/>
              </w:rPr>
              <w:t>，处理工艺为</w:t>
            </w:r>
            <w:r w:rsidRPr="0028025F">
              <w:rPr>
                <w:rStyle w:val="1f8"/>
                <w:rFonts w:hint="eastAsia"/>
                <w:color w:val="FF0000"/>
              </w:rPr>
              <w:t>预处理（</w:t>
            </w:r>
            <w:r w:rsidRPr="0028025F">
              <w:rPr>
                <w:rStyle w:val="1f8"/>
                <w:color w:val="FF0000"/>
              </w:rPr>
              <w:t>预处理</w:t>
            </w:r>
            <w:r w:rsidRPr="0028025F">
              <w:rPr>
                <w:rStyle w:val="1f8"/>
                <w:color w:val="FF0000"/>
              </w:rPr>
              <w:t>-</w:t>
            </w:r>
            <w:r w:rsidRPr="0028025F">
              <w:rPr>
                <w:rStyle w:val="1f8"/>
                <w:color w:val="FF0000"/>
              </w:rPr>
              <w:t>一体化反应池</w:t>
            </w:r>
            <w:r w:rsidRPr="0028025F">
              <w:rPr>
                <w:rStyle w:val="1f8"/>
                <w:color w:val="FF0000"/>
              </w:rPr>
              <w:t>-</w:t>
            </w:r>
            <w:r w:rsidRPr="0028025F">
              <w:rPr>
                <w:rStyle w:val="1f8"/>
                <w:color w:val="FF0000"/>
              </w:rPr>
              <w:t>气浮</w:t>
            </w:r>
            <w:r w:rsidRPr="0028025F">
              <w:rPr>
                <w:rStyle w:val="1f8"/>
                <w:color w:val="FF0000"/>
              </w:rPr>
              <w:t>-</w:t>
            </w:r>
            <w:r w:rsidRPr="0028025F">
              <w:rPr>
                <w:rStyle w:val="1f8"/>
                <w:color w:val="FF0000"/>
              </w:rPr>
              <w:t>斜板沉淀</w:t>
            </w:r>
            <w:r w:rsidRPr="0028025F">
              <w:rPr>
                <w:rStyle w:val="1f8"/>
                <w:rFonts w:hint="eastAsia"/>
                <w:color w:val="FF0000"/>
              </w:rPr>
              <w:t>）</w:t>
            </w:r>
            <w:r w:rsidRPr="0028025F">
              <w:rPr>
                <w:rStyle w:val="1f8"/>
                <w:rFonts w:hint="eastAsia"/>
                <w:color w:val="FF0000"/>
              </w:rPr>
              <w:t>+</w:t>
            </w:r>
            <w:r w:rsidRPr="0028025F">
              <w:rPr>
                <w:rStyle w:val="1f8"/>
                <w:rFonts w:hint="eastAsia"/>
                <w:color w:val="FF0000"/>
              </w:rPr>
              <w:t>生物处理（</w:t>
            </w:r>
            <w:r w:rsidRPr="0028025F">
              <w:rPr>
                <w:rStyle w:val="1f8"/>
                <w:color w:val="FF0000"/>
              </w:rPr>
              <w:t>A</w:t>
            </w:r>
            <w:r w:rsidRPr="0028025F">
              <w:rPr>
                <w:rStyle w:val="1f8"/>
                <w:color w:val="FF0000"/>
                <w:vertAlign w:val="superscript"/>
              </w:rPr>
              <w:t>2</w:t>
            </w:r>
            <w:r w:rsidRPr="0028025F">
              <w:rPr>
                <w:rStyle w:val="1f8"/>
                <w:color w:val="FF0000"/>
              </w:rPr>
              <w:t>/O-MBR</w:t>
            </w:r>
            <w:r w:rsidRPr="0028025F">
              <w:rPr>
                <w:rStyle w:val="1f8"/>
                <w:color w:val="FF0000"/>
              </w:rPr>
              <w:t>膜池</w:t>
            </w:r>
            <w:r w:rsidRPr="0028025F">
              <w:rPr>
                <w:rStyle w:val="1f8"/>
                <w:rFonts w:hint="eastAsia"/>
                <w:color w:val="FF0000"/>
              </w:rPr>
              <w:t>）</w:t>
            </w:r>
            <w:r w:rsidRPr="0028025F">
              <w:rPr>
                <w:rStyle w:val="1f8"/>
                <w:color w:val="FF0000"/>
              </w:rPr>
              <w:t>+</w:t>
            </w:r>
            <w:r w:rsidRPr="0028025F">
              <w:rPr>
                <w:rStyle w:val="1f8"/>
                <w:rFonts w:hint="eastAsia"/>
                <w:color w:val="FF0000"/>
              </w:rPr>
              <w:t>深度处理（</w:t>
            </w:r>
            <w:r w:rsidRPr="0028025F">
              <w:rPr>
                <w:rStyle w:val="1f8"/>
                <w:color w:val="FF0000"/>
              </w:rPr>
              <w:t>纳滤</w:t>
            </w:r>
            <w:r w:rsidRPr="0028025F">
              <w:rPr>
                <w:rStyle w:val="1f8"/>
                <w:color w:val="FF0000"/>
              </w:rPr>
              <w:t>-</w:t>
            </w:r>
            <w:r w:rsidRPr="0028025F">
              <w:rPr>
                <w:rStyle w:val="1f8"/>
                <w:color w:val="FF0000"/>
              </w:rPr>
              <w:t>反渗透</w:t>
            </w:r>
            <w:r w:rsidRPr="0028025F">
              <w:rPr>
                <w:rStyle w:val="1f8"/>
                <w:rFonts w:hint="eastAsia"/>
                <w:color w:val="FF0000"/>
              </w:rPr>
              <w:t>）。项目设有一座有效容积为</w:t>
            </w:r>
            <w:r w:rsidRPr="0028025F">
              <w:rPr>
                <w:rStyle w:val="1f8"/>
                <w:rFonts w:hint="eastAsia"/>
                <w:color w:val="FF0000"/>
              </w:rPr>
              <w:t>1</w:t>
            </w:r>
            <w:r w:rsidRPr="0028025F">
              <w:rPr>
                <w:rStyle w:val="1f8"/>
                <w:color w:val="FF0000"/>
              </w:rPr>
              <w:t>800</w:t>
            </w:r>
            <w:r w:rsidRPr="0028025F">
              <w:rPr>
                <w:rStyle w:val="1f8"/>
                <w:rFonts w:hint="eastAsia"/>
                <w:color w:val="FF0000"/>
              </w:rPr>
              <w:t>m</w:t>
            </w:r>
            <w:r w:rsidRPr="0028025F">
              <w:rPr>
                <w:rStyle w:val="1f8"/>
                <w:color w:val="FF0000"/>
                <w:vertAlign w:val="superscript"/>
              </w:rPr>
              <w:t>3</w:t>
            </w:r>
            <w:r w:rsidRPr="0028025F">
              <w:rPr>
                <w:rStyle w:val="1f8"/>
                <w:rFonts w:hint="eastAsia"/>
                <w:color w:val="FF0000"/>
              </w:rPr>
              <w:t>的调节池，用于均化水质、水量。</w:t>
            </w:r>
          </w:p>
        </w:tc>
        <w:tc>
          <w:tcPr>
            <w:tcW w:w="1118" w:type="dxa"/>
          </w:tcPr>
          <w:p w14:paraId="290F5C0E" w14:textId="7478707F" w:rsidR="0028025F" w:rsidRDefault="0028025F" w:rsidP="0028025F">
            <w:pPr>
              <w:jc w:val="center"/>
              <w:rPr>
                <w:rStyle w:val="1f8"/>
              </w:rPr>
            </w:pPr>
            <w:r w:rsidRPr="00A7718A">
              <w:rPr>
                <w:rStyle w:val="1f8"/>
              </w:rPr>
              <w:t>符合</w:t>
            </w:r>
          </w:p>
        </w:tc>
      </w:tr>
      <w:tr w:rsidR="0028025F" w14:paraId="43306E59" w14:textId="77777777" w:rsidTr="00E756FC">
        <w:trPr>
          <w:trHeight w:val="325"/>
          <w:jc w:val="center"/>
        </w:trPr>
        <w:tc>
          <w:tcPr>
            <w:tcW w:w="1761" w:type="dxa"/>
            <w:vMerge/>
            <w:vAlign w:val="center"/>
          </w:tcPr>
          <w:p w14:paraId="0013139C"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76E407F5" w14:textId="2277DDFB" w:rsidR="0028025F" w:rsidRPr="0028025F" w:rsidRDefault="0028025F" w:rsidP="0028025F">
            <w:pPr>
              <w:pStyle w:val="a8"/>
              <w:ind w:firstLineChars="0" w:firstLine="0"/>
              <w:rPr>
                <w:rStyle w:val="1f8"/>
                <w:color w:val="FF0000"/>
              </w:rPr>
            </w:pPr>
            <w:r w:rsidRPr="0028025F">
              <w:rPr>
                <w:rStyle w:val="1f8"/>
                <w:rFonts w:hint="eastAsia"/>
                <w:color w:val="FF0000"/>
              </w:rPr>
              <w:t>渗滤液处理中产生的污泥宜与城市污水处理厂污泥一并处理，当进入垃圾填埋场处置或单独处理时，含水率不宜大于</w:t>
            </w:r>
            <w:r w:rsidRPr="0028025F">
              <w:rPr>
                <w:rStyle w:val="1f8"/>
                <w:rFonts w:hint="eastAsia"/>
                <w:color w:val="FF0000"/>
              </w:rPr>
              <w:t>8</w:t>
            </w:r>
            <w:r w:rsidRPr="0028025F">
              <w:rPr>
                <w:rStyle w:val="1f8"/>
                <w:color w:val="FF0000"/>
              </w:rPr>
              <w:t>0</w:t>
            </w:r>
            <w:r w:rsidRPr="0028025F">
              <w:rPr>
                <w:rStyle w:val="1f8"/>
                <w:rFonts w:hint="eastAsia"/>
                <w:color w:val="FF0000"/>
              </w:rPr>
              <w:t>%</w:t>
            </w:r>
            <w:r w:rsidRPr="0028025F">
              <w:rPr>
                <w:rStyle w:val="1f8"/>
                <w:rFonts w:hint="eastAsia"/>
                <w:color w:val="FF0000"/>
              </w:rPr>
              <w:t>。</w:t>
            </w:r>
          </w:p>
        </w:tc>
        <w:tc>
          <w:tcPr>
            <w:tcW w:w="3094" w:type="dxa"/>
            <w:vAlign w:val="center"/>
          </w:tcPr>
          <w:p w14:paraId="25123C5D" w14:textId="5527F2F3" w:rsidR="0028025F" w:rsidRPr="0028025F" w:rsidRDefault="0028025F" w:rsidP="0028025F">
            <w:pPr>
              <w:pStyle w:val="a8"/>
              <w:ind w:firstLineChars="0" w:firstLine="0"/>
              <w:rPr>
                <w:rStyle w:val="1f8"/>
                <w:color w:val="FF0000"/>
              </w:rPr>
            </w:pPr>
            <w:r w:rsidRPr="0028025F">
              <w:rPr>
                <w:rStyle w:val="1f8"/>
                <w:rFonts w:hint="eastAsia"/>
                <w:color w:val="FF0000"/>
              </w:rPr>
              <w:t>渗滤液处理系统会产生污泥，污泥经厢式隔膜压滤脱水机进行脱水，脱水后为含水率约</w:t>
            </w:r>
            <w:r w:rsidRPr="0028025F">
              <w:rPr>
                <w:rStyle w:val="1f8"/>
                <w:color w:val="FF0000"/>
              </w:rPr>
              <w:t>60%</w:t>
            </w:r>
            <w:r w:rsidRPr="0028025F">
              <w:rPr>
                <w:rStyle w:val="1f8"/>
                <w:color w:val="FF0000"/>
              </w:rPr>
              <w:t>的泥饼，运至本项目填埋区卫生填埋</w:t>
            </w:r>
            <w:r w:rsidRPr="0028025F">
              <w:rPr>
                <w:rStyle w:val="1f8"/>
                <w:rFonts w:hint="eastAsia"/>
                <w:color w:val="FF0000"/>
              </w:rPr>
              <w:t>。本项目填埋区可接受城镇生活污水厂污泥，因此可接受本项目渗滤液处理产生污泥。</w:t>
            </w:r>
          </w:p>
        </w:tc>
        <w:tc>
          <w:tcPr>
            <w:tcW w:w="1118" w:type="dxa"/>
          </w:tcPr>
          <w:p w14:paraId="47A294BA" w14:textId="4B80BFC2" w:rsidR="0028025F" w:rsidRDefault="0028025F" w:rsidP="0028025F">
            <w:pPr>
              <w:jc w:val="center"/>
              <w:rPr>
                <w:rStyle w:val="1f8"/>
              </w:rPr>
            </w:pPr>
            <w:r w:rsidRPr="00A7718A">
              <w:rPr>
                <w:rStyle w:val="1f8"/>
              </w:rPr>
              <w:t>符合</w:t>
            </w:r>
          </w:p>
        </w:tc>
      </w:tr>
      <w:tr w:rsidR="0028025F" w14:paraId="0284525E" w14:textId="77777777" w:rsidTr="00E756FC">
        <w:trPr>
          <w:trHeight w:val="325"/>
          <w:jc w:val="center"/>
        </w:trPr>
        <w:tc>
          <w:tcPr>
            <w:tcW w:w="1761" w:type="dxa"/>
            <w:vMerge/>
            <w:vAlign w:val="center"/>
          </w:tcPr>
          <w:p w14:paraId="0101605E"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2CDAA79A" w14:textId="2A7D6543" w:rsidR="0028025F" w:rsidRPr="0028025F" w:rsidRDefault="0028025F" w:rsidP="0028025F">
            <w:pPr>
              <w:pStyle w:val="a8"/>
              <w:ind w:firstLineChars="0" w:firstLine="0"/>
              <w:rPr>
                <w:rStyle w:val="1f8"/>
                <w:color w:val="FF0000"/>
              </w:rPr>
            </w:pPr>
            <w:r w:rsidRPr="0028025F">
              <w:rPr>
                <w:rStyle w:val="1f8"/>
                <w:rFonts w:hint="eastAsia"/>
                <w:color w:val="FF0000"/>
              </w:rPr>
              <w:t>调节池、污泥脱水设施等主要恶臭产生源应采取密闭、局部隔离及抽吸等措施，臭气应集中处理后有组织排放。</w:t>
            </w:r>
          </w:p>
        </w:tc>
        <w:tc>
          <w:tcPr>
            <w:tcW w:w="3094" w:type="dxa"/>
            <w:vAlign w:val="center"/>
          </w:tcPr>
          <w:p w14:paraId="5B5C944A" w14:textId="04763BB2" w:rsidR="0028025F" w:rsidRPr="0028025F" w:rsidRDefault="0028025F" w:rsidP="0028025F">
            <w:pPr>
              <w:pStyle w:val="a8"/>
              <w:ind w:firstLineChars="0" w:firstLine="0"/>
              <w:rPr>
                <w:rStyle w:val="1f8"/>
                <w:color w:val="FF0000"/>
              </w:rPr>
            </w:pPr>
            <w:r w:rsidRPr="0028025F">
              <w:rPr>
                <w:rStyle w:val="1f8"/>
                <w:rFonts w:hint="eastAsia"/>
                <w:color w:val="FF0000"/>
              </w:rPr>
              <w:t>项目拟设一套离子除臭系统，渗滤液调节池和渗滤液处理系统均密闭加盖，</w:t>
            </w:r>
            <w:r w:rsidRPr="0028025F">
              <w:rPr>
                <w:rStyle w:val="1f8"/>
                <w:color w:val="FF0000"/>
              </w:rPr>
              <w:t>收集后的恶臭污染</w:t>
            </w:r>
            <w:r w:rsidRPr="0028025F">
              <w:rPr>
                <w:rStyle w:val="1f8"/>
                <w:color w:val="FF0000"/>
              </w:rPr>
              <w:lastRenderedPageBreak/>
              <w:t>物进入离子除臭系统进行处理，处理达标后的尾气经</w:t>
            </w:r>
            <w:r w:rsidRPr="0028025F">
              <w:rPr>
                <w:rStyle w:val="1f8"/>
                <w:color w:val="FF0000"/>
              </w:rPr>
              <w:t>15m</w:t>
            </w:r>
            <w:r w:rsidRPr="0028025F">
              <w:rPr>
                <w:rStyle w:val="1f8"/>
                <w:color w:val="FF0000"/>
              </w:rPr>
              <w:t>高的排气筒外排。</w:t>
            </w:r>
          </w:p>
        </w:tc>
        <w:tc>
          <w:tcPr>
            <w:tcW w:w="1118" w:type="dxa"/>
          </w:tcPr>
          <w:p w14:paraId="09B1BBF5" w14:textId="254946A0" w:rsidR="0028025F" w:rsidRDefault="0028025F" w:rsidP="0028025F">
            <w:pPr>
              <w:jc w:val="center"/>
              <w:rPr>
                <w:rStyle w:val="1f8"/>
              </w:rPr>
            </w:pPr>
            <w:r w:rsidRPr="00A7718A">
              <w:rPr>
                <w:rStyle w:val="1f8"/>
              </w:rPr>
              <w:lastRenderedPageBreak/>
              <w:t>符合</w:t>
            </w:r>
          </w:p>
        </w:tc>
      </w:tr>
      <w:tr w:rsidR="0028025F" w14:paraId="05D43EA6" w14:textId="77777777" w:rsidTr="00E756FC">
        <w:trPr>
          <w:trHeight w:val="1560"/>
          <w:jc w:val="center"/>
        </w:trPr>
        <w:tc>
          <w:tcPr>
            <w:tcW w:w="1761" w:type="dxa"/>
            <w:vMerge w:val="restart"/>
            <w:vAlign w:val="center"/>
          </w:tcPr>
          <w:p w14:paraId="29747E11" w14:textId="1DC601F2" w:rsidR="0028025F" w:rsidRPr="0028025F" w:rsidRDefault="0028025F" w:rsidP="0028025F">
            <w:pPr>
              <w:pStyle w:val="a8"/>
              <w:ind w:firstLineChars="0" w:firstLine="0"/>
              <w:jc w:val="center"/>
              <w:rPr>
                <w:rStyle w:val="1f8"/>
                <w:color w:val="FF0000"/>
              </w:rPr>
            </w:pPr>
            <w:r w:rsidRPr="0028025F">
              <w:rPr>
                <w:rStyle w:val="1f8"/>
                <w:rFonts w:hint="eastAsia"/>
                <w:color w:val="FF0000"/>
              </w:rPr>
              <w:lastRenderedPageBreak/>
              <w:t>《生活垃圾填埋场渗滤液处理工程技术规范》（试行）（</w:t>
            </w:r>
            <w:r w:rsidRPr="0028025F">
              <w:rPr>
                <w:rStyle w:val="1f8"/>
                <w:color w:val="FF0000"/>
              </w:rPr>
              <w:t>HJ564-2010</w:t>
            </w:r>
            <w:r w:rsidRPr="0028025F">
              <w:rPr>
                <w:rStyle w:val="1f8"/>
                <w:color w:val="FF0000"/>
              </w:rPr>
              <w:t>）</w:t>
            </w:r>
          </w:p>
        </w:tc>
        <w:tc>
          <w:tcPr>
            <w:tcW w:w="3763" w:type="dxa"/>
            <w:vAlign w:val="center"/>
          </w:tcPr>
          <w:p w14:paraId="75151708" w14:textId="0BCD9AB6" w:rsidR="0028025F" w:rsidRPr="0028025F" w:rsidRDefault="0028025F" w:rsidP="0028025F">
            <w:pPr>
              <w:pStyle w:val="a8"/>
              <w:ind w:firstLineChars="0" w:firstLine="0"/>
              <w:rPr>
                <w:rStyle w:val="1f8"/>
                <w:color w:val="FF0000"/>
              </w:rPr>
            </w:pPr>
            <w:r w:rsidRPr="0028025F">
              <w:rPr>
                <w:rStyle w:val="1f8"/>
                <w:rFonts w:hint="eastAsia"/>
                <w:color w:val="FF0000"/>
              </w:rPr>
              <w:t>在填埋区与渗滤液处理设施间必须设置渗滤液调节池。渗滤液处理厂（站）应按照《污染源自动监控管理办法》的规定，安装污染物排放连续监测设备。</w:t>
            </w:r>
          </w:p>
        </w:tc>
        <w:tc>
          <w:tcPr>
            <w:tcW w:w="3094" w:type="dxa"/>
            <w:vAlign w:val="center"/>
          </w:tcPr>
          <w:p w14:paraId="45218B56" w14:textId="227A8057" w:rsidR="0028025F" w:rsidRPr="0028025F" w:rsidRDefault="0028025F" w:rsidP="0028025F">
            <w:pPr>
              <w:pStyle w:val="a8"/>
              <w:ind w:firstLineChars="0" w:firstLine="0"/>
              <w:rPr>
                <w:rStyle w:val="1f8"/>
                <w:color w:val="FF0000"/>
              </w:rPr>
            </w:pPr>
            <w:r w:rsidRPr="0028025F">
              <w:rPr>
                <w:rStyle w:val="1f8"/>
                <w:rFonts w:hint="eastAsia"/>
                <w:color w:val="FF0000"/>
              </w:rPr>
              <w:t>项目设有一座有效容积为</w:t>
            </w:r>
            <w:r w:rsidRPr="0028025F">
              <w:rPr>
                <w:rStyle w:val="1f8"/>
                <w:rFonts w:hint="eastAsia"/>
                <w:color w:val="FF0000"/>
              </w:rPr>
              <w:t>1</w:t>
            </w:r>
            <w:r w:rsidRPr="0028025F">
              <w:rPr>
                <w:rStyle w:val="1f8"/>
                <w:color w:val="FF0000"/>
              </w:rPr>
              <w:t>800</w:t>
            </w:r>
            <w:r w:rsidRPr="0028025F">
              <w:rPr>
                <w:rStyle w:val="1f8"/>
                <w:rFonts w:hint="eastAsia"/>
                <w:color w:val="FF0000"/>
              </w:rPr>
              <w:t>m</w:t>
            </w:r>
            <w:r w:rsidRPr="0028025F">
              <w:rPr>
                <w:rStyle w:val="1f8"/>
                <w:color w:val="FF0000"/>
                <w:vertAlign w:val="superscript"/>
              </w:rPr>
              <w:t>3</w:t>
            </w:r>
            <w:r w:rsidRPr="0028025F">
              <w:rPr>
                <w:rStyle w:val="1f8"/>
                <w:rFonts w:hint="eastAsia"/>
                <w:color w:val="FF0000"/>
              </w:rPr>
              <w:t>的调节池，用于均化水质、水量。项目渗滤液处理车间设有污染物排放连续监测设备。</w:t>
            </w:r>
          </w:p>
        </w:tc>
        <w:tc>
          <w:tcPr>
            <w:tcW w:w="1118" w:type="dxa"/>
            <w:vMerge w:val="restart"/>
          </w:tcPr>
          <w:p w14:paraId="32EB3EC8" w14:textId="0727371A" w:rsidR="0028025F" w:rsidRDefault="0028025F" w:rsidP="0028025F">
            <w:pPr>
              <w:jc w:val="center"/>
              <w:rPr>
                <w:rStyle w:val="1f8"/>
              </w:rPr>
            </w:pPr>
            <w:r w:rsidRPr="00A7718A">
              <w:rPr>
                <w:rStyle w:val="1f8"/>
              </w:rPr>
              <w:t>符合</w:t>
            </w:r>
          </w:p>
        </w:tc>
      </w:tr>
      <w:tr w:rsidR="0028025F" w14:paraId="6E0EDF6F" w14:textId="77777777" w:rsidTr="00E756FC">
        <w:trPr>
          <w:trHeight w:val="1560"/>
          <w:jc w:val="center"/>
        </w:trPr>
        <w:tc>
          <w:tcPr>
            <w:tcW w:w="1761" w:type="dxa"/>
            <w:vMerge/>
            <w:vAlign w:val="center"/>
          </w:tcPr>
          <w:p w14:paraId="4F6F9257"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064DEDAC" w14:textId="111F93E3"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生活垃圾填埋场渗滤液主体处理构筑物与设备包括预处理系统、生物处理系统、深度处理系统、污泥及浓缩液处理系统等；处理后废水应按国家和地方有关规定设置规范化排污口统一排放。</w:t>
            </w:r>
          </w:p>
        </w:tc>
        <w:tc>
          <w:tcPr>
            <w:tcW w:w="3094" w:type="dxa"/>
            <w:vMerge w:val="restart"/>
            <w:vAlign w:val="center"/>
          </w:tcPr>
          <w:p w14:paraId="76A39FB2" w14:textId="019D483F" w:rsidR="0028025F" w:rsidRPr="0028025F" w:rsidRDefault="0028025F" w:rsidP="0028025F">
            <w:pPr>
              <w:pStyle w:val="a8"/>
              <w:ind w:firstLineChars="0" w:firstLine="0"/>
              <w:rPr>
                <w:rStyle w:val="1f8"/>
                <w:color w:val="FF0000"/>
              </w:rPr>
            </w:pPr>
            <w:r w:rsidRPr="0028025F">
              <w:rPr>
                <w:rStyle w:val="1f8"/>
                <w:rFonts w:hint="eastAsia"/>
                <w:color w:val="FF0000"/>
              </w:rPr>
              <w:t>渗滤液处理车间处理规模为</w:t>
            </w:r>
            <w:r w:rsidRPr="0028025F">
              <w:rPr>
                <w:rStyle w:val="1f8"/>
                <w:color w:val="FF0000"/>
              </w:rPr>
              <w:t>65t/d</w:t>
            </w:r>
            <w:r w:rsidRPr="0028025F">
              <w:rPr>
                <w:rStyle w:val="1f8"/>
                <w:color w:val="FF0000"/>
              </w:rPr>
              <w:t>，处理工艺为</w:t>
            </w:r>
            <w:r w:rsidRPr="0028025F">
              <w:rPr>
                <w:rStyle w:val="1f8"/>
                <w:rFonts w:hint="eastAsia"/>
                <w:color w:val="FF0000"/>
              </w:rPr>
              <w:t>预处理（</w:t>
            </w:r>
            <w:r w:rsidRPr="0028025F">
              <w:rPr>
                <w:rStyle w:val="1f8"/>
                <w:color w:val="FF0000"/>
              </w:rPr>
              <w:t>预处理</w:t>
            </w:r>
            <w:r w:rsidRPr="0028025F">
              <w:rPr>
                <w:rStyle w:val="1f8"/>
                <w:color w:val="FF0000"/>
              </w:rPr>
              <w:t>-</w:t>
            </w:r>
            <w:r w:rsidRPr="0028025F">
              <w:rPr>
                <w:rStyle w:val="1f8"/>
                <w:color w:val="FF0000"/>
              </w:rPr>
              <w:t>一体化反应池</w:t>
            </w:r>
            <w:r w:rsidRPr="0028025F">
              <w:rPr>
                <w:rStyle w:val="1f8"/>
                <w:color w:val="FF0000"/>
              </w:rPr>
              <w:t>-</w:t>
            </w:r>
            <w:r w:rsidRPr="0028025F">
              <w:rPr>
                <w:rStyle w:val="1f8"/>
                <w:color w:val="FF0000"/>
              </w:rPr>
              <w:t>气浮</w:t>
            </w:r>
            <w:r w:rsidRPr="0028025F">
              <w:rPr>
                <w:rStyle w:val="1f8"/>
                <w:color w:val="FF0000"/>
              </w:rPr>
              <w:t>-</w:t>
            </w:r>
            <w:r w:rsidRPr="0028025F">
              <w:rPr>
                <w:rStyle w:val="1f8"/>
                <w:color w:val="FF0000"/>
              </w:rPr>
              <w:t>斜板沉淀</w:t>
            </w:r>
            <w:r w:rsidRPr="0028025F">
              <w:rPr>
                <w:rStyle w:val="1f8"/>
                <w:rFonts w:hint="eastAsia"/>
                <w:color w:val="FF0000"/>
              </w:rPr>
              <w:t>）</w:t>
            </w:r>
            <w:r w:rsidRPr="0028025F">
              <w:rPr>
                <w:rStyle w:val="1f8"/>
                <w:rFonts w:hint="eastAsia"/>
                <w:color w:val="FF0000"/>
              </w:rPr>
              <w:t>+</w:t>
            </w:r>
            <w:r w:rsidRPr="0028025F">
              <w:rPr>
                <w:rStyle w:val="1f8"/>
                <w:rFonts w:hint="eastAsia"/>
                <w:color w:val="FF0000"/>
              </w:rPr>
              <w:t>生物处理（</w:t>
            </w:r>
            <w:r w:rsidRPr="0028025F">
              <w:rPr>
                <w:rStyle w:val="1f8"/>
                <w:color w:val="FF0000"/>
              </w:rPr>
              <w:t>A</w:t>
            </w:r>
            <w:r w:rsidRPr="0028025F">
              <w:rPr>
                <w:rStyle w:val="1f8"/>
                <w:color w:val="FF0000"/>
                <w:vertAlign w:val="superscript"/>
              </w:rPr>
              <w:t>2</w:t>
            </w:r>
            <w:r w:rsidRPr="0028025F">
              <w:rPr>
                <w:rStyle w:val="1f8"/>
                <w:color w:val="FF0000"/>
              </w:rPr>
              <w:t>/O-MBR</w:t>
            </w:r>
            <w:r w:rsidRPr="0028025F">
              <w:rPr>
                <w:rStyle w:val="1f8"/>
                <w:color w:val="FF0000"/>
              </w:rPr>
              <w:t>膜池</w:t>
            </w:r>
            <w:r w:rsidRPr="0028025F">
              <w:rPr>
                <w:rStyle w:val="1f8"/>
                <w:rFonts w:hint="eastAsia"/>
                <w:color w:val="FF0000"/>
              </w:rPr>
              <w:t>）</w:t>
            </w:r>
            <w:r w:rsidRPr="0028025F">
              <w:rPr>
                <w:rStyle w:val="1f8"/>
                <w:color w:val="FF0000"/>
              </w:rPr>
              <w:t>+</w:t>
            </w:r>
            <w:r w:rsidRPr="0028025F">
              <w:rPr>
                <w:rStyle w:val="1f8"/>
                <w:rFonts w:hint="eastAsia"/>
                <w:color w:val="FF0000"/>
              </w:rPr>
              <w:t>深度处理（</w:t>
            </w:r>
            <w:r w:rsidRPr="0028025F">
              <w:rPr>
                <w:rStyle w:val="1f8"/>
                <w:color w:val="FF0000"/>
              </w:rPr>
              <w:t>纳滤</w:t>
            </w:r>
            <w:r w:rsidRPr="0028025F">
              <w:rPr>
                <w:rStyle w:val="1f8"/>
                <w:color w:val="FF0000"/>
              </w:rPr>
              <w:t>-</w:t>
            </w:r>
            <w:r w:rsidRPr="0028025F">
              <w:rPr>
                <w:rStyle w:val="1f8"/>
                <w:color w:val="FF0000"/>
              </w:rPr>
              <w:t>反渗透</w:t>
            </w:r>
            <w:r w:rsidRPr="0028025F">
              <w:rPr>
                <w:rStyle w:val="1f8"/>
                <w:rFonts w:hint="eastAsia"/>
                <w:color w:val="FF0000"/>
              </w:rPr>
              <w:t>）。</w:t>
            </w:r>
            <w:r w:rsidRPr="0028025F">
              <w:rPr>
                <w:rStyle w:val="1f8"/>
                <w:color w:val="FF0000"/>
              </w:rPr>
              <w:t>填埋场渗沥液经收集处理达标后，部分用于场内自用，剩余尾水采用槽罐车运输方式，运至柞水县污水处理厂</w:t>
            </w:r>
            <w:r w:rsidRPr="0028025F">
              <w:rPr>
                <w:rStyle w:val="1f8"/>
                <w:rFonts w:hint="eastAsia"/>
                <w:color w:val="FF0000"/>
              </w:rPr>
              <w:t>。渗滤液处理系统会产生污泥，污泥经厢式隔膜压滤脱水机进行脱水，脱水后为含水率约</w:t>
            </w:r>
            <w:r w:rsidRPr="0028025F">
              <w:rPr>
                <w:rStyle w:val="1f8"/>
                <w:color w:val="FF0000"/>
              </w:rPr>
              <w:t>60%</w:t>
            </w:r>
            <w:r w:rsidRPr="0028025F">
              <w:rPr>
                <w:rStyle w:val="1f8"/>
                <w:color w:val="FF0000"/>
              </w:rPr>
              <w:t>的泥饼，运至本项目填埋区卫生填埋</w:t>
            </w:r>
            <w:r w:rsidRPr="0028025F">
              <w:rPr>
                <w:rStyle w:val="1f8"/>
                <w:rFonts w:hint="eastAsia"/>
                <w:color w:val="FF0000"/>
              </w:rPr>
              <w:t>。纳滤和反渗透工艺产生的浓缩液回灌于填埋区。</w:t>
            </w:r>
          </w:p>
        </w:tc>
        <w:tc>
          <w:tcPr>
            <w:tcW w:w="1118" w:type="dxa"/>
            <w:vMerge/>
          </w:tcPr>
          <w:p w14:paraId="7E32630D" w14:textId="77777777" w:rsidR="0028025F" w:rsidRDefault="0028025F" w:rsidP="0028025F">
            <w:pPr>
              <w:jc w:val="center"/>
              <w:rPr>
                <w:rStyle w:val="1f8"/>
              </w:rPr>
            </w:pPr>
          </w:p>
        </w:tc>
      </w:tr>
      <w:tr w:rsidR="0028025F" w14:paraId="530B2216" w14:textId="77777777" w:rsidTr="00E756FC">
        <w:trPr>
          <w:trHeight w:val="1560"/>
          <w:jc w:val="center"/>
        </w:trPr>
        <w:tc>
          <w:tcPr>
            <w:tcW w:w="1761" w:type="dxa"/>
            <w:vMerge/>
            <w:vAlign w:val="center"/>
          </w:tcPr>
          <w:p w14:paraId="4B9E8CF3"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1C922836" w14:textId="67F8D013"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生活垃圾填埋场渗滤液处理工艺可分为预处理、生物处理和深度处理三种。应根据渗滤液的进水水质、水量及排放要求综合选取适宜的工艺组合方式，推荐选用“预处理＋生物处理＋深度处理”组合工艺。</w:t>
            </w:r>
          </w:p>
        </w:tc>
        <w:tc>
          <w:tcPr>
            <w:tcW w:w="3094" w:type="dxa"/>
            <w:vMerge/>
            <w:vAlign w:val="center"/>
          </w:tcPr>
          <w:p w14:paraId="2E1D629B" w14:textId="77777777" w:rsidR="0028025F" w:rsidRPr="0028025F" w:rsidRDefault="0028025F" w:rsidP="0028025F">
            <w:pPr>
              <w:pStyle w:val="a8"/>
              <w:ind w:firstLineChars="0" w:firstLine="0"/>
              <w:rPr>
                <w:rStyle w:val="1f8"/>
                <w:color w:val="FF0000"/>
              </w:rPr>
            </w:pPr>
          </w:p>
        </w:tc>
        <w:tc>
          <w:tcPr>
            <w:tcW w:w="1118" w:type="dxa"/>
            <w:vMerge/>
          </w:tcPr>
          <w:p w14:paraId="385C969F" w14:textId="77777777" w:rsidR="0028025F" w:rsidRDefault="0028025F" w:rsidP="0028025F">
            <w:pPr>
              <w:jc w:val="center"/>
              <w:rPr>
                <w:rStyle w:val="1f8"/>
              </w:rPr>
            </w:pPr>
          </w:p>
        </w:tc>
      </w:tr>
      <w:tr w:rsidR="0028025F" w14:paraId="21360D3E" w14:textId="77777777" w:rsidTr="00E756FC">
        <w:trPr>
          <w:trHeight w:val="1560"/>
          <w:jc w:val="center"/>
        </w:trPr>
        <w:tc>
          <w:tcPr>
            <w:tcW w:w="1761" w:type="dxa"/>
            <w:vMerge/>
            <w:vAlign w:val="center"/>
          </w:tcPr>
          <w:p w14:paraId="6D27750A"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1DC1F2AD" w14:textId="15E7590F" w:rsidR="0028025F" w:rsidRPr="0028025F" w:rsidRDefault="0028025F" w:rsidP="0028025F">
            <w:pPr>
              <w:pStyle w:val="a8"/>
              <w:ind w:firstLineChars="0" w:firstLine="0"/>
              <w:rPr>
                <w:rStyle w:val="1f8"/>
                <w:color w:val="FF0000"/>
              </w:rPr>
            </w:pPr>
            <w:r w:rsidRPr="0028025F">
              <w:rPr>
                <w:rStyle w:val="1f8"/>
                <w:rFonts w:hint="eastAsia"/>
                <w:color w:val="FF0000"/>
              </w:rPr>
              <w:t>渗滤液处理中产生的污泥宜与城市污水处理厂污泥一并处理，当进入垃圾填埋场填埋处理或单独处理时，含水率不宜大于</w:t>
            </w:r>
            <w:r w:rsidRPr="0028025F">
              <w:rPr>
                <w:rStyle w:val="1f8"/>
                <w:color w:val="FF0000"/>
              </w:rPr>
              <w:t>80%</w:t>
            </w:r>
            <w:r w:rsidRPr="0028025F">
              <w:rPr>
                <w:rStyle w:val="1f8"/>
                <w:color w:val="FF0000"/>
              </w:rPr>
              <w:t>。</w:t>
            </w:r>
            <w:r w:rsidRPr="0028025F">
              <w:rPr>
                <w:rStyle w:val="1f8"/>
                <w:rFonts w:hint="eastAsia"/>
                <w:color w:val="FF0000"/>
              </w:rPr>
              <w:t>纳滤和反渗透工艺产生的浓缩液宜单独处理，可采用焚烧、蒸发或其他适宜的处理方式。</w:t>
            </w:r>
          </w:p>
        </w:tc>
        <w:tc>
          <w:tcPr>
            <w:tcW w:w="3094" w:type="dxa"/>
            <w:vMerge/>
            <w:vAlign w:val="center"/>
          </w:tcPr>
          <w:p w14:paraId="34879C02" w14:textId="77777777" w:rsidR="0028025F" w:rsidRPr="0028025F" w:rsidRDefault="0028025F" w:rsidP="0028025F">
            <w:pPr>
              <w:pStyle w:val="a8"/>
              <w:ind w:firstLineChars="0" w:firstLine="0"/>
              <w:rPr>
                <w:rStyle w:val="1f8"/>
                <w:color w:val="FF0000"/>
              </w:rPr>
            </w:pPr>
          </w:p>
        </w:tc>
        <w:tc>
          <w:tcPr>
            <w:tcW w:w="1118" w:type="dxa"/>
            <w:vMerge/>
          </w:tcPr>
          <w:p w14:paraId="5178C54D" w14:textId="77777777" w:rsidR="0028025F" w:rsidRDefault="0028025F" w:rsidP="0028025F">
            <w:pPr>
              <w:jc w:val="center"/>
              <w:rPr>
                <w:rStyle w:val="1f8"/>
              </w:rPr>
            </w:pPr>
          </w:p>
        </w:tc>
      </w:tr>
      <w:tr w:rsidR="0028025F" w14:paraId="23B18D12" w14:textId="77777777" w:rsidTr="00E756FC">
        <w:trPr>
          <w:trHeight w:val="1560"/>
          <w:jc w:val="center"/>
        </w:trPr>
        <w:tc>
          <w:tcPr>
            <w:tcW w:w="1761" w:type="dxa"/>
            <w:vMerge/>
            <w:vAlign w:val="center"/>
          </w:tcPr>
          <w:p w14:paraId="31A6B713"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63CA2C8A" w14:textId="527AC611" w:rsidR="0028025F" w:rsidRPr="0028025F" w:rsidRDefault="0028025F" w:rsidP="0028025F">
            <w:pPr>
              <w:pStyle w:val="a8"/>
              <w:ind w:firstLineChars="0" w:firstLine="0"/>
              <w:rPr>
                <w:rStyle w:val="1f8"/>
                <w:color w:val="FF0000"/>
              </w:rPr>
            </w:pPr>
            <w:r w:rsidRPr="0028025F">
              <w:rPr>
                <w:rStyle w:val="1f8"/>
                <w:rFonts w:hint="eastAsia"/>
                <w:color w:val="FF0000"/>
              </w:rPr>
              <w:t>主要恶臭污染源（调节池、厌氧反应设施、曝气设施、污泥脱水设施等）宜采取密闭、局部隔离及负压抽吸等措施，经集中处理后排放，处理后气体的排放应执行</w:t>
            </w:r>
            <w:r w:rsidRPr="0028025F">
              <w:rPr>
                <w:rStyle w:val="1f8"/>
                <w:color w:val="FF0000"/>
              </w:rPr>
              <w:t xml:space="preserve">GB 14554 </w:t>
            </w:r>
            <w:r w:rsidRPr="0028025F">
              <w:rPr>
                <w:rStyle w:val="1f8"/>
                <w:color w:val="FF0000"/>
              </w:rPr>
              <w:t>和</w:t>
            </w:r>
            <w:r w:rsidRPr="0028025F">
              <w:rPr>
                <w:rStyle w:val="1f8"/>
                <w:color w:val="FF0000"/>
              </w:rPr>
              <w:t>GB 16297</w:t>
            </w:r>
            <w:r w:rsidRPr="0028025F">
              <w:rPr>
                <w:rStyle w:val="1f8"/>
                <w:color w:val="FF0000"/>
              </w:rPr>
              <w:t>。</w:t>
            </w:r>
          </w:p>
        </w:tc>
        <w:tc>
          <w:tcPr>
            <w:tcW w:w="3094" w:type="dxa"/>
            <w:vAlign w:val="center"/>
          </w:tcPr>
          <w:p w14:paraId="5E1BA5C3" w14:textId="34E7F152" w:rsidR="0028025F" w:rsidRPr="0028025F" w:rsidRDefault="0028025F" w:rsidP="0028025F">
            <w:pPr>
              <w:pStyle w:val="a8"/>
              <w:ind w:firstLineChars="0" w:firstLine="0"/>
              <w:rPr>
                <w:rStyle w:val="1f8"/>
                <w:color w:val="FF0000"/>
              </w:rPr>
            </w:pPr>
            <w:r w:rsidRPr="0028025F">
              <w:rPr>
                <w:rStyle w:val="1f8"/>
                <w:rFonts w:hint="eastAsia"/>
                <w:color w:val="FF0000"/>
              </w:rPr>
              <w:t>项目拟设一套离子除臭系统，渗滤液调节池和渗滤液处理系统均密闭加盖，</w:t>
            </w:r>
            <w:r w:rsidRPr="0028025F">
              <w:rPr>
                <w:rStyle w:val="1f8"/>
                <w:color w:val="FF0000"/>
              </w:rPr>
              <w:t>收集后的恶臭污染物进入离子除臭系统进行处理，处理达标后的尾气经</w:t>
            </w:r>
            <w:r w:rsidRPr="0028025F">
              <w:rPr>
                <w:rStyle w:val="1f8"/>
                <w:color w:val="FF0000"/>
              </w:rPr>
              <w:t>15m</w:t>
            </w:r>
            <w:r w:rsidRPr="0028025F">
              <w:rPr>
                <w:rStyle w:val="1f8"/>
                <w:color w:val="FF0000"/>
              </w:rPr>
              <w:t>高的排气筒外排。</w:t>
            </w:r>
            <w:r w:rsidRPr="0028025F">
              <w:rPr>
                <w:rStyle w:val="1f8"/>
                <w:rFonts w:hint="eastAsia"/>
                <w:color w:val="FF0000"/>
              </w:rPr>
              <w:t>恶臭气体排放执行《恶臭污染物排放标准》（</w:t>
            </w:r>
            <w:r w:rsidRPr="0028025F">
              <w:rPr>
                <w:rStyle w:val="1f8"/>
                <w:color w:val="FF0000"/>
              </w:rPr>
              <w:t>GB14554-93</w:t>
            </w:r>
            <w:r w:rsidRPr="0028025F">
              <w:rPr>
                <w:rStyle w:val="1f8"/>
                <w:color w:val="FF0000"/>
              </w:rPr>
              <w:t>）中</w:t>
            </w:r>
            <w:r w:rsidRPr="0028025F">
              <w:rPr>
                <w:rStyle w:val="1f8"/>
                <w:rFonts w:hint="eastAsia"/>
                <w:color w:val="FF0000"/>
              </w:rPr>
              <w:t>标准限值。</w:t>
            </w:r>
          </w:p>
        </w:tc>
        <w:tc>
          <w:tcPr>
            <w:tcW w:w="1118" w:type="dxa"/>
            <w:vMerge/>
          </w:tcPr>
          <w:p w14:paraId="65B31ECD" w14:textId="77777777" w:rsidR="0028025F" w:rsidRDefault="0028025F" w:rsidP="0028025F">
            <w:pPr>
              <w:jc w:val="center"/>
              <w:rPr>
                <w:rStyle w:val="1f8"/>
              </w:rPr>
            </w:pPr>
          </w:p>
        </w:tc>
      </w:tr>
      <w:tr w:rsidR="0028025F" w14:paraId="06964FF0" w14:textId="77777777" w:rsidTr="00E756FC">
        <w:trPr>
          <w:trHeight w:val="1560"/>
          <w:jc w:val="center"/>
        </w:trPr>
        <w:tc>
          <w:tcPr>
            <w:tcW w:w="1761" w:type="dxa"/>
            <w:vMerge/>
            <w:vAlign w:val="center"/>
          </w:tcPr>
          <w:p w14:paraId="6D7DA2E9"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07DFA767" w14:textId="4EDFEF5A" w:rsidR="0028025F" w:rsidRPr="0028025F" w:rsidRDefault="0028025F" w:rsidP="0028025F">
            <w:pPr>
              <w:pStyle w:val="a8"/>
              <w:ind w:firstLineChars="0" w:firstLine="0"/>
              <w:rPr>
                <w:rStyle w:val="1f8"/>
                <w:color w:val="FF0000"/>
              </w:rPr>
            </w:pPr>
            <w:r w:rsidRPr="0028025F">
              <w:rPr>
                <w:rStyle w:val="1f8"/>
                <w:rFonts w:hint="eastAsia"/>
                <w:color w:val="FF0000"/>
              </w:rPr>
              <w:t>渗滤液处理厂（站）应建立水质、水量监测制度，水量包括渗滤液产生量和处理量。水质监测指标至少包括各处理单元的进出水指标：色度、悬浮物、化学需氧量、五日生化需氧量、氨氮、总氮、总磷等主要污染物浓度以及进出水的总汞、总砷、总镉、总铅、总铬、六价铬等重金属浓度和粪大肠菌群数。</w:t>
            </w:r>
          </w:p>
        </w:tc>
        <w:tc>
          <w:tcPr>
            <w:tcW w:w="3094" w:type="dxa"/>
            <w:vAlign w:val="center"/>
          </w:tcPr>
          <w:p w14:paraId="2A25DD7B" w14:textId="26E4F3DF" w:rsidR="0028025F" w:rsidRPr="0028025F" w:rsidRDefault="0028025F" w:rsidP="0028025F">
            <w:pPr>
              <w:pStyle w:val="a8"/>
              <w:ind w:firstLineChars="0" w:firstLine="0"/>
              <w:rPr>
                <w:rStyle w:val="1f8"/>
                <w:color w:val="FF0000"/>
              </w:rPr>
            </w:pPr>
            <w:r w:rsidRPr="0028025F">
              <w:rPr>
                <w:rStyle w:val="1f8"/>
                <w:rFonts w:hint="eastAsia"/>
                <w:color w:val="FF0000"/>
              </w:rPr>
              <w:t>项目渗滤液处理车间设水质、水量监测制度，水量包括渗滤液产生量和处理量。水质监测指标包括各处理单元的进出水指标：色度、悬浮物、化学需氧量、五日生化需氧量、氨氮、总氮、总磷等主要污染物浓度以及进出水的总汞、总砷、总镉、总铅、总铬、六价铬等重金属浓度和粪大肠菌群数。</w:t>
            </w:r>
          </w:p>
        </w:tc>
        <w:tc>
          <w:tcPr>
            <w:tcW w:w="1118" w:type="dxa"/>
            <w:vMerge/>
          </w:tcPr>
          <w:p w14:paraId="09AE80F8" w14:textId="77777777" w:rsidR="0028025F" w:rsidRDefault="0028025F" w:rsidP="0028025F">
            <w:pPr>
              <w:jc w:val="center"/>
              <w:rPr>
                <w:rStyle w:val="1f8"/>
              </w:rPr>
            </w:pPr>
          </w:p>
        </w:tc>
      </w:tr>
      <w:tr w:rsidR="0028025F" w14:paraId="2678B868" w14:textId="77777777" w:rsidTr="00E756FC">
        <w:trPr>
          <w:trHeight w:val="325"/>
          <w:jc w:val="center"/>
        </w:trPr>
        <w:tc>
          <w:tcPr>
            <w:tcW w:w="1761" w:type="dxa"/>
            <w:vAlign w:val="center"/>
          </w:tcPr>
          <w:p w14:paraId="3A8F948C" w14:textId="296D0310" w:rsidR="0028025F" w:rsidRPr="0028025F" w:rsidRDefault="0028025F" w:rsidP="0028025F">
            <w:pPr>
              <w:pStyle w:val="a8"/>
              <w:ind w:firstLineChars="0" w:firstLine="0"/>
              <w:jc w:val="center"/>
              <w:rPr>
                <w:rStyle w:val="1f8"/>
                <w:color w:val="FF0000"/>
              </w:rPr>
            </w:pPr>
            <w:r w:rsidRPr="0028025F">
              <w:rPr>
                <w:rStyle w:val="1f8"/>
                <w:rFonts w:hint="eastAsia"/>
                <w:color w:val="FF0000"/>
              </w:rPr>
              <w:t>《生活垃圾填埋</w:t>
            </w:r>
            <w:r w:rsidRPr="0028025F">
              <w:rPr>
                <w:rStyle w:val="1f8"/>
                <w:rFonts w:hint="eastAsia"/>
                <w:color w:val="FF0000"/>
              </w:rPr>
              <w:lastRenderedPageBreak/>
              <w:t>场填埋气体收集处理及利用工程技术规范》（</w:t>
            </w:r>
            <w:r w:rsidRPr="0028025F">
              <w:rPr>
                <w:rStyle w:val="1f8"/>
                <w:color w:val="FF0000"/>
              </w:rPr>
              <w:t>CJJ133-2009</w:t>
            </w:r>
            <w:r w:rsidRPr="0028025F">
              <w:rPr>
                <w:rStyle w:val="1f8"/>
                <w:color w:val="FF0000"/>
              </w:rPr>
              <w:t>）</w:t>
            </w:r>
          </w:p>
        </w:tc>
        <w:tc>
          <w:tcPr>
            <w:tcW w:w="3763" w:type="dxa"/>
            <w:vAlign w:val="center"/>
          </w:tcPr>
          <w:p w14:paraId="3142963A" w14:textId="48C77639" w:rsidR="0028025F" w:rsidRPr="0028025F" w:rsidRDefault="0028025F" w:rsidP="0028025F">
            <w:pPr>
              <w:pStyle w:val="a8"/>
              <w:ind w:firstLineChars="0" w:firstLine="0"/>
              <w:rPr>
                <w:rStyle w:val="1f8"/>
                <w:color w:val="FF0000"/>
              </w:rPr>
            </w:pPr>
            <w:r w:rsidRPr="0028025F">
              <w:rPr>
                <w:rStyle w:val="1f8"/>
                <w:rFonts w:hint="eastAsia"/>
                <w:color w:val="FF0000"/>
              </w:rPr>
              <w:lastRenderedPageBreak/>
              <w:t>填埋场垃圾堆体内应设置导气井或导</w:t>
            </w:r>
            <w:r w:rsidRPr="0028025F">
              <w:rPr>
                <w:rStyle w:val="1f8"/>
                <w:rFonts w:hint="eastAsia"/>
                <w:color w:val="FF0000"/>
              </w:rPr>
              <w:lastRenderedPageBreak/>
              <w:t>气盲沟，设置主动导排设施的填埋场，必须设置填埋气体燃烧火炬。</w:t>
            </w:r>
          </w:p>
        </w:tc>
        <w:tc>
          <w:tcPr>
            <w:tcW w:w="3094" w:type="dxa"/>
            <w:vAlign w:val="center"/>
          </w:tcPr>
          <w:p w14:paraId="628A00F7" w14:textId="391F219E" w:rsidR="0028025F" w:rsidRPr="0028025F" w:rsidRDefault="0028025F" w:rsidP="0028025F">
            <w:pPr>
              <w:pStyle w:val="a8"/>
              <w:ind w:firstLineChars="0" w:firstLine="0"/>
              <w:rPr>
                <w:rStyle w:val="1f8"/>
                <w:color w:val="FF0000"/>
              </w:rPr>
            </w:pPr>
            <w:r w:rsidRPr="0028025F">
              <w:rPr>
                <w:rStyle w:val="1f8"/>
                <w:rFonts w:hint="eastAsia"/>
                <w:color w:val="FF0000"/>
              </w:rPr>
              <w:lastRenderedPageBreak/>
              <w:t>生活垃圾填埋库区内设导气石</w:t>
            </w:r>
            <w:r w:rsidRPr="0028025F">
              <w:rPr>
                <w:rStyle w:val="1f8"/>
                <w:rFonts w:hint="eastAsia"/>
                <w:color w:val="FF0000"/>
              </w:rPr>
              <w:lastRenderedPageBreak/>
              <w:t>笼，填埋气通过导气井直接排放，采用便捷式甲烷测定仪定期对填埋区和填埋区气体进行监测。若发现导气管排放口甲烷体积分数大于</w:t>
            </w:r>
            <w:r w:rsidRPr="0028025F">
              <w:rPr>
                <w:rStyle w:val="1f8"/>
                <w:color w:val="FF0000"/>
              </w:rPr>
              <w:t>5%</w:t>
            </w:r>
            <w:r w:rsidRPr="0028025F">
              <w:rPr>
                <w:rStyle w:val="1f8"/>
                <w:color w:val="FF0000"/>
              </w:rPr>
              <w:t>时，采用火炬燃烧方式进行处理。</w:t>
            </w:r>
          </w:p>
        </w:tc>
        <w:tc>
          <w:tcPr>
            <w:tcW w:w="1118" w:type="dxa"/>
          </w:tcPr>
          <w:p w14:paraId="6353F206" w14:textId="0679A529" w:rsidR="0028025F" w:rsidRDefault="0028025F" w:rsidP="0028025F">
            <w:pPr>
              <w:jc w:val="center"/>
              <w:rPr>
                <w:rStyle w:val="1f8"/>
              </w:rPr>
            </w:pPr>
            <w:r w:rsidRPr="00A7718A">
              <w:rPr>
                <w:rStyle w:val="1f8"/>
              </w:rPr>
              <w:lastRenderedPageBreak/>
              <w:t>符合</w:t>
            </w:r>
          </w:p>
        </w:tc>
      </w:tr>
      <w:tr w:rsidR="0028025F" w14:paraId="07E87B96" w14:textId="77777777" w:rsidTr="00E756FC">
        <w:trPr>
          <w:trHeight w:val="1434"/>
          <w:jc w:val="center"/>
        </w:trPr>
        <w:tc>
          <w:tcPr>
            <w:tcW w:w="1761" w:type="dxa"/>
            <w:vMerge w:val="restart"/>
            <w:vAlign w:val="center"/>
          </w:tcPr>
          <w:p w14:paraId="3A802F08" w14:textId="232CA257" w:rsidR="0028025F" w:rsidRPr="0028025F" w:rsidRDefault="0028025F" w:rsidP="0028025F">
            <w:pPr>
              <w:pStyle w:val="a8"/>
              <w:ind w:firstLineChars="0" w:firstLine="0"/>
              <w:jc w:val="center"/>
              <w:rPr>
                <w:rStyle w:val="1f8"/>
                <w:color w:val="FF0000"/>
              </w:rPr>
            </w:pPr>
            <w:r w:rsidRPr="0028025F">
              <w:rPr>
                <w:rStyle w:val="1f8"/>
                <w:rFonts w:hint="eastAsia"/>
                <w:color w:val="FF0000"/>
              </w:rPr>
              <w:lastRenderedPageBreak/>
              <w:t>《生活垃圾填埋场污染控制标准》（</w:t>
            </w:r>
            <w:r w:rsidRPr="0028025F">
              <w:rPr>
                <w:rStyle w:val="1f8"/>
                <w:color w:val="FF0000"/>
              </w:rPr>
              <w:t>GB16889-2008</w:t>
            </w:r>
            <w:r w:rsidRPr="0028025F">
              <w:rPr>
                <w:rStyle w:val="1f8"/>
                <w:color w:val="FF0000"/>
              </w:rPr>
              <w:t>）</w:t>
            </w:r>
          </w:p>
        </w:tc>
        <w:tc>
          <w:tcPr>
            <w:tcW w:w="3763" w:type="dxa"/>
            <w:vAlign w:val="center"/>
          </w:tcPr>
          <w:p w14:paraId="62990B83" w14:textId="120CDCEB"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生活垃圾填埋场应建设渗滤液处理设施，以在填埋场的运行期和后期维护与管理期内对渗滤液进行处理达标后排放。生活垃圾填埋场渗滤液处理设施应设渗滤液调节池，并采取封闭等措施防止恶臭物质的排放。</w:t>
            </w:r>
          </w:p>
        </w:tc>
        <w:tc>
          <w:tcPr>
            <w:tcW w:w="3094" w:type="dxa"/>
            <w:vAlign w:val="center"/>
          </w:tcPr>
          <w:p w14:paraId="245B96FB" w14:textId="5CFD2864" w:rsidR="0028025F" w:rsidRPr="0028025F" w:rsidRDefault="0028025F" w:rsidP="0028025F">
            <w:pPr>
              <w:pStyle w:val="a8"/>
              <w:ind w:firstLineChars="0" w:firstLine="0"/>
              <w:rPr>
                <w:rStyle w:val="1f8"/>
                <w:color w:val="FF0000"/>
              </w:rPr>
            </w:pPr>
            <w:r w:rsidRPr="0028025F">
              <w:rPr>
                <w:rStyle w:val="1f8"/>
                <w:rFonts w:hint="eastAsia"/>
                <w:color w:val="FF0000"/>
              </w:rPr>
              <w:t>项目设有一座有效容积为</w:t>
            </w:r>
            <w:r w:rsidRPr="0028025F">
              <w:rPr>
                <w:rStyle w:val="1f8"/>
                <w:rFonts w:hint="eastAsia"/>
                <w:color w:val="FF0000"/>
              </w:rPr>
              <w:t>1</w:t>
            </w:r>
            <w:r w:rsidRPr="0028025F">
              <w:rPr>
                <w:rStyle w:val="1f8"/>
                <w:color w:val="FF0000"/>
              </w:rPr>
              <w:t>800</w:t>
            </w:r>
            <w:r w:rsidRPr="0028025F">
              <w:rPr>
                <w:rStyle w:val="1f8"/>
                <w:rFonts w:hint="eastAsia"/>
                <w:color w:val="FF0000"/>
              </w:rPr>
              <w:t>m</w:t>
            </w:r>
            <w:r w:rsidRPr="0028025F">
              <w:rPr>
                <w:rStyle w:val="1f8"/>
                <w:color w:val="FF0000"/>
                <w:vertAlign w:val="superscript"/>
              </w:rPr>
              <w:t>3</w:t>
            </w:r>
            <w:r w:rsidRPr="0028025F">
              <w:rPr>
                <w:rStyle w:val="1f8"/>
                <w:rFonts w:hint="eastAsia"/>
                <w:color w:val="FF0000"/>
              </w:rPr>
              <w:t>的调节池，用于均化水质、水量。项目设有渗滤液处理车间，处理规模为</w:t>
            </w:r>
            <w:r w:rsidRPr="0028025F">
              <w:rPr>
                <w:rStyle w:val="1f8"/>
                <w:color w:val="FF0000"/>
              </w:rPr>
              <w:t>65t/d</w:t>
            </w:r>
            <w:r w:rsidRPr="0028025F">
              <w:rPr>
                <w:rStyle w:val="1f8"/>
                <w:color w:val="FF0000"/>
              </w:rPr>
              <w:t>，处理工艺为</w:t>
            </w:r>
            <w:r w:rsidRPr="0028025F">
              <w:rPr>
                <w:rStyle w:val="1f8"/>
                <w:rFonts w:hint="eastAsia"/>
                <w:color w:val="FF0000"/>
              </w:rPr>
              <w:t>预处理（</w:t>
            </w:r>
            <w:r w:rsidRPr="0028025F">
              <w:rPr>
                <w:rStyle w:val="1f8"/>
                <w:color w:val="FF0000"/>
              </w:rPr>
              <w:t>预处理</w:t>
            </w:r>
            <w:r w:rsidRPr="0028025F">
              <w:rPr>
                <w:rStyle w:val="1f8"/>
                <w:color w:val="FF0000"/>
              </w:rPr>
              <w:t>-</w:t>
            </w:r>
            <w:r w:rsidRPr="0028025F">
              <w:rPr>
                <w:rStyle w:val="1f8"/>
                <w:color w:val="FF0000"/>
              </w:rPr>
              <w:t>一体化反应池</w:t>
            </w:r>
            <w:r w:rsidRPr="0028025F">
              <w:rPr>
                <w:rStyle w:val="1f8"/>
                <w:color w:val="FF0000"/>
              </w:rPr>
              <w:t>-</w:t>
            </w:r>
            <w:r w:rsidRPr="0028025F">
              <w:rPr>
                <w:rStyle w:val="1f8"/>
                <w:color w:val="FF0000"/>
              </w:rPr>
              <w:t>气浮</w:t>
            </w:r>
            <w:r w:rsidRPr="0028025F">
              <w:rPr>
                <w:rStyle w:val="1f8"/>
                <w:color w:val="FF0000"/>
              </w:rPr>
              <w:t>-</w:t>
            </w:r>
            <w:r w:rsidRPr="0028025F">
              <w:rPr>
                <w:rStyle w:val="1f8"/>
                <w:color w:val="FF0000"/>
              </w:rPr>
              <w:t>斜板沉淀</w:t>
            </w:r>
            <w:r w:rsidRPr="0028025F">
              <w:rPr>
                <w:rStyle w:val="1f8"/>
                <w:rFonts w:hint="eastAsia"/>
                <w:color w:val="FF0000"/>
              </w:rPr>
              <w:t>）</w:t>
            </w:r>
            <w:r w:rsidRPr="0028025F">
              <w:rPr>
                <w:rStyle w:val="1f8"/>
                <w:rFonts w:hint="eastAsia"/>
                <w:color w:val="FF0000"/>
              </w:rPr>
              <w:t>+</w:t>
            </w:r>
            <w:r w:rsidRPr="0028025F">
              <w:rPr>
                <w:rStyle w:val="1f8"/>
                <w:rFonts w:hint="eastAsia"/>
                <w:color w:val="FF0000"/>
              </w:rPr>
              <w:t>生物处理（</w:t>
            </w:r>
            <w:r w:rsidRPr="0028025F">
              <w:rPr>
                <w:rStyle w:val="1f8"/>
                <w:color w:val="FF0000"/>
              </w:rPr>
              <w:t>A</w:t>
            </w:r>
            <w:r w:rsidRPr="0028025F">
              <w:rPr>
                <w:rStyle w:val="1f8"/>
                <w:color w:val="FF0000"/>
                <w:vertAlign w:val="superscript"/>
              </w:rPr>
              <w:t>2</w:t>
            </w:r>
            <w:r w:rsidRPr="0028025F">
              <w:rPr>
                <w:rStyle w:val="1f8"/>
                <w:color w:val="FF0000"/>
              </w:rPr>
              <w:t>/O-MBR</w:t>
            </w:r>
            <w:r w:rsidRPr="0028025F">
              <w:rPr>
                <w:rStyle w:val="1f8"/>
                <w:color w:val="FF0000"/>
              </w:rPr>
              <w:t>膜池</w:t>
            </w:r>
            <w:r w:rsidRPr="0028025F">
              <w:rPr>
                <w:rStyle w:val="1f8"/>
                <w:rFonts w:hint="eastAsia"/>
                <w:color w:val="FF0000"/>
              </w:rPr>
              <w:t>）</w:t>
            </w:r>
            <w:r w:rsidRPr="0028025F">
              <w:rPr>
                <w:rStyle w:val="1f8"/>
                <w:color w:val="FF0000"/>
              </w:rPr>
              <w:t>+</w:t>
            </w:r>
            <w:r w:rsidRPr="0028025F">
              <w:rPr>
                <w:rStyle w:val="1f8"/>
                <w:rFonts w:hint="eastAsia"/>
                <w:color w:val="FF0000"/>
              </w:rPr>
              <w:t>深度处理（</w:t>
            </w:r>
            <w:r w:rsidRPr="0028025F">
              <w:rPr>
                <w:rStyle w:val="1f8"/>
                <w:color w:val="FF0000"/>
              </w:rPr>
              <w:t>纳滤</w:t>
            </w:r>
            <w:r w:rsidRPr="0028025F">
              <w:rPr>
                <w:rStyle w:val="1f8"/>
                <w:color w:val="FF0000"/>
              </w:rPr>
              <w:t>-</w:t>
            </w:r>
            <w:r w:rsidRPr="0028025F">
              <w:rPr>
                <w:rStyle w:val="1f8"/>
                <w:color w:val="FF0000"/>
              </w:rPr>
              <w:t>反渗透</w:t>
            </w:r>
            <w:r w:rsidRPr="0028025F">
              <w:rPr>
                <w:rStyle w:val="1f8"/>
                <w:rFonts w:hint="eastAsia"/>
                <w:color w:val="FF0000"/>
              </w:rPr>
              <w:t>）。</w:t>
            </w:r>
            <w:r w:rsidRPr="0028025F">
              <w:rPr>
                <w:rStyle w:val="1f8"/>
                <w:color w:val="FF0000"/>
              </w:rPr>
              <w:t>填埋场渗沥液经收集处理达标后，部分用于场内自用，剩余尾水采用槽罐车运输方式，运至柞水县污水处理厂</w:t>
            </w:r>
            <w:r w:rsidRPr="0028025F">
              <w:rPr>
                <w:rStyle w:val="1f8"/>
                <w:rFonts w:hint="eastAsia"/>
                <w:color w:val="FF0000"/>
              </w:rPr>
              <w:t>。项目拟设一套离子除臭系统，渗滤液调节池和渗滤液处理系统均密闭加盖，</w:t>
            </w:r>
            <w:r w:rsidRPr="0028025F">
              <w:rPr>
                <w:rStyle w:val="1f8"/>
                <w:color w:val="FF0000"/>
              </w:rPr>
              <w:t>收集后的恶臭污染物进入离子除臭系统进行处理，处理达标后的尾气经</w:t>
            </w:r>
            <w:r w:rsidRPr="0028025F">
              <w:rPr>
                <w:rStyle w:val="1f8"/>
                <w:color w:val="FF0000"/>
              </w:rPr>
              <w:t>15m</w:t>
            </w:r>
            <w:r w:rsidRPr="0028025F">
              <w:rPr>
                <w:rStyle w:val="1f8"/>
                <w:color w:val="FF0000"/>
              </w:rPr>
              <w:t>高的排气筒外排。</w:t>
            </w:r>
          </w:p>
        </w:tc>
        <w:tc>
          <w:tcPr>
            <w:tcW w:w="1118" w:type="dxa"/>
            <w:vMerge w:val="restart"/>
          </w:tcPr>
          <w:p w14:paraId="68BBCE5C" w14:textId="03C1B8AA" w:rsidR="0028025F" w:rsidRDefault="0028025F" w:rsidP="0028025F">
            <w:pPr>
              <w:jc w:val="center"/>
              <w:rPr>
                <w:rStyle w:val="1f8"/>
              </w:rPr>
            </w:pPr>
            <w:r w:rsidRPr="00A7718A">
              <w:rPr>
                <w:rStyle w:val="1f8"/>
              </w:rPr>
              <w:t>符合</w:t>
            </w:r>
          </w:p>
        </w:tc>
      </w:tr>
      <w:tr w:rsidR="0028025F" w14:paraId="656DF100" w14:textId="77777777" w:rsidTr="00E756FC">
        <w:trPr>
          <w:trHeight w:val="1434"/>
          <w:jc w:val="center"/>
        </w:trPr>
        <w:tc>
          <w:tcPr>
            <w:tcW w:w="1761" w:type="dxa"/>
            <w:vMerge/>
            <w:vAlign w:val="center"/>
          </w:tcPr>
          <w:p w14:paraId="4E68260C"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0C887D31" w14:textId="72C11B25"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生活垃圾填埋场应实行雨污分流并设置雨水集排水系统，以收集、排出汇水区内可能流向填埋区的雨水、上游雨水以及未填埋区域内未与生活垃圾接触的雨水。雨水集排水系统收集的雨水不得与渗滤液混排。</w:t>
            </w:r>
          </w:p>
        </w:tc>
        <w:tc>
          <w:tcPr>
            <w:tcW w:w="3094" w:type="dxa"/>
            <w:vAlign w:val="center"/>
          </w:tcPr>
          <w:p w14:paraId="6B378AAE" w14:textId="21CAE32C" w:rsidR="0028025F" w:rsidRPr="0028025F" w:rsidRDefault="0028025F" w:rsidP="0028025F">
            <w:pPr>
              <w:pStyle w:val="a8"/>
              <w:ind w:firstLineChars="0" w:firstLine="0"/>
              <w:rPr>
                <w:rStyle w:val="1f8"/>
                <w:color w:val="FF0000"/>
              </w:rPr>
            </w:pPr>
            <w:r w:rsidRPr="0028025F">
              <w:rPr>
                <w:rStyle w:val="1f8"/>
                <w:rFonts w:hint="eastAsia"/>
                <w:color w:val="FF0000"/>
              </w:rPr>
              <w:t>本项目雨污分流，环场道路外侧设置环场截洪沟，防止场外雨水进入厂区内，减少垃圾渗滤液产生量。</w:t>
            </w:r>
          </w:p>
        </w:tc>
        <w:tc>
          <w:tcPr>
            <w:tcW w:w="1118" w:type="dxa"/>
            <w:vMerge/>
          </w:tcPr>
          <w:p w14:paraId="4CD012CC" w14:textId="77777777" w:rsidR="0028025F" w:rsidRDefault="0028025F" w:rsidP="0028025F">
            <w:pPr>
              <w:jc w:val="center"/>
              <w:rPr>
                <w:rStyle w:val="1f8"/>
              </w:rPr>
            </w:pPr>
          </w:p>
        </w:tc>
      </w:tr>
      <w:tr w:rsidR="0028025F" w14:paraId="38999AF6" w14:textId="77777777" w:rsidTr="00E756FC">
        <w:trPr>
          <w:trHeight w:val="1434"/>
          <w:jc w:val="center"/>
        </w:trPr>
        <w:tc>
          <w:tcPr>
            <w:tcW w:w="1761" w:type="dxa"/>
            <w:vMerge/>
            <w:vAlign w:val="center"/>
          </w:tcPr>
          <w:p w14:paraId="45C3857C"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78E4C2E1" w14:textId="283CA11E"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生活垃圾填埋场应建设填埋气体导排系统，在填埋场的运行期和后期维护与管理期内将填埋层内的气体导出后利用、焚烧或达到</w:t>
            </w:r>
            <w:r w:rsidRPr="0028025F">
              <w:rPr>
                <w:rStyle w:val="1f8"/>
                <w:color w:val="FF0000"/>
              </w:rPr>
              <w:t>9.2.2</w:t>
            </w:r>
            <w:r w:rsidRPr="0028025F">
              <w:rPr>
                <w:rStyle w:val="1f8"/>
                <w:color w:val="FF0000"/>
              </w:rPr>
              <w:t>的要求后直接排放。</w:t>
            </w:r>
          </w:p>
        </w:tc>
        <w:tc>
          <w:tcPr>
            <w:tcW w:w="3094" w:type="dxa"/>
            <w:vAlign w:val="center"/>
          </w:tcPr>
          <w:p w14:paraId="7B1533F6" w14:textId="2917415A"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生活垃圾填埋库区内设导气石笼，填埋气通过导气井直接排放，采用便捷式甲烷测定仪定期对填埋区和填埋区气体进行监测。若发现导气管排放口甲烷体积分数大于</w:t>
            </w:r>
            <w:r w:rsidRPr="0028025F">
              <w:rPr>
                <w:rStyle w:val="1f8"/>
                <w:color w:val="FF0000"/>
              </w:rPr>
              <w:t>5%</w:t>
            </w:r>
            <w:r w:rsidRPr="0028025F">
              <w:rPr>
                <w:rStyle w:val="1f8"/>
                <w:color w:val="FF0000"/>
              </w:rPr>
              <w:t>时，采用火炬燃烧方式进行处理。</w:t>
            </w:r>
          </w:p>
        </w:tc>
        <w:tc>
          <w:tcPr>
            <w:tcW w:w="1118" w:type="dxa"/>
            <w:vMerge/>
          </w:tcPr>
          <w:p w14:paraId="777758E1" w14:textId="77777777" w:rsidR="0028025F" w:rsidRDefault="0028025F" w:rsidP="0028025F">
            <w:pPr>
              <w:jc w:val="center"/>
              <w:rPr>
                <w:rStyle w:val="1f8"/>
              </w:rPr>
            </w:pPr>
          </w:p>
        </w:tc>
      </w:tr>
      <w:tr w:rsidR="0028025F" w14:paraId="1AFB5078" w14:textId="77777777" w:rsidTr="00E756FC">
        <w:trPr>
          <w:trHeight w:val="1434"/>
          <w:jc w:val="center"/>
        </w:trPr>
        <w:tc>
          <w:tcPr>
            <w:tcW w:w="1761" w:type="dxa"/>
            <w:vMerge/>
            <w:vAlign w:val="center"/>
          </w:tcPr>
          <w:p w14:paraId="77DAA681"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1A32AC96" w14:textId="7119779F"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生活垃圾填埋场周围应设置绿化隔离带，其宽度不小于</w:t>
            </w:r>
            <w:r w:rsidRPr="0028025F">
              <w:rPr>
                <w:rStyle w:val="1f8"/>
                <w:color w:val="FF0000"/>
              </w:rPr>
              <w:t>10 m</w:t>
            </w:r>
            <w:r w:rsidRPr="0028025F">
              <w:rPr>
                <w:rStyle w:val="1f8"/>
                <w:color w:val="FF0000"/>
              </w:rPr>
              <w:t>。</w:t>
            </w:r>
          </w:p>
        </w:tc>
        <w:tc>
          <w:tcPr>
            <w:tcW w:w="3094" w:type="dxa"/>
            <w:vAlign w:val="center"/>
          </w:tcPr>
          <w:p w14:paraId="2513A493" w14:textId="2CC2BE96" w:rsidR="0028025F" w:rsidRPr="0028025F" w:rsidRDefault="0028025F" w:rsidP="0028025F">
            <w:pPr>
              <w:pStyle w:val="a8"/>
              <w:ind w:firstLineChars="0" w:firstLine="0"/>
              <w:rPr>
                <w:rStyle w:val="1f8"/>
                <w:color w:val="FF0000"/>
              </w:rPr>
            </w:pPr>
            <w:r w:rsidRPr="0028025F">
              <w:rPr>
                <w:rStyle w:val="1f8"/>
                <w:rFonts w:hint="eastAsia"/>
                <w:color w:val="FF0000"/>
              </w:rPr>
              <w:t>环库区设置宽度为</w:t>
            </w:r>
            <w:r w:rsidRPr="0028025F">
              <w:rPr>
                <w:rStyle w:val="1f8"/>
                <w:rFonts w:hint="eastAsia"/>
                <w:color w:val="FF0000"/>
              </w:rPr>
              <w:t>1</w:t>
            </w:r>
            <w:r w:rsidRPr="0028025F">
              <w:rPr>
                <w:rStyle w:val="1f8"/>
                <w:color w:val="FF0000"/>
              </w:rPr>
              <w:t>0</w:t>
            </w:r>
            <w:r w:rsidRPr="0028025F">
              <w:rPr>
                <w:rStyle w:val="1f8"/>
                <w:rFonts w:hint="eastAsia"/>
                <w:color w:val="FF0000"/>
              </w:rPr>
              <w:t>m</w:t>
            </w:r>
            <w:r w:rsidRPr="0028025F">
              <w:rPr>
                <w:rStyle w:val="1f8"/>
                <w:rFonts w:hint="eastAsia"/>
                <w:color w:val="FF0000"/>
              </w:rPr>
              <w:t>的绿化隔离带。</w:t>
            </w:r>
          </w:p>
        </w:tc>
        <w:tc>
          <w:tcPr>
            <w:tcW w:w="1118" w:type="dxa"/>
            <w:vMerge/>
          </w:tcPr>
          <w:p w14:paraId="7D9D6A13" w14:textId="77777777" w:rsidR="0028025F" w:rsidRDefault="0028025F" w:rsidP="0028025F">
            <w:pPr>
              <w:jc w:val="center"/>
              <w:rPr>
                <w:rStyle w:val="1f8"/>
              </w:rPr>
            </w:pPr>
          </w:p>
        </w:tc>
      </w:tr>
      <w:tr w:rsidR="0028025F" w14:paraId="143BBB87" w14:textId="77777777" w:rsidTr="00E756FC">
        <w:trPr>
          <w:trHeight w:val="1434"/>
          <w:jc w:val="center"/>
        </w:trPr>
        <w:tc>
          <w:tcPr>
            <w:tcW w:w="1761" w:type="dxa"/>
            <w:vMerge/>
            <w:vAlign w:val="center"/>
          </w:tcPr>
          <w:p w14:paraId="364ABEEC"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6C8B2778" w14:textId="62ED1850" w:rsidR="0028025F" w:rsidRPr="0028025F" w:rsidRDefault="0028025F" w:rsidP="0028025F">
            <w:pPr>
              <w:pStyle w:val="a8"/>
              <w:ind w:firstLineChars="0" w:firstLine="0"/>
              <w:rPr>
                <w:rStyle w:val="1f8"/>
                <w:color w:val="FF0000"/>
              </w:rPr>
            </w:pPr>
            <w:r w:rsidRPr="0028025F">
              <w:rPr>
                <w:rStyle w:val="1f8"/>
                <w:rFonts w:hint="eastAsia"/>
                <w:color w:val="FF0000"/>
              </w:rPr>
              <w:t>填埋作业应分区、分单元进行，不运行作业面应及时覆盖。不得同时进行多作业面填埋作业或者不分区全场敞开式作业。中间覆盖应形成一定的坡度。每天填埋作业结束后，应对作业面进行覆盖；特殊气象条件下应加强对作业面的覆盖。</w:t>
            </w:r>
          </w:p>
        </w:tc>
        <w:tc>
          <w:tcPr>
            <w:tcW w:w="3094" w:type="dxa"/>
            <w:vAlign w:val="center"/>
          </w:tcPr>
          <w:p w14:paraId="3176083A" w14:textId="100482EA" w:rsidR="0028025F" w:rsidRPr="0028025F" w:rsidRDefault="0028025F" w:rsidP="0028025F">
            <w:pPr>
              <w:pStyle w:val="a8"/>
              <w:ind w:firstLineChars="0" w:firstLine="0"/>
              <w:rPr>
                <w:rStyle w:val="1f8"/>
                <w:color w:val="FF0000"/>
              </w:rPr>
            </w:pPr>
            <w:r w:rsidRPr="0028025F">
              <w:rPr>
                <w:rStyle w:val="1f8"/>
                <w:rFonts w:hint="eastAsia"/>
                <w:color w:val="FF0000"/>
              </w:rPr>
              <w:t>项目根据设计要求和实际条件制定填埋作业规划，填埋作业前根据规划进行作业单元分区，填埋过程分区、分单元进行。每天填埋结束后，对作业面进行覆盖。</w:t>
            </w:r>
          </w:p>
        </w:tc>
        <w:tc>
          <w:tcPr>
            <w:tcW w:w="1118" w:type="dxa"/>
            <w:vMerge/>
          </w:tcPr>
          <w:p w14:paraId="182666A0" w14:textId="77777777" w:rsidR="0028025F" w:rsidRDefault="0028025F" w:rsidP="0028025F">
            <w:pPr>
              <w:jc w:val="center"/>
              <w:rPr>
                <w:rStyle w:val="1f8"/>
              </w:rPr>
            </w:pPr>
          </w:p>
        </w:tc>
      </w:tr>
      <w:tr w:rsidR="0028025F" w14:paraId="25B48B9A" w14:textId="77777777" w:rsidTr="00E756FC">
        <w:trPr>
          <w:trHeight w:val="485"/>
          <w:jc w:val="center"/>
        </w:trPr>
        <w:tc>
          <w:tcPr>
            <w:tcW w:w="1761" w:type="dxa"/>
            <w:vMerge w:val="restart"/>
            <w:vAlign w:val="center"/>
          </w:tcPr>
          <w:p w14:paraId="43BCB8DF" w14:textId="793CCDFB" w:rsidR="0028025F" w:rsidRPr="0028025F" w:rsidRDefault="0028025F" w:rsidP="0028025F">
            <w:pPr>
              <w:pStyle w:val="a8"/>
              <w:ind w:firstLineChars="0" w:firstLine="0"/>
              <w:jc w:val="center"/>
              <w:rPr>
                <w:rStyle w:val="1f8"/>
                <w:color w:val="FF0000"/>
              </w:rPr>
            </w:pPr>
            <w:r w:rsidRPr="0028025F">
              <w:rPr>
                <w:rStyle w:val="1f8"/>
                <w:rFonts w:hint="eastAsia"/>
                <w:color w:val="FF0000"/>
              </w:rPr>
              <w:lastRenderedPageBreak/>
              <w:t>《城市生活垃圾卫生填埋处理工程项目建设标准》（建标</w:t>
            </w:r>
            <w:r w:rsidRPr="0028025F">
              <w:rPr>
                <w:rStyle w:val="1f8"/>
                <w:color w:val="FF0000"/>
              </w:rPr>
              <w:t>124-2009</w:t>
            </w:r>
            <w:r w:rsidRPr="0028025F">
              <w:rPr>
                <w:rStyle w:val="1f8"/>
                <w:color w:val="FF0000"/>
              </w:rPr>
              <w:t>）</w:t>
            </w:r>
          </w:p>
        </w:tc>
        <w:tc>
          <w:tcPr>
            <w:tcW w:w="3763" w:type="dxa"/>
            <w:vAlign w:val="center"/>
          </w:tcPr>
          <w:p w14:paraId="3A0D0B05" w14:textId="5F2BBBB3" w:rsidR="0028025F" w:rsidRPr="0028025F" w:rsidRDefault="0028025F" w:rsidP="0028025F">
            <w:pPr>
              <w:pStyle w:val="a8"/>
              <w:ind w:firstLineChars="0" w:firstLine="0"/>
              <w:rPr>
                <w:rStyle w:val="1f8"/>
                <w:color w:val="FF0000"/>
              </w:rPr>
            </w:pPr>
            <w:r w:rsidRPr="0028025F">
              <w:rPr>
                <w:rStyle w:val="1f8"/>
                <w:rFonts w:hint="eastAsia"/>
                <w:color w:val="FF0000"/>
              </w:rPr>
              <w:t>填埋场的合理使用年限，应在</w:t>
            </w:r>
            <w:r w:rsidRPr="0028025F">
              <w:rPr>
                <w:rStyle w:val="1f8"/>
                <w:color w:val="FF0000"/>
              </w:rPr>
              <w:t>10</w:t>
            </w:r>
            <w:r w:rsidRPr="0028025F">
              <w:rPr>
                <w:rStyle w:val="1f8"/>
                <w:color w:val="FF0000"/>
              </w:rPr>
              <w:t>年以上，特殊情</w:t>
            </w:r>
            <w:r w:rsidRPr="0028025F">
              <w:rPr>
                <w:rStyle w:val="1f8"/>
                <w:rFonts w:hint="eastAsia"/>
                <w:color w:val="FF0000"/>
              </w:rPr>
              <w:t>况下不应低于</w:t>
            </w:r>
            <w:r w:rsidRPr="0028025F">
              <w:rPr>
                <w:rStyle w:val="1f8"/>
                <w:color w:val="FF0000"/>
              </w:rPr>
              <w:t>8</w:t>
            </w:r>
            <w:r w:rsidRPr="0028025F">
              <w:rPr>
                <w:rStyle w:val="1f8"/>
                <w:color w:val="FF0000"/>
              </w:rPr>
              <w:t>年。</w:t>
            </w:r>
          </w:p>
        </w:tc>
        <w:tc>
          <w:tcPr>
            <w:tcW w:w="3094" w:type="dxa"/>
            <w:vAlign w:val="center"/>
          </w:tcPr>
          <w:p w14:paraId="216C87A6" w14:textId="2B1F7226" w:rsidR="0028025F" w:rsidRPr="0028025F" w:rsidRDefault="0028025F" w:rsidP="0028025F">
            <w:pPr>
              <w:pStyle w:val="a8"/>
              <w:ind w:firstLineChars="0" w:firstLine="0"/>
              <w:rPr>
                <w:rStyle w:val="1f8"/>
                <w:color w:val="FF0000"/>
              </w:rPr>
            </w:pPr>
            <w:r w:rsidRPr="0028025F">
              <w:rPr>
                <w:rStyle w:val="1f8"/>
                <w:rFonts w:hint="eastAsia"/>
                <w:color w:val="FF0000"/>
              </w:rPr>
              <w:t>本项目一期生活垃圾填埋总设计库容约</w:t>
            </w:r>
            <w:r w:rsidRPr="0028025F">
              <w:rPr>
                <w:rStyle w:val="1f8"/>
                <w:color w:val="FF0000"/>
              </w:rPr>
              <w:t>65.49</w:t>
            </w:r>
            <w:r w:rsidRPr="0028025F">
              <w:rPr>
                <w:rStyle w:val="1f8"/>
                <w:color w:val="FF0000"/>
              </w:rPr>
              <w:t>万</w:t>
            </w:r>
            <w:r w:rsidRPr="0028025F">
              <w:rPr>
                <w:rStyle w:val="1f8"/>
                <w:color w:val="FF0000"/>
              </w:rPr>
              <w:t>m</w:t>
            </w:r>
            <w:r w:rsidRPr="0028025F">
              <w:rPr>
                <w:rStyle w:val="1f8"/>
                <w:color w:val="FF0000"/>
                <w:vertAlign w:val="superscript"/>
              </w:rPr>
              <w:t>3</w:t>
            </w:r>
            <w:r w:rsidRPr="0028025F">
              <w:rPr>
                <w:rStyle w:val="1f8"/>
                <w:color w:val="FF0000"/>
              </w:rPr>
              <w:t>，使用年限为</w:t>
            </w:r>
            <w:r w:rsidRPr="0028025F">
              <w:rPr>
                <w:rStyle w:val="1f8"/>
                <w:color w:val="FF0000"/>
              </w:rPr>
              <w:t>13</w:t>
            </w:r>
            <w:r w:rsidRPr="0028025F">
              <w:rPr>
                <w:rStyle w:val="1f8"/>
                <w:color w:val="FF0000"/>
              </w:rPr>
              <w:t>年；二期飞灰填埋总设计库容约</w:t>
            </w:r>
            <w:r w:rsidRPr="0028025F">
              <w:rPr>
                <w:rStyle w:val="1f8"/>
                <w:color w:val="FF0000"/>
              </w:rPr>
              <w:t xml:space="preserve">20.70 </w:t>
            </w:r>
            <w:r w:rsidRPr="0028025F">
              <w:rPr>
                <w:rStyle w:val="1f8"/>
                <w:color w:val="FF0000"/>
              </w:rPr>
              <w:t>万</w:t>
            </w:r>
            <w:r w:rsidRPr="0028025F">
              <w:rPr>
                <w:rStyle w:val="1f8"/>
                <w:color w:val="FF0000"/>
              </w:rPr>
              <w:t>m</w:t>
            </w:r>
            <w:r w:rsidRPr="0028025F">
              <w:rPr>
                <w:rStyle w:val="1f8"/>
                <w:color w:val="FF0000"/>
                <w:vertAlign w:val="superscript"/>
              </w:rPr>
              <w:t>3</w:t>
            </w:r>
            <w:r w:rsidRPr="0028025F">
              <w:rPr>
                <w:rStyle w:val="1f8"/>
                <w:color w:val="FF0000"/>
              </w:rPr>
              <w:t>，使用年限为</w:t>
            </w:r>
            <w:r w:rsidRPr="0028025F">
              <w:rPr>
                <w:rStyle w:val="1f8"/>
                <w:color w:val="FF0000"/>
              </w:rPr>
              <w:t>20</w:t>
            </w:r>
            <w:r w:rsidRPr="0028025F">
              <w:rPr>
                <w:rStyle w:val="1f8"/>
                <w:color w:val="FF0000"/>
              </w:rPr>
              <w:t>年。</w:t>
            </w:r>
          </w:p>
        </w:tc>
        <w:tc>
          <w:tcPr>
            <w:tcW w:w="1118" w:type="dxa"/>
            <w:vMerge w:val="restart"/>
          </w:tcPr>
          <w:p w14:paraId="5B9CB40F" w14:textId="39D61006" w:rsidR="0028025F" w:rsidRDefault="0028025F" w:rsidP="0028025F">
            <w:pPr>
              <w:jc w:val="center"/>
              <w:rPr>
                <w:rStyle w:val="1f8"/>
              </w:rPr>
            </w:pPr>
            <w:r w:rsidRPr="00A7718A">
              <w:rPr>
                <w:rStyle w:val="1f8"/>
              </w:rPr>
              <w:t>符合</w:t>
            </w:r>
          </w:p>
        </w:tc>
      </w:tr>
      <w:tr w:rsidR="0028025F" w14:paraId="7A84D480" w14:textId="77777777" w:rsidTr="00E756FC">
        <w:trPr>
          <w:trHeight w:val="848"/>
          <w:jc w:val="center"/>
        </w:trPr>
        <w:tc>
          <w:tcPr>
            <w:tcW w:w="1761" w:type="dxa"/>
            <w:vMerge/>
            <w:vAlign w:val="center"/>
          </w:tcPr>
          <w:p w14:paraId="057BD545"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7AB17428" w14:textId="0338D1E5" w:rsidR="0028025F" w:rsidRPr="0028025F" w:rsidRDefault="0028025F" w:rsidP="0028025F">
            <w:pPr>
              <w:pStyle w:val="a8"/>
              <w:ind w:firstLineChars="0" w:firstLine="0"/>
              <w:rPr>
                <w:rStyle w:val="1f8"/>
                <w:color w:val="FF0000"/>
              </w:rPr>
            </w:pPr>
            <w:r w:rsidRPr="0028025F">
              <w:rPr>
                <w:rStyle w:val="1f8"/>
                <w:rFonts w:hint="eastAsia"/>
                <w:color w:val="FF0000"/>
              </w:rPr>
              <w:t>填埋场场底必须进行防渗处理，填埋场底部应铺设渗滤液收集和导排系统，并且宜设置长久有效的疏通设施。填埋场应设置独立的雨水及地下水导排系统。填埋场应设渗滤液调节池。</w:t>
            </w:r>
          </w:p>
        </w:tc>
        <w:tc>
          <w:tcPr>
            <w:tcW w:w="3094" w:type="dxa"/>
            <w:vAlign w:val="center"/>
          </w:tcPr>
          <w:p w14:paraId="04C2164D" w14:textId="6FC4694E" w:rsidR="0028025F" w:rsidRPr="0028025F" w:rsidRDefault="0028025F" w:rsidP="0028025F">
            <w:pPr>
              <w:pStyle w:val="a8"/>
              <w:ind w:firstLineChars="0" w:firstLine="0"/>
              <w:rPr>
                <w:rStyle w:val="1f8"/>
                <w:color w:val="FF0000"/>
              </w:rPr>
            </w:pPr>
            <w:r w:rsidRPr="0028025F">
              <w:rPr>
                <w:color w:val="FF0000"/>
                <w:sz w:val="21"/>
                <w:szCs w:val="21"/>
              </w:rPr>
              <w:t>填埋库区库底和边坡做防渗处理，均采用单层复合防渗结构层，</w:t>
            </w:r>
            <w:r w:rsidRPr="0028025F">
              <w:rPr>
                <w:rFonts w:hint="eastAsia"/>
                <w:color w:val="FF0000"/>
                <w:sz w:val="21"/>
                <w:szCs w:val="21"/>
              </w:rPr>
              <w:t>填埋场设有</w:t>
            </w:r>
            <w:r w:rsidRPr="0028025F">
              <w:rPr>
                <w:rStyle w:val="1f8"/>
                <w:rFonts w:hint="eastAsia"/>
                <w:color w:val="FF0000"/>
              </w:rPr>
              <w:t>渗滤液收集系统和渗滤液处理站。本项目雨污分流，环场道路外侧设置环场截洪沟，防止场外雨水进入厂区内，减少垃圾渗滤液产生量。项目设有一座有效容积为</w:t>
            </w:r>
            <w:r w:rsidRPr="0028025F">
              <w:rPr>
                <w:rStyle w:val="1f8"/>
                <w:rFonts w:hint="eastAsia"/>
                <w:color w:val="FF0000"/>
              </w:rPr>
              <w:t>1</w:t>
            </w:r>
            <w:r w:rsidRPr="0028025F">
              <w:rPr>
                <w:rStyle w:val="1f8"/>
                <w:color w:val="FF0000"/>
              </w:rPr>
              <w:t>800</w:t>
            </w:r>
            <w:r w:rsidRPr="0028025F">
              <w:rPr>
                <w:rStyle w:val="1f8"/>
                <w:rFonts w:hint="eastAsia"/>
                <w:color w:val="FF0000"/>
              </w:rPr>
              <w:t>m</w:t>
            </w:r>
            <w:r w:rsidRPr="0028025F">
              <w:rPr>
                <w:rStyle w:val="1f8"/>
                <w:color w:val="FF0000"/>
                <w:vertAlign w:val="superscript"/>
              </w:rPr>
              <w:t>3</w:t>
            </w:r>
            <w:r w:rsidRPr="0028025F">
              <w:rPr>
                <w:rStyle w:val="1f8"/>
                <w:rFonts w:hint="eastAsia"/>
                <w:color w:val="FF0000"/>
              </w:rPr>
              <w:t>的调节池，用于均化水质、水量。</w:t>
            </w:r>
          </w:p>
        </w:tc>
        <w:tc>
          <w:tcPr>
            <w:tcW w:w="1118" w:type="dxa"/>
            <w:vMerge/>
          </w:tcPr>
          <w:p w14:paraId="24DE2D84" w14:textId="77777777" w:rsidR="0028025F" w:rsidRDefault="0028025F" w:rsidP="0028025F">
            <w:pPr>
              <w:jc w:val="center"/>
              <w:rPr>
                <w:rStyle w:val="1f8"/>
              </w:rPr>
            </w:pPr>
          </w:p>
        </w:tc>
      </w:tr>
      <w:tr w:rsidR="0028025F" w14:paraId="6333DE46" w14:textId="77777777" w:rsidTr="00E756FC">
        <w:trPr>
          <w:trHeight w:val="132"/>
          <w:jc w:val="center"/>
        </w:trPr>
        <w:tc>
          <w:tcPr>
            <w:tcW w:w="1761" w:type="dxa"/>
            <w:vMerge/>
            <w:vAlign w:val="center"/>
          </w:tcPr>
          <w:p w14:paraId="302BE227"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1E8FBCB9" w14:textId="26CCB032" w:rsidR="0028025F" w:rsidRPr="0028025F" w:rsidRDefault="0028025F" w:rsidP="0028025F">
            <w:pPr>
              <w:pStyle w:val="a8"/>
              <w:ind w:firstLineChars="0" w:firstLine="0"/>
              <w:rPr>
                <w:rStyle w:val="1f8"/>
                <w:color w:val="FF0000"/>
              </w:rPr>
            </w:pPr>
            <w:r w:rsidRPr="0028025F">
              <w:rPr>
                <w:rStyle w:val="1f8"/>
                <w:rFonts w:hint="eastAsia"/>
                <w:color w:val="FF0000"/>
              </w:rPr>
              <w:t>填埋场在作业过程中应进行临时覆盖，终场后应进行封场处理、土地再利用和生态环境恢复。</w:t>
            </w:r>
          </w:p>
        </w:tc>
        <w:tc>
          <w:tcPr>
            <w:tcW w:w="3094" w:type="dxa"/>
            <w:vAlign w:val="center"/>
          </w:tcPr>
          <w:p w14:paraId="0B47D4C9" w14:textId="0710D2BE" w:rsidR="0028025F" w:rsidRPr="0028025F" w:rsidRDefault="0028025F" w:rsidP="0028025F">
            <w:pPr>
              <w:pStyle w:val="a8"/>
              <w:ind w:firstLineChars="0" w:firstLine="0"/>
              <w:rPr>
                <w:rStyle w:val="1f8"/>
                <w:color w:val="FF0000"/>
              </w:rPr>
            </w:pPr>
            <w:r w:rsidRPr="0028025F">
              <w:rPr>
                <w:rStyle w:val="1f8"/>
                <w:rFonts w:hint="eastAsia"/>
                <w:color w:val="FF0000"/>
              </w:rPr>
              <w:t>填埋过程分区、分单元进行。每天填埋结束后，对作业面进行覆盖。填埋场达到设计封场条件要求时，经县级环保、环卫行政主管部门鉴定、核准后关闭，关闭后进行妥善封场。</w:t>
            </w:r>
          </w:p>
        </w:tc>
        <w:tc>
          <w:tcPr>
            <w:tcW w:w="1118" w:type="dxa"/>
            <w:vMerge/>
          </w:tcPr>
          <w:p w14:paraId="5DBAD2BF" w14:textId="77777777" w:rsidR="0028025F" w:rsidRDefault="0028025F" w:rsidP="0028025F">
            <w:pPr>
              <w:jc w:val="center"/>
              <w:rPr>
                <w:rStyle w:val="1f8"/>
              </w:rPr>
            </w:pPr>
          </w:p>
        </w:tc>
      </w:tr>
      <w:tr w:rsidR="0028025F" w14:paraId="61B6C9CF" w14:textId="77777777" w:rsidTr="00E756FC">
        <w:trPr>
          <w:trHeight w:val="300"/>
          <w:jc w:val="center"/>
        </w:trPr>
        <w:tc>
          <w:tcPr>
            <w:tcW w:w="1761" w:type="dxa"/>
            <w:vMerge/>
            <w:vAlign w:val="center"/>
          </w:tcPr>
          <w:p w14:paraId="4ED7C172"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46251578" w14:textId="673A6C0B" w:rsidR="0028025F" w:rsidRPr="0028025F" w:rsidRDefault="0028025F" w:rsidP="0028025F">
            <w:pPr>
              <w:pStyle w:val="a8"/>
              <w:ind w:firstLineChars="0" w:firstLine="0"/>
              <w:rPr>
                <w:rStyle w:val="1f8"/>
                <w:color w:val="FF0000"/>
              </w:rPr>
            </w:pPr>
            <w:r w:rsidRPr="0028025F">
              <w:rPr>
                <w:rStyle w:val="1f8"/>
                <w:rFonts w:hint="eastAsia"/>
                <w:color w:val="FF0000"/>
              </w:rPr>
              <w:t>填埋场应设置环境监测井。填埋场必须设置计量设施和车辆冲洗设施。</w:t>
            </w:r>
          </w:p>
        </w:tc>
        <w:tc>
          <w:tcPr>
            <w:tcW w:w="3094" w:type="dxa"/>
            <w:vAlign w:val="center"/>
          </w:tcPr>
          <w:p w14:paraId="17B57B61" w14:textId="1F5D8378" w:rsidR="0028025F" w:rsidRPr="0028025F" w:rsidRDefault="0028025F" w:rsidP="0028025F">
            <w:pPr>
              <w:pStyle w:val="a8"/>
              <w:ind w:firstLineChars="0" w:firstLine="0"/>
              <w:rPr>
                <w:rStyle w:val="1f8"/>
                <w:color w:val="FF0000"/>
              </w:rPr>
            </w:pPr>
            <w:r w:rsidRPr="0028025F">
              <w:rPr>
                <w:rStyle w:val="1f8"/>
                <w:rFonts w:hint="eastAsia"/>
                <w:color w:val="FF0000"/>
              </w:rPr>
              <w:t>项目在小六里沟附近泉水露头设</w:t>
            </w:r>
            <w:r w:rsidRPr="0028025F">
              <w:rPr>
                <w:rStyle w:val="1f8"/>
                <w:color w:val="FF0000"/>
              </w:rPr>
              <w:t>1</w:t>
            </w:r>
            <w:r w:rsidRPr="0028025F">
              <w:rPr>
                <w:rStyle w:val="1f8"/>
                <w:color w:val="FF0000"/>
              </w:rPr>
              <w:t>座本底井，在渗滤液调节池下游</w:t>
            </w:r>
            <w:r w:rsidRPr="0028025F">
              <w:rPr>
                <w:rStyle w:val="1f8"/>
                <w:color w:val="FF0000"/>
              </w:rPr>
              <w:t>30m</w:t>
            </w:r>
            <w:r w:rsidRPr="0028025F">
              <w:rPr>
                <w:rStyle w:val="1f8"/>
                <w:color w:val="FF0000"/>
              </w:rPr>
              <w:t>设</w:t>
            </w:r>
            <w:r w:rsidRPr="0028025F">
              <w:rPr>
                <w:rStyle w:val="1f8"/>
                <w:color w:val="FF0000"/>
              </w:rPr>
              <w:t>1</w:t>
            </w:r>
            <w:r w:rsidRPr="0028025F">
              <w:rPr>
                <w:rStyle w:val="1f8"/>
                <w:color w:val="FF0000"/>
              </w:rPr>
              <w:t>座跟踪监测井，在填埋场区设</w:t>
            </w:r>
            <w:r w:rsidRPr="0028025F">
              <w:rPr>
                <w:rStyle w:val="1f8"/>
                <w:color w:val="FF0000"/>
              </w:rPr>
              <w:t>2</w:t>
            </w:r>
            <w:r w:rsidRPr="0028025F">
              <w:rPr>
                <w:rStyle w:val="1f8"/>
                <w:color w:val="FF0000"/>
              </w:rPr>
              <w:t>座污染扩散井，在松林村附近设</w:t>
            </w:r>
            <w:r w:rsidRPr="0028025F">
              <w:rPr>
                <w:rStyle w:val="1f8"/>
                <w:color w:val="FF0000"/>
              </w:rPr>
              <w:t>2</w:t>
            </w:r>
            <w:r w:rsidRPr="0028025F">
              <w:rPr>
                <w:rStyle w:val="1f8"/>
                <w:color w:val="FF0000"/>
              </w:rPr>
              <w:t>座污染监视井。</w:t>
            </w:r>
            <w:r w:rsidRPr="0028025F">
              <w:rPr>
                <w:rStyle w:val="1f8"/>
                <w:rFonts w:hint="eastAsia"/>
                <w:color w:val="FF0000"/>
              </w:rPr>
              <w:t>填埋场设有计量设施和车辆冲洗设施。</w:t>
            </w:r>
          </w:p>
        </w:tc>
        <w:tc>
          <w:tcPr>
            <w:tcW w:w="1118" w:type="dxa"/>
            <w:vMerge/>
          </w:tcPr>
          <w:p w14:paraId="284B0976" w14:textId="77777777" w:rsidR="0028025F" w:rsidRDefault="0028025F" w:rsidP="0028025F">
            <w:pPr>
              <w:jc w:val="center"/>
              <w:rPr>
                <w:rStyle w:val="1f8"/>
              </w:rPr>
            </w:pPr>
          </w:p>
        </w:tc>
      </w:tr>
      <w:tr w:rsidR="0028025F" w14:paraId="15BC171B" w14:textId="77777777" w:rsidTr="00E756FC">
        <w:trPr>
          <w:trHeight w:val="325"/>
          <w:jc w:val="center"/>
        </w:trPr>
        <w:tc>
          <w:tcPr>
            <w:tcW w:w="1761" w:type="dxa"/>
            <w:vMerge w:val="restart"/>
            <w:vAlign w:val="center"/>
          </w:tcPr>
          <w:p w14:paraId="0E2A7AB7" w14:textId="4FBCCD4A" w:rsidR="0028025F" w:rsidRPr="0028025F" w:rsidRDefault="0028025F" w:rsidP="0028025F">
            <w:pPr>
              <w:pStyle w:val="a8"/>
              <w:ind w:firstLineChars="0" w:firstLine="0"/>
              <w:jc w:val="center"/>
              <w:rPr>
                <w:rStyle w:val="1f8"/>
                <w:color w:val="FF0000"/>
              </w:rPr>
            </w:pPr>
            <w:r w:rsidRPr="0028025F">
              <w:rPr>
                <w:rStyle w:val="1f8"/>
                <w:rFonts w:hint="eastAsia"/>
                <w:color w:val="FF0000"/>
              </w:rPr>
              <w:t>《生活垃圾处理处置工程项目规范》（</w:t>
            </w:r>
            <w:r w:rsidRPr="0028025F">
              <w:rPr>
                <w:rStyle w:val="1f8"/>
                <w:color w:val="FF0000"/>
              </w:rPr>
              <w:t>GB/T 55012-2021</w:t>
            </w:r>
            <w:r w:rsidRPr="0028025F">
              <w:rPr>
                <w:rStyle w:val="1f8"/>
                <w:color w:val="FF0000"/>
              </w:rPr>
              <w:t>）</w:t>
            </w:r>
          </w:p>
        </w:tc>
        <w:tc>
          <w:tcPr>
            <w:tcW w:w="3763" w:type="dxa"/>
            <w:vAlign w:val="center"/>
          </w:tcPr>
          <w:p w14:paraId="0EB28152" w14:textId="27CAAEF5" w:rsidR="0028025F" w:rsidRPr="0028025F" w:rsidRDefault="0028025F" w:rsidP="0028025F">
            <w:pPr>
              <w:pStyle w:val="a8"/>
              <w:ind w:firstLineChars="0" w:firstLine="0"/>
              <w:rPr>
                <w:rStyle w:val="1f8"/>
                <w:color w:val="FF0000"/>
              </w:rPr>
            </w:pPr>
            <w:r w:rsidRPr="0028025F">
              <w:rPr>
                <w:rStyle w:val="1f8"/>
                <w:rFonts w:hint="eastAsia"/>
                <w:color w:val="FF0000"/>
              </w:rPr>
              <w:t>生活垃圾处理处置工程不应设在下列地区：</w:t>
            </w:r>
            <w:r w:rsidRPr="0028025F">
              <w:rPr>
                <w:rStyle w:val="1f8"/>
                <w:rFonts w:hint="eastAsia"/>
                <w:color w:val="FF0000"/>
              </w:rPr>
              <w:t>1</w:t>
            </w:r>
            <w:r w:rsidRPr="0028025F">
              <w:rPr>
                <w:rStyle w:val="1f8"/>
                <w:color w:val="FF0000"/>
              </w:rPr>
              <w:t>.</w:t>
            </w:r>
            <w:r w:rsidRPr="0028025F">
              <w:rPr>
                <w:rStyle w:val="1f8"/>
                <w:rFonts w:hint="eastAsia"/>
                <w:color w:val="FF0000"/>
              </w:rPr>
              <w:t>生活饮用水水源保护区，供水远景规划区；</w:t>
            </w:r>
            <w:r w:rsidRPr="0028025F">
              <w:rPr>
                <w:rStyle w:val="1f8"/>
                <w:rFonts w:hint="eastAsia"/>
                <w:color w:val="FF0000"/>
              </w:rPr>
              <w:t>2</w:t>
            </w:r>
            <w:r w:rsidRPr="0028025F">
              <w:rPr>
                <w:rStyle w:val="1f8"/>
                <w:color w:val="FF0000"/>
              </w:rPr>
              <w:t>.</w:t>
            </w:r>
            <w:r w:rsidRPr="0028025F">
              <w:rPr>
                <w:rStyle w:val="1f8"/>
                <w:rFonts w:hint="eastAsia"/>
                <w:color w:val="FF0000"/>
              </w:rPr>
              <w:t>洪泛区和泄洪道；</w:t>
            </w:r>
            <w:r w:rsidRPr="0028025F">
              <w:rPr>
                <w:rStyle w:val="1f8"/>
                <w:rFonts w:hint="eastAsia"/>
                <w:color w:val="FF0000"/>
              </w:rPr>
              <w:t>3</w:t>
            </w:r>
            <w:r w:rsidRPr="0028025F">
              <w:rPr>
                <w:rStyle w:val="1f8"/>
                <w:color w:val="FF0000"/>
              </w:rPr>
              <w:t>.</w:t>
            </w:r>
            <w:r w:rsidRPr="0028025F">
              <w:rPr>
                <w:rStyle w:val="1f8"/>
                <w:rFonts w:hint="eastAsia"/>
                <w:color w:val="FF0000"/>
              </w:rPr>
              <w:t>尚未开采的</w:t>
            </w:r>
            <w:r w:rsidRPr="0028025F">
              <w:rPr>
                <w:rStyle w:val="1f8"/>
                <w:color w:val="FF0000"/>
              </w:rPr>
              <w:t>地下蕴矿区</w:t>
            </w:r>
            <w:r w:rsidRPr="0028025F">
              <w:rPr>
                <w:rStyle w:val="1f8"/>
                <w:rFonts w:hint="eastAsia"/>
                <w:color w:val="FF0000"/>
              </w:rPr>
              <w:t>和岩溶发育区；</w:t>
            </w:r>
            <w:r w:rsidRPr="0028025F">
              <w:rPr>
                <w:rStyle w:val="1f8"/>
                <w:rFonts w:hint="eastAsia"/>
                <w:color w:val="FF0000"/>
              </w:rPr>
              <w:t>4</w:t>
            </w:r>
            <w:r w:rsidRPr="0028025F">
              <w:rPr>
                <w:rStyle w:val="1f8"/>
                <w:color w:val="FF0000"/>
              </w:rPr>
              <w:t>.</w:t>
            </w:r>
            <w:r w:rsidRPr="0028025F">
              <w:rPr>
                <w:rStyle w:val="1f8"/>
                <w:rFonts w:hint="eastAsia"/>
                <w:color w:val="FF0000"/>
              </w:rPr>
              <w:t>自然保护区；</w:t>
            </w:r>
            <w:r w:rsidRPr="0028025F">
              <w:rPr>
                <w:rStyle w:val="1f8"/>
                <w:rFonts w:hint="eastAsia"/>
                <w:color w:val="FF0000"/>
              </w:rPr>
              <w:t>5</w:t>
            </w:r>
            <w:r w:rsidRPr="0028025F">
              <w:rPr>
                <w:rStyle w:val="1f8"/>
                <w:color w:val="FF0000"/>
              </w:rPr>
              <w:t>.</w:t>
            </w:r>
            <w:r w:rsidRPr="0028025F">
              <w:rPr>
                <w:rStyle w:val="1f8"/>
                <w:rFonts w:hint="eastAsia"/>
                <w:color w:val="FF0000"/>
              </w:rPr>
              <w:t>文物古迹区，考古学、历史学及生物学研究考察区。</w:t>
            </w:r>
          </w:p>
        </w:tc>
        <w:tc>
          <w:tcPr>
            <w:tcW w:w="3094" w:type="dxa"/>
            <w:vAlign w:val="center"/>
          </w:tcPr>
          <w:p w14:paraId="7117DB29" w14:textId="1C4B9A37" w:rsidR="0028025F" w:rsidRPr="0028025F" w:rsidRDefault="0028025F" w:rsidP="0028025F">
            <w:pPr>
              <w:pStyle w:val="a8"/>
              <w:ind w:firstLineChars="0" w:firstLine="0"/>
              <w:rPr>
                <w:rStyle w:val="1f8"/>
                <w:color w:val="FF0000"/>
              </w:rPr>
            </w:pPr>
            <w:r w:rsidRPr="0028025F">
              <w:rPr>
                <w:rStyle w:val="1f8"/>
                <w:rFonts w:hint="eastAsia"/>
                <w:color w:val="FF0000"/>
              </w:rPr>
              <w:t>本项目位于柞水县小六里沟，项目所在地不涉及生活饮用水水源保护区，供水远景规划区、洪泛区和泄洪道、尚未开采的</w:t>
            </w:r>
            <w:r w:rsidRPr="0028025F">
              <w:rPr>
                <w:rStyle w:val="1f8"/>
                <w:color w:val="FF0000"/>
              </w:rPr>
              <w:t>地下蕴矿区</w:t>
            </w:r>
            <w:r w:rsidRPr="0028025F">
              <w:rPr>
                <w:rStyle w:val="1f8"/>
                <w:rFonts w:hint="eastAsia"/>
                <w:color w:val="FF0000"/>
              </w:rPr>
              <w:t>和岩溶发育区、自然保护区、文物古迹区，考古学、历史学及生物学研究考察区等。</w:t>
            </w:r>
          </w:p>
        </w:tc>
        <w:tc>
          <w:tcPr>
            <w:tcW w:w="1118" w:type="dxa"/>
          </w:tcPr>
          <w:p w14:paraId="3B3FB2D3" w14:textId="64318DD8" w:rsidR="0028025F" w:rsidRDefault="0028025F" w:rsidP="0028025F">
            <w:pPr>
              <w:jc w:val="center"/>
              <w:rPr>
                <w:rStyle w:val="1f8"/>
              </w:rPr>
            </w:pPr>
            <w:r w:rsidRPr="00A7718A">
              <w:rPr>
                <w:rStyle w:val="1f8"/>
              </w:rPr>
              <w:t>符合</w:t>
            </w:r>
          </w:p>
        </w:tc>
      </w:tr>
      <w:tr w:rsidR="0028025F" w14:paraId="6C29FB41" w14:textId="77777777" w:rsidTr="00E756FC">
        <w:trPr>
          <w:trHeight w:val="325"/>
          <w:jc w:val="center"/>
        </w:trPr>
        <w:tc>
          <w:tcPr>
            <w:tcW w:w="1761" w:type="dxa"/>
            <w:vMerge/>
            <w:vAlign w:val="center"/>
          </w:tcPr>
          <w:p w14:paraId="048164B6"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73014C17" w14:textId="7A412BA3" w:rsidR="0028025F" w:rsidRPr="0028025F" w:rsidRDefault="0028025F" w:rsidP="0028025F">
            <w:pPr>
              <w:pStyle w:val="a8"/>
              <w:ind w:firstLineChars="0" w:firstLine="0"/>
              <w:rPr>
                <w:rStyle w:val="1f8"/>
                <w:color w:val="FF0000"/>
              </w:rPr>
            </w:pPr>
            <w:r w:rsidRPr="0028025F">
              <w:rPr>
                <w:rStyle w:val="1f8"/>
                <w:rFonts w:hint="eastAsia"/>
                <w:color w:val="FF0000"/>
              </w:rPr>
              <w:t>生活垃圾卫生填埋场渗滤液调节池容积不应小于三个月的渗滤液处理量。</w:t>
            </w:r>
          </w:p>
        </w:tc>
        <w:tc>
          <w:tcPr>
            <w:tcW w:w="3094" w:type="dxa"/>
            <w:vAlign w:val="center"/>
          </w:tcPr>
          <w:p w14:paraId="13D1147B" w14:textId="7F64C602" w:rsidR="0028025F" w:rsidRPr="0028025F" w:rsidRDefault="0028025F" w:rsidP="0028025F">
            <w:pPr>
              <w:pStyle w:val="a8"/>
              <w:ind w:firstLineChars="0" w:firstLine="0"/>
              <w:rPr>
                <w:rStyle w:val="1f8"/>
                <w:color w:val="FF0000"/>
              </w:rPr>
            </w:pPr>
            <w:r w:rsidRPr="0028025F">
              <w:rPr>
                <w:rStyle w:val="1f8"/>
                <w:rFonts w:hint="eastAsia"/>
                <w:color w:val="FF0000"/>
              </w:rPr>
              <w:t>本项目设一座有效容积为</w:t>
            </w:r>
            <w:r w:rsidRPr="0028025F">
              <w:rPr>
                <w:rStyle w:val="1f8"/>
                <w:rFonts w:hint="eastAsia"/>
                <w:color w:val="FF0000"/>
              </w:rPr>
              <w:t>1</w:t>
            </w:r>
            <w:r w:rsidRPr="0028025F">
              <w:rPr>
                <w:rStyle w:val="1f8"/>
                <w:color w:val="FF0000"/>
              </w:rPr>
              <w:t>800</w:t>
            </w:r>
            <w:r w:rsidRPr="0028025F">
              <w:rPr>
                <w:rStyle w:val="1f8"/>
                <w:rFonts w:hint="eastAsia"/>
                <w:color w:val="FF0000"/>
              </w:rPr>
              <w:t>m</w:t>
            </w:r>
            <w:r w:rsidRPr="0028025F">
              <w:rPr>
                <w:rStyle w:val="1f8"/>
                <w:color w:val="FF0000"/>
                <w:vertAlign w:val="superscript"/>
              </w:rPr>
              <w:t>3</w:t>
            </w:r>
            <w:r w:rsidRPr="0028025F">
              <w:rPr>
                <w:rStyle w:val="1f8"/>
                <w:rFonts w:hint="eastAsia"/>
                <w:color w:val="FF0000"/>
              </w:rPr>
              <w:t>的渗滤液调节池，可满足雨季三个月的渗滤液处理量。</w:t>
            </w:r>
          </w:p>
        </w:tc>
        <w:tc>
          <w:tcPr>
            <w:tcW w:w="1118" w:type="dxa"/>
          </w:tcPr>
          <w:p w14:paraId="570B6B8E" w14:textId="5C1B853D" w:rsidR="0028025F" w:rsidRDefault="0028025F" w:rsidP="0028025F">
            <w:pPr>
              <w:jc w:val="center"/>
              <w:rPr>
                <w:rStyle w:val="1f8"/>
              </w:rPr>
            </w:pPr>
            <w:r w:rsidRPr="00A7718A">
              <w:rPr>
                <w:rStyle w:val="1f8"/>
              </w:rPr>
              <w:t>符合</w:t>
            </w:r>
          </w:p>
        </w:tc>
      </w:tr>
      <w:tr w:rsidR="0028025F" w14:paraId="6C8AB520" w14:textId="77777777" w:rsidTr="00E756FC">
        <w:trPr>
          <w:trHeight w:val="325"/>
          <w:jc w:val="center"/>
        </w:trPr>
        <w:tc>
          <w:tcPr>
            <w:tcW w:w="1761" w:type="dxa"/>
            <w:vMerge/>
            <w:vAlign w:val="center"/>
          </w:tcPr>
          <w:p w14:paraId="41DCBBB1"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4C196013" w14:textId="5EAAF2CF" w:rsidR="0028025F" w:rsidRPr="0028025F" w:rsidRDefault="0028025F" w:rsidP="0028025F">
            <w:pPr>
              <w:pStyle w:val="a8"/>
              <w:ind w:firstLineChars="0" w:firstLine="0"/>
              <w:rPr>
                <w:rStyle w:val="1f8"/>
                <w:color w:val="FF0000"/>
              </w:rPr>
            </w:pPr>
            <w:r w:rsidRPr="0028025F">
              <w:rPr>
                <w:rStyle w:val="1f8"/>
                <w:rFonts w:hint="eastAsia"/>
                <w:color w:val="FF0000"/>
              </w:rPr>
              <w:t>渗滤液处理设施应配置接受及储存系统、预处理系统、主处理系统、污泥和浓缩液处理系统、臭气处理系统等，确保正常运行。渗滤液处理中产生的污泥应进行脱水等预处理，具体指标应符合后续处理工艺要求。纳滤和反渗透工艺产生的浓缩液应采用焚烧、蒸发或其他方式处理。</w:t>
            </w:r>
          </w:p>
        </w:tc>
        <w:tc>
          <w:tcPr>
            <w:tcW w:w="3094" w:type="dxa"/>
            <w:vAlign w:val="center"/>
          </w:tcPr>
          <w:p w14:paraId="04878C87" w14:textId="52987055" w:rsidR="0028025F" w:rsidRPr="0028025F" w:rsidRDefault="0028025F" w:rsidP="0028025F">
            <w:pPr>
              <w:pStyle w:val="a8"/>
              <w:ind w:firstLineChars="0" w:firstLine="0"/>
              <w:rPr>
                <w:rStyle w:val="1f8"/>
                <w:color w:val="FF0000"/>
              </w:rPr>
            </w:pPr>
            <w:r w:rsidRPr="0028025F">
              <w:rPr>
                <w:rStyle w:val="1f8"/>
                <w:rFonts w:hint="eastAsia"/>
                <w:color w:val="FF0000"/>
              </w:rPr>
              <w:t>项目设有渗滤液处理车间，处理规模为</w:t>
            </w:r>
            <w:r w:rsidRPr="0028025F">
              <w:rPr>
                <w:rStyle w:val="1f8"/>
                <w:color w:val="FF0000"/>
              </w:rPr>
              <w:t>65t/d</w:t>
            </w:r>
            <w:r w:rsidRPr="0028025F">
              <w:rPr>
                <w:rStyle w:val="1f8"/>
                <w:color w:val="FF0000"/>
              </w:rPr>
              <w:t>，处理工艺为</w:t>
            </w:r>
            <w:r w:rsidRPr="0028025F">
              <w:rPr>
                <w:rStyle w:val="1f8"/>
                <w:rFonts w:hint="eastAsia"/>
                <w:color w:val="FF0000"/>
              </w:rPr>
              <w:t>预处理（</w:t>
            </w:r>
            <w:r w:rsidRPr="0028025F">
              <w:rPr>
                <w:rStyle w:val="1f8"/>
                <w:color w:val="FF0000"/>
              </w:rPr>
              <w:t>预处理</w:t>
            </w:r>
            <w:r w:rsidRPr="0028025F">
              <w:rPr>
                <w:rStyle w:val="1f8"/>
                <w:color w:val="FF0000"/>
              </w:rPr>
              <w:t>-</w:t>
            </w:r>
            <w:r w:rsidRPr="0028025F">
              <w:rPr>
                <w:rStyle w:val="1f8"/>
                <w:color w:val="FF0000"/>
              </w:rPr>
              <w:t>一体化反应池</w:t>
            </w:r>
            <w:r w:rsidRPr="0028025F">
              <w:rPr>
                <w:rStyle w:val="1f8"/>
                <w:color w:val="FF0000"/>
              </w:rPr>
              <w:t>-</w:t>
            </w:r>
            <w:r w:rsidRPr="0028025F">
              <w:rPr>
                <w:rStyle w:val="1f8"/>
                <w:color w:val="FF0000"/>
              </w:rPr>
              <w:t>气浮</w:t>
            </w:r>
            <w:r w:rsidRPr="0028025F">
              <w:rPr>
                <w:rStyle w:val="1f8"/>
                <w:color w:val="FF0000"/>
              </w:rPr>
              <w:t>-</w:t>
            </w:r>
            <w:r w:rsidRPr="0028025F">
              <w:rPr>
                <w:rStyle w:val="1f8"/>
                <w:color w:val="FF0000"/>
              </w:rPr>
              <w:t>斜板沉淀</w:t>
            </w:r>
            <w:r w:rsidRPr="0028025F">
              <w:rPr>
                <w:rStyle w:val="1f8"/>
                <w:rFonts w:hint="eastAsia"/>
                <w:color w:val="FF0000"/>
              </w:rPr>
              <w:t>）</w:t>
            </w:r>
            <w:r w:rsidRPr="0028025F">
              <w:rPr>
                <w:rStyle w:val="1f8"/>
                <w:rFonts w:hint="eastAsia"/>
                <w:color w:val="FF0000"/>
              </w:rPr>
              <w:t>+</w:t>
            </w:r>
            <w:r w:rsidRPr="0028025F">
              <w:rPr>
                <w:rStyle w:val="1f8"/>
                <w:rFonts w:hint="eastAsia"/>
                <w:color w:val="FF0000"/>
              </w:rPr>
              <w:t>生物处理（</w:t>
            </w:r>
            <w:r w:rsidRPr="0028025F">
              <w:rPr>
                <w:rStyle w:val="1f8"/>
                <w:color w:val="FF0000"/>
              </w:rPr>
              <w:t>A</w:t>
            </w:r>
            <w:r w:rsidRPr="0028025F">
              <w:rPr>
                <w:rStyle w:val="1f8"/>
                <w:color w:val="FF0000"/>
                <w:vertAlign w:val="superscript"/>
              </w:rPr>
              <w:t>2</w:t>
            </w:r>
            <w:r w:rsidRPr="0028025F">
              <w:rPr>
                <w:rStyle w:val="1f8"/>
                <w:color w:val="FF0000"/>
              </w:rPr>
              <w:t>/O-MBR</w:t>
            </w:r>
            <w:r w:rsidRPr="0028025F">
              <w:rPr>
                <w:rStyle w:val="1f8"/>
                <w:color w:val="FF0000"/>
              </w:rPr>
              <w:t>膜池</w:t>
            </w:r>
            <w:r w:rsidRPr="0028025F">
              <w:rPr>
                <w:rStyle w:val="1f8"/>
                <w:rFonts w:hint="eastAsia"/>
                <w:color w:val="FF0000"/>
              </w:rPr>
              <w:t>）</w:t>
            </w:r>
            <w:r w:rsidRPr="0028025F">
              <w:rPr>
                <w:rStyle w:val="1f8"/>
                <w:color w:val="FF0000"/>
              </w:rPr>
              <w:t>+</w:t>
            </w:r>
            <w:r w:rsidRPr="0028025F">
              <w:rPr>
                <w:rStyle w:val="1f8"/>
                <w:rFonts w:hint="eastAsia"/>
                <w:color w:val="FF0000"/>
              </w:rPr>
              <w:t>深度处理（</w:t>
            </w:r>
            <w:r w:rsidRPr="0028025F">
              <w:rPr>
                <w:rStyle w:val="1f8"/>
                <w:color w:val="FF0000"/>
              </w:rPr>
              <w:t>纳滤</w:t>
            </w:r>
            <w:r w:rsidRPr="0028025F">
              <w:rPr>
                <w:rStyle w:val="1f8"/>
                <w:color w:val="FF0000"/>
              </w:rPr>
              <w:t>-</w:t>
            </w:r>
            <w:r w:rsidRPr="0028025F">
              <w:rPr>
                <w:rStyle w:val="1f8"/>
                <w:color w:val="FF0000"/>
              </w:rPr>
              <w:t>反渗透</w:t>
            </w:r>
            <w:r w:rsidRPr="0028025F">
              <w:rPr>
                <w:rStyle w:val="1f8"/>
                <w:rFonts w:hint="eastAsia"/>
                <w:color w:val="FF0000"/>
              </w:rPr>
              <w:t>）。项目拟设一套离子除臭系统，渗滤液调节池和渗滤液处理系统均密闭加盖，</w:t>
            </w:r>
            <w:r w:rsidRPr="0028025F">
              <w:rPr>
                <w:rStyle w:val="1f8"/>
                <w:color w:val="FF0000"/>
              </w:rPr>
              <w:t>收集后的恶臭污染物进入离子除臭系统进行处理，处理达标后的尾气经</w:t>
            </w:r>
            <w:r w:rsidRPr="0028025F">
              <w:rPr>
                <w:rStyle w:val="1f8"/>
                <w:color w:val="FF0000"/>
              </w:rPr>
              <w:t>15m</w:t>
            </w:r>
            <w:r w:rsidRPr="0028025F">
              <w:rPr>
                <w:rStyle w:val="1f8"/>
                <w:color w:val="FF0000"/>
              </w:rPr>
              <w:t>高的排气筒外排。</w:t>
            </w:r>
            <w:r w:rsidRPr="0028025F">
              <w:rPr>
                <w:rStyle w:val="1f8"/>
                <w:rFonts w:hint="eastAsia"/>
                <w:color w:val="FF0000"/>
              </w:rPr>
              <w:t>渗滤液处理系统会产生污泥，污泥经厢式隔膜压滤脱水机进行脱水，脱水后为含水率约</w:t>
            </w:r>
            <w:r w:rsidRPr="0028025F">
              <w:rPr>
                <w:rStyle w:val="1f8"/>
                <w:color w:val="FF0000"/>
              </w:rPr>
              <w:t>60%</w:t>
            </w:r>
            <w:r w:rsidRPr="0028025F">
              <w:rPr>
                <w:rStyle w:val="1f8"/>
                <w:color w:val="FF0000"/>
              </w:rPr>
              <w:t>的泥饼，运至本项目填埋区卫生填埋</w:t>
            </w:r>
            <w:r w:rsidRPr="0028025F">
              <w:rPr>
                <w:rStyle w:val="1f8"/>
                <w:rFonts w:hint="eastAsia"/>
                <w:color w:val="FF0000"/>
              </w:rPr>
              <w:t>。纳滤和反渗透工艺产生的浓缩液回灌于填埋区。</w:t>
            </w:r>
          </w:p>
        </w:tc>
        <w:tc>
          <w:tcPr>
            <w:tcW w:w="1118" w:type="dxa"/>
          </w:tcPr>
          <w:p w14:paraId="5F26BF6E" w14:textId="26D352F9" w:rsidR="0028025F" w:rsidRDefault="0028025F" w:rsidP="0028025F">
            <w:pPr>
              <w:jc w:val="center"/>
              <w:rPr>
                <w:rStyle w:val="1f8"/>
              </w:rPr>
            </w:pPr>
            <w:r w:rsidRPr="00A7718A">
              <w:rPr>
                <w:rStyle w:val="1f8"/>
              </w:rPr>
              <w:t>符合</w:t>
            </w:r>
          </w:p>
        </w:tc>
      </w:tr>
      <w:tr w:rsidR="0028025F" w14:paraId="3B4587DA" w14:textId="77777777" w:rsidTr="00E756FC">
        <w:trPr>
          <w:trHeight w:val="325"/>
          <w:jc w:val="center"/>
        </w:trPr>
        <w:tc>
          <w:tcPr>
            <w:tcW w:w="1761" w:type="dxa"/>
            <w:vMerge/>
            <w:vAlign w:val="center"/>
          </w:tcPr>
          <w:p w14:paraId="75D034C7"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4F85A868" w14:textId="526A62FB" w:rsidR="0028025F" w:rsidRPr="0028025F" w:rsidRDefault="0028025F" w:rsidP="0028025F">
            <w:pPr>
              <w:pStyle w:val="a8"/>
              <w:ind w:firstLineChars="0" w:firstLine="0"/>
              <w:rPr>
                <w:rStyle w:val="1f8"/>
                <w:color w:val="FF0000"/>
              </w:rPr>
            </w:pPr>
            <w:r w:rsidRPr="0028025F">
              <w:rPr>
                <w:rStyle w:val="1f8"/>
                <w:rFonts w:hint="eastAsia"/>
                <w:color w:val="FF0000"/>
              </w:rPr>
              <w:t>填埋场用地面积和库容应满足工作年限不小于</w:t>
            </w:r>
            <w:r w:rsidRPr="0028025F">
              <w:rPr>
                <w:rStyle w:val="1f8"/>
                <w:rFonts w:hint="eastAsia"/>
                <w:color w:val="FF0000"/>
              </w:rPr>
              <w:t>1</w:t>
            </w:r>
            <w:r w:rsidRPr="0028025F">
              <w:rPr>
                <w:rStyle w:val="1f8"/>
                <w:color w:val="FF0000"/>
              </w:rPr>
              <w:t>0</w:t>
            </w:r>
            <w:r w:rsidRPr="0028025F">
              <w:rPr>
                <w:rStyle w:val="1f8"/>
                <w:rFonts w:hint="eastAsia"/>
                <w:color w:val="FF0000"/>
              </w:rPr>
              <w:t>年。</w:t>
            </w:r>
          </w:p>
        </w:tc>
        <w:tc>
          <w:tcPr>
            <w:tcW w:w="3094" w:type="dxa"/>
            <w:vAlign w:val="center"/>
          </w:tcPr>
          <w:p w14:paraId="559A9032" w14:textId="185BA9BF" w:rsidR="0028025F" w:rsidRPr="0028025F" w:rsidRDefault="0028025F" w:rsidP="0028025F">
            <w:pPr>
              <w:pStyle w:val="a8"/>
              <w:ind w:firstLineChars="0" w:firstLine="0"/>
              <w:rPr>
                <w:rStyle w:val="1f8"/>
                <w:color w:val="FF0000"/>
              </w:rPr>
            </w:pPr>
            <w:r w:rsidRPr="0028025F">
              <w:rPr>
                <w:rStyle w:val="1f8"/>
                <w:rFonts w:hint="eastAsia"/>
                <w:color w:val="FF0000"/>
              </w:rPr>
              <w:t>本项目一期生活垃圾填埋总设计库容约</w:t>
            </w:r>
            <w:r w:rsidRPr="0028025F">
              <w:rPr>
                <w:rStyle w:val="1f8"/>
                <w:color w:val="FF0000"/>
              </w:rPr>
              <w:t>65.49</w:t>
            </w:r>
            <w:r w:rsidRPr="0028025F">
              <w:rPr>
                <w:rStyle w:val="1f8"/>
                <w:color w:val="FF0000"/>
              </w:rPr>
              <w:t>万</w:t>
            </w:r>
            <w:r w:rsidRPr="0028025F">
              <w:rPr>
                <w:rStyle w:val="1f8"/>
                <w:color w:val="FF0000"/>
              </w:rPr>
              <w:t>m</w:t>
            </w:r>
            <w:r w:rsidRPr="0028025F">
              <w:rPr>
                <w:rStyle w:val="1f8"/>
                <w:color w:val="FF0000"/>
                <w:vertAlign w:val="superscript"/>
              </w:rPr>
              <w:t>3</w:t>
            </w:r>
            <w:r w:rsidRPr="0028025F">
              <w:rPr>
                <w:rStyle w:val="1f8"/>
                <w:color w:val="FF0000"/>
              </w:rPr>
              <w:t>，使用年限为</w:t>
            </w:r>
            <w:r w:rsidRPr="0028025F">
              <w:rPr>
                <w:rStyle w:val="1f8"/>
                <w:color w:val="FF0000"/>
              </w:rPr>
              <w:t>13</w:t>
            </w:r>
            <w:r w:rsidRPr="0028025F">
              <w:rPr>
                <w:rStyle w:val="1f8"/>
                <w:color w:val="FF0000"/>
              </w:rPr>
              <w:t>年；二期飞灰填埋总设计库容约</w:t>
            </w:r>
            <w:r w:rsidRPr="0028025F">
              <w:rPr>
                <w:rStyle w:val="1f8"/>
                <w:color w:val="FF0000"/>
              </w:rPr>
              <w:t xml:space="preserve">20.70 </w:t>
            </w:r>
            <w:r w:rsidRPr="0028025F">
              <w:rPr>
                <w:rStyle w:val="1f8"/>
                <w:color w:val="FF0000"/>
              </w:rPr>
              <w:t>万</w:t>
            </w:r>
            <w:r w:rsidRPr="0028025F">
              <w:rPr>
                <w:rStyle w:val="1f8"/>
                <w:color w:val="FF0000"/>
              </w:rPr>
              <w:t>m</w:t>
            </w:r>
            <w:r w:rsidRPr="0028025F">
              <w:rPr>
                <w:rStyle w:val="1f8"/>
                <w:color w:val="FF0000"/>
                <w:vertAlign w:val="superscript"/>
              </w:rPr>
              <w:t>3</w:t>
            </w:r>
            <w:r w:rsidRPr="0028025F">
              <w:rPr>
                <w:rStyle w:val="1f8"/>
                <w:color w:val="FF0000"/>
              </w:rPr>
              <w:t>，使用年限为</w:t>
            </w:r>
            <w:r w:rsidRPr="0028025F">
              <w:rPr>
                <w:rStyle w:val="1f8"/>
                <w:color w:val="FF0000"/>
              </w:rPr>
              <w:t>20</w:t>
            </w:r>
            <w:r w:rsidRPr="0028025F">
              <w:rPr>
                <w:rStyle w:val="1f8"/>
                <w:color w:val="FF0000"/>
              </w:rPr>
              <w:t>年。</w:t>
            </w:r>
          </w:p>
        </w:tc>
        <w:tc>
          <w:tcPr>
            <w:tcW w:w="1118" w:type="dxa"/>
          </w:tcPr>
          <w:p w14:paraId="259AB604" w14:textId="1422DDD2" w:rsidR="0028025F" w:rsidRDefault="0028025F" w:rsidP="0028025F">
            <w:pPr>
              <w:jc w:val="center"/>
              <w:rPr>
                <w:rStyle w:val="1f8"/>
              </w:rPr>
            </w:pPr>
            <w:r w:rsidRPr="00A7718A">
              <w:rPr>
                <w:rStyle w:val="1f8"/>
              </w:rPr>
              <w:t>符合</w:t>
            </w:r>
          </w:p>
        </w:tc>
      </w:tr>
      <w:tr w:rsidR="0028025F" w14:paraId="19860215" w14:textId="77777777" w:rsidTr="00E756FC">
        <w:trPr>
          <w:trHeight w:val="325"/>
          <w:jc w:val="center"/>
        </w:trPr>
        <w:tc>
          <w:tcPr>
            <w:tcW w:w="1761" w:type="dxa"/>
            <w:vMerge/>
            <w:vAlign w:val="center"/>
          </w:tcPr>
          <w:p w14:paraId="45F7246A"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353CDAEA" w14:textId="01DBD48B" w:rsidR="0028025F" w:rsidRPr="0028025F" w:rsidRDefault="0028025F" w:rsidP="0028025F">
            <w:pPr>
              <w:pStyle w:val="a8"/>
              <w:ind w:firstLineChars="0" w:firstLine="0"/>
              <w:rPr>
                <w:rStyle w:val="1f8"/>
                <w:color w:val="FF0000"/>
              </w:rPr>
            </w:pPr>
            <w:r w:rsidRPr="0028025F">
              <w:rPr>
                <w:rStyle w:val="1f8"/>
                <w:rFonts w:hint="eastAsia"/>
                <w:color w:val="FF0000"/>
              </w:rPr>
              <w:t>填埋场必须具备防渗功能，填埋场必须设置有效的渗滤液收集导排系统。</w:t>
            </w:r>
          </w:p>
        </w:tc>
        <w:tc>
          <w:tcPr>
            <w:tcW w:w="3094" w:type="dxa"/>
            <w:vAlign w:val="center"/>
          </w:tcPr>
          <w:p w14:paraId="7AA705C4" w14:textId="72C4377C" w:rsidR="0028025F" w:rsidRPr="0028025F" w:rsidRDefault="0028025F" w:rsidP="0028025F">
            <w:pPr>
              <w:pStyle w:val="a8"/>
              <w:ind w:firstLineChars="0" w:firstLine="0"/>
              <w:rPr>
                <w:rStyle w:val="1f8"/>
                <w:color w:val="FF0000"/>
              </w:rPr>
            </w:pPr>
            <w:r w:rsidRPr="0028025F">
              <w:rPr>
                <w:color w:val="FF0000"/>
                <w:sz w:val="21"/>
                <w:szCs w:val="21"/>
              </w:rPr>
              <w:t>填埋库区库底和边坡做防渗处理，均采用单层复合防渗结构层，</w:t>
            </w:r>
            <w:r w:rsidRPr="0028025F">
              <w:rPr>
                <w:rFonts w:hint="eastAsia"/>
                <w:color w:val="FF0000"/>
                <w:sz w:val="21"/>
                <w:szCs w:val="21"/>
              </w:rPr>
              <w:t>填埋场设有</w:t>
            </w:r>
            <w:r w:rsidRPr="0028025F">
              <w:rPr>
                <w:rStyle w:val="1f8"/>
                <w:rFonts w:hint="eastAsia"/>
                <w:color w:val="FF0000"/>
              </w:rPr>
              <w:t>渗滤液收集系统和渗滤液处理站。</w:t>
            </w:r>
          </w:p>
        </w:tc>
        <w:tc>
          <w:tcPr>
            <w:tcW w:w="1118" w:type="dxa"/>
          </w:tcPr>
          <w:p w14:paraId="74952A55" w14:textId="18A48015" w:rsidR="0028025F" w:rsidRDefault="0028025F" w:rsidP="0028025F">
            <w:pPr>
              <w:jc w:val="center"/>
              <w:rPr>
                <w:rStyle w:val="1f8"/>
              </w:rPr>
            </w:pPr>
            <w:r w:rsidRPr="00A7718A">
              <w:rPr>
                <w:rStyle w:val="1f8"/>
              </w:rPr>
              <w:t>符合</w:t>
            </w:r>
          </w:p>
        </w:tc>
      </w:tr>
      <w:tr w:rsidR="0028025F" w14:paraId="76EFDEF1" w14:textId="77777777" w:rsidTr="00E756FC">
        <w:trPr>
          <w:trHeight w:val="325"/>
          <w:jc w:val="center"/>
        </w:trPr>
        <w:tc>
          <w:tcPr>
            <w:tcW w:w="1761" w:type="dxa"/>
            <w:vMerge/>
            <w:vAlign w:val="center"/>
          </w:tcPr>
          <w:p w14:paraId="7B303FFB"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05136890" w14:textId="4B309525" w:rsidR="0028025F" w:rsidRPr="0028025F" w:rsidRDefault="0028025F" w:rsidP="0028025F">
            <w:pPr>
              <w:pStyle w:val="a8"/>
              <w:ind w:firstLineChars="0" w:firstLine="0"/>
              <w:rPr>
                <w:rStyle w:val="1f8"/>
                <w:color w:val="FF0000"/>
              </w:rPr>
            </w:pPr>
            <w:r w:rsidRPr="0028025F">
              <w:rPr>
                <w:rStyle w:val="1f8"/>
                <w:rFonts w:hint="eastAsia"/>
                <w:color w:val="FF0000"/>
              </w:rPr>
              <w:t>填埋场应采取综合防臭除臭措施，有效防止臭气对周边环境的影响。</w:t>
            </w:r>
          </w:p>
        </w:tc>
        <w:tc>
          <w:tcPr>
            <w:tcW w:w="3094" w:type="dxa"/>
            <w:vAlign w:val="center"/>
          </w:tcPr>
          <w:p w14:paraId="549F10D6" w14:textId="0908F9F4" w:rsidR="0028025F" w:rsidRPr="0028025F" w:rsidRDefault="0028025F" w:rsidP="0028025F">
            <w:pPr>
              <w:pStyle w:val="a8"/>
              <w:ind w:firstLineChars="0" w:firstLine="0"/>
              <w:rPr>
                <w:rStyle w:val="1f8"/>
                <w:color w:val="FF0000"/>
              </w:rPr>
            </w:pPr>
            <w:r w:rsidRPr="0028025F">
              <w:rPr>
                <w:rStyle w:val="1f8"/>
                <w:rFonts w:hint="eastAsia"/>
                <w:color w:val="FF0000"/>
              </w:rPr>
              <w:t>填埋区定时喷洒除臭剂，有效防止臭气对周边环境的影响。</w:t>
            </w:r>
          </w:p>
        </w:tc>
        <w:tc>
          <w:tcPr>
            <w:tcW w:w="1118" w:type="dxa"/>
          </w:tcPr>
          <w:p w14:paraId="7555C83E" w14:textId="79D26158" w:rsidR="0028025F" w:rsidRDefault="0028025F" w:rsidP="0028025F">
            <w:pPr>
              <w:jc w:val="center"/>
              <w:rPr>
                <w:rStyle w:val="1f8"/>
              </w:rPr>
            </w:pPr>
            <w:r w:rsidRPr="00A7718A">
              <w:rPr>
                <w:rStyle w:val="1f8"/>
              </w:rPr>
              <w:t>符合</w:t>
            </w:r>
          </w:p>
        </w:tc>
      </w:tr>
      <w:tr w:rsidR="0028025F" w14:paraId="1F691426" w14:textId="77777777" w:rsidTr="00E756FC">
        <w:trPr>
          <w:trHeight w:val="325"/>
          <w:jc w:val="center"/>
        </w:trPr>
        <w:tc>
          <w:tcPr>
            <w:tcW w:w="1761" w:type="dxa"/>
            <w:vMerge/>
            <w:vAlign w:val="center"/>
          </w:tcPr>
          <w:p w14:paraId="4D781AB0"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13A4A7F5" w14:textId="38B197FA" w:rsidR="0028025F" w:rsidRPr="0028025F" w:rsidRDefault="0028025F" w:rsidP="0028025F">
            <w:pPr>
              <w:pStyle w:val="a8"/>
              <w:ind w:firstLineChars="0" w:firstLine="0"/>
              <w:rPr>
                <w:rStyle w:val="1f8"/>
                <w:color w:val="FF0000"/>
              </w:rPr>
            </w:pPr>
            <w:r w:rsidRPr="0028025F">
              <w:rPr>
                <w:rStyle w:val="1f8"/>
                <w:rFonts w:hint="eastAsia"/>
                <w:color w:val="FF0000"/>
              </w:rPr>
              <w:t>填埋作业过程中，应及时进行日覆盖和中间覆盖，保持雨污分流设施完好。</w:t>
            </w:r>
          </w:p>
        </w:tc>
        <w:tc>
          <w:tcPr>
            <w:tcW w:w="3094" w:type="dxa"/>
            <w:vAlign w:val="center"/>
          </w:tcPr>
          <w:p w14:paraId="2ECC2990" w14:textId="6BC6051F" w:rsidR="0028025F" w:rsidRPr="0028025F" w:rsidRDefault="0028025F" w:rsidP="0028025F">
            <w:pPr>
              <w:pStyle w:val="a8"/>
              <w:ind w:firstLineChars="0" w:firstLine="0"/>
              <w:rPr>
                <w:rStyle w:val="1f8"/>
                <w:color w:val="FF0000"/>
              </w:rPr>
            </w:pPr>
            <w:r w:rsidRPr="0028025F">
              <w:rPr>
                <w:rStyle w:val="1f8"/>
                <w:rFonts w:hint="eastAsia"/>
                <w:color w:val="FF0000"/>
              </w:rPr>
              <w:t>填埋过程分区分单元进行作业，并及时进行日覆盖和中间覆盖。</w:t>
            </w:r>
          </w:p>
        </w:tc>
        <w:tc>
          <w:tcPr>
            <w:tcW w:w="1118" w:type="dxa"/>
          </w:tcPr>
          <w:p w14:paraId="69633EB2" w14:textId="16ED6442" w:rsidR="0028025F" w:rsidRDefault="0028025F" w:rsidP="0028025F">
            <w:pPr>
              <w:jc w:val="center"/>
              <w:rPr>
                <w:rStyle w:val="1f8"/>
              </w:rPr>
            </w:pPr>
            <w:r w:rsidRPr="00A7718A">
              <w:rPr>
                <w:rStyle w:val="1f8"/>
              </w:rPr>
              <w:t>符合</w:t>
            </w:r>
          </w:p>
        </w:tc>
      </w:tr>
      <w:tr w:rsidR="0028025F" w14:paraId="6D1FC9DC" w14:textId="77777777" w:rsidTr="00E756FC">
        <w:trPr>
          <w:trHeight w:val="325"/>
          <w:jc w:val="center"/>
        </w:trPr>
        <w:tc>
          <w:tcPr>
            <w:tcW w:w="1761" w:type="dxa"/>
            <w:vMerge/>
            <w:vAlign w:val="center"/>
          </w:tcPr>
          <w:p w14:paraId="6915F0A6" w14:textId="77777777" w:rsidR="0028025F" w:rsidRPr="0028025F" w:rsidRDefault="0028025F" w:rsidP="0028025F">
            <w:pPr>
              <w:pStyle w:val="a8"/>
              <w:ind w:firstLineChars="0" w:firstLine="0"/>
              <w:jc w:val="center"/>
              <w:rPr>
                <w:rStyle w:val="1f8"/>
                <w:color w:val="FF0000"/>
              </w:rPr>
            </w:pPr>
          </w:p>
        </w:tc>
        <w:tc>
          <w:tcPr>
            <w:tcW w:w="3763" w:type="dxa"/>
            <w:vAlign w:val="center"/>
          </w:tcPr>
          <w:p w14:paraId="09BE0905" w14:textId="58D6ED04" w:rsidR="0028025F" w:rsidRPr="0028025F" w:rsidRDefault="0028025F" w:rsidP="0028025F">
            <w:pPr>
              <w:pStyle w:val="a8"/>
              <w:ind w:firstLineChars="0" w:firstLine="0"/>
              <w:rPr>
                <w:rStyle w:val="1f8"/>
                <w:color w:val="FF0000"/>
              </w:rPr>
            </w:pPr>
            <w:r w:rsidRPr="0028025F">
              <w:rPr>
                <w:rStyle w:val="1f8"/>
                <w:rFonts w:hint="eastAsia"/>
                <w:color w:val="FF0000"/>
              </w:rPr>
              <w:t>填埋场必须设置有效的填埋气导排设施，防止填埋气聚集、迁移引起的火灾和爆炸。设置填埋气主动导排设施的填埋场，必须设置火炬系统或填埋气利用设施。</w:t>
            </w:r>
          </w:p>
        </w:tc>
        <w:tc>
          <w:tcPr>
            <w:tcW w:w="3094" w:type="dxa"/>
            <w:vAlign w:val="center"/>
          </w:tcPr>
          <w:p w14:paraId="5A6CA9D4" w14:textId="5D76FF4C" w:rsidR="0028025F" w:rsidRPr="0028025F" w:rsidRDefault="0028025F" w:rsidP="0028025F">
            <w:pPr>
              <w:pStyle w:val="a8"/>
              <w:ind w:firstLineChars="0" w:firstLine="0"/>
              <w:rPr>
                <w:rStyle w:val="1f8"/>
                <w:color w:val="FF0000"/>
              </w:rPr>
            </w:pPr>
            <w:r w:rsidRPr="0028025F">
              <w:rPr>
                <w:rStyle w:val="1f8"/>
                <w:rFonts w:hint="eastAsia"/>
                <w:color w:val="FF0000"/>
              </w:rPr>
              <w:t>生活垃圾填埋库区内设导气石笼，填埋气通过导气井直接排放，采用便捷式甲烷测定仪定期对填埋区和填埋区气体进行监测。若发现导气管排放口甲烷体积分数大于</w:t>
            </w:r>
            <w:r w:rsidRPr="0028025F">
              <w:rPr>
                <w:rStyle w:val="1f8"/>
                <w:color w:val="FF0000"/>
              </w:rPr>
              <w:t>5%</w:t>
            </w:r>
            <w:r w:rsidRPr="0028025F">
              <w:rPr>
                <w:rStyle w:val="1f8"/>
                <w:color w:val="FF0000"/>
              </w:rPr>
              <w:t>时，采用火炬燃烧方式进行处理。</w:t>
            </w:r>
          </w:p>
        </w:tc>
        <w:tc>
          <w:tcPr>
            <w:tcW w:w="1118" w:type="dxa"/>
          </w:tcPr>
          <w:p w14:paraId="15BC1FE1" w14:textId="2C2BF20C" w:rsidR="0028025F" w:rsidRDefault="0028025F" w:rsidP="0028025F">
            <w:pPr>
              <w:jc w:val="center"/>
              <w:rPr>
                <w:rStyle w:val="1f8"/>
              </w:rPr>
            </w:pPr>
            <w:r w:rsidRPr="00A7718A">
              <w:rPr>
                <w:rStyle w:val="1f8"/>
              </w:rPr>
              <w:t>符合</w:t>
            </w:r>
          </w:p>
        </w:tc>
      </w:tr>
      <w:tr w:rsidR="00777032" w14:paraId="03ADAA3E" w14:textId="77777777" w:rsidTr="0072055C">
        <w:trPr>
          <w:trHeight w:val="325"/>
          <w:jc w:val="center"/>
        </w:trPr>
        <w:tc>
          <w:tcPr>
            <w:tcW w:w="1761" w:type="dxa"/>
            <w:vAlign w:val="center"/>
          </w:tcPr>
          <w:p w14:paraId="1A2CB3E7" w14:textId="77777777" w:rsidR="00777032" w:rsidRDefault="00777032" w:rsidP="00777032">
            <w:pPr>
              <w:pStyle w:val="a8"/>
              <w:ind w:firstLineChars="0" w:firstLine="0"/>
              <w:jc w:val="center"/>
              <w:rPr>
                <w:rStyle w:val="1f8"/>
              </w:rPr>
            </w:pPr>
            <w:r>
              <w:rPr>
                <w:rStyle w:val="1f8"/>
                <w:rFonts w:hint="eastAsia"/>
              </w:rPr>
              <w:t>《商洛市蓝天保卫战</w:t>
            </w:r>
            <w:r>
              <w:rPr>
                <w:rStyle w:val="1f8"/>
              </w:rPr>
              <w:t>2022</w:t>
            </w:r>
            <w:r>
              <w:rPr>
                <w:rStyle w:val="1f8"/>
              </w:rPr>
              <w:t>年实施方案</w:t>
            </w:r>
            <w:r>
              <w:rPr>
                <w:rStyle w:val="1f8"/>
                <w:rFonts w:hint="eastAsia"/>
              </w:rPr>
              <w:t>》</w:t>
            </w:r>
          </w:p>
        </w:tc>
        <w:tc>
          <w:tcPr>
            <w:tcW w:w="3763" w:type="dxa"/>
            <w:vAlign w:val="center"/>
          </w:tcPr>
          <w:p w14:paraId="1B2D50E4" w14:textId="77777777" w:rsidR="00777032" w:rsidRDefault="00777032" w:rsidP="00777032">
            <w:pPr>
              <w:pStyle w:val="a8"/>
              <w:ind w:firstLineChars="0" w:firstLine="0"/>
              <w:rPr>
                <w:rStyle w:val="1f8"/>
              </w:rPr>
            </w:pPr>
            <w:r>
              <w:rPr>
                <w:rStyle w:val="1f8"/>
                <w:rFonts w:hint="eastAsia"/>
              </w:rPr>
              <w:t>综合治理恶臭污染。垃圾、污水集中式污染处理设施等加大密闭收集力度，采取有效脱臭措施。</w:t>
            </w:r>
          </w:p>
        </w:tc>
        <w:tc>
          <w:tcPr>
            <w:tcW w:w="3094" w:type="dxa"/>
            <w:vAlign w:val="center"/>
          </w:tcPr>
          <w:p w14:paraId="34850B01" w14:textId="77777777" w:rsidR="00777032" w:rsidRDefault="00777032" w:rsidP="00777032">
            <w:pPr>
              <w:pStyle w:val="a8"/>
              <w:ind w:firstLineChars="0" w:firstLine="0"/>
              <w:rPr>
                <w:rStyle w:val="1f8"/>
              </w:rPr>
            </w:pPr>
            <w:r>
              <w:rPr>
                <w:rStyle w:val="1f8"/>
                <w:rFonts w:hint="eastAsia"/>
              </w:rPr>
              <w:t>本项目填埋区分单元作业，当日压实覆膜，并定时喷洒除臭剂；渗滤液处理站及调节池均加盖密闭并喷洒除臭剂，对周围大气环境影响较小。</w:t>
            </w:r>
          </w:p>
        </w:tc>
        <w:tc>
          <w:tcPr>
            <w:tcW w:w="1118" w:type="dxa"/>
            <w:vAlign w:val="center"/>
          </w:tcPr>
          <w:p w14:paraId="6F03E679" w14:textId="77777777" w:rsidR="00777032" w:rsidRDefault="00777032" w:rsidP="00777032">
            <w:pPr>
              <w:jc w:val="center"/>
            </w:pPr>
            <w:r>
              <w:rPr>
                <w:rStyle w:val="1f8"/>
              </w:rPr>
              <w:t>符合</w:t>
            </w:r>
          </w:p>
        </w:tc>
      </w:tr>
      <w:tr w:rsidR="00777032" w14:paraId="1FD5815B" w14:textId="77777777" w:rsidTr="0072055C">
        <w:trPr>
          <w:trHeight w:val="325"/>
          <w:jc w:val="center"/>
        </w:trPr>
        <w:tc>
          <w:tcPr>
            <w:tcW w:w="1761" w:type="dxa"/>
            <w:vAlign w:val="center"/>
          </w:tcPr>
          <w:p w14:paraId="3868D0C9" w14:textId="77777777" w:rsidR="00777032" w:rsidRDefault="00777032" w:rsidP="00777032">
            <w:pPr>
              <w:pStyle w:val="a8"/>
              <w:ind w:firstLineChars="0" w:firstLine="0"/>
              <w:jc w:val="center"/>
              <w:rPr>
                <w:rStyle w:val="1f8"/>
              </w:rPr>
            </w:pPr>
            <w:r>
              <w:rPr>
                <w:rStyle w:val="1f8"/>
                <w:rFonts w:hint="eastAsia"/>
              </w:rPr>
              <w:t>《商洛市净土保卫战</w:t>
            </w:r>
            <w:r>
              <w:rPr>
                <w:rStyle w:val="1f8"/>
              </w:rPr>
              <w:t>2022</w:t>
            </w:r>
            <w:r>
              <w:rPr>
                <w:rStyle w:val="1f8"/>
              </w:rPr>
              <w:t>年实</w:t>
            </w:r>
            <w:r>
              <w:rPr>
                <w:rStyle w:val="1f8"/>
              </w:rPr>
              <w:lastRenderedPageBreak/>
              <w:t>施方案</w:t>
            </w:r>
            <w:r>
              <w:rPr>
                <w:rStyle w:val="1f8"/>
                <w:rFonts w:hint="eastAsia"/>
              </w:rPr>
              <w:t>》</w:t>
            </w:r>
          </w:p>
        </w:tc>
        <w:tc>
          <w:tcPr>
            <w:tcW w:w="3763" w:type="dxa"/>
            <w:vAlign w:val="center"/>
          </w:tcPr>
          <w:p w14:paraId="281E74B4" w14:textId="77777777" w:rsidR="00777032" w:rsidRDefault="00777032" w:rsidP="00777032">
            <w:pPr>
              <w:pStyle w:val="a8"/>
              <w:ind w:firstLineChars="0" w:firstLine="0"/>
              <w:rPr>
                <w:rStyle w:val="1f8"/>
              </w:rPr>
            </w:pPr>
            <w:r>
              <w:rPr>
                <w:rStyle w:val="1f8"/>
                <w:rFonts w:hint="eastAsia"/>
              </w:rPr>
              <w:lastRenderedPageBreak/>
              <w:t>严格落实土壤环境影响评价制度。对涉及有毒有害物质可能造成土壤污染的</w:t>
            </w:r>
            <w:r>
              <w:rPr>
                <w:rStyle w:val="1f8"/>
                <w:rFonts w:hint="eastAsia"/>
              </w:rPr>
              <w:lastRenderedPageBreak/>
              <w:t>新（改、扩）建项目，依法进行环境影响评价，提出并落实防腐蚀、防渗漏等土壤污染防治具体措施，防控土壤污染。</w:t>
            </w:r>
          </w:p>
        </w:tc>
        <w:tc>
          <w:tcPr>
            <w:tcW w:w="3094" w:type="dxa"/>
            <w:vAlign w:val="center"/>
          </w:tcPr>
          <w:p w14:paraId="336FF462" w14:textId="77777777" w:rsidR="00777032" w:rsidRDefault="00777032" w:rsidP="00777032">
            <w:pPr>
              <w:pStyle w:val="a8"/>
              <w:ind w:firstLineChars="0" w:firstLine="0"/>
              <w:rPr>
                <w:rStyle w:val="1f8"/>
              </w:rPr>
            </w:pPr>
            <w:r>
              <w:rPr>
                <w:rStyle w:val="1f8"/>
                <w:rFonts w:hint="eastAsia"/>
              </w:rPr>
              <w:lastRenderedPageBreak/>
              <w:t>本项目目前正在进行环境影响评价手续，</w:t>
            </w:r>
            <w:r>
              <w:rPr>
                <w:rFonts w:ascii="宋体" w:hAnsi="宋体" w:cs="宋体" w:hint="eastAsia"/>
                <w:sz w:val="21"/>
                <w:szCs w:val="21"/>
              </w:rPr>
              <w:t>垃圾填埋场采用</w:t>
            </w:r>
            <w:r>
              <w:rPr>
                <w:rStyle w:val="1f8"/>
              </w:rPr>
              <w:lastRenderedPageBreak/>
              <w:t>HDPE</w:t>
            </w:r>
            <w:r>
              <w:rPr>
                <w:rStyle w:val="1f8"/>
              </w:rPr>
              <w:t>土工膜等防渗层进行防渗</w:t>
            </w:r>
            <w:r>
              <w:rPr>
                <w:rStyle w:val="1f8"/>
                <w:rFonts w:hint="eastAsia"/>
              </w:rPr>
              <w:t>，对土壤的影响较小。</w:t>
            </w:r>
          </w:p>
        </w:tc>
        <w:tc>
          <w:tcPr>
            <w:tcW w:w="1118" w:type="dxa"/>
            <w:vAlign w:val="center"/>
          </w:tcPr>
          <w:p w14:paraId="68FF2905" w14:textId="77777777" w:rsidR="00777032" w:rsidRDefault="00777032" w:rsidP="00777032">
            <w:pPr>
              <w:jc w:val="center"/>
            </w:pPr>
            <w:r>
              <w:rPr>
                <w:rStyle w:val="1f8"/>
              </w:rPr>
              <w:lastRenderedPageBreak/>
              <w:t>符合</w:t>
            </w:r>
          </w:p>
        </w:tc>
      </w:tr>
      <w:tr w:rsidR="002D1C03" w14:paraId="3A50187E" w14:textId="77777777" w:rsidTr="002D1C03">
        <w:trPr>
          <w:trHeight w:val="325"/>
          <w:jc w:val="center"/>
        </w:trPr>
        <w:tc>
          <w:tcPr>
            <w:tcW w:w="1761" w:type="dxa"/>
            <w:vAlign w:val="center"/>
          </w:tcPr>
          <w:p w14:paraId="01BA91AC" w14:textId="0C079A3F" w:rsidR="002D1C03" w:rsidRPr="002D1C03" w:rsidRDefault="002D1C03" w:rsidP="002D1C03">
            <w:pPr>
              <w:pStyle w:val="a8"/>
              <w:ind w:firstLineChars="0" w:firstLine="0"/>
              <w:jc w:val="center"/>
              <w:rPr>
                <w:rStyle w:val="1f8"/>
                <w:color w:val="FF0000"/>
              </w:rPr>
            </w:pPr>
            <w:r w:rsidRPr="002D1C03">
              <w:rPr>
                <w:rStyle w:val="1f8"/>
                <w:rFonts w:hint="eastAsia"/>
                <w:color w:val="FF0000"/>
              </w:rPr>
              <w:lastRenderedPageBreak/>
              <w:t>《柞水县蓝天保卫战</w:t>
            </w:r>
            <w:r w:rsidRPr="002D1C03">
              <w:rPr>
                <w:rStyle w:val="1f8"/>
                <w:color w:val="FF0000"/>
              </w:rPr>
              <w:t>2022</w:t>
            </w:r>
            <w:r w:rsidRPr="002D1C03">
              <w:rPr>
                <w:rStyle w:val="1f8"/>
                <w:color w:val="FF0000"/>
              </w:rPr>
              <w:t>年实施方案</w:t>
            </w:r>
            <w:r w:rsidRPr="002D1C03">
              <w:rPr>
                <w:rStyle w:val="1f8"/>
                <w:rFonts w:hint="eastAsia"/>
                <w:color w:val="FF0000"/>
              </w:rPr>
              <w:t>》</w:t>
            </w:r>
          </w:p>
        </w:tc>
        <w:tc>
          <w:tcPr>
            <w:tcW w:w="3763" w:type="dxa"/>
            <w:vAlign w:val="center"/>
          </w:tcPr>
          <w:p w14:paraId="6D732D8D" w14:textId="34627560" w:rsidR="002D1C03" w:rsidRPr="002D1C03" w:rsidRDefault="002D1C03" w:rsidP="002D1C03">
            <w:pPr>
              <w:pStyle w:val="a8"/>
              <w:ind w:firstLineChars="0" w:firstLine="0"/>
              <w:rPr>
                <w:rStyle w:val="1f8"/>
                <w:color w:val="FF0000"/>
              </w:rPr>
            </w:pPr>
            <w:r w:rsidRPr="002D1C03">
              <w:rPr>
                <w:rStyle w:val="1f8"/>
                <w:rFonts w:hint="eastAsia"/>
                <w:color w:val="FF0000"/>
              </w:rPr>
              <w:t>综合治理恶臭污染。垃圾、污水集中式污染处理设施等加大密闭收集力度，采取有效脱臭措施。</w:t>
            </w:r>
          </w:p>
        </w:tc>
        <w:tc>
          <w:tcPr>
            <w:tcW w:w="3094" w:type="dxa"/>
            <w:vAlign w:val="center"/>
          </w:tcPr>
          <w:p w14:paraId="76A771A8" w14:textId="2E2F2FD1" w:rsidR="002D1C03" w:rsidRPr="002D1C03" w:rsidRDefault="002D1C03" w:rsidP="002D1C03">
            <w:pPr>
              <w:pStyle w:val="a8"/>
              <w:ind w:firstLineChars="0" w:firstLine="0"/>
              <w:rPr>
                <w:rStyle w:val="1f8"/>
                <w:color w:val="FF0000"/>
              </w:rPr>
            </w:pPr>
            <w:r w:rsidRPr="002D1C03">
              <w:rPr>
                <w:rStyle w:val="1f8"/>
                <w:rFonts w:hint="eastAsia"/>
                <w:color w:val="FF0000"/>
              </w:rPr>
              <w:t>本项目填埋区分单元作业，当日压实覆膜，并定时喷洒除臭剂；渗滤液处理站及调节池均加盖密闭并喷洒除臭剂，对周围大气环境影响较小。</w:t>
            </w:r>
          </w:p>
        </w:tc>
        <w:tc>
          <w:tcPr>
            <w:tcW w:w="1118" w:type="dxa"/>
            <w:vAlign w:val="center"/>
          </w:tcPr>
          <w:p w14:paraId="10C03F7B" w14:textId="10C0558A" w:rsidR="002D1C03" w:rsidRPr="002D1C03" w:rsidRDefault="002D1C03" w:rsidP="002D1C03">
            <w:pPr>
              <w:jc w:val="center"/>
              <w:rPr>
                <w:rStyle w:val="1f8"/>
                <w:color w:val="FF0000"/>
              </w:rPr>
            </w:pPr>
            <w:r w:rsidRPr="002D1C03">
              <w:rPr>
                <w:rStyle w:val="1f8"/>
                <w:color w:val="FF0000"/>
              </w:rPr>
              <w:t>符合</w:t>
            </w:r>
          </w:p>
        </w:tc>
      </w:tr>
      <w:tr w:rsidR="002D1C03" w14:paraId="7F2E05A3" w14:textId="77777777" w:rsidTr="002D1C03">
        <w:trPr>
          <w:trHeight w:val="325"/>
          <w:jc w:val="center"/>
        </w:trPr>
        <w:tc>
          <w:tcPr>
            <w:tcW w:w="1761" w:type="dxa"/>
            <w:vAlign w:val="center"/>
          </w:tcPr>
          <w:p w14:paraId="2DC86634" w14:textId="2577E895" w:rsidR="002D1C03" w:rsidRPr="002D1C03" w:rsidRDefault="002D1C03" w:rsidP="002D1C03">
            <w:pPr>
              <w:pStyle w:val="a8"/>
              <w:ind w:firstLineChars="0" w:firstLine="0"/>
              <w:jc w:val="center"/>
              <w:rPr>
                <w:rStyle w:val="1f8"/>
                <w:color w:val="FF0000"/>
              </w:rPr>
            </w:pPr>
            <w:r w:rsidRPr="002D1C03">
              <w:rPr>
                <w:rStyle w:val="1f8"/>
                <w:rFonts w:hint="eastAsia"/>
                <w:color w:val="FF0000"/>
              </w:rPr>
              <w:t>《柞水县净土保卫战</w:t>
            </w:r>
            <w:r w:rsidRPr="002D1C03">
              <w:rPr>
                <w:rStyle w:val="1f8"/>
                <w:color w:val="FF0000"/>
              </w:rPr>
              <w:t>2022</w:t>
            </w:r>
            <w:r w:rsidRPr="002D1C03">
              <w:rPr>
                <w:rStyle w:val="1f8"/>
                <w:color w:val="FF0000"/>
              </w:rPr>
              <w:t>年实施方案</w:t>
            </w:r>
            <w:r w:rsidRPr="002D1C03">
              <w:rPr>
                <w:rStyle w:val="1f8"/>
                <w:rFonts w:hint="eastAsia"/>
                <w:color w:val="FF0000"/>
              </w:rPr>
              <w:t>》</w:t>
            </w:r>
          </w:p>
        </w:tc>
        <w:tc>
          <w:tcPr>
            <w:tcW w:w="3763" w:type="dxa"/>
            <w:vAlign w:val="center"/>
          </w:tcPr>
          <w:p w14:paraId="7C0596DA" w14:textId="52B40B43" w:rsidR="002D1C03" w:rsidRPr="002D1C03" w:rsidRDefault="002D1C03" w:rsidP="002D1C03">
            <w:pPr>
              <w:pStyle w:val="a8"/>
              <w:ind w:firstLineChars="0" w:firstLine="0"/>
              <w:rPr>
                <w:rStyle w:val="1f8"/>
                <w:color w:val="FF0000"/>
              </w:rPr>
            </w:pPr>
            <w:r w:rsidRPr="002D1C03">
              <w:rPr>
                <w:rStyle w:val="1f8"/>
                <w:rFonts w:hint="eastAsia"/>
                <w:color w:val="FF0000"/>
              </w:rPr>
              <w:t>严格落实土壤环境影响评价制度。对涉及有毒有害物质可能造成土壤污染的新（改、扩）建项目，依法进行环境影响评价，提出并落实防腐蚀、防渗漏等土壤污染防治具体措施，防控土壤污染。</w:t>
            </w:r>
          </w:p>
        </w:tc>
        <w:tc>
          <w:tcPr>
            <w:tcW w:w="3094" w:type="dxa"/>
            <w:vAlign w:val="center"/>
          </w:tcPr>
          <w:p w14:paraId="7D7931B6" w14:textId="634A2FED" w:rsidR="002D1C03" w:rsidRPr="002D1C03" w:rsidRDefault="002D1C03" w:rsidP="002D1C03">
            <w:pPr>
              <w:pStyle w:val="a8"/>
              <w:ind w:firstLineChars="0" w:firstLine="0"/>
              <w:rPr>
                <w:rStyle w:val="1f8"/>
                <w:color w:val="FF0000"/>
              </w:rPr>
            </w:pPr>
            <w:r w:rsidRPr="002D1C03">
              <w:rPr>
                <w:rStyle w:val="1f8"/>
                <w:rFonts w:hint="eastAsia"/>
                <w:color w:val="FF0000"/>
              </w:rPr>
              <w:t>本项目目前正在进行环境影响评价手续，</w:t>
            </w:r>
            <w:r w:rsidRPr="002D1C03">
              <w:rPr>
                <w:rFonts w:ascii="宋体" w:hAnsi="宋体" w:cs="宋体" w:hint="eastAsia"/>
                <w:color w:val="FF0000"/>
                <w:sz w:val="21"/>
                <w:szCs w:val="21"/>
              </w:rPr>
              <w:t>垃圾填埋场采用</w:t>
            </w:r>
            <w:r w:rsidRPr="002D1C03">
              <w:rPr>
                <w:rStyle w:val="1f8"/>
                <w:color w:val="FF0000"/>
              </w:rPr>
              <w:t>HDPE</w:t>
            </w:r>
            <w:r w:rsidRPr="002D1C03">
              <w:rPr>
                <w:rStyle w:val="1f8"/>
                <w:color w:val="FF0000"/>
              </w:rPr>
              <w:t>土工膜等防渗层进行防渗</w:t>
            </w:r>
            <w:r w:rsidRPr="002D1C03">
              <w:rPr>
                <w:rStyle w:val="1f8"/>
                <w:rFonts w:hint="eastAsia"/>
                <w:color w:val="FF0000"/>
              </w:rPr>
              <w:t>，对土壤的影响较小。</w:t>
            </w:r>
          </w:p>
        </w:tc>
        <w:tc>
          <w:tcPr>
            <w:tcW w:w="1118" w:type="dxa"/>
            <w:vAlign w:val="center"/>
          </w:tcPr>
          <w:p w14:paraId="2D751186" w14:textId="3D9E43CF" w:rsidR="002D1C03" w:rsidRPr="002D1C03" w:rsidRDefault="002D1C03" w:rsidP="002D1C03">
            <w:pPr>
              <w:jc w:val="center"/>
              <w:rPr>
                <w:rStyle w:val="1f8"/>
                <w:color w:val="FF0000"/>
              </w:rPr>
            </w:pPr>
            <w:r w:rsidRPr="002D1C03">
              <w:rPr>
                <w:rStyle w:val="1f8"/>
                <w:color w:val="FF0000"/>
              </w:rPr>
              <w:t>符合</w:t>
            </w:r>
          </w:p>
        </w:tc>
      </w:tr>
    </w:tbl>
    <w:p w14:paraId="5CD0400C"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73" w:name="_Toc121411680"/>
      <w:r>
        <w:rPr>
          <w:rFonts w:ascii="Times New Roman" w:eastAsia="黑体" w:hAnsi="Times New Roman" w:cs="Times New Roman"/>
          <w:b w:val="0"/>
          <w:sz w:val="24"/>
        </w:rPr>
        <w:t>1.4.4</w:t>
      </w:r>
      <w:r>
        <w:rPr>
          <w:rFonts w:ascii="Times New Roman" w:eastAsia="黑体" w:hAnsi="Times New Roman" w:cs="Times New Roman" w:hint="eastAsia"/>
          <w:b w:val="0"/>
          <w:sz w:val="24"/>
        </w:rPr>
        <w:t>与“三线一单”的控制要求相符性分析</w:t>
      </w:r>
      <w:bookmarkEnd w:id="73"/>
    </w:p>
    <w:p w14:paraId="29723A18" w14:textId="0DECF17F" w:rsidR="00AE2595" w:rsidRPr="00AE2595" w:rsidRDefault="004F47F5" w:rsidP="00AE2595">
      <w:pPr>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根据商洛市生态环境局</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三线一单</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对照分析结果，结合商洛市人民政府关于印发《商洛市</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三线一单</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生态环境分区管控方案》的通知（商政发〔</w:t>
      </w:r>
      <w:r>
        <w:rPr>
          <w:rFonts w:ascii="Times New Roman" w:eastAsia="宋体" w:hAnsi="Times New Roman" w:cs="Times New Roman"/>
          <w:kern w:val="0"/>
          <w:sz w:val="24"/>
          <w:szCs w:val="24"/>
        </w:rPr>
        <w:t>2021</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22</w:t>
      </w:r>
      <w:r>
        <w:rPr>
          <w:rFonts w:ascii="Times New Roman" w:eastAsia="宋体" w:hAnsi="Times New Roman" w:cs="Times New Roman"/>
          <w:kern w:val="0"/>
          <w:sz w:val="24"/>
          <w:szCs w:val="24"/>
        </w:rPr>
        <w:t>号），</w:t>
      </w:r>
      <w:r w:rsidR="00AE2595" w:rsidRPr="00AE2595">
        <w:rPr>
          <w:rFonts w:ascii="Times New Roman" w:eastAsia="宋体" w:hAnsi="Times New Roman" w:cs="Times New Roman"/>
          <w:kern w:val="0"/>
          <w:sz w:val="24"/>
          <w:szCs w:val="24"/>
        </w:rPr>
        <w:t>本项目</w:t>
      </w:r>
      <w:r w:rsidR="00AE2595" w:rsidRPr="00AE2595">
        <w:rPr>
          <w:rFonts w:ascii="Times New Roman" w:eastAsia="宋体" w:hAnsi="Times New Roman" w:cs="Times New Roman"/>
          <w:kern w:val="0"/>
          <w:sz w:val="24"/>
          <w:szCs w:val="24"/>
        </w:rPr>
        <w:t>“</w:t>
      </w:r>
      <w:r w:rsidR="00AE2595" w:rsidRPr="00AE2595">
        <w:rPr>
          <w:rFonts w:ascii="Times New Roman" w:eastAsia="宋体" w:hAnsi="Times New Roman" w:cs="Times New Roman"/>
          <w:kern w:val="0"/>
          <w:sz w:val="24"/>
          <w:szCs w:val="24"/>
        </w:rPr>
        <w:t>三线一单</w:t>
      </w:r>
      <w:r w:rsidR="00AE2595" w:rsidRPr="00AE2595">
        <w:rPr>
          <w:rFonts w:ascii="Times New Roman" w:eastAsia="宋体" w:hAnsi="Times New Roman" w:cs="Times New Roman"/>
          <w:kern w:val="0"/>
          <w:sz w:val="24"/>
          <w:szCs w:val="24"/>
        </w:rPr>
        <w:t>”</w:t>
      </w:r>
      <w:r w:rsidR="00AE2595" w:rsidRPr="00AE2595">
        <w:rPr>
          <w:rFonts w:ascii="Times New Roman" w:eastAsia="宋体" w:hAnsi="Times New Roman" w:cs="Times New Roman"/>
          <w:kern w:val="0"/>
          <w:sz w:val="24"/>
          <w:szCs w:val="24"/>
        </w:rPr>
        <w:t>符合情况见表</w:t>
      </w:r>
      <w:r w:rsidR="00AE2595" w:rsidRPr="00AE2595">
        <w:rPr>
          <w:rFonts w:ascii="Times New Roman" w:eastAsia="宋体" w:hAnsi="Times New Roman" w:cs="Times New Roman"/>
          <w:kern w:val="0"/>
          <w:sz w:val="24"/>
          <w:szCs w:val="24"/>
        </w:rPr>
        <w:t>1</w:t>
      </w:r>
      <w:r w:rsidR="00AE2595" w:rsidRPr="00AE2595">
        <w:rPr>
          <w:rFonts w:ascii="Times New Roman" w:eastAsia="宋体" w:hAnsi="Times New Roman" w:cs="Times New Roman" w:hint="eastAsia"/>
          <w:kern w:val="0"/>
          <w:sz w:val="24"/>
          <w:szCs w:val="24"/>
        </w:rPr>
        <w:t>.</w:t>
      </w:r>
      <w:r w:rsidR="00AE2595">
        <w:rPr>
          <w:rFonts w:ascii="Times New Roman" w:eastAsia="宋体" w:hAnsi="Times New Roman" w:cs="Times New Roman"/>
          <w:kern w:val="0"/>
          <w:sz w:val="24"/>
          <w:szCs w:val="24"/>
        </w:rPr>
        <w:t>4-3</w:t>
      </w:r>
      <w:r w:rsidR="00AE2595" w:rsidRPr="00AE2595">
        <w:rPr>
          <w:rFonts w:ascii="Times New Roman" w:eastAsia="宋体" w:hAnsi="Times New Roman" w:cs="Times New Roman"/>
          <w:kern w:val="0"/>
          <w:sz w:val="24"/>
          <w:szCs w:val="24"/>
        </w:rPr>
        <w:t>。</w:t>
      </w:r>
    </w:p>
    <w:p w14:paraId="1E2B61CB" w14:textId="502CFAE3" w:rsidR="00AE2595" w:rsidRPr="00AE2595" w:rsidRDefault="00AE2595" w:rsidP="00AE2595">
      <w:pPr>
        <w:autoSpaceDE w:val="0"/>
        <w:autoSpaceDN w:val="0"/>
        <w:ind w:firstLine="482"/>
        <w:jc w:val="center"/>
        <w:rPr>
          <w:rFonts w:ascii="黑体" w:eastAsia="黑体" w:hAnsi="黑体"/>
          <w:kern w:val="0"/>
          <w:sz w:val="24"/>
          <w:szCs w:val="21"/>
        </w:rPr>
      </w:pPr>
      <w:r w:rsidRPr="00AE2595">
        <w:rPr>
          <w:rFonts w:ascii="黑体" w:eastAsia="黑体" w:hAnsi="黑体" w:cs="Times New Roman"/>
          <w:bCs/>
          <w:kern w:val="0"/>
          <w:sz w:val="24"/>
          <w:szCs w:val="21"/>
        </w:rPr>
        <w:t>表1.4-3  项目与“三线一单”符合性分析</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24"/>
        <w:gridCol w:w="7862"/>
        <w:gridCol w:w="922"/>
      </w:tblGrid>
      <w:tr w:rsidR="00AE2595" w:rsidRPr="001A7A97" w14:paraId="020AC0C6" w14:textId="77777777" w:rsidTr="00E756FC">
        <w:trPr>
          <w:trHeight w:val="251"/>
          <w:jc w:val="center"/>
        </w:trPr>
        <w:tc>
          <w:tcPr>
            <w:tcW w:w="476" w:type="pct"/>
            <w:tcBorders>
              <w:tl2br w:val="nil"/>
              <w:tr2bl w:val="nil"/>
            </w:tcBorders>
            <w:vAlign w:val="center"/>
          </w:tcPr>
          <w:p w14:paraId="01536FA2" w14:textId="77777777" w:rsidR="00AE2595" w:rsidRPr="001A7A97" w:rsidRDefault="00AE2595" w:rsidP="00E756FC">
            <w:pPr>
              <w:autoSpaceDE w:val="0"/>
              <w:autoSpaceDN w:val="0"/>
              <w:jc w:val="center"/>
              <w:rPr>
                <w:rFonts w:ascii="Times New Roman" w:eastAsia="宋体" w:hAnsi="Times New Roman" w:cs="Times New Roman"/>
                <w:b/>
                <w:kern w:val="0"/>
                <w:szCs w:val="21"/>
              </w:rPr>
            </w:pPr>
            <w:r w:rsidRPr="001A7A97">
              <w:rPr>
                <w:rFonts w:ascii="Times New Roman" w:eastAsia="宋体" w:hAnsi="Times New Roman" w:cs="Times New Roman"/>
                <w:b/>
                <w:kern w:val="0"/>
                <w:szCs w:val="21"/>
                <w:lang w:bidi="ar"/>
              </w:rPr>
              <w:t>内容</w:t>
            </w:r>
          </w:p>
        </w:tc>
        <w:tc>
          <w:tcPr>
            <w:tcW w:w="4048" w:type="pct"/>
            <w:tcBorders>
              <w:tl2br w:val="nil"/>
              <w:tr2bl w:val="nil"/>
            </w:tcBorders>
            <w:vAlign w:val="center"/>
          </w:tcPr>
          <w:p w14:paraId="78EE46E1" w14:textId="77777777" w:rsidR="00AE2595" w:rsidRPr="001A7A97" w:rsidRDefault="00AE2595" w:rsidP="00E756FC">
            <w:pPr>
              <w:autoSpaceDE w:val="0"/>
              <w:autoSpaceDN w:val="0"/>
              <w:jc w:val="center"/>
              <w:rPr>
                <w:rFonts w:ascii="Times New Roman" w:eastAsia="宋体" w:hAnsi="Times New Roman" w:cs="Times New Roman"/>
                <w:b/>
                <w:kern w:val="0"/>
                <w:szCs w:val="21"/>
              </w:rPr>
            </w:pPr>
            <w:r w:rsidRPr="001A7A97">
              <w:rPr>
                <w:rFonts w:ascii="Times New Roman" w:eastAsia="宋体" w:hAnsi="Times New Roman" w:cs="Times New Roman"/>
                <w:b/>
                <w:kern w:val="0"/>
                <w:szCs w:val="21"/>
              </w:rPr>
              <w:t>项目情况</w:t>
            </w:r>
          </w:p>
        </w:tc>
        <w:tc>
          <w:tcPr>
            <w:tcW w:w="475" w:type="pct"/>
            <w:tcBorders>
              <w:tl2br w:val="nil"/>
              <w:tr2bl w:val="nil"/>
            </w:tcBorders>
            <w:vAlign w:val="center"/>
          </w:tcPr>
          <w:p w14:paraId="68222C4F" w14:textId="77777777" w:rsidR="00AE2595" w:rsidRPr="001A7A97" w:rsidRDefault="00AE2595" w:rsidP="00E756FC">
            <w:pPr>
              <w:autoSpaceDE w:val="0"/>
              <w:autoSpaceDN w:val="0"/>
              <w:jc w:val="center"/>
              <w:rPr>
                <w:rFonts w:ascii="Times New Roman" w:eastAsia="宋体" w:hAnsi="Times New Roman" w:cs="Times New Roman"/>
                <w:b/>
                <w:kern w:val="0"/>
                <w:szCs w:val="21"/>
              </w:rPr>
            </w:pPr>
            <w:r w:rsidRPr="001A7A97">
              <w:rPr>
                <w:rFonts w:ascii="Times New Roman" w:eastAsia="宋体" w:hAnsi="Times New Roman" w:cs="Times New Roman"/>
                <w:b/>
                <w:kern w:val="0"/>
                <w:szCs w:val="21"/>
              </w:rPr>
              <w:t>符合性</w:t>
            </w:r>
          </w:p>
        </w:tc>
      </w:tr>
      <w:tr w:rsidR="00AE2595" w:rsidRPr="001A7A97" w14:paraId="5DCC4F49" w14:textId="77777777" w:rsidTr="00E756FC">
        <w:trPr>
          <w:trHeight w:val="340"/>
          <w:jc w:val="center"/>
        </w:trPr>
        <w:tc>
          <w:tcPr>
            <w:tcW w:w="476" w:type="pct"/>
            <w:tcBorders>
              <w:tl2br w:val="nil"/>
              <w:tr2bl w:val="nil"/>
            </w:tcBorders>
            <w:vAlign w:val="center"/>
          </w:tcPr>
          <w:p w14:paraId="719218E2" w14:textId="77777777" w:rsidR="00AE2595" w:rsidRPr="001A7A97" w:rsidRDefault="00AE2595" w:rsidP="00E756FC">
            <w:pPr>
              <w:widowControl/>
              <w:wordWrap w:val="0"/>
              <w:jc w:val="center"/>
              <w:rPr>
                <w:rFonts w:ascii="Times New Roman" w:eastAsia="宋体" w:hAnsi="Times New Roman" w:cs="Times New Roman"/>
                <w:kern w:val="0"/>
                <w:szCs w:val="21"/>
              </w:rPr>
            </w:pPr>
            <w:r w:rsidRPr="001A7A97">
              <w:rPr>
                <w:rFonts w:ascii="Times New Roman" w:eastAsia="宋体" w:hAnsi="Times New Roman" w:cs="Times New Roman"/>
                <w:kern w:val="0"/>
                <w:szCs w:val="21"/>
              </w:rPr>
              <w:t>生态保护红线</w:t>
            </w:r>
          </w:p>
        </w:tc>
        <w:tc>
          <w:tcPr>
            <w:tcW w:w="4048" w:type="pct"/>
            <w:tcBorders>
              <w:tl2br w:val="nil"/>
              <w:tr2bl w:val="nil"/>
            </w:tcBorders>
            <w:vAlign w:val="center"/>
          </w:tcPr>
          <w:p w14:paraId="0CD195B6" w14:textId="07A9CB2D" w:rsidR="00AE2595" w:rsidRPr="001A7A97" w:rsidRDefault="00AE2595" w:rsidP="001A7A97">
            <w:pPr>
              <w:widowControl/>
              <w:wordWrap w:val="0"/>
              <w:rPr>
                <w:rFonts w:ascii="Times New Roman" w:eastAsia="宋体" w:hAnsi="Times New Roman" w:cs="Times New Roman"/>
                <w:kern w:val="0"/>
                <w:szCs w:val="21"/>
              </w:rPr>
            </w:pPr>
            <w:r w:rsidRPr="001A7A97">
              <w:rPr>
                <w:rFonts w:ascii="Times New Roman" w:eastAsia="宋体" w:hAnsi="Times New Roman" w:cs="Times New Roman"/>
                <w:kern w:val="0"/>
                <w:szCs w:val="21"/>
              </w:rPr>
              <w:t>项目位于柞水县小六里沟，项目所在地及周边无天然林及珍稀植被；区域内生物多样性程度低，无珍稀动物。根据商洛市</w:t>
            </w:r>
            <w:r w:rsidRPr="001A7A97">
              <w:rPr>
                <w:rFonts w:ascii="Times New Roman" w:eastAsia="宋体" w:hAnsi="Times New Roman" w:cs="Times New Roman"/>
                <w:kern w:val="0"/>
                <w:szCs w:val="21"/>
              </w:rPr>
              <w:t>“</w:t>
            </w:r>
            <w:r w:rsidRPr="001A7A97">
              <w:rPr>
                <w:rFonts w:ascii="Times New Roman" w:eastAsia="宋体" w:hAnsi="Times New Roman" w:cs="Times New Roman"/>
                <w:kern w:val="0"/>
                <w:szCs w:val="21"/>
              </w:rPr>
              <w:t>三线一单</w:t>
            </w:r>
            <w:r w:rsidRPr="001A7A97">
              <w:rPr>
                <w:rFonts w:ascii="Times New Roman" w:eastAsia="宋体" w:hAnsi="Times New Roman" w:cs="Times New Roman"/>
                <w:kern w:val="0"/>
                <w:szCs w:val="21"/>
              </w:rPr>
              <w:t>”</w:t>
            </w:r>
            <w:r w:rsidRPr="001A7A97">
              <w:rPr>
                <w:rFonts w:ascii="Times New Roman" w:eastAsia="宋体" w:hAnsi="Times New Roman" w:cs="Times New Roman"/>
                <w:kern w:val="0"/>
                <w:szCs w:val="21"/>
              </w:rPr>
              <w:t>生态环境分区管控方案，项目位于柞水县县域工业集中区</w:t>
            </w:r>
            <w:r w:rsidR="001A7A97" w:rsidRPr="001A7A97">
              <w:rPr>
                <w:rFonts w:ascii="Times New Roman" w:eastAsia="宋体" w:hAnsi="Times New Roman" w:cs="Times New Roman"/>
                <w:kern w:val="0"/>
                <w:szCs w:val="21"/>
              </w:rPr>
              <w:t>，</w:t>
            </w:r>
            <w:r w:rsidRPr="001A7A97">
              <w:rPr>
                <w:rFonts w:ascii="Times New Roman" w:eastAsia="宋体" w:hAnsi="Times New Roman" w:cs="Times New Roman"/>
                <w:kern w:val="0"/>
                <w:szCs w:val="21"/>
              </w:rPr>
              <w:t>项目建设不涉及生态红线区域，符合商洛市</w:t>
            </w:r>
            <w:r w:rsidRPr="001A7A97">
              <w:rPr>
                <w:rFonts w:ascii="Times New Roman" w:eastAsia="宋体" w:hAnsi="Times New Roman" w:cs="Times New Roman"/>
                <w:kern w:val="0"/>
                <w:szCs w:val="21"/>
              </w:rPr>
              <w:t>“</w:t>
            </w:r>
            <w:r w:rsidRPr="001A7A97">
              <w:rPr>
                <w:rFonts w:ascii="Times New Roman" w:eastAsia="宋体" w:hAnsi="Times New Roman" w:cs="Times New Roman"/>
                <w:kern w:val="0"/>
                <w:szCs w:val="21"/>
              </w:rPr>
              <w:t>三线一单</w:t>
            </w:r>
            <w:r w:rsidRPr="001A7A97">
              <w:rPr>
                <w:rFonts w:ascii="Times New Roman" w:eastAsia="宋体" w:hAnsi="Times New Roman" w:cs="Times New Roman"/>
                <w:kern w:val="0"/>
                <w:szCs w:val="21"/>
              </w:rPr>
              <w:t>”</w:t>
            </w:r>
            <w:r w:rsidRPr="001A7A97">
              <w:rPr>
                <w:rFonts w:ascii="Times New Roman" w:eastAsia="宋体" w:hAnsi="Times New Roman" w:cs="Times New Roman"/>
                <w:kern w:val="0"/>
                <w:szCs w:val="21"/>
              </w:rPr>
              <w:t>生态环境分区管控方案的相关要求。</w:t>
            </w:r>
          </w:p>
        </w:tc>
        <w:tc>
          <w:tcPr>
            <w:tcW w:w="475" w:type="pct"/>
            <w:tcBorders>
              <w:tl2br w:val="nil"/>
              <w:tr2bl w:val="nil"/>
            </w:tcBorders>
            <w:vAlign w:val="center"/>
          </w:tcPr>
          <w:p w14:paraId="5F69180B" w14:textId="77777777" w:rsidR="00AE2595" w:rsidRPr="001A7A97" w:rsidRDefault="00AE2595" w:rsidP="00E756FC">
            <w:pPr>
              <w:widowControl/>
              <w:wordWrap w:val="0"/>
              <w:jc w:val="center"/>
              <w:rPr>
                <w:rFonts w:ascii="Times New Roman" w:eastAsia="宋体" w:hAnsi="Times New Roman" w:cs="Times New Roman"/>
                <w:kern w:val="0"/>
                <w:szCs w:val="21"/>
              </w:rPr>
            </w:pPr>
            <w:r w:rsidRPr="001A7A97">
              <w:rPr>
                <w:rFonts w:ascii="Times New Roman" w:eastAsia="宋体" w:hAnsi="Times New Roman" w:cs="Times New Roman"/>
                <w:kern w:val="0"/>
                <w:szCs w:val="21"/>
              </w:rPr>
              <w:t>符合</w:t>
            </w:r>
          </w:p>
        </w:tc>
      </w:tr>
      <w:tr w:rsidR="00AE2595" w:rsidRPr="001A7A97" w14:paraId="7E5B1422" w14:textId="77777777" w:rsidTr="00E756FC">
        <w:trPr>
          <w:trHeight w:val="340"/>
          <w:jc w:val="center"/>
        </w:trPr>
        <w:tc>
          <w:tcPr>
            <w:tcW w:w="476" w:type="pct"/>
            <w:tcBorders>
              <w:tl2br w:val="nil"/>
              <w:tr2bl w:val="nil"/>
            </w:tcBorders>
            <w:vAlign w:val="center"/>
          </w:tcPr>
          <w:p w14:paraId="020A95F0" w14:textId="77777777" w:rsidR="00AE2595" w:rsidRPr="001A7A97" w:rsidRDefault="00AE2595" w:rsidP="00E756FC">
            <w:pPr>
              <w:widowControl/>
              <w:wordWrap w:val="0"/>
              <w:jc w:val="center"/>
              <w:rPr>
                <w:rFonts w:ascii="Times New Roman" w:eastAsia="宋体" w:hAnsi="Times New Roman" w:cs="Times New Roman"/>
                <w:kern w:val="0"/>
                <w:szCs w:val="21"/>
              </w:rPr>
            </w:pPr>
            <w:r w:rsidRPr="001A7A97">
              <w:rPr>
                <w:rFonts w:ascii="Times New Roman" w:eastAsia="宋体" w:hAnsi="Times New Roman" w:cs="Times New Roman"/>
                <w:kern w:val="0"/>
                <w:szCs w:val="21"/>
              </w:rPr>
              <w:t>环境质量底线</w:t>
            </w:r>
          </w:p>
        </w:tc>
        <w:tc>
          <w:tcPr>
            <w:tcW w:w="4048" w:type="pct"/>
            <w:tcBorders>
              <w:tl2br w:val="nil"/>
              <w:tr2bl w:val="nil"/>
            </w:tcBorders>
            <w:vAlign w:val="center"/>
          </w:tcPr>
          <w:p w14:paraId="6B26D9AC" w14:textId="77777777" w:rsidR="00AE2595" w:rsidRPr="001A7A97" w:rsidRDefault="00AE2595" w:rsidP="00E756FC">
            <w:pPr>
              <w:widowControl/>
              <w:wordWrap w:val="0"/>
              <w:rPr>
                <w:rFonts w:ascii="Times New Roman" w:eastAsia="宋体" w:hAnsi="Times New Roman" w:cs="Times New Roman"/>
                <w:kern w:val="0"/>
                <w:szCs w:val="21"/>
              </w:rPr>
            </w:pPr>
            <w:r w:rsidRPr="001A7A97">
              <w:rPr>
                <w:rFonts w:ascii="Times New Roman" w:eastAsia="宋体" w:hAnsi="Times New Roman" w:cs="Times New Roman"/>
                <w:kern w:val="0"/>
                <w:szCs w:val="21"/>
              </w:rPr>
              <w:t>根据陕西省生态环境办公室发布的《环保快报》，项目所在区域环境空气质量中基本污染物满足《环境空气质量标准》（</w:t>
            </w:r>
            <w:r w:rsidRPr="001A7A97">
              <w:rPr>
                <w:rFonts w:ascii="Times New Roman" w:eastAsia="宋体" w:hAnsi="Times New Roman" w:cs="Times New Roman"/>
                <w:kern w:val="0"/>
                <w:szCs w:val="21"/>
              </w:rPr>
              <w:t>GB3095-2012</w:t>
            </w:r>
            <w:r w:rsidRPr="001A7A97">
              <w:rPr>
                <w:rFonts w:ascii="Times New Roman" w:eastAsia="宋体" w:hAnsi="Times New Roman" w:cs="Times New Roman"/>
                <w:kern w:val="0"/>
                <w:szCs w:val="21"/>
              </w:rPr>
              <w:t>）二级标准。项目厂界声环境质量满足《声环境质量标准》（</w:t>
            </w:r>
            <w:r w:rsidRPr="001A7A97">
              <w:rPr>
                <w:rFonts w:ascii="Times New Roman" w:eastAsia="宋体" w:hAnsi="Times New Roman" w:cs="Times New Roman"/>
                <w:kern w:val="0"/>
                <w:szCs w:val="21"/>
              </w:rPr>
              <w:t>GB3096-2008</w:t>
            </w:r>
            <w:r w:rsidRPr="001A7A97">
              <w:rPr>
                <w:rFonts w:ascii="Times New Roman" w:eastAsia="宋体" w:hAnsi="Times New Roman" w:cs="Times New Roman"/>
                <w:kern w:val="0"/>
                <w:szCs w:val="21"/>
              </w:rPr>
              <w:t>）中</w:t>
            </w:r>
            <w:r w:rsidRPr="001A7A97">
              <w:rPr>
                <w:rFonts w:ascii="Times New Roman" w:eastAsia="宋体" w:hAnsi="Times New Roman" w:cs="Times New Roman"/>
                <w:kern w:val="0"/>
                <w:szCs w:val="21"/>
              </w:rPr>
              <w:t>2</w:t>
            </w:r>
            <w:r w:rsidRPr="001A7A97">
              <w:rPr>
                <w:rFonts w:ascii="Times New Roman" w:eastAsia="宋体" w:hAnsi="Times New Roman" w:cs="Times New Roman"/>
                <w:kern w:val="0"/>
                <w:szCs w:val="21"/>
              </w:rPr>
              <w:t>类标准。</w:t>
            </w:r>
          </w:p>
          <w:p w14:paraId="4C79923F" w14:textId="77777777" w:rsidR="00AE2595" w:rsidRPr="001A7A97" w:rsidRDefault="00AE2595" w:rsidP="00E756FC">
            <w:pPr>
              <w:widowControl/>
              <w:wordWrap w:val="0"/>
              <w:rPr>
                <w:rFonts w:ascii="Times New Roman" w:eastAsia="宋体" w:hAnsi="Times New Roman" w:cs="Times New Roman"/>
                <w:kern w:val="0"/>
                <w:szCs w:val="21"/>
              </w:rPr>
            </w:pPr>
            <w:r w:rsidRPr="001A7A97">
              <w:rPr>
                <w:rFonts w:ascii="Times New Roman" w:eastAsia="宋体" w:hAnsi="Times New Roman" w:cs="Times New Roman"/>
                <w:kern w:val="0"/>
                <w:szCs w:val="21"/>
              </w:rPr>
              <w:t>项目实施后对周围环境空气影响轻微，运营期生产设备噪声虽然对声环境造成一定的负面影响，但经采取隔声、减振等措施后对周围环境影响程度较小，不会改变环境功能区，能够符合环境质量底线。</w:t>
            </w:r>
          </w:p>
        </w:tc>
        <w:tc>
          <w:tcPr>
            <w:tcW w:w="475" w:type="pct"/>
            <w:tcBorders>
              <w:tl2br w:val="nil"/>
              <w:tr2bl w:val="nil"/>
            </w:tcBorders>
            <w:vAlign w:val="center"/>
          </w:tcPr>
          <w:p w14:paraId="6EEC67E8" w14:textId="77777777" w:rsidR="00AE2595" w:rsidRPr="001A7A97" w:rsidRDefault="00AE2595" w:rsidP="00E756FC">
            <w:pPr>
              <w:widowControl/>
              <w:wordWrap w:val="0"/>
              <w:jc w:val="center"/>
              <w:rPr>
                <w:rFonts w:ascii="Times New Roman" w:eastAsia="宋体" w:hAnsi="Times New Roman" w:cs="Times New Roman"/>
                <w:kern w:val="0"/>
                <w:szCs w:val="21"/>
              </w:rPr>
            </w:pPr>
            <w:r w:rsidRPr="001A7A97">
              <w:rPr>
                <w:rFonts w:ascii="Times New Roman" w:eastAsia="宋体" w:hAnsi="Times New Roman" w:cs="Times New Roman"/>
                <w:kern w:val="0"/>
                <w:szCs w:val="21"/>
              </w:rPr>
              <w:t>符合</w:t>
            </w:r>
          </w:p>
        </w:tc>
      </w:tr>
      <w:tr w:rsidR="00AE2595" w:rsidRPr="001A7A97" w14:paraId="47ECEFB2" w14:textId="77777777" w:rsidTr="00E756FC">
        <w:trPr>
          <w:trHeight w:val="340"/>
          <w:jc w:val="center"/>
        </w:trPr>
        <w:tc>
          <w:tcPr>
            <w:tcW w:w="476" w:type="pct"/>
            <w:tcBorders>
              <w:tl2br w:val="nil"/>
              <w:tr2bl w:val="nil"/>
            </w:tcBorders>
            <w:vAlign w:val="center"/>
          </w:tcPr>
          <w:p w14:paraId="07204914" w14:textId="77777777" w:rsidR="00AE2595" w:rsidRPr="001A7A97" w:rsidRDefault="00AE2595" w:rsidP="00E756FC">
            <w:pPr>
              <w:widowControl/>
              <w:wordWrap w:val="0"/>
              <w:jc w:val="center"/>
              <w:rPr>
                <w:rFonts w:ascii="Times New Roman" w:eastAsia="宋体" w:hAnsi="Times New Roman" w:cs="Times New Roman"/>
                <w:kern w:val="0"/>
                <w:szCs w:val="21"/>
              </w:rPr>
            </w:pPr>
            <w:r w:rsidRPr="001A7A97">
              <w:rPr>
                <w:rFonts w:ascii="Times New Roman" w:eastAsia="宋体" w:hAnsi="Times New Roman" w:cs="Times New Roman"/>
                <w:kern w:val="0"/>
                <w:szCs w:val="21"/>
              </w:rPr>
              <w:t>资源利用上线</w:t>
            </w:r>
          </w:p>
        </w:tc>
        <w:tc>
          <w:tcPr>
            <w:tcW w:w="4048" w:type="pct"/>
            <w:tcBorders>
              <w:tl2br w:val="nil"/>
              <w:tr2bl w:val="nil"/>
            </w:tcBorders>
            <w:vAlign w:val="center"/>
          </w:tcPr>
          <w:p w14:paraId="7CA026F4" w14:textId="07A62A1F" w:rsidR="00AE2595" w:rsidRPr="001A7A97" w:rsidRDefault="00AE2595" w:rsidP="001A7A97">
            <w:pPr>
              <w:widowControl/>
              <w:wordWrap w:val="0"/>
              <w:rPr>
                <w:rFonts w:ascii="Times New Roman" w:eastAsia="宋体" w:hAnsi="Times New Roman" w:cs="Times New Roman"/>
                <w:kern w:val="0"/>
                <w:szCs w:val="21"/>
              </w:rPr>
            </w:pPr>
            <w:r w:rsidRPr="001A7A97">
              <w:rPr>
                <w:rFonts w:ascii="Times New Roman" w:eastAsia="宋体" w:hAnsi="Times New Roman" w:cs="Times New Roman"/>
                <w:kern w:val="0"/>
                <w:szCs w:val="21"/>
              </w:rPr>
              <w:t>项目用水、电等资源不会突破区域的资源利用上线。</w:t>
            </w:r>
          </w:p>
        </w:tc>
        <w:tc>
          <w:tcPr>
            <w:tcW w:w="475" w:type="pct"/>
            <w:tcBorders>
              <w:tl2br w:val="nil"/>
              <w:tr2bl w:val="nil"/>
            </w:tcBorders>
            <w:vAlign w:val="center"/>
          </w:tcPr>
          <w:p w14:paraId="270362AB" w14:textId="77777777" w:rsidR="00AE2595" w:rsidRPr="001A7A97" w:rsidRDefault="00AE2595" w:rsidP="00E756FC">
            <w:pPr>
              <w:widowControl/>
              <w:wordWrap w:val="0"/>
              <w:jc w:val="center"/>
              <w:rPr>
                <w:rFonts w:ascii="Times New Roman" w:eastAsia="宋体" w:hAnsi="Times New Roman" w:cs="Times New Roman"/>
                <w:kern w:val="0"/>
                <w:szCs w:val="21"/>
              </w:rPr>
            </w:pPr>
            <w:r w:rsidRPr="001A7A97">
              <w:rPr>
                <w:rFonts w:ascii="Times New Roman" w:eastAsia="宋体" w:hAnsi="Times New Roman" w:cs="Times New Roman"/>
                <w:kern w:val="0"/>
                <w:szCs w:val="21"/>
              </w:rPr>
              <w:t>符合</w:t>
            </w:r>
          </w:p>
        </w:tc>
      </w:tr>
      <w:tr w:rsidR="00AE2595" w:rsidRPr="001A7A97" w14:paraId="3D9265F1" w14:textId="77777777" w:rsidTr="00E756FC">
        <w:trPr>
          <w:trHeight w:val="340"/>
          <w:jc w:val="center"/>
        </w:trPr>
        <w:tc>
          <w:tcPr>
            <w:tcW w:w="476" w:type="pct"/>
            <w:tcBorders>
              <w:tl2br w:val="nil"/>
              <w:tr2bl w:val="nil"/>
            </w:tcBorders>
            <w:vAlign w:val="center"/>
          </w:tcPr>
          <w:p w14:paraId="67B454A1" w14:textId="77777777" w:rsidR="00AE2595" w:rsidRPr="001A7A97" w:rsidRDefault="00AE2595" w:rsidP="00E756FC">
            <w:pPr>
              <w:widowControl/>
              <w:wordWrap w:val="0"/>
              <w:jc w:val="center"/>
              <w:rPr>
                <w:rFonts w:ascii="Times New Roman" w:eastAsia="宋体" w:hAnsi="Times New Roman" w:cs="Times New Roman"/>
                <w:kern w:val="0"/>
                <w:szCs w:val="21"/>
              </w:rPr>
            </w:pPr>
            <w:r w:rsidRPr="001A7A97">
              <w:rPr>
                <w:rFonts w:ascii="Times New Roman" w:eastAsia="宋体" w:hAnsi="Times New Roman" w:cs="Times New Roman"/>
                <w:kern w:val="0"/>
                <w:szCs w:val="21"/>
              </w:rPr>
              <w:t>生态环境准入清单</w:t>
            </w:r>
          </w:p>
        </w:tc>
        <w:tc>
          <w:tcPr>
            <w:tcW w:w="4048" w:type="pct"/>
            <w:tcBorders>
              <w:tl2br w:val="nil"/>
              <w:tr2bl w:val="nil"/>
            </w:tcBorders>
            <w:vAlign w:val="center"/>
          </w:tcPr>
          <w:p w14:paraId="0C1FA3F2" w14:textId="60B7003E" w:rsidR="00AE2595" w:rsidRPr="001A7A97" w:rsidRDefault="00AE2595" w:rsidP="00E756FC">
            <w:pPr>
              <w:widowControl/>
              <w:wordWrap w:val="0"/>
              <w:rPr>
                <w:rFonts w:ascii="Times New Roman" w:eastAsia="宋体" w:hAnsi="Times New Roman" w:cs="Times New Roman"/>
                <w:kern w:val="0"/>
                <w:szCs w:val="21"/>
              </w:rPr>
            </w:pPr>
            <w:r w:rsidRPr="001A7A97">
              <w:rPr>
                <w:rFonts w:ascii="Times New Roman" w:eastAsia="宋体" w:hAnsi="Times New Roman" w:cs="Times New Roman"/>
                <w:kern w:val="0"/>
                <w:szCs w:val="21"/>
              </w:rPr>
              <w:t>对比商洛市生态环境管控单元分布示意图（附图</w:t>
            </w:r>
            <w:r w:rsidRPr="001A7A97">
              <w:rPr>
                <w:rFonts w:ascii="Times New Roman" w:eastAsia="宋体" w:hAnsi="Times New Roman" w:cs="Times New Roman"/>
                <w:kern w:val="0"/>
                <w:szCs w:val="21"/>
              </w:rPr>
              <w:t>1.3-1</w:t>
            </w:r>
            <w:r w:rsidRPr="001A7A97">
              <w:rPr>
                <w:rFonts w:ascii="Times New Roman" w:eastAsia="宋体" w:hAnsi="Times New Roman" w:cs="Times New Roman"/>
                <w:kern w:val="0"/>
                <w:szCs w:val="21"/>
              </w:rPr>
              <w:t>），项目位于</w:t>
            </w:r>
            <w:r w:rsidRPr="001A7A97">
              <w:rPr>
                <w:rFonts w:ascii="Times New Roman" w:eastAsia="宋体" w:hAnsi="Times New Roman" w:cs="Times New Roman"/>
                <w:kern w:val="0"/>
                <w:szCs w:val="21"/>
              </w:rPr>
              <w:t>“</w:t>
            </w:r>
            <w:r w:rsidR="001A7A97" w:rsidRPr="001A7A97">
              <w:rPr>
                <w:rFonts w:ascii="Times New Roman" w:eastAsia="宋体" w:hAnsi="Times New Roman" w:cs="Times New Roman"/>
                <w:kern w:val="0"/>
                <w:szCs w:val="21"/>
              </w:rPr>
              <w:t>重点管控单元</w:t>
            </w:r>
            <w:r w:rsidRPr="001A7A97">
              <w:rPr>
                <w:rFonts w:ascii="Times New Roman" w:eastAsia="宋体" w:hAnsi="Times New Roman" w:cs="Times New Roman"/>
                <w:kern w:val="0"/>
                <w:szCs w:val="21"/>
              </w:rPr>
              <w:t>”</w:t>
            </w:r>
            <w:r w:rsidRPr="001A7A97">
              <w:rPr>
                <w:rFonts w:ascii="Times New Roman" w:eastAsia="宋体" w:hAnsi="Times New Roman" w:cs="Times New Roman"/>
                <w:kern w:val="0"/>
                <w:szCs w:val="21"/>
              </w:rPr>
              <w:t>，执行商洛市生态环境整体准入清单中空间布局约束相关要求。项目产生的各项污染物均能得到合理的处理与处置，做到达标排放。综上，项目符合生态环境分区管控的要求。</w:t>
            </w:r>
          </w:p>
        </w:tc>
        <w:tc>
          <w:tcPr>
            <w:tcW w:w="475" w:type="pct"/>
            <w:tcBorders>
              <w:tl2br w:val="nil"/>
              <w:tr2bl w:val="nil"/>
            </w:tcBorders>
            <w:vAlign w:val="center"/>
          </w:tcPr>
          <w:p w14:paraId="34E12D44" w14:textId="77777777" w:rsidR="00AE2595" w:rsidRPr="001A7A97" w:rsidRDefault="00AE2595" w:rsidP="00E756FC">
            <w:pPr>
              <w:widowControl/>
              <w:wordWrap w:val="0"/>
              <w:jc w:val="center"/>
              <w:rPr>
                <w:rFonts w:ascii="Times New Roman" w:eastAsia="宋体" w:hAnsi="Times New Roman" w:cs="Times New Roman"/>
                <w:kern w:val="0"/>
                <w:szCs w:val="21"/>
              </w:rPr>
            </w:pPr>
            <w:r w:rsidRPr="001A7A97">
              <w:rPr>
                <w:rFonts w:ascii="Times New Roman" w:eastAsia="宋体" w:hAnsi="Times New Roman" w:cs="Times New Roman"/>
                <w:kern w:val="0"/>
                <w:szCs w:val="21"/>
              </w:rPr>
              <w:t>符合</w:t>
            </w:r>
          </w:p>
        </w:tc>
      </w:tr>
    </w:tbl>
    <w:p w14:paraId="5B349723" w14:textId="6BBE2796" w:rsidR="00D12939" w:rsidRDefault="004F47F5">
      <w:pPr>
        <w:tabs>
          <w:tab w:val="left" w:pos="615"/>
          <w:tab w:val="left" w:pos="3615"/>
        </w:tabs>
        <w:spacing w:beforeLines="50" w:before="156"/>
        <w:jc w:val="center"/>
        <w:rPr>
          <w:rFonts w:ascii="黑体" w:eastAsia="黑体" w:hAnsi="黑体"/>
          <w:sz w:val="24"/>
        </w:rPr>
      </w:pPr>
      <w:r>
        <w:rPr>
          <w:rFonts w:ascii="黑体" w:eastAsia="黑体" w:hAnsi="黑体"/>
          <w:sz w:val="24"/>
        </w:rPr>
        <w:t>表1.4</w:t>
      </w:r>
      <w:r w:rsidR="00E756FC">
        <w:rPr>
          <w:rFonts w:ascii="黑体" w:eastAsia="黑体" w:hAnsi="黑体"/>
          <w:sz w:val="24"/>
        </w:rPr>
        <w:t>-4</w:t>
      </w:r>
      <w:r>
        <w:rPr>
          <w:rFonts w:ascii="黑体" w:eastAsia="黑体" w:hAnsi="黑体"/>
          <w:sz w:val="24"/>
        </w:rPr>
        <w:t xml:space="preserve"> </w:t>
      </w:r>
      <w:r>
        <w:rPr>
          <w:rFonts w:ascii="黑体" w:eastAsia="黑体" w:hAnsi="黑体" w:hint="eastAsia"/>
          <w:sz w:val="24"/>
        </w:rPr>
        <w:t>项目与《商洛市“三线一单”生态环境分区管控方案》符合性分析</w:t>
      </w:r>
      <w:r>
        <w:rPr>
          <w:rFonts w:ascii="黑体" w:eastAsia="黑体" w:hAnsi="黑体"/>
          <w:sz w:val="24"/>
        </w:rPr>
        <w:t>表</w:t>
      </w:r>
    </w:p>
    <w:tbl>
      <w:tblPr>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82"/>
        <w:gridCol w:w="715"/>
        <w:gridCol w:w="4400"/>
        <w:gridCol w:w="3165"/>
        <w:gridCol w:w="746"/>
      </w:tblGrid>
      <w:tr w:rsidR="001A7A97" w:rsidRPr="00E756FC" w14:paraId="6927FC26" w14:textId="77777777" w:rsidTr="001A7A97">
        <w:trPr>
          <w:trHeight w:val="340"/>
          <w:jc w:val="center"/>
        </w:trPr>
        <w:tc>
          <w:tcPr>
            <w:tcW w:w="2986" w:type="pct"/>
            <w:gridSpan w:val="3"/>
            <w:tcBorders>
              <w:tl2br w:val="nil"/>
              <w:tr2bl w:val="nil"/>
            </w:tcBorders>
            <w:vAlign w:val="center"/>
          </w:tcPr>
          <w:p w14:paraId="71C9CED4" w14:textId="77777777" w:rsidR="001A7A97" w:rsidRPr="00E756FC" w:rsidRDefault="001A7A97" w:rsidP="00E756FC">
            <w:pPr>
              <w:autoSpaceDE w:val="0"/>
              <w:autoSpaceDN w:val="0"/>
              <w:jc w:val="center"/>
              <w:rPr>
                <w:rFonts w:ascii="Times New Roman" w:eastAsia="宋体" w:hAnsi="Times New Roman" w:cs="Times New Roman"/>
                <w:b/>
                <w:kern w:val="0"/>
                <w:szCs w:val="21"/>
              </w:rPr>
            </w:pPr>
            <w:r w:rsidRPr="00E756FC">
              <w:rPr>
                <w:rFonts w:ascii="Times New Roman" w:eastAsia="宋体" w:hAnsi="Times New Roman" w:cs="Times New Roman"/>
                <w:b/>
                <w:kern w:val="0"/>
                <w:szCs w:val="21"/>
              </w:rPr>
              <w:t>商洛市</w:t>
            </w:r>
            <w:r w:rsidRPr="00E756FC">
              <w:rPr>
                <w:rFonts w:ascii="Times New Roman" w:eastAsia="宋体" w:hAnsi="Times New Roman" w:cs="Times New Roman"/>
                <w:b/>
                <w:kern w:val="0"/>
                <w:szCs w:val="21"/>
              </w:rPr>
              <w:t>“</w:t>
            </w:r>
            <w:r w:rsidRPr="00E756FC">
              <w:rPr>
                <w:rFonts w:ascii="Times New Roman" w:eastAsia="宋体" w:hAnsi="Times New Roman" w:cs="Times New Roman"/>
                <w:b/>
                <w:kern w:val="0"/>
                <w:szCs w:val="21"/>
              </w:rPr>
              <w:t>三线一单</w:t>
            </w:r>
            <w:r w:rsidRPr="00E756FC">
              <w:rPr>
                <w:rFonts w:ascii="Times New Roman" w:eastAsia="宋体" w:hAnsi="Times New Roman" w:cs="Times New Roman"/>
                <w:b/>
                <w:kern w:val="0"/>
                <w:szCs w:val="21"/>
              </w:rPr>
              <w:t>”</w:t>
            </w:r>
            <w:r w:rsidRPr="00E756FC">
              <w:rPr>
                <w:rFonts w:ascii="Times New Roman" w:eastAsia="宋体" w:hAnsi="Times New Roman" w:cs="Times New Roman"/>
                <w:b/>
                <w:kern w:val="0"/>
                <w:szCs w:val="21"/>
              </w:rPr>
              <w:t>生态环境分区管控方案</w:t>
            </w:r>
          </w:p>
        </w:tc>
        <w:tc>
          <w:tcPr>
            <w:tcW w:w="1630" w:type="pct"/>
            <w:tcBorders>
              <w:tl2br w:val="nil"/>
              <w:tr2bl w:val="nil"/>
            </w:tcBorders>
            <w:vAlign w:val="center"/>
          </w:tcPr>
          <w:p w14:paraId="66109AEB" w14:textId="77777777" w:rsidR="001A7A97" w:rsidRPr="00E756FC" w:rsidRDefault="001A7A97" w:rsidP="00E756FC">
            <w:pPr>
              <w:autoSpaceDE w:val="0"/>
              <w:autoSpaceDN w:val="0"/>
              <w:jc w:val="center"/>
              <w:rPr>
                <w:rFonts w:ascii="Times New Roman" w:eastAsia="宋体" w:hAnsi="Times New Roman" w:cs="Times New Roman"/>
                <w:b/>
                <w:kern w:val="0"/>
                <w:szCs w:val="21"/>
              </w:rPr>
            </w:pPr>
            <w:r w:rsidRPr="00E756FC">
              <w:rPr>
                <w:rFonts w:ascii="Times New Roman" w:eastAsia="宋体" w:hAnsi="Times New Roman" w:cs="Times New Roman"/>
                <w:b/>
                <w:kern w:val="0"/>
                <w:szCs w:val="21"/>
              </w:rPr>
              <w:t>项目情况</w:t>
            </w:r>
          </w:p>
        </w:tc>
        <w:tc>
          <w:tcPr>
            <w:tcW w:w="384" w:type="pct"/>
            <w:tcBorders>
              <w:tl2br w:val="nil"/>
              <w:tr2bl w:val="nil"/>
            </w:tcBorders>
            <w:vAlign w:val="center"/>
          </w:tcPr>
          <w:p w14:paraId="2614059C" w14:textId="77777777" w:rsidR="001A7A97" w:rsidRPr="00E756FC" w:rsidRDefault="001A7A97" w:rsidP="00E756FC">
            <w:pPr>
              <w:autoSpaceDE w:val="0"/>
              <w:autoSpaceDN w:val="0"/>
              <w:jc w:val="center"/>
              <w:rPr>
                <w:rFonts w:ascii="Times New Roman" w:eastAsia="宋体" w:hAnsi="Times New Roman" w:cs="Times New Roman"/>
                <w:b/>
                <w:kern w:val="0"/>
                <w:szCs w:val="21"/>
              </w:rPr>
            </w:pPr>
            <w:r w:rsidRPr="00E756FC">
              <w:rPr>
                <w:rFonts w:ascii="Times New Roman" w:eastAsia="宋体" w:hAnsi="Times New Roman" w:cs="Times New Roman"/>
                <w:b/>
                <w:kern w:val="0"/>
                <w:szCs w:val="21"/>
              </w:rPr>
              <w:t>符合性</w:t>
            </w:r>
          </w:p>
        </w:tc>
      </w:tr>
      <w:tr w:rsidR="001A7A97" w:rsidRPr="00E756FC" w14:paraId="41BAF301" w14:textId="77777777" w:rsidTr="001A7A97">
        <w:trPr>
          <w:trHeight w:val="340"/>
          <w:jc w:val="center"/>
        </w:trPr>
        <w:tc>
          <w:tcPr>
            <w:tcW w:w="2986" w:type="pct"/>
            <w:gridSpan w:val="3"/>
            <w:tcBorders>
              <w:tl2br w:val="nil"/>
              <w:tr2bl w:val="nil"/>
            </w:tcBorders>
            <w:vAlign w:val="center"/>
          </w:tcPr>
          <w:p w14:paraId="3E012CC6" w14:textId="380F0A33" w:rsidR="001A7A97" w:rsidRPr="00E756FC" w:rsidRDefault="001A7A97" w:rsidP="00E756FC">
            <w:pPr>
              <w:autoSpaceDE w:val="0"/>
              <w:autoSpaceDN w:val="0"/>
              <w:rPr>
                <w:rFonts w:ascii="Times New Roman" w:eastAsia="宋体" w:hAnsi="Times New Roman" w:cs="Times New Roman"/>
                <w:bCs/>
                <w:kern w:val="0"/>
                <w:szCs w:val="21"/>
              </w:rPr>
            </w:pPr>
            <w:r w:rsidRPr="00E756FC">
              <w:rPr>
                <w:rFonts w:ascii="Times New Roman" w:eastAsia="宋体" w:hAnsi="Times New Roman" w:cs="Times New Roman"/>
                <w:bCs/>
                <w:kern w:val="0"/>
                <w:szCs w:val="21"/>
              </w:rPr>
              <w:t>重点管控单元。指涉及大气、水、土壤、自然资源等资源环境</w:t>
            </w:r>
            <w:r w:rsidRPr="00E756FC">
              <w:rPr>
                <w:rFonts w:ascii="Times New Roman" w:eastAsia="宋体" w:hAnsi="Times New Roman" w:cs="Times New Roman"/>
                <w:bCs/>
                <w:kern w:val="0"/>
                <w:szCs w:val="21"/>
              </w:rPr>
              <w:lastRenderedPageBreak/>
              <w:t>要素重点管控的区域，主要包括城镇规划区、重点开发区等开发强度高和污染物排放强度大的区域。全市划分重点管控单元</w:t>
            </w:r>
            <w:r w:rsidRPr="00E756FC">
              <w:rPr>
                <w:rFonts w:ascii="Times New Roman" w:eastAsia="宋体" w:hAnsi="Times New Roman" w:cs="Times New Roman"/>
                <w:bCs/>
                <w:kern w:val="0"/>
                <w:szCs w:val="21"/>
              </w:rPr>
              <w:t>25</w:t>
            </w:r>
            <w:r w:rsidRPr="00E756FC">
              <w:rPr>
                <w:rFonts w:ascii="Times New Roman" w:eastAsia="宋体" w:hAnsi="Times New Roman" w:cs="Times New Roman"/>
                <w:bCs/>
                <w:kern w:val="0"/>
                <w:szCs w:val="21"/>
              </w:rPr>
              <w:t>个，面积</w:t>
            </w:r>
            <w:r w:rsidRPr="00E756FC">
              <w:rPr>
                <w:rFonts w:ascii="Times New Roman" w:eastAsia="宋体" w:hAnsi="Times New Roman" w:cs="Times New Roman"/>
                <w:bCs/>
                <w:kern w:val="0"/>
                <w:szCs w:val="21"/>
              </w:rPr>
              <w:t>2633</w:t>
            </w:r>
            <w:r w:rsidRPr="00E756FC">
              <w:rPr>
                <w:rFonts w:ascii="Times New Roman" w:eastAsia="宋体" w:hAnsi="Times New Roman" w:cs="Times New Roman"/>
                <w:bCs/>
                <w:kern w:val="0"/>
                <w:szCs w:val="21"/>
              </w:rPr>
              <w:t>平方公里，占全市国土面积的</w:t>
            </w:r>
            <w:r w:rsidRPr="00E756FC">
              <w:rPr>
                <w:rFonts w:ascii="Times New Roman" w:eastAsia="宋体" w:hAnsi="Times New Roman" w:cs="Times New Roman"/>
                <w:bCs/>
                <w:kern w:val="0"/>
                <w:szCs w:val="21"/>
              </w:rPr>
              <w:t>13.44%</w:t>
            </w:r>
            <w:r w:rsidRPr="00E756FC">
              <w:rPr>
                <w:rFonts w:ascii="Times New Roman" w:eastAsia="宋体" w:hAnsi="Times New Roman" w:cs="Times New Roman"/>
                <w:bCs/>
                <w:kern w:val="0"/>
                <w:szCs w:val="21"/>
              </w:rPr>
              <w:t>。</w:t>
            </w:r>
          </w:p>
        </w:tc>
        <w:tc>
          <w:tcPr>
            <w:tcW w:w="1630" w:type="pct"/>
            <w:tcBorders>
              <w:tl2br w:val="nil"/>
              <w:tr2bl w:val="nil"/>
            </w:tcBorders>
            <w:vAlign w:val="center"/>
          </w:tcPr>
          <w:p w14:paraId="4E1F8225" w14:textId="2C0E9D14" w:rsidR="001A7A97" w:rsidRPr="00E756FC" w:rsidRDefault="001A7A97" w:rsidP="00E756FC">
            <w:pPr>
              <w:autoSpaceDE w:val="0"/>
              <w:autoSpaceDN w:val="0"/>
              <w:rPr>
                <w:rFonts w:ascii="Times New Roman" w:eastAsia="宋体" w:hAnsi="Times New Roman" w:cs="Times New Roman"/>
                <w:bCs/>
                <w:kern w:val="0"/>
                <w:szCs w:val="21"/>
              </w:rPr>
            </w:pPr>
            <w:r w:rsidRPr="00E756FC">
              <w:rPr>
                <w:rFonts w:ascii="Times New Roman" w:eastAsia="宋体" w:hAnsi="Times New Roman" w:cs="Times New Roman"/>
                <w:bCs/>
                <w:kern w:val="0"/>
                <w:szCs w:val="21"/>
                <w:lang w:bidi="ar"/>
              </w:rPr>
              <w:lastRenderedPageBreak/>
              <w:t>项目位于</w:t>
            </w:r>
            <w:r w:rsidRPr="00E756FC">
              <w:rPr>
                <w:rFonts w:ascii="Times New Roman" w:eastAsia="宋体" w:hAnsi="Times New Roman" w:cs="Times New Roman"/>
                <w:bCs/>
                <w:kern w:val="0"/>
                <w:szCs w:val="21"/>
              </w:rPr>
              <w:t>重点管控单元</w:t>
            </w:r>
          </w:p>
        </w:tc>
        <w:tc>
          <w:tcPr>
            <w:tcW w:w="384" w:type="pct"/>
            <w:tcBorders>
              <w:tl2br w:val="nil"/>
              <w:tr2bl w:val="nil"/>
            </w:tcBorders>
            <w:vAlign w:val="center"/>
          </w:tcPr>
          <w:p w14:paraId="29D09398" w14:textId="77777777" w:rsidR="001A7A97" w:rsidRPr="00E756FC" w:rsidRDefault="001A7A97" w:rsidP="00E756FC">
            <w:pPr>
              <w:autoSpaceDE w:val="0"/>
              <w:autoSpaceDN w:val="0"/>
              <w:jc w:val="center"/>
              <w:rPr>
                <w:rFonts w:ascii="Times New Roman" w:eastAsia="宋体" w:hAnsi="Times New Roman" w:cs="Times New Roman"/>
                <w:bCs/>
                <w:kern w:val="0"/>
                <w:szCs w:val="21"/>
              </w:rPr>
            </w:pPr>
            <w:r w:rsidRPr="00E756FC">
              <w:rPr>
                <w:rFonts w:ascii="Times New Roman" w:eastAsia="宋体" w:hAnsi="Times New Roman" w:cs="Times New Roman"/>
                <w:bCs/>
                <w:kern w:val="0"/>
                <w:szCs w:val="21"/>
              </w:rPr>
              <w:t>/</w:t>
            </w:r>
          </w:p>
        </w:tc>
      </w:tr>
      <w:tr w:rsidR="001A7A97" w:rsidRPr="00E756FC" w14:paraId="625FFE54" w14:textId="77777777" w:rsidTr="001A7A97">
        <w:trPr>
          <w:trHeight w:val="340"/>
          <w:jc w:val="center"/>
        </w:trPr>
        <w:tc>
          <w:tcPr>
            <w:tcW w:w="2986" w:type="pct"/>
            <w:gridSpan w:val="3"/>
            <w:tcBorders>
              <w:tl2br w:val="nil"/>
              <w:tr2bl w:val="nil"/>
            </w:tcBorders>
            <w:vAlign w:val="center"/>
          </w:tcPr>
          <w:p w14:paraId="3C093D76" w14:textId="77777777" w:rsidR="001A7A97" w:rsidRPr="00E756FC" w:rsidRDefault="001A7A97" w:rsidP="001A7A97">
            <w:pPr>
              <w:autoSpaceDE w:val="0"/>
              <w:autoSpaceDN w:val="0"/>
              <w:rPr>
                <w:rFonts w:ascii="Times New Roman" w:eastAsia="宋体" w:hAnsi="Times New Roman" w:cs="Times New Roman"/>
                <w:bCs/>
                <w:kern w:val="0"/>
                <w:szCs w:val="21"/>
              </w:rPr>
            </w:pPr>
            <w:r w:rsidRPr="00E756FC">
              <w:rPr>
                <w:rFonts w:ascii="Times New Roman" w:eastAsia="宋体" w:hAnsi="Times New Roman" w:cs="Times New Roman"/>
                <w:bCs/>
                <w:kern w:val="0"/>
                <w:szCs w:val="21"/>
              </w:rPr>
              <w:lastRenderedPageBreak/>
              <w:t>（五）明确生态环境分区管控要求</w:t>
            </w:r>
          </w:p>
          <w:p w14:paraId="4987B860" w14:textId="4CCD40DC" w:rsidR="001A7A97" w:rsidRPr="00E756FC" w:rsidRDefault="001A7A97" w:rsidP="001A7A97">
            <w:pPr>
              <w:autoSpaceDE w:val="0"/>
              <w:autoSpaceDN w:val="0"/>
              <w:rPr>
                <w:rFonts w:ascii="Times New Roman" w:eastAsia="宋体" w:hAnsi="Times New Roman" w:cs="Times New Roman"/>
                <w:bCs/>
                <w:kern w:val="0"/>
                <w:szCs w:val="21"/>
              </w:rPr>
            </w:pPr>
            <w:r w:rsidRPr="00E756FC">
              <w:rPr>
                <w:rFonts w:ascii="Times New Roman" w:eastAsia="宋体" w:hAnsi="Times New Roman" w:cs="Times New Roman"/>
                <w:bCs/>
                <w:kern w:val="0"/>
                <w:szCs w:val="21"/>
              </w:rPr>
              <w:t>重点管控单元以提升资源利用效率、加强污染物减排治理和环境风险防控为重点，解决突出生态环境问题。</w:t>
            </w:r>
          </w:p>
        </w:tc>
        <w:tc>
          <w:tcPr>
            <w:tcW w:w="1630" w:type="pct"/>
            <w:tcBorders>
              <w:tl2br w:val="nil"/>
              <w:tr2bl w:val="nil"/>
            </w:tcBorders>
            <w:vAlign w:val="center"/>
          </w:tcPr>
          <w:p w14:paraId="76B912EA" w14:textId="65BE0EEA" w:rsidR="001A7A97" w:rsidRPr="00E756FC" w:rsidRDefault="001A7A97" w:rsidP="001A7A97">
            <w:pPr>
              <w:autoSpaceDE w:val="0"/>
              <w:autoSpaceDN w:val="0"/>
              <w:rPr>
                <w:rFonts w:ascii="Times New Roman" w:eastAsia="宋体" w:hAnsi="Times New Roman" w:cs="Times New Roman"/>
                <w:bCs/>
                <w:kern w:val="0"/>
                <w:szCs w:val="21"/>
              </w:rPr>
            </w:pPr>
            <w:r w:rsidRPr="00E756FC">
              <w:rPr>
                <w:rFonts w:ascii="Times New Roman" w:eastAsia="宋体" w:hAnsi="Times New Roman" w:cs="Times New Roman"/>
                <w:szCs w:val="21"/>
              </w:rPr>
              <w:t>本项目为柞水县固体废弃物综合处置场，用于解决未来焚烧厂产生的飞灰以及焚烧厂投运前的生活垃圾处理问题，同时可以作为柞水县未来在焚烧厂检修及特殊情况下生活垃圾应急处理的兜底保障设施。各项污染物在采取相应措施下均可达标排放，对周围环境影响较小。</w:t>
            </w:r>
          </w:p>
        </w:tc>
        <w:tc>
          <w:tcPr>
            <w:tcW w:w="384" w:type="pct"/>
            <w:tcBorders>
              <w:tl2br w:val="nil"/>
              <w:tr2bl w:val="nil"/>
            </w:tcBorders>
            <w:vAlign w:val="center"/>
          </w:tcPr>
          <w:p w14:paraId="35178542" w14:textId="77777777" w:rsidR="001A7A97" w:rsidRPr="00E756FC" w:rsidRDefault="001A7A97" w:rsidP="001A7A97">
            <w:pPr>
              <w:autoSpaceDE w:val="0"/>
              <w:autoSpaceDN w:val="0"/>
              <w:rPr>
                <w:rFonts w:ascii="Times New Roman" w:eastAsia="宋体" w:hAnsi="Times New Roman" w:cs="Times New Roman"/>
                <w:bCs/>
                <w:kern w:val="0"/>
                <w:szCs w:val="21"/>
              </w:rPr>
            </w:pPr>
            <w:r w:rsidRPr="00E756FC">
              <w:rPr>
                <w:rFonts w:ascii="Times New Roman" w:eastAsia="宋体" w:hAnsi="Times New Roman" w:cs="Times New Roman"/>
                <w:bCs/>
                <w:kern w:val="0"/>
                <w:szCs w:val="21"/>
              </w:rPr>
              <w:t>符合</w:t>
            </w:r>
          </w:p>
        </w:tc>
      </w:tr>
      <w:tr w:rsidR="00E756FC" w:rsidRPr="00E756FC" w14:paraId="3C0509A2" w14:textId="77777777" w:rsidTr="00C41925">
        <w:trPr>
          <w:trHeight w:val="340"/>
          <w:jc w:val="center"/>
        </w:trPr>
        <w:tc>
          <w:tcPr>
            <w:tcW w:w="352" w:type="pct"/>
            <w:vMerge w:val="restart"/>
            <w:tcBorders>
              <w:tl2br w:val="nil"/>
              <w:tr2bl w:val="nil"/>
            </w:tcBorders>
            <w:vAlign w:val="center"/>
          </w:tcPr>
          <w:p w14:paraId="3F1D6926" w14:textId="5BA9E491" w:rsidR="001A7A97" w:rsidRPr="00E756FC" w:rsidRDefault="001A7A97" w:rsidP="001A7A97">
            <w:pPr>
              <w:autoSpaceDE w:val="0"/>
              <w:autoSpaceDN w:val="0"/>
              <w:jc w:val="center"/>
              <w:rPr>
                <w:rFonts w:ascii="Times New Roman" w:eastAsia="宋体" w:hAnsi="Times New Roman" w:cs="Times New Roman"/>
                <w:kern w:val="0"/>
                <w:szCs w:val="21"/>
                <w:lang w:bidi="ar"/>
              </w:rPr>
            </w:pPr>
            <w:r w:rsidRPr="00E756FC">
              <w:rPr>
                <w:rFonts w:ascii="Times New Roman" w:eastAsia="宋体" w:hAnsi="Times New Roman" w:cs="Times New Roman"/>
                <w:szCs w:val="21"/>
              </w:rPr>
              <w:t>商洛市柞水县县域工业集中区</w:t>
            </w:r>
            <w:r w:rsidRPr="00E756FC">
              <w:rPr>
                <w:rFonts w:ascii="Times New Roman" w:eastAsia="宋体" w:hAnsi="Times New Roman" w:cs="Times New Roman"/>
                <w:szCs w:val="21"/>
              </w:rPr>
              <w:t>-</w:t>
            </w:r>
            <w:r w:rsidRPr="00E756FC">
              <w:rPr>
                <w:rFonts w:ascii="Times New Roman" w:eastAsia="宋体" w:hAnsi="Times New Roman" w:cs="Times New Roman"/>
                <w:szCs w:val="21"/>
              </w:rPr>
              <w:t>水环境工业污染重点管控区</w:t>
            </w:r>
          </w:p>
        </w:tc>
        <w:tc>
          <w:tcPr>
            <w:tcW w:w="368" w:type="pct"/>
            <w:tcBorders>
              <w:tl2br w:val="nil"/>
              <w:tr2bl w:val="nil"/>
            </w:tcBorders>
            <w:vAlign w:val="center"/>
          </w:tcPr>
          <w:p w14:paraId="6657A926" w14:textId="77777777" w:rsidR="001A7A97" w:rsidRPr="00E756FC" w:rsidRDefault="001A7A97" w:rsidP="001A7A97">
            <w:pPr>
              <w:autoSpaceDE w:val="0"/>
              <w:autoSpaceDN w:val="0"/>
              <w:jc w:val="center"/>
              <w:rPr>
                <w:rFonts w:ascii="Times New Roman" w:eastAsia="宋体" w:hAnsi="Times New Roman" w:cs="Times New Roman"/>
                <w:kern w:val="0"/>
                <w:szCs w:val="21"/>
                <w:lang w:bidi="ar"/>
              </w:rPr>
            </w:pPr>
            <w:r w:rsidRPr="00E756FC">
              <w:rPr>
                <w:rFonts w:ascii="Times New Roman" w:eastAsia="宋体" w:hAnsi="Times New Roman" w:cs="Times New Roman"/>
                <w:kern w:val="0"/>
                <w:szCs w:val="21"/>
                <w:lang w:bidi="ar"/>
              </w:rPr>
              <w:t>空间布局约束</w:t>
            </w:r>
          </w:p>
        </w:tc>
        <w:tc>
          <w:tcPr>
            <w:tcW w:w="2265" w:type="pct"/>
            <w:tcBorders>
              <w:tl2br w:val="nil"/>
              <w:tr2bl w:val="nil"/>
            </w:tcBorders>
            <w:vAlign w:val="center"/>
          </w:tcPr>
          <w:p w14:paraId="3E49C781" w14:textId="1B1E451B" w:rsidR="001A7A97" w:rsidRPr="00E756FC" w:rsidRDefault="001A7A97" w:rsidP="001A7A97">
            <w:pPr>
              <w:autoSpaceDE w:val="0"/>
              <w:autoSpaceDN w:val="0"/>
              <w:rPr>
                <w:rFonts w:ascii="Times New Roman" w:eastAsia="宋体" w:hAnsi="Times New Roman" w:cs="Times New Roman"/>
                <w:bCs/>
                <w:kern w:val="0"/>
                <w:szCs w:val="21"/>
                <w:lang w:bidi="ar"/>
              </w:rPr>
            </w:pPr>
            <w:r w:rsidRPr="00E756FC">
              <w:rPr>
                <w:rFonts w:ascii="Times New Roman" w:eastAsia="宋体" w:hAnsi="Times New Roman" w:cs="Times New Roman"/>
                <w:szCs w:val="21"/>
              </w:rPr>
              <w:t>1.</w:t>
            </w:r>
            <w:r w:rsidRPr="00E756FC">
              <w:rPr>
                <w:rFonts w:ascii="Times New Roman" w:eastAsia="宋体" w:hAnsi="Times New Roman" w:cs="Times New Roman"/>
                <w:szCs w:val="21"/>
              </w:rPr>
              <w:t>区域内严格控制高耗水、高污染行业发展，鼓励和引导企业向园区集中。</w:t>
            </w:r>
          </w:p>
        </w:tc>
        <w:tc>
          <w:tcPr>
            <w:tcW w:w="1630" w:type="pct"/>
            <w:tcBorders>
              <w:tl2br w:val="nil"/>
              <w:tr2bl w:val="nil"/>
            </w:tcBorders>
            <w:vAlign w:val="center"/>
          </w:tcPr>
          <w:p w14:paraId="2F77871E" w14:textId="1A7FD8D2" w:rsidR="001A7A97" w:rsidRPr="00E756FC" w:rsidRDefault="001A7A97" w:rsidP="001A7A97">
            <w:pPr>
              <w:autoSpaceDE w:val="0"/>
              <w:autoSpaceDN w:val="0"/>
              <w:rPr>
                <w:rFonts w:ascii="Times New Roman" w:eastAsia="宋体" w:hAnsi="Times New Roman" w:cs="Times New Roman"/>
                <w:bCs/>
                <w:kern w:val="0"/>
                <w:szCs w:val="21"/>
                <w:lang w:bidi="ar"/>
              </w:rPr>
            </w:pPr>
            <w:r w:rsidRPr="00E756FC">
              <w:rPr>
                <w:rFonts w:ascii="Times New Roman" w:eastAsia="宋体" w:hAnsi="Times New Roman" w:cs="Times New Roman"/>
                <w:bCs/>
                <w:kern w:val="0"/>
                <w:szCs w:val="21"/>
                <w:lang w:bidi="ar"/>
              </w:rPr>
              <w:t>本项目不属于高耗水、高污染型行业。</w:t>
            </w:r>
          </w:p>
        </w:tc>
        <w:tc>
          <w:tcPr>
            <w:tcW w:w="384" w:type="pct"/>
            <w:tcBorders>
              <w:tl2br w:val="nil"/>
              <w:tr2bl w:val="nil"/>
            </w:tcBorders>
            <w:vAlign w:val="center"/>
          </w:tcPr>
          <w:p w14:paraId="178748EA" w14:textId="77777777" w:rsidR="001A7A97" w:rsidRPr="00E756FC" w:rsidRDefault="001A7A97" w:rsidP="001A7A97">
            <w:pPr>
              <w:autoSpaceDE w:val="0"/>
              <w:autoSpaceDN w:val="0"/>
              <w:jc w:val="center"/>
              <w:rPr>
                <w:rFonts w:ascii="Times New Roman" w:eastAsia="宋体" w:hAnsi="Times New Roman" w:cs="Times New Roman"/>
                <w:bCs/>
                <w:kern w:val="0"/>
                <w:szCs w:val="21"/>
                <w:lang w:bidi="ar"/>
              </w:rPr>
            </w:pPr>
            <w:r w:rsidRPr="00E756FC">
              <w:rPr>
                <w:rFonts w:ascii="Times New Roman" w:eastAsia="宋体" w:hAnsi="Times New Roman" w:cs="Times New Roman"/>
                <w:bCs/>
                <w:kern w:val="0"/>
                <w:szCs w:val="21"/>
                <w:lang w:bidi="ar"/>
              </w:rPr>
              <w:t>符合</w:t>
            </w:r>
          </w:p>
        </w:tc>
      </w:tr>
      <w:tr w:rsidR="00E756FC" w:rsidRPr="00E756FC" w14:paraId="45C83D16" w14:textId="77777777" w:rsidTr="00C41925">
        <w:trPr>
          <w:trHeight w:val="340"/>
          <w:jc w:val="center"/>
        </w:trPr>
        <w:tc>
          <w:tcPr>
            <w:tcW w:w="352" w:type="pct"/>
            <w:vMerge/>
            <w:tcBorders>
              <w:tl2br w:val="nil"/>
              <w:tr2bl w:val="nil"/>
            </w:tcBorders>
            <w:vAlign w:val="center"/>
          </w:tcPr>
          <w:p w14:paraId="284F506A" w14:textId="77777777" w:rsidR="00E756FC" w:rsidRPr="00E756FC" w:rsidRDefault="00E756FC" w:rsidP="00E756FC">
            <w:pPr>
              <w:autoSpaceDE w:val="0"/>
              <w:autoSpaceDN w:val="0"/>
              <w:jc w:val="center"/>
              <w:rPr>
                <w:rFonts w:ascii="Times New Roman" w:eastAsia="宋体" w:hAnsi="Times New Roman" w:cs="Times New Roman"/>
                <w:kern w:val="0"/>
                <w:szCs w:val="21"/>
                <w:lang w:bidi="ar"/>
              </w:rPr>
            </w:pPr>
          </w:p>
        </w:tc>
        <w:tc>
          <w:tcPr>
            <w:tcW w:w="368" w:type="pct"/>
            <w:tcBorders>
              <w:tl2br w:val="nil"/>
              <w:tr2bl w:val="nil"/>
            </w:tcBorders>
            <w:vAlign w:val="center"/>
          </w:tcPr>
          <w:p w14:paraId="05CCADB4" w14:textId="77777777" w:rsidR="00E756FC" w:rsidRPr="00E756FC" w:rsidRDefault="00E756FC" w:rsidP="00E756FC">
            <w:pPr>
              <w:autoSpaceDE w:val="0"/>
              <w:autoSpaceDN w:val="0"/>
              <w:jc w:val="center"/>
              <w:rPr>
                <w:rFonts w:ascii="Times New Roman" w:eastAsia="宋体" w:hAnsi="Times New Roman" w:cs="Times New Roman"/>
                <w:kern w:val="0"/>
                <w:szCs w:val="21"/>
                <w:lang w:bidi="ar"/>
              </w:rPr>
            </w:pPr>
            <w:r w:rsidRPr="00E756FC">
              <w:rPr>
                <w:rFonts w:ascii="Times New Roman" w:eastAsia="宋体" w:hAnsi="Times New Roman" w:cs="Times New Roman"/>
                <w:kern w:val="0"/>
                <w:szCs w:val="21"/>
                <w:lang w:bidi="ar"/>
              </w:rPr>
              <w:t>污染管控</w:t>
            </w:r>
          </w:p>
        </w:tc>
        <w:tc>
          <w:tcPr>
            <w:tcW w:w="2265" w:type="pct"/>
            <w:tcBorders>
              <w:tl2br w:val="nil"/>
              <w:tr2bl w:val="nil"/>
            </w:tcBorders>
            <w:vAlign w:val="center"/>
          </w:tcPr>
          <w:p w14:paraId="63601D21"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1.</w:t>
            </w:r>
            <w:r w:rsidRPr="00E756FC">
              <w:rPr>
                <w:rFonts w:ascii="Times New Roman" w:eastAsia="宋体" w:hAnsi="Times New Roman" w:cs="Times New Roman"/>
                <w:szCs w:val="21"/>
              </w:rPr>
              <w:t>集中治理工业集聚区内工业废水必须经预处理达到集中处理要求后，方可进入污水集中处理设施。</w:t>
            </w:r>
          </w:p>
          <w:p w14:paraId="74239AA9" w14:textId="22C4E66C" w:rsidR="00E756FC" w:rsidRPr="00E756FC" w:rsidRDefault="00E756FC" w:rsidP="00E756FC">
            <w:pPr>
              <w:autoSpaceDE w:val="0"/>
              <w:autoSpaceDN w:val="0"/>
              <w:rPr>
                <w:rFonts w:ascii="Times New Roman" w:eastAsia="宋体" w:hAnsi="Times New Roman" w:cs="Times New Roman"/>
                <w:bCs/>
                <w:kern w:val="0"/>
                <w:szCs w:val="21"/>
                <w:lang w:bidi="ar"/>
              </w:rPr>
            </w:pPr>
            <w:r w:rsidRPr="00E756FC">
              <w:rPr>
                <w:rFonts w:ascii="Times New Roman" w:eastAsia="宋体" w:hAnsi="Times New Roman" w:cs="Times New Roman"/>
                <w:szCs w:val="21"/>
              </w:rPr>
              <w:t>2.</w:t>
            </w:r>
            <w:r w:rsidRPr="00E756FC">
              <w:rPr>
                <w:rFonts w:ascii="Times New Roman" w:eastAsia="宋体" w:hAnsi="Times New Roman" w:cs="Times New Roman"/>
                <w:szCs w:val="21"/>
              </w:rPr>
              <w:t>加强重点行业源头控制，落实企业排污许可证制度，排污企业应确保稳定达标排放。</w:t>
            </w:r>
          </w:p>
        </w:tc>
        <w:tc>
          <w:tcPr>
            <w:tcW w:w="1630" w:type="pct"/>
            <w:tcBorders>
              <w:tl2br w:val="nil"/>
              <w:tr2bl w:val="nil"/>
            </w:tcBorders>
            <w:vAlign w:val="center"/>
          </w:tcPr>
          <w:p w14:paraId="0509B699" w14:textId="77777777" w:rsidR="00E756FC" w:rsidRPr="00E756FC" w:rsidRDefault="00E756FC" w:rsidP="00E756FC">
            <w:pPr>
              <w:autoSpaceDE w:val="0"/>
              <w:autoSpaceDN w:val="0"/>
              <w:rPr>
                <w:rStyle w:val="1f8"/>
                <w:rFonts w:ascii="Times New Roman" w:eastAsia="宋体" w:hAnsi="Times New Roman" w:cs="Times New Roman"/>
                <w:color w:val="FF0000"/>
              </w:rPr>
            </w:pPr>
            <w:r w:rsidRPr="00E756FC">
              <w:rPr>
                <w:rStyle w:val="1f8"/>
                <w:rFonts w:ascii="Times New Roman" w:eastAsia="宋体" w:hAnsi="Times New Roman" w:cs="Times New Roman"/>
                <w:color w:val="FF0000"/>
              </w:rPr>
              <w:t>1.</w:t>
            </w:r>
            <w:r w:rsidRPr="00E756FC">
              <w:rPr>
                <w:rStyle w:val="1f8"/>
                <w:rFonts w:ascii="Times New Roman" w:eastAsia="宋体" w:hAnsi="Times New Roman" w:cs="Times New Roman"/>
                <w:color w:val="FF0000"/>
              </w:rPr>
              <w:t>项目设有渗滤液处理车间，处理规模为</w:t>
            </w:r>
            <w:r w:rsidRPr="00E756FC">
              <w:rPr>
                <w:rStyle w:val="1f8"/>
                <w:rFonts w:ascii="Times New Roman" w:eastAsia="宋体" w:hAnsi="Times New Roman" w:cs="Times New Roman"/>
                <w:color w:val="FF0000"/>
              </w:rPr>
              <w:t>65t/d</w:t>
            </w:r>
            <w:r w:rsidRPr="00E756FC">
              <w:rPr>
                <w:rStyle w:val="1f8"/>
                <w:rFonts w:ascii="Times New Roman" w:eastAsia="宋体" w:hAnsi="Times New Roman" w:cs="Times New Roman"/>
                <w:color w:val="FF0000"/>
              </w:rPr>
              <w:t>，处理工艺为预处理（预处理</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一体化反应池</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气浮</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斜板沉淀）</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生物处理（</w:t>
            </w:r>
            <w:r w:rsidRPr="00E756FC">
              <w:rPr>
                <w:rStyle w:val="1f8"/>
                <w:rFonts w:ascii="Times New Roman" w:eastAsia="宋体" w:hAnsi="Times New Roman" w:cs="Times New Roman"/>
                <w:color w:val="FF0000"/>
              </w:rPr>
              <w:t>A</w:t>
            </w:r>
            <w:r w:rsidRPr="00E756FC">
              <w:rPr>
                <w:rStyle w:val="1f8"/>
                <w:rFonts w:ascii="Times New Roman" w:eastAsia="宋体" w:hAnsi="Times New Roman" w:cs="Times New Roman"/>
                <w:color w:val="FF0000"/>
                <w:vertAlign w:val="superscript"/>
              </w:rPr>
              <w:t>2</w:t>
            </w:r>
            <w:r w:rsidRPr="00E756FC">
              <w:rPr>
                <w:rStyle w:val="1f8"/>
                <w:rFonts w:ascii="Times New Roman" w:eastAsia="宋体" w:hAnsi="Times New Roman" w:cs="Times New Roman"/>
                <w:color w:val="FF0000"/>
              </w:rPr>
              <w:t>/O-MBR</w:t>
            </w:r>
            <w:r w:rsidRPr="00E756FC">
              <w:rPr>
                <w:rStyle w:val="1f8"/>
                <w:rFonts w:ascii="Times New Roman" w:eastAsia="宋体" w:hAnsi="Times New Roman" w:cs="Times New Roman"/>
                <w:color w:val="FF0000"/>
              </w:rPr>
              <w:t>膜池）</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深度处理（纳滤</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反渗透）。填埋场渗沥液经收集处理后满足《生活垃圾填埋场污染控制标准》（</w:t>
            </w:r>
            <w:r w:rsidRPr="00E756FC">
              <w:rPr>
                <w:rStyle w:val="1f8"/>
                <w:rFonts w:ascii="Times New Roman" w:eastAsia="宋体" w:hAnsi="Times New Roman" w:cs="Times New Roman"/>
                <w:color w:val="FF0000"/>
              </w:rPr>
              <w:t>GB16889-2008</w:t>
            </w:r>
            <w:r w:rsidRPr="00E756FC">
              <w:rPr>
                <w:rStyle w:val="1f8"/>
                <w:rFonts w:ascii="Times New Roman" w:eastAsia="宋体" w:hAnsi="Times New Roman" w:cs="Times New Roman"/>
                <w:color w:val="FF0000"/>
              </w:rPr>
              <w:t>）表</w:t>
            </w:r>
            <w:r w:rsidRPr="00E756FC">
              <w:rPr>
                <w:rStyle w:val="1f8"/>
                <w:rFonts w:ascii="Times New Roman" w:eastAsia="宋体" w:hAnsi="Times New Roman" w:cs="Times New Roman"/>
                <w:color w:val="FF0000"/>
              </w:rPr>
              <w:t>2</w:t>
            </w:r>
            <w:r w:rsidRPr="00E756FC">
              <w:rPr>
                <w:rStyle w:val="1f8"/>
                <w:rFonts w:ascii="Times New Roman" w:eastAsia="宋体" w:hAnsi="Times New Roman" w:cs="Times New Roman"/>
                <w:color w:val="FF0000"/>
              </w:rPr>
              <w:t>标准，同时满足柞水县污水处理厂收水水质标准后，部分用于场内自用，剩余尾水采用槽罐车运输方式，运至柞水县污水处理厂。</w:t>
            </w:r>
          </w:p>
          <w:p w14:paraId="14F14DC4" w14:textId="70526A87" w:rsidR="00E756FC" w:rsidRPr="00E756FC" w:rsidRDefault="00E756FC" w:rsidP="00E756FC">
            <w:pPr>
              <w:pStyle w:val="2"/>
              <w:ind w:firstLineChars="0" w:firstLine="0"/>
              <w:rPr>
                <w:rFonts w:eastAsia="宋体"/>
                <w:sz w:val="21"/>
                <w:szCs w:val="21"/>
              </w:rPr>
            </w:pPr>
            <w:r w:rsidRPr="00E756FC">
              <w:rPr>
                <w:rFonts w:eastAsia="宋体"/>
                <w:sz w:val="21"/>
                <w:szCs w:val="21"/>
              </w:rPr>
              <w:t>2.</w:t>
            </w:r>
            <w:r w:rsidRPr="00E756FC">
              <w:rPr>
                <w:rFonts w:eastAsia="宋体"/>
                <w:sz w:val="21"/>
                <w:szCs w:val="21"/>
              </w:rPr>
              <w:t>本次评价要求，项目建成后应及时办理排污许可手续。</w:t>
            </w:r>
          </w:p>
        </w:tc>
        <w:tc>
          <w:tcPr>
            <w:tcW w:w="384" w:type="pct"/>
            <w:tcBorders>
              <w:tl2br w:val="nil"/>
              <w:tr2bl w:val="nil"/>
            </w:tcBorders>
            <w:vAlign w:val="center"/>
          </w:tcPr>
          <w:p w14:paraId="08412229" w14:textId="77777777" w:rsidR="00E756FC" w:rsidRPr="00E756FC" w:rsidRDefault="00E756FC" w:rsidP="00E756FC">
            <w:pPr>
              <w:autoSpaceDE w:val="0"/>
              <w:autoSpaceDN w:val="0"/>
              <w:jc w:val="center"/>
              <w:rPr>
                <w:rFonts w:ascii="Times New Roman" w:eastAsia="宋体" w:hAnsi="Times New Roman" w:cs="Times New Roman"/>
                <w:bCs/>
                <w:kern w:val="0"/>
                <w:szCs w:val="21"/>
                <w:lang w:bidi="ar"/>
              </w:rPr>
            </w:pPr>
            <w:r w:rsidRPr="00E756FC">
              <w:rPr>
                <w:rFonts w:ascii="Times New Roman" w:eastAsia="宋体" w:hAnsi="Times New Roman" w:cs="Times New Roman"/>
                <w:bCs/>
                <w:kern w:val="0"/>
                <w:szCs w:val="21"/>
                <w:lang w:bidi="ar"/>
              </w:rPr>
              <w:t>符合</w:t>
            </w:r>
          </w:p>
        </w:tc>
      </w:tr>
      <w:tr w:rsidR="00E756FC" w:rsidRPr="00E756FC" w14:paraId="30B1E14C" w14:textId="77777777" w:rsidTr="00C41925">
        <w:trPr>
          <w:trHeight w:val="340"/>
          <w:jc w:val="center"/>
        </w:trPr>
        <w:tc>
          <w:tcPr>
            <w:tcW w:w="352" w:type="pct"/>
            <w:vMerge w:val="restart"/>
            <w:tcBorders>
              <w:tl2br w:val="nil"/>
              <w:tr2bl w:val="nil"/>
            </w:tcBorders>
            <w:vAlign w:val="center"/>
          </w:tcPr>
          <w:p w14:paraId="615E58B3" w14:textId="4B6EEC00" w:rsidR="00E756FC" w:rsidRPr="00E756FC" w:rsidRDefault="00E756FC" w:rsidP="00E756FC">
            <w:pPr>
              <w:autoSpaceDE w:val="0"/>
              <w:autoSpaceDN w:val="0"/>
              <w:jc w:val="center"/>
              <w:rPr>
                <w:rFonts w:ascii="Times New Roman" w:eastAsia="宋体" w:hAnsi="Times New Roman" w:cs="Times New Roman"/>
                <w:kern w:val="0"/>
                <w:szCs w:val="21"/>
                <w:lang w:bidi="ar"/>
              </w:rPr>
            </w:pPr>
            <w:r w:rsidRPr="00E756FC">
              <w:rPr>
                <w:rFonts w:ascii="Times New Roman" w:eastAsia="宋体" w:hAnsi="Times New Roman" w:cs="Times New Roman"/>
                <w:szCs w:val="21"/>
              </w:rPr>
              <w:t>商洛市柞水县县域工业集中区</w:t>
            </w:r>
            <w:r w:rsidRPr="00E756FC">
              <w:rPr>
                <w:rFonts w:ascii="Times New Roman" w:eastAsia="宋体" w:hAnsi="Times New Roman" w:cs="Times New Roman"/>
                <w:szCs w:val="21"/>
              </w:rPr>
              <w:t>-</w:t>
            </w:r>
            <w:r w:rsidRPr="00E756FC">
              <w:rPr>
                <w:rFonts w:ascii="Times New Roman" w:eastAsia="宋体" w:hAnsi="Times New Roman" w:cs="Times New Roman"/>
                <w:szCs w:val="21"/>
              </w:rPr>
              <w:t>土地资源重点管控区</w:t>
            </w:r>
          </w:p>
        </w:tc>
        <w:tc>
          <w:tcPr>
            <w:tcW w:w="368" w:type="pct"/>
            <w:tcBorders>
              <w:tl2br w:val="nil"/>
              <w:tr2bl w:val="nil"/>
            </w:tcBorders>
            <w:vAlign w:val="center"/>
          </w:tcPr>
          <w:p w14:paraId="7B7DABD5" w14:textId="601F93BE" w:rsidR="00E756FC" w:rsidRPr="00E756FC" w:rsidRDefault="00E756FC" w:rsidP="00E756FC">
            <w:pPr>
              <w:autoSpaceDE w:val="0"/>
              <w:autoSpaceDN w:val="0"/>
              <w:jc w:val="center"/>
              <w:rPr>
                <w:rFonts w:ascii="Times New Roman" w:eastAsia="宋体" w:hAnsi="Times New Roman" w:cs="Times New Roman"/>
                <w:kern w:val="0"/>
                <w:szCs w:val="21"/>
                <w:lang w:bidi="ar"/>
              </w:rPr>
            </w:pPr>
            <w:r w:rsidRPr="00E756FC">
              <w:rPr>
                <w:rFonts w:ascii="Times New Roman" w:eastAsia="宋体" w:hAnsi="Times New Roman" w:cs="Times New Roman"/>
                <w:szCs w:val="21"/>
              </w:rPr>
              <w:t>空间布局约束</w:t>
            </w:r>
          </w:p>
        </w:tc>
        <w:tc>
          <w:tcPr>
            <w:tcW w:w="2265" w:type="pct"/>
            <w:tcBorders>
              <w:tl2br w:val="nil"/>
              <w:tr2bl w:val="nil"/>
            </w:tcBorders>
            <w:vAlign w:val="center"/>
          </w:tcPr>
          <w:p w14:paraId="1BEA96C4"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1.</w:t>
            </w:r>
            <w:r w:rsidRPr="00E756FC">
              <w:rPr>
                <w:rFonts w:ascii="Times New Roman" w:eastAsia="宋体" w:hAnsi="Times New Roman" w:cs="Times New Roman"/>
                <w:szCs w:val="21"/>
              </w:rPr>
              <w:t>对于存在未依法开展规划环境影响评价，或环境风险隐患突出且未完成限期整改，或未按期完成污染物排放总量控制计划的工业园区，暂停受理除污染治理、生态恢复建设和循环经济类以外的入园建设项目环境影响评价文件。</w:t>
            </w:r>
          </w:p>
          <w:p w14:paraId="11A6A18A"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2.</w:t>
            </w:r>
            <w:r w:rsidRPr="00E756FC">
              <w:rPr>
                <w:rFonts w:ascii="Times New Roman" w:eastAsia="宋体" w:hAnsi="Times New Roman" w:cs="Times New Roman"/>
                <w:szCs w:val="21"/>
              </w:rPr>
              <w:t>新、改、扩建钢铁、石化、化工、焦化、建材、有色等项目的环境影响评价，应满足区域、规划环评要求。</w:t>
            </w:r>
          </w:p>
          <w:p w14:paraId="408FF7C9"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3.</w:t>
            </w:r>
            <w:r w:rsidRPr="00E756FC">
              <w:rPr>
                <w:rFonts w:ascii="Times New Roman" w:eastAsia="宋体" w:hAnsi="Times New Roman" w:cs="Times New Roman"/>
                <w:szCs w:val="21"/>
              </w:rPr>
              <w:t>禁止引进国家现行产业政策明令禁止或淘汰的产业及工艺。</w:t>
            </w:r>
          </w:p>
          <w:p w14:paraId="6E21ACE3"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4.</w:t>
            </w:r>
            <w:r w:rsidRPr="00E756FC">
              <w:rPr>
                <w:rFonts w:ascii="Times New Roman" w:eastAsia="宋体" w:hAnsi="Times New Roman" w:cs="Times New Roman"/>
                <w:szCs w:val="21"/>
              </w:rPr>
              <w:t>工业项目原则上布局在工业聚集区内，并符合国土空间规划。</w:t>
            </w:r>
          </w:p>
          <w:p w14:paraId="1F35FE4C" w14:textId="1CF27CA0"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5.</w:t>
            </w:r>
            <w:r w:rsidRPr="00E756FC">
              <w:rPr>
                <w:rFonts w:ascii="Times New Roman" w:eastAsia="宋体" w:hAnsi="Times New Roman" w:cs="Times New Roman"/>
                <w:szCs w:val="21"/>
              </w:rPr>
              <w:t>新建化工项目须进入合规设立的化工园区。</w:t>
            </w:r>
          </w:p>
        </w:tc>
        <w:tc>
          <w:tcPr>
            <w:tcW w:w="1630" w:type="pct"/>
            <w:tcBorders>
              <w:tl2br w:val="nil"/>
              <w:tr2bl w:val="nil"/>
            </w:tcBorders>
            <w:vAlign w:val="center"/>
          </w:tcPr>
          <w:p w14:paraId="787AB900" w14:textId="77777777" w:rsidR="00E756FC" w:rsidRPr="00E756FC" w:rsidRDefault="00E756FC" w:rsidP="00E756FC">
            <w:pPr>
              <w:autoSpaceDE w:val="0"/>
              <w:autoSpaceDN w:val="0"/>
              <w:rPr>
                <w:rStyle w:val="1f8"/>
                <w:rFonts w:ascii="Times New Roman" w:eastAsia="宋体" w:hAnsi="Times New Roman" w:cs="Times New Roman"/>
                <w:color w:val="FF0000"/>
              </w:rPr>
            </w:pPr>
            <w:r w:rsidRPr="00E756FC">
              <w:rPr>
                <w:rStyle w:val="1f8"/>
                <w:rFonts w:ascii="Times New Roman" w:eastAsia="宋体" w:hAnsi="Times New Roman" w:cs="Times New Roman"/>
                <w:color w:val="FF0000"/>
              </w:rPr>
              <w:t>1.</w:t>
            </w:r>
            <w:r w:rsidRPr="00E756FC">
              <w:rPr>
                <w:rStyle w:val="1f8"/>
                <w:rFonts w:ascii="Times New Roman" w:eastAsia="宋体" w:hAnsi="Times New Roman" w:cs="Times New Roman"/>
                <w:color w:val="FF0000"/>
              </w:rPr>
              <w:t>本项目不在工业园区内。</w:t>
            </w:r>
          </w:p>
          <w:p w14:paraId="1649E230" w14:textId="77777777" w:rsidR="00E756FC" w:rsidRPr="00E756FC" w:rsidRDefault="00E756FC" w:rsidP="00E756FC">
            <w:pPr>
              <w:pStyle w:val="2"/>
              <w:ind w:firstLineChars="0" w:firstLine="0"/>
              <w:rPr>
                <w:rFonts w:eastAsia="宋体"/>
                <w:sz w:val="21"/>
                <w:szCs w:val="21"/>
              </w:rPr>
            </w:pPr>
            <w:r w:rsidRPr="00E756FC">
              <w:rPr>
                <w:rFonts w:eastAsia="宋体"/>
                <w:sz w:val="21"/>
                <w:szCs w:val="21"/>
              </w:rPr>
              <w:t>2.</w:t>
            </w:r>
            <w:r w:rsidRPr="00E756FC">
              <w:rPr>
                <w:rFonts w:eastAsia="宋体"/>
                <w:sz w:val="21"/>
                <w:szCs w:val="21"/>
              </w:rPr>
              <w:t>项目不属于钢铁、石化、化工、焦化、建材、有色等行业。</w:t>
            </w:r>
          </w:p>
          <w:p w14:paraId="38A56C75"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3.</w:t>
            </w:r>
            <w:r w:rsidRPr="00E756FC">
              <w:rPr>
                <w:rFonts w:ascii="Times New Roman" w:eastAsia="宋体" w:hAnsi="Times New Roman" w:cs="Times New Roman"/>
                <w:szCs w:val="21"/>
              </w:rPr>
              <w:t>本项目未引进国家现行产业政策明令禁止或淘汰的产业及工艺。</w:t>
            </w:r>
          </w:p>
          <w:p w14:paraId="3185263B" w14:textId="77777777" w:rsidR="00E756FC" w:rsidRPr="00E756FC" w:rsidRDefault="00E756FC" w:rsidP="00E756FC">
            <w:pPr>
              <w:pStyle w:val="2"/>
              <w:ind w:firstLineChars="0" w:firstLine="0"/>
              <w:rPr>
                <w:rFonts w:eastAsia="宋体"/>
                <w:sz w:val="21"/>
                <w:szCs w:val="21"/>
              </w:rPr>
            </w:pPr>
            <w:r w:rsidRPr="00747ECF">
              <w:rPr>
                <w:rFonts w:eastAsia="宋体"/>
                <w:sz w:val="21"/>
                <w:szCs w:val="21"/>
              </w:rPr>
              <w:t>4.</w:t>
            </w:r>
            <w:r w:rsidRPr="00747ECF">
              <w:rPr>
                <w:rFonts w:eastAsia="宋体"/>
                <w:sz w:val="21"/>
                <w:szCs w:val="21"/>
              </w:rPr>
              <w:t>本项目符合国土空间规划。</w:t>
            </w:r>
          </w:p>
          <w:p w14:paraId="75695D15" w14:textId="4D0EBB2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5.</w:t>
            </w:r>
            <w:r w:rsidRPr="00E756FC">
              <w:rPr>
                <w:rFonts w:ascii="Times New Roman" w:eastAsia="宋体" w:hAnsi="Times New Roman" w:cs="Times New Roman"/>
                <w:szCs w:val="21"/>
              </w:rPr>
              <w:t>本项目不属于化工项目。</w:t>
            </w:r>
          </w:p>
        </w:tc>
        <w:tc>
          <w:tcPr>
            <w:tcW w:w="384" w:type="pct"/>
            <w:tcBorders>
              <w:tl2br w:val="nil"/>
              <w:tr2bl w:val="nil"/>
            </w:tcBorders>
            <w:vAlign w:val="center"/>
          </w:tcPr>
          <w:p w14:paraId="6624E6A9" w14:textId="6B6227F3" w:rsidR="00E756FC" w:rsidRPr="00E756FC" w:rsidRDefault="00E756FC" w:rsidP="00E756FC">
            <w:pPr>
              <w:autoSpaceDE w:val="0"/>
              <w:autoSpaceDN w:val="0"/>
              <w:jc w:val="center"/>
              <w:rPr>
                <w:rFonts w:ascii="Times New Roman" w:eastAsia="宋体" w:hAnsi="Times New Roman" w:cs="Times New Roman"/>
                <w:bCs/>
                <w:kern w:val="0"/>
                <w:szCs w:val="21"/>
                <w:lang w:bidi="ar"/>
              </w:rPr>
            </w:pPr>
            <w:r w:rsidRPr="00D52BAF">
              <w:rPr>
                <w:rFonts w:ascii="Times New Roman" w:eastAsia="宋体" w:hAnsi="Times New Roman" w:cs="Times New Roman"/>
                <w:bCs/>
                <w:kern w:val="0"/>
                <w:szCs w:val="21"/>
                <w:lang w:bidi="ar"/>
              </w:rPr>
              <w:t>符合</w:t>
            </w:r>
          </w:p>
        </w:tc>
      </w:tr>
      <w:tr w:rsidR="00E756FC" w:rsidRPr="00E756FC" w14:paraId="172CD6B2" w14:textId="77777777" w:rsidTr="00C41925">
        <w:trPr>
          <w:trHeight w:val="340"/>
          <w:jc w:val="center"/>
        </w:trPr>
        <w:tc>
          <w:tcPr>
            <w:tcW w:w="352" w:type="pct"/>
            <w:vMerge/>
            <w:tcBorders>
              <w:tl2br w:val="nil"/>
              <w:tr2bl w:val="nil"/>
            </w:tcBorders>
            <w:vAlign w:val="center"/>
          </w:tcPr>
          <w:p w14:paraId="1FE59138" w14:textId="77777777" w:rsidR="00E756FC" w:rsidRPr="00E756FC" w:rsidRDefault="00E756FC" w:rsidP="00E756FC">
            <w:pPr>
              <w:autoSpaceDE w:val="0"/>
              <w:autoSpaceDN w:val="0"/>
              <w:jc w:val="center"/>
              <w:rPr>
                <w:rFonts w:ascii="Times New Roman" w:eastAsia="宋体" w:hAnsi="Times New Roman" w:cs="Times New Roman"/>
                <w:szCs w:val="21"/>
              </w:rPr>
            </w:pPr>
          </w:p>
        </w:tc>
        <w:tc>
          <w:tcPr>
            <w:tcW w:w="368" w:type="pct"/>
            <w:tcBorders>
              <w:tl2br w:val="nil"/>
              <w:tr2bl w:val="nil"/>
            </w:tcBorders>
            <w:vAlign w:val="center"/>
          </w:tcPr>
          <w:p w14:paraId="4500D96D" w14:textId="1F2D9777" w:rsidR="00E756FC" w:rsidRPr="00E756FC" w:rsidRDefault="00E756FC" w:rsidP="00E756FC">
            <w:pPr>
              <w:autoSpaceDE w:val="0"/>
              <w:autoSpaceDN w:val="0"/>
              <w:jc w:val="center"/>
              <w:rPr>
                <w:rFonts w:ascii="Times New Roman" w:eastAsia="宋体" w:hAnsi="Times New Roman" w:cs="Times New Roman"/>
                <w:szCs w:val="21"/>
              </w:rPr>
            </w:pPr>
            <w:r w:rsidRPr="00E756FC">
              <w:rPr>
                <w:rFonts w:ascii="Times New Roman" w:eastAsia="宋体" w:hAnsi="Times New Roman" w:cs="Times New Roman"/>
                <w:szCs w:val="21"/>
              </w:rPr>
              <w:t>污染物排</w:t>
            </w:r>
            <w:r w:rsidRPr="00E756FC">
              <w:rPr>
                <w:rFonts w:ascii="Times New Roman" w:eastAsia="宋体" w:hAnsi="Times New Roman" w:cs="Times New Roman"/>
                <w:szCs w:val="21"/>
              </w:rPr>
              <w:lastRenderedPageBreak/>
              <w:t>放管控</w:t>
            </w:r>
          </w:p>
        </w:tc>
        <w:tc>
          <w:tcPr>
            <w:tcW w:w="2265" w:type="pct"/>
            <w:tcBorders>
              <w:tl2br w:val="nil"/>
              <w:tr2bl w:val="nil"/>
            </w:tcBorders>
            <w:vAlign w:val="center"/>
          </w:tcPr>
          <w:p w14:paraId="14EFE6AC"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lastRenderedPageBreak/>
              <w:t>1.</w:t>
            </w:r>
            <w:r w:rsidRPr="00E756FC">
              <w:rPr>
                <w:rFonts w:ascii="Times New Roman" w:eastAsia="宋体" w:hAnsi="Times New Roman" w:cs="Times New Roman"/>
                <w:szCs w:val="21"/>
              </w:rPr>
              <w:t>应按规定建设污水集中处理设施，并安装自动在线监控装置。</w:t>
            </w:r>
          </w:p>
          <w:p w14:paraId="5271216F"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lastRenderedPageBreak/>
              <w:t>2.</w:t>
            </w:r>
            <w:r w:rsidRPr="00E756FC">
              <w:rPr>
                <w:rFonts w:ascii="Times New Roman" w:eastAsia="宋体" w:hAnsi="Times New Roman" w:cs="Times New Roman"/>
                <w:szCs w:val="21"/>
              </w:rPr>
              <w:t>严格控制新增燃煤项目建设（涉及民生保障的项目除外）。</w:t>
            </w:r>
          </w:p>
          <w:p w14:paraId="4CA1FA65" w14:textId="591C8E11"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3.</w:t>
            </w:r>
            <w:r w:rsidRPr="00E756FC">
              <w:rPr>
                <w:rFonts w:ascii="Times New Roman" w:eastAsia="宋体" w:hAnsi="Times New Roman" w:cs="Times New Roman"/>
                <w:szCs w:val="21"/>
              </w:rPr>
              <w:t>支持企业开展能效提升、清洁生产、工业节水等绿色化升级改造，实施重点行业和企业循环化改造，推动资源循环再生利用，降低能源消耗和污染物排放量。</w:t>
            </w:r>
          </w:p>
        </w:tc>
        <w:tc>
          <w:tcPr>
            <w:tcW w:w="1630" w:type="pct"/>
            <w:tcBorders>
              <w:tl2br w:val="nil"/>
              <w:tr2bl w:val="nil"/>
            </w:tcBorders>
            <w:vAlign w:val="center"/>
          </w:tcPr>
          <w:p w14:paraId="669100DE" w14:textId="77777777" w:rsidR="00E756FC" w:rsidRPr="00E756FC" w:rsidRDefault="00E756FC" w:rsidP="00E756FC">
            <w:pPr>
              <w:autoSpaceDE w:val="0"/>
              <w:autoSpaceDN w:val="0"/>
              <w:rPr>
                <w:rStyle w:val="1f8"/>
                <w:rFonts w:ascii="Times New Roman" w:eastAsia="宋体" w:hAnsi="Times New Roman" w:cs="Times New Roman"/>
                <w:color w:val="FF0000"/>
              </w:rPr>
            </w:pPr>
            <w:r w:rsidRPr="00E756FC">
              <w:rPr>
                <w:rStyle w:val="1f8"/>
                <w:rFonts w:ascii="Times New Roman" w:eastAsia="宋体" w:hAnsi="Times New Roman" w:cs="Times New Roman"/>
                <w:color w:val="FF0000"/>
              </w:rPr>
              <w:lastRenderedPageBreak/>
              <w:t>1.</w:t>
            </w:r>
            <w:r w:rsidRPr="00E756FC">
              <w:rPr>
                <w:rStyle w:val="1f8"/>
                <w:rFonts w:ascii="Times New Roman" w:eastAsia="宋体" w:hAnsi="Times New Roman" w:cs="Times New Roman"/>
                <w:color w:val="FF0000"/>
              </w:rPr>
              <w:t>项目设有渗滤液处理车间，处理规模为</w:t>
            </w:r>
            <w:r w:rsidRPr="00E756FC">
              <w:rPr>
                <w:rStyle w:val="1f8"/>
                <w:rFonts w:ascii="Times New Roman" w:eastAsia="宋体" w:hAnsi="Times New Roman" w:cs="Times New Roman"/>
                <w:color w:val="FF0000"/>
              </w:rPr>
              <w:t>65t/d</w:t>
            </w:r>
            <w:r w:rsidRPr="00E756FC">
              <w:rPr>
                <w:rStyle w:val="1f8"/>
                <w:rFonts w:ascii="Times New Roman" w:eastAsia="宋体" w:hAnsi="Times New Roman" w:cs="Times New Roman"/>
                <w:color w:val="FF0000"/>
              </w:rPr>
              <w:t>，处理工艺为预处</w:t>
            </w:r>
            <w:r w:rsidRPr="00E756FC">
              <w:rPr>
                <w:rStyle w:val="1f8"/>
                <w:rFonts w:ascii="Times New Roman" w:eastAsia="宋体" w:hAnsi="Times New Roman" w:cs="Times New Roman"/>
                <w:color w:val="FF0000"/>
              </w:rPr>
              <w:lastRenderedPageBreak/>
              <w:t>理（预处理</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一体化反应池</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气浮</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斜板沉淀）</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生物处理（</w:t>
            </w:r>
            <w:r w:rsidRPr="00E756FC">
              <w:rPr>
                <w:rStyle w:val="1f8"/>
                <w:rFonts w:ascii="Times New Roman" w:eastAsia="宋体" w:hAnsi="Times New Roman" w:cs="Times New Roman"/>
                <w:color w:val="FF0000"/>
              </w:rPr>
              <w:t>A</w:t>
            </w:r>
            <w:r w:rsidRPr="00E756FC">
              <w:rPr>
                <w:rStyle w:val="1f8"/>
                <w:rFonts w:ascii="Times New Roman" w:eastAsia="宋体" w:hAnsi="Times New Roman" w:cs="Times New Roman"/>
                <w:color w:val="FF0000"/>
                <w:vertAlign w:val="superscript"/>
              </w:rPr>
              <w:t>2</w:t>
            </w:r>
            <w:r w:rsidRPr="00E756FC">
              <w:rPr>
                <w:rStyle w:val="1f8"/>
                <w:rFonts w:ascii="Times New Roman" w:eastAsia="宋体" w:hAnsi="Times New Roman" w:cs="Times New Roman"/>
                <w:color w:val="FF0000"/>
              </w:rPr>
              <w:t>/O-MBR</w:t>
            </w:r>
            <w:r w:rsidRPr="00E756FC">
              <w:rPr>
                <w:rStyle w:val="1f8"/>
                <w:rFonts w:ascii="Times New Roman" w:eastAsia="宋体" w:hAnsi="Times New Roman" w:cs="Times New Roman"/>
                <w:color w:val="FF0000"/>
              </w:rPr>
              <w:t>膜池）</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深度处理（纳滤</w:t>
            </w:r>
            <w:r w:rsidRPr="00E756FC">
              <w:rPr>
                <w:rStyle w:val="1f8"/>
                <w:rFonts w:ascii="Times New Roman" w:eastAsia="宋体" w:hAnsi="Times New Roman" w:cs="Times New Roman"/>
                <w:color w:val="FF0000"/>
              </w:rPr>
              <w:t>-</w:t>
            </w:r>
            <w:r w:rsidRPr="00E756FC">
              <w:rPr>
                <w:rStyle w:val="1f8"/>
                <w:rFonts w:ascii="Times New Roman" w:eastAsia="宋体" w:hAnsi="Times New Roman" w:cs="Times New Roman"/>
                <w:color w:val="FF0000"/>
              </w:rPr>
              <w:t>反渗透）。项目在渗滤液处理车间排放口设有自动在线监控装置。</w:t>
            </w:r>
          </w:p>
          <w:p w14:paraId="6A360327" w14:textId="77777777" w:rsidR="00E756FC" w:rsidRPr="00E756FC" w:rsidRDefault="00E756FC" w:rsidP="00E756FC">
            <w:pPr>
              <w:pStyle w:val="2"/>
              <w:ind w:firstLineChars="0" w:firstLine="0"/>
              <w:rPr>
                <w:rFonts w:eastAsia="宋体"/>
                <w:sz w:val="21"/>
                <w:szCs w:val="21"/>
              </w:rPr>
            </w:pPr>
            <w:r w:rsidRPr="00E756FC">
              <w:rPr>
                <w:rFonts w:eastAsia="宋体"/>
                <w:sz w:val="21"/>
                <w:szCs w:val="21"/>
              </w:rPr>
              <w:t>2.</w:t>
            </w:r>
            <w:r w:rsidRPr="00E756FC">
              <w:rPr>
                <w:rFonts w:eastAsia="宋体"/>
                <w:sz w:val="21"/>
                <w:szCs w:val="21"/>
              </w:rPr>
              <w:t>项目不涉及燃煤。</w:t>
            </w:r>
          </w:p>
          <w:p w14:paraId="7D0FDFB0" w14:textId="5B8D5CCF"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3.</w:t>
            </w:r>
            <w:r w:rsidRPr="00E756FC">
              <w:rPr>
                <w:rFonts w:ascii="Times New Roman" w:eastAsia="宋体" w:hAnsi="Times New Roman" w:cs="Times New Roman"/>
                <w:szCs w:val="21"/>
              </w:rPr>
              <w:t>本项目为柞水县固体废物综合处置场项目，属于环保项目，项目各类污染物经相应措施处理后均可达标排放，对周围环境影响较小。</w:t>
            </w:r>
          </w:p>
        </w:tc>
        <w:tc>
          <w:tcPr>
            <w:tcW w:w="384" w:type="pct"/>
            <w:tcBorders>
              <w:tl2br w:val="nil"/>
              <w:tr2bl w:val="nil"/>
            </w:tcBorders>
            <w:vAlign w:val="center"/>
          </w:tcPr>
          <w:p w14:paraId="65054B76" w14:textId="2FA39422" w:rsidR="00E756FC" w:rsidRPr="00E756FC" w:rsidRDefault="00E756FC" w:rsidP="00E756FC">
            <w:pPr>
              <w:autoSpaceDE w:val="0"/>
              <w:autoSpaceDN w:val="0"/>
              <w:jc w:val="center"/>
              <w:rPr>
                <w:rFonts w:ascii="Times New Roman" w:eastAsia="宋体" w:hAnsi="Times New Roman" w:cs="Times New Roman"/>
                <w:bCs/>
                <w:kern w:val="0"/>
                <w:szCs w:val="21"/>
                <w:lang w:bidi="ar"/>
              </w:rPr>
            </w:pPr>
            <w:r w:rsidRPr="00D52BAF">
              <w:rPr>
                <w:rFonts w:ascii="Times New Roman" w:eastAsia="宋体" w:hAnsi="Times New Roman" w:cs="Times New Roman"/>
                <w:bCs/>
                <w:kern w:val="0"/>
                <w:szCs w:val="21"/>
                <w:lang w:bidi="ar"/>
              </w:rPr>
              <w:lastRenderedPageBreak/>
              <w:t>符合</w:t>
            </w:r>
          </w:p>
        </w:tc>
      </w:tr>
      <w:tr w:rsidR="00E756FC" w:rsidRPr="00E756FC" w14:paraId="60E2929F" w14:textId="77777777" w:rsidTr="00C41925">
        <w:trPr>
          <w:trHeight w:val="340"/>
          <w:jc w:val="center"/>
        </w:trPr>
        <w:tc>
          <w:tcPr>
            <w:tcW w:w="352" w:type="pct"/>
            <w:vMerge/>
            <w:tcBorders>
              <w:tl2br w:val="nil"/>
              <w:tr2bl w:val="nil"/>
            </w:tcBorders>
            <w:vAlign w:val="center"/>
          </w:tcPr>
          <w:p w14:paraId="7D7746B2" w14:textId="77777777" w:rsidR="00E756FC" w:rsidRPr="00E756FC" w:rsidRDefault="00E756FC" w:rsidP="00E756FC">
            <w:pPr>
              <w:autoSpaceDE w:val="0"/>
              <w:autoSpaceDN w:val="0"/>
              <w:jc w:val="center"/>
              <w:rPr>
                <w:rFonts w:ascii="Times New Roman" w:eastAsia="宋体" w:hAnsi="Times New Roman" w:cs="Times New Roman"/>
                <w:szCs w:val="21"/>
              </w:rPr>
            </w:pPr>
          </w:p>
        </w:tc>
        <w:tc>
          <w:tcPr>
            <w:tcW w:w="368" w:type="pct"/>
            <w:tcBorders>
              <w:tl2br w:val="nil"/>
              <w:tr2bl w:val="nil"/>
            </w:tcBorders>
            <w:vAlign w:val="center"/>
          </w:tcPr>
          <w:p w14:paraId="63E014DF" w14:textId="732BB8FC" w:rsidR="00E756FC" w:rsidRPr="00E756FC" w:rsidRDefault="00E756FC" w:rsidP="00E756FC">
            <w:pPr>
              <w:autoSpaceDE w:val="0"/>
              <w:autoSpaceDN w:val="0"/>
              <w:jc w:val="center"/>
              <w:rPr>
                <w:rFonts w:ascii="Times New Roman" w:eastAsia="宋体" w:hAnsi="Times New Roman" w:cs="Times New Roman"/>
                <w:szCs w:val="21"/>
              </w:rPr>
            </w:pPr>
            <w:r w:rsidRPr="00E756FC">
              <w:rPr>
                <w:rFonts w:ascii="Times New Roman" w:eastAsia="宋体" w:hAnsi="Times New Roman" w:cs="Times New Roman"/>
                <w:szCs w:val="21"/>
              </w:rPr>
              <w:t>环境风险防控</w:t>
            </w:r>
          </w:p>
        </w:tc>
        <w:tc>
          <w:tcPr>
            <w:tcW w:w="2265" w:type="pct"/>
            <w:tcBorders>
              <w:tl2br w:val="nil"/>
              <w:tr2bl w:val="nil"/>
            </w:tcBorders>
            <w:vAlign w:val="center"/>
          </w:tcPr>
          <w:p w14:paraId="268D92BE" w14:textId="3392A469"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1.</w:t>
            </w:r>
            <w:r w:rsidRPr="00E756FC">
              <w:rPr>
                <w:rFonts w:ascii="Times New Roman" w:eastAsia="宋体" w:hAnsi="Times New Roman" w:cs="Times New Roman"/>
                <w:szCs w:val="21"/>
              </w:rPr>
              <w:t>园区及园区内企业应制定突发环境事件应急预案，加强环境应急预案管理和风险预警。</w:t>
            </w:r>
          </w:p>
        </w:tc>
        <w:tc>
          <w:tcPr>
            <w:tcW w:w="1630" w:type="pct"/>
            <w:tcBorders>
              <w:tl2br w:val="nil"/>
              <w:tr2bl w:val="nil"/>
            </w:tcBorders>
            <w:vAlign w:val="center"/>
          </w:tcPr>
          <w:p w14:paraId="204353CC" w14:textId="58EB5578" w:rsidR="00E756FC" w:rsidRPr="00E756FC" w:rsidRDefault="00E756FC" w:rsidP="00E756FC">
            <w:pPr>
              <w:autoSpaceDE w:val="0"/>
              <w:autoSpaceDN w:val="0"/>
              <w:rPr>
                <w:rStyle w:val="1f8"/>
                <w:rFonts w:ascii="Times New Roman" w:eastAsia="宋体" w:hAnsi="Times New Roman" w:cs="Times New Roman"/>
                <w:color w:val="FF0000"/>
              </w:rPr>
            </w:pPr>
            <w:r w:rsidRPr="00E756FC">
              <w:rPr>
                <w:rStyle w:val="1f8"/>
                <w:rFonts w:ascii="Times New Roman" w:eastAsia="宋体" w:hAnsi="Times New Roman" w:cs="Times New Roman"/>
                <w:color w:val="FF0000"/>
              </w:rPr>
              <w:t>评价要求建设单位编制</w:t>
            </w:r>
            <w:r w:rsidRPr="00E756FC">
              <w:rPr>
                <w:rFonts w:ascii="Times New Roman" w:eastAsia="宋体" w:hAnsi="Times New Roman" w:cs="Times New Roman"/>
                <w:szCs w:val="21"/>
              </w:rPr>
              <w:t>突发环境事件应急预案。</w:t>
            </w:r>
          </w:p>
        </w:tc>
        <w:tc>
          <w:tcPr>
            <w:tcW w:w="384" w:type="pct"/>
            <w:tcBorders>
              <w:tl2br w:val="nil"/>
              <w:tr2bl w:val="nil"/>
            </w:tcBorders>
            <w:vAlign w:val="center"/>
          </w:tcPr>
          <w:p w14:paraId="51F28B9B" w14:textId="3176A3C2" w:rsidR="00E756FC" w:rsidRPr="00E756FC" w:rsidRDefault="00E756FC" w:rsidP="00E756FC">
            <w:pPr>
              <w:autoSpaceDE w:val="0"/>
              <w:autoSpaceDN w:val="0"/>
              <w:jc w:val="center"/>
              <w:rPr>
                <w:rFonts w:ascii="Times New Roman" w:eastAsia="宋体" w:hAnsi="Times New Roman" w:cs="Times New Roman"/>
                <w:bCs/>
                <w:kern w:val="0"/>
                <w:szCs w:val="21"/>
                <w:lang w:bidi="ar"/>
              </w:rPr>
            </w:pPr>
            <w:r w:rsidRPr="00D52BAF">
              <w:rPr>
                <w:rFonts w:ascii="Times New Roman" w:eastAsia="宋体" w:hAnsi="Times New Roman" w:cs="Times New Roman"/>
                <w:bCs/>
                <w:kern w:val="0"/>
                <w:szCs w:val="21"/>
                <w:lang w:bidi="ar"/>
              </w:rPr>
              <w:t>符合</w:t>
            </w:r>
          </w:p>
        </w:tc>
      </w:tr>
      <w:tr w:rsidR="00E756FC" w:rsidRPr="00E756FC" w14:paraId="34713FD5" w14:textId="77777777" w:rsidTr="00C41925">
        <w:trPr>
          <w:trHeight w:val="340"/>
          <w:jc w:val="center"/>
        </w:trPr>
        <w:tc>
          <w:tcPr>
            <w:tcW w:w="352" w:type="pct"/>
            <w:vMerge/>
            <w:tcBorders>
              <w:tl2br w:val="nil"/>
              <w:tr2bl w:val="nil"/>
            </w:tcBorders>
            <w:vAlign w:val="center"/>
          </w:tcPr>
          <w:p w14:paraId="1D5B9AA4" w14:textId="77777777" w:rsidR="00E756FC" w:rsidRPr="00E756FC" w:rsidRDefault="00E756FC" w:rsidP="00E756FC">
            <w:pPr>
              <w:autoSpaceDE w:val="0"/>
              <w:autoSpaceDN w:val="0"/>
              <w:jc w:val="center"/>
              <w:rPr>
                <w:rFonts w:ascii="Times New Roman" w:eastAsia="宋体" w:hAnsi="Times New Roman" w:cs="Times New Roman"/>
                <w:szCs w:val="21"/>
              </w:rPr>
            </w:pPr>
          </w:p>
        </w:tc>
        <w:tc>
          <w:tcPr>
            <w:tcW w:w="368" w:type="pct"/>
            <w:tcBorders>
              <w:tl2br w:val="nil"/>
              <w:tr2bl w:val="nil"/>
            </w:tcBorders>
            <w:vAlign w:val="center"/>
          </w:tcPr>
          <w:p w14:paraId="5E4834EE" w14:textId="0AC73363" w:rsidR="00E756FC" w:rsidRPr="00E756FC" w:rsidRDefault="00E756FC" w:rsidP="00E756FC">
            <w:pPr>
              <w:autoSpaceDE w:val="0"/>
              <w:autoSpaceDN w:val="0"/>
              <w:jc w:val="center"/>
              <w:rPr>
                <w:rFonts w:ascii="Times New Roman" w:eastAsia="宋体" w:hAnsi="Times New Roman" w:cs="Times New Roman"/>
                <w:szCs w:val="21"/>
              </w:rPr>
            </w:pPr>
            <w:r w:rsidRPr="00E756FC">
              <w:rPr>
                <w:rFonts w:ascii="Times New Roman" w:eastAsia="宋体" w:hAnsi="Times New Roman" w:cs="Times New Roman"/>
                <w:szCs w:val="21"/>
              </w:rPr>
              <w:t>资源利用效率要求</w:t>
            </w:r>
          </w:p>
        </w:tc>
        <w:tc>
          <w:tcPr>
            <w:tcW w:w="2265" w:type="pct"/>
            <w:tcBorders>
              <w:tl2br w:val="nil"/>
              <w:tr2bl w:val="nil"/>
            </w:tcBorders>
            <w:vAlign w:val="center"/>
          </w:tcPr>
          <w:p w14:paraId="051874E0" w14:textId="77777777"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1.</w:t>
            </w:r>
            <w:r w:rsidRPr="00E756FC">
              <w:rPr>
                <w:rFonts w:ascii="Times New Roman" w:eastAsia="宋体" w:hAnsi="Times New Roman" w:cs="Times New Roman"/>
                <w:szCs w:val="21"/>
              </w:rPr>
              <w:t>落实最严格的水资源管理制度，实行水资源消耗总量和强度双控。</w:t>
            </w:r>
          </w:p>
          <w:p w14:paraId="132386E0" w14:textId="164863C2" w:rsidR="00E756FC" w:rsidRPr="00E756FC" w:rsidRDefault="00E756FC" w:rsidP="00E756FC">
            <w:pPr>
              <w:rPr>
                <w:rFonts w:ascii="Times New Roman" w:eastAsia="宋体" w:hAnsi="Times New Roman" w:cs="Times New Roman"/>
                <w:szCs w:val="21"/>
              </w:rPr>
            </w:pPr>
            <w:r w:rsidRPr="00E756FC">
              <w:rPr>
                <w:rFonts w:ascii="Times New Roman" w:eastAsia="宋体" w:hAnsi="Times New Roman" w:cs="Times New Roman"/>
                <w:szCs w:val="21"/>
              </w:rPr>
              <w:t>2.</w:t>
            </w:r>
            <w:r w:rsidRPr="00E756FC">
              <w:rPr>
                <w:rFonts w:ascii="Times New Roman" w:eastAsia="宋体" w:hAnsi="Times New Roman" w:cs="Times New Roman"/>
                <w:szCs w:val="21"/>
              </w:rPr>
              <w:t>提高清洁生产水平和资源、能源利用效率。</w:t>
            </w:r>
          </w:p>
        </w:tc>
        <w:tc>
          <w:tcPr>
            <w:tcW w:w="1630" w:type="pct"/>
            <w:tcBorders>
              <w:tl2br w:val="nil"/>
              <w:tr2bl w:val="nil"/>
            </w:tcBorders>
            <w:vAlign w:val="center"/>
          </w:tcPr>
          <w:p w14:paraId="54F9EEE1" w14:textId="5E972926" w:rsidR="00E756FC" w:rsidRPr="00E756FC" w:rsidRDefault="00E756FC" w:rsidP="00E756FC">
            <w:pPr>
              <w:rPr>
                <w:rStyle w:val="1f8"/>
                <w:rFonts w:ascii="Times New Roman" w:eastAsia="宋体" w:hAnsi="Times New Roman" w:cs="Times New Roman"/>
                <w:kern w:val="0"/>
              </w:rPr>
            </w:pPr>
            <w:r w:rsidRPr="00E756FC">
              <w:rPr>
                <w:rFonts w:ascii="Times New Roman" w:eastAsia="宋体" w:hAnsi="Times New Roman" w:cs="Times New Roman"/>
                <w:szCs w:val="21"/>
              </w:rPr>
              <w:t>项目营运期用水总量为</w:t>
            </w:r>
            <w:r w:rsidRPr="00E756FC">
              <w:rPr>
                <w:rFonts w:ascii="Times New Roman" w:eastAsia="宋体" w:hAnsi="Times New Roman" w:cs="Times New Roman"/>
                <w:szCs w:val="21"/>
              </w:rPr>
              <w:t>11060.23t/a</w:t>
            </w:r>
            <w:r w:rsidRPr="00E756FC">
              <w:rPr>
                <w:rFonts w:ascii="Times New Roman" w:eastAsia="宋体" w:hAnsi="Times New Roman" w:cs="Times New Roman"/>
                <w:szCs w:val="21"/>
              </w:rPr>
              <w:t>，包括生活用水、渗滤液处理车间反冲洗用水、车间地面冲洗用水、绿化用水、道路及填埋库区洒水、运输车辆洗车用水等。未超过区域资源利用上线。</w:t>
            </w:r>
          </w:p>
        </w:tc>
        <w:tc>
          <w:tcPr>
            <w:tcW w:w="384" w:type="pct"/>
            <w:tcBorders>
              <w:tl2br w:val="nil"/>
              <w:tr2bl w:val="nil"/>
            </w:tcBorders>
            <w:vAlign w:val="center"/>
          </w:tcPr>
          <w:p w14:paraId="134E0DB9" w14:textId="2F75274A" w:rsidR="00E756FC" w:rsidRPr="00E756FC" w:rsidRDefault="00E756FC" w:rsidP="00E756FC">
            <w:pPr>
              <w:autoSpaceDE w:val="0"/>
              <w:autoSpaceDN w:val="0"/>
              <w:jc w:val="center"/>
              <w:rPr>
                <w:rFonts w:ascii="Times New Roman" w:eastAsia="宋体" w:hAnsi="Times New Roman" w:cs="Times New Roman"/>
                <w:bCs/>
                <w:kern w:val="0"/>
                <w:szCs w:val="21"/>
                <w:lang w:bidi="ar"/>
              </w:rPr>
            </w:pPr>
            <w:r w:rsidRPr="00D52BAF">
              <w:rPr>
                <w:rFonts w:ascii="Times New Roman" w:eastAsia="宋体" w:hAnsi="Times New Roman" w:cs="Times New Roman"/>
                <w:bCs/>
                <w:kern w:val="0"/>
                <w:szCs w:val="21"/>
                <w:lang w:bidi="ar"/>
              </w:rPr>
              <w:t>符合</w:t>
            </w:r>
          </w:p>
        </w:tc>
      </w:tr>
    </w:tbl>
    <w:p w14:paraId="3064F807" w14:textId="5BF6D614" w:rsidR="001A7A97" w:rsidRDefault="00C41925" w:rsidP="00C41925">
      <w:pPr>
        <w:jc w:val="center"/>
      </w:pPr>
      <w:r w:rsidRPr="00C41925">
        <w:rPr>
          <w:noProof/>
        </w:rPr>
        <w:lastRenderedPageBreak/>
        <w:drawing>
          <wp:inline distT="0" distB="0" distL="0" distR="0" wp14:anchorId="451835C5" wp14:editId="01A1CA7E">
            <wp:extent cx="5811715" cy="8245030"/>
            <wp:effectExtent l="0" t="0" r="0"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5110" cy="8249847"/>
                    </a:xfrm>
                    <a:prstGeom prst="rect">
                      <a:avLst/>
                    </a:prstGeom>
                    <a:noFill/>
                    <a:ln>
                      <a:noFill/>
                    </a:ln>
                  </pic:spPr>
                </pic:pic>
              </a:graphicData>
            </a:graphic>
          </wp:inline>
        </w:drawing>
      </w:r>
    </w:p>
    <w:p w14:paraId="1F93C436" w14:textId="5C81100E" w:rsidR="00E756FC" w:rsidRDefault="00E756FC" w:rsidP="00E756FC">
      <w:pPr>
        <w:tabs>
          <w:tab w:val="left" w:pos="615"/>
          <w:tab w:val="left" w:pos="3615"/>
        </w:tabs>
        <w:spacing w:beforeLines="50" w:before="156"/>
        <w:jc w:val="center"/>
        <w:rPr>
          <w:rFonts w:ascii="黑体" w:eastAsia="黑体" w:hAnsi="黑体"/>
          <w:sz w:val="24"/>
        </w:rPr>
      </w:pPr>
      <w:r>
        <w:rPr>
          <w:rFonts w:ascii="黑体" w:eastAsia="黑体" w:hAnsi="黑体" w:hint="eastAsia"/>
          <w:sz w:val="24"/>
        </w:rPr>
        <w:t>图</w:t>
      </w:r>
      <w:r>
        <w:rPr>
          <w:rFonts w:ascii="黑体" w:eastAsia="黑体" w:hAnsi="黑体"/>
          <w:sz w:val="24"/>
        </w:rPr>
        <w:t>1.4-</w:t>
      </w:r>
      <w:r w:rsidR="00747ECF">
        <w:rPr>
          <w:rFonts w:ascii="黑体" w:eastAsia="黑体" w:hAnsi="黑体"/>
          <w:sz w:val="24"/>
        </w:rPr>
        <w:t>2</w:t>
      </w:r>
      <w:r w:rsidR="00C41925">
        <w:rPr>
          <w:rFonts w:ascii="黑体" w:eastAsia="黑体" w:hAnsi="黑体" w:hint="eastAsia"/>
          <w:sz w:val="24"/>
        </w:rPr>
        <w:t>本</w:t>
      </w:r>
      <w:r>
        <w:rPr>
          <w:rFonts w:ascii="黑体" w:eastAsia="黑体" w:hAnsi="黑体" w:hint="eastAsia"/>
          <w:sz w:val="24"/>
        </w:rPr>
        <w:t>项目与商洛市“三线一单”生态环境</w:t>
      </w:r>
      <w:r w:rsidR="00C41925">
        <w:rPr>
          <w:rFonts w:ascii="黑体" w:eastAsia="黑体" w:hAnsi="黑体" w:hint="eastAsia"/>
          <w:sz w:val="24"/>
        </w:rPr>
        <w:t>管控单元对照分析示意图</w:t>
      </w:r>
    </w:p>
    <w:p w14:paraId="6A991D09"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74" w:name="_Toc121411681"/>
      <w:r>
        <w:rPr>
          <w:rFonts w:ascii="Times New Roman" w:eastAsia="黑体" w:hAnsi="Times New Roman" w:cs="Times New Roman"/>
          <w:b w:val="0"/>
          <w:sz w:val="24"/>
        </w:rPr>
        <w:lastRenderedPageBreak/>
        <w:t>1.4.5</w:t>
      </w:r>
      <w:r>
        <w:rPr>
          <w:rFonts w:ascii="Times New Roman" w:eastAsia="黑体" w:hAnsi="Times New Roman" w:cs="Times New Roman" w:hint="eastAsia"/>
          <w:b w:val="0"/>
          <w:sz w:val="24"/>
        </w:rPr>
        <w:t>选址合理性分析</w:t>
      </w:r>
      <w:bookmarkEnd w:id="74"/>
    </w:p>
    <w:p w14:paraId="6C2F9B8A" w14:textId="77777777" w:rsidR="00D12939" w:rsidRDefault="004F47F5">
      <w:pPr>
        <w:pStyle w:val="affffffffe"/>
        <w:ind w:firstLine="496"/>
        <w:rPr>
          <w:color w:val="auto"/>
        </w:rPr>
      </w:pPr>
      <w:r>
        <w:rPr>
          <w:rFonts w:hint="eastAsia"/>
          <w:color w:val="auto"/>
        </w:rPr>
        <w:t>本项目垃圾填埋场选址初期，商洛市柞水县城市管理局做了大量的资料收集、调查研究等工作，数次组织多部门进行实地勘察，通过甄选，最终确定了柞水县小六里沟为本项目生活垃圾填埋场新建场址，该场址是由山脉形成的凹地，工程地质及水文地质条件相对较好，场址西南和东北侧均为山体，东侧为进场道路，</w:t>
      </w:r>
      <w:r>
        <w:rPr>
          <w:color w:val="auto"/>
        </w:rPr>
        <w:t>场址属天然山谷沟壑地形，</w:t>
      </w:r>
      <w:r>
        <w:rPr>
          <w:rFonts w:hint="eastAsia"/>
          <w:color w:val="auto"/>
        </w:rPr>
        <w:t>属天然屏障，可减少对填埋区东北侧的松林村的影响。</w:t>
      </w:r>
    </w:p>
    <w:p w14:paraId="796EDBB0" w14:textId="623F4FAA" w:rsidR="00D12939" w:rsidRDefault="004F47F5">
      <w:pPr>
        <w:pStyle w:val="affffffffe"/>
        <w:ind w:firstLine="496"/>
        <w:rPr>
          <w:color w:val="auto"/>
        </w:rPr>
      </w:pPr>
      <w:r>
        <w:rPr>
          <w:rFonts w:hint="eastAsia"/>
          <w:color w:val="auto"/>
        </w:rPr>
        <w:t>本项目与</w:t>
      </w:r>
      <w:r>
        <w:rPr>
          <w:color w:val="auto"/>
        </w:rPr>
        <w:t>《生活垃圾填埋场污染控制标准》（</w:t>
      </w:r>
      <w:r>
        <w:rPr>
          <w:color w:val="auto"/>
        </w:rPr>
        <w:t>GB16889-2008</w:t>
      </w:r>
      <w:r>
        <w:rPr>
          <w:color w:val="auto"/>
        </w:rPr>
        <w:t>）符合性分析详见表</w:t>
      </w:r>
      <w:r>
        <w:rPr>
          <w:rFonts w:hint="eastAsia"/>
          <w:color w:val="auto"/>
        </w:rPr>
        <w:t>1.</w:t>
      </w:r>
      <w:r w:rsidR="00C41925">
        <w:rPr>
          <w:color w:val="auto"/>
        </w:rPr>
        <w:t>4-5</w:t>
      </w:r>
      <w:r>
        <w:rPr>
          <w:color w:val="auto"/>
        </w:rPr>
        <w:t>。</w:t>
      </w:r>
    </w:p>
    <w:p w14:paraId="2CEEF822" w14:textId="063179FA" w:rsidR="00D12939" w:rsidRDefault="004F47F5">
      <w:pPr>
        <w:pStyle w:val="affffffffe"/>
        <w:spacing w:line="240" w:lineRule="auto"/>
        <w:ind w:firstLineChars="0" w:firstLine="0"/>
        <w:jc w:val="center"/>
        <w:rPr>
          <w:rStyle w:val="afffd"/>
          <w:rFonts w:ascii="黑体" w:eastAsia="黑体" w:hAnsi="黑体"/>
          <w:bCs/>
          <w:color w:val="auto"/>
          <w:spacing w:val="0"/>
          <w:kern w:val="2"/>
        </w:rPr>
      </w:pPr>
      <w:r>
        <w:rPr>
          <w:rStyle w:val="afffd"/>
          <w:rFonts w:ascii="黑体" w:eastAsia="黑体" w:hAnsi="黑体"/>
          <w:bCs/>
          <w:color w:val="auto"/>
          <w:spacing w:val="0"/>
          <w:kern w:val="2"/>
        </w:rPr>
        <w:t>表</w:t>
      </w:r>
      <w:r>
        <w:rPr>
          <w:rStyle w:val="afffd"/>
          <w:rFonts w:ascii="黑体" w:eastAsia="黑体" w:hAnsi="黑体" w:hint="eastAsia"/>
          <w:bCs/>
          <w:color w:val="auto"/>
          <w:spacing w:val="0"/>
          <w:kern w:val="2"/>
        </w:rPr>
        <w:t>1.</w:t>
      </w:r>
      <w:r w:rsidR="00C41925">
        <w:rPr>
          <w:rStyle w:val="afffd"/>
          <w:rFonts w:ascii="黑体" w:eastAsia="黑体" w:hAnsi="黑体"/>
          <w:bCs/>
          <w:color w:val="auto"/>
          <w:spacing w:val="0"/>
          <w:kern w:val="2"/>
        </w:rPr>
        <w:t>4-5</w:t>
      </w:r>
      <w:r>
        <w:rPr>
          <w:rStyle w:val="afffd"/>
          <w:rFonts w:ascii="黑体" w:eastAsia="黑体" w:hAnsi="黑体"/>
          <w:bCs/>
          <w:color w:val="auto"/>
          <w:spacing w:val="0"/>
          <w:kern w:val="2"/>
        </w:rPr>
        <w:t xml:space="preserve"> </w:t>
      </w:r>
      <w:r>
        <w:rPr>
          <w:rStyle w:val="afffd"/>
          <w:rFonts w:ascii="黑体" w:eastAsia="黑体" w:hAnsi="黑体" w:hint="eastAsia"/>
          <w:bCs/>
          <w:color w:val="auto"/>
          <w:spacing w:val="0"/>
          <w:kern w:val="2"/>
        </w:rPr>
        <w:t>项目</w:t>
      </w:r>
      <w:r>
        <w:rPr>
          <w:rStyle w:val="afffd"/>
          <w:rFonts w:ascii="黑体" w:eastAsia="黑体" w:hAnsi="黑体"/>
          <w:bCs/>
          <w:color w:val="auto"/>
          <w:spacing w:val="0"/>
          <w:kern w:val="2"/>
        </w:rPr>
        <w:t>与《生活垃圾填埋场污染控制标准》（GB16889-2008）选址符合性分析</w:t>
      </w:r>
    </w:p>
    <w:tbl>
      <w:tblPr>
        <w:tblStyle w:val="afff8"/>
        <w:tblW w:w="5000" w:type="pct"/>
        <w:jc w:val="center"/>
        <w:tblLayout w:type="fixed"/>
        <w:tblLook w:val="04A0" w:firstRow="1" w:lastRow="0" w:firstColumn="1" w:lastColumn="0" w:noHBand="0" w:noVBand="1"/>
      </w:tblPr>
      <w:tblGrid>
        <w:gridCol w:w="4248"/>
        <w:gridCol w:w="4460"/>
        <w:gridCol w:w="1028"/>
      </w:tblGrid>
      <w:tr w:rsidR="00D12939" w14:paraId="66CE4B92" w14:textId="77777777">
        <w:trPr>
          <w:trHeight w:val="317"/>
          <w:jc w:val="center"/>
        </w:trPr>
        <w:tc>
          <w:tcPr>
            <w:tcW w:w="4248" w:type="dxa"/>
            <w:vAlign w:val="center"/>
          </w:tcPr>
          <w:p w14:paraId="66B1FA4E" w14:textId="77777777" w:rsidR="00D12939" w:rsidRDefault="004F47F5">
            <w:pPr>
              <w:pStyle w:val="a8"/>
              <w:ind w:firstLineChars="0" w:firstLine="0"/>
              <w:jc w:val="center"/>
              <w:rPr>
                <w:rStyle w:val="1f8"/>
              </w:rPr>
            </w:pPr>
            <w:r>
              <w:rPr>
                <w:rStyle w:val="1f8"/>
              </w:rPr>
              <w:t>《生活垃圾填埋场污染控制标准》（</w:t>
            </w:r>
            <w:r>
              <w:rPr>
                <w:rStyle w:val="1f8"/>
              </w:rPr>
              <w:t>GB16889-2008</w:t>
            </w:r>
            <w:r>
              <w:rPr>
                <w:rStyle w:val="1f8"/>
              </w:rPr>
              <w:t>）要求</w:t>
            </w:r>
          </w:p>
        </w:tc>
        <w:tc>
          <w:tcPr>
            <w:tcW w:w="4460" w:type="dxa"/>
            <w:vAlign w:val="center"/>
          </w:tcPr>
          <w:p w14:paraId="54DC66E4" w14:textId="77777777" w:rsidR="00D12939" w:rsidRDefault="004F47F5">
            <w:pPr>
              <w:pStyle w:val="a8"/>
              <w:ind w:firstLineChars="0" w:firstLine="0"/>
              <w:jc w:val="center"/>
              <w:rPr>
                <w:rStyle w:val="1f8"/>
              </w:rPr>
            </w:pPr>
            <w:r>
              <w:rPr>
                <w:rStyle w:val="1f8"/>
              </w:rPr>
              <w:t>本项目选址</w:t>
            </w:r>
          </w:p>
        </w:tc>
        <w:tc>
          <w:tcPr>
            <w:tcW w:w="1028" w:type="dxa"/>
            <w:vAlign w:val="center"/>
          </w:tcPr>
          <w:p w14:paraId="26640987" w14:textId="77777777" w:rsidR="00D12939" w:rsidRDefault="004F47F5">
            <w:pPr>
              <w:pStyle w:val="a8"/>
              <w:ind w:firstLineChars="0" w:firstLine="0"/>
              <w:rPr>
                <w:rStyle w:val="1f8"/>
              </w:rPr>
            </w:pPr>
            <w:r>
              <w:rPr>
                <w:rStyle w:val="1f8"/>
              </w:rPr>
              <w:t>符合性</w:t>
            </w:r>
          </w:p>
        </w:tc>
      </w:tr>
      <w:tr w:rsidR="00D12939" w14:paraId="09B7381B" w14:textId="77777777">
        <w:trPr>
          <w:trHeight w:val="317"/>
          <w:jc w:val="center"/>
        </w:trPr>
        <w:tc>
          <w:tcPr>
            <w:tcW w:w="4248" w:type="dxa"/>
            <w:vAlign w:val="center"/>
          </w:tcPr>
          <w:p w14:paraId="1335FD7A" w14:textId="77777777" w:rsidR="00D12939" w:rsidRDefault="004F47F5">
            <w:pPr>
              <w:pStyle w:val="affffd"/>
              <w:jc w:val="both"/>
              <w:rPr>
                <w:rFonts w:ascii="Times New Roman" w:eastAsia="宋体" w:hAnsi="Times New Roman" w:cs="Times New Roman"/>
                <w:kern w:val="0"/>
                <w:szCs w:val="20"/>
              </w:rPr>
            </w:pPr>
            <w:r>
              <w:rPr>
                <w:rFonts w:ascii="Times New Roman" w:eastAsia="宋体" w:hAnsi="Times New Roman" w:cs="Times New Roman"/>
                <w:kern w:val="0"/>
                <w:szCs w:val="20"/>
              </w:rPr>
              <w:t>选址应符合区域性环境规划、环境卫生设施建设规划和当地的城市规划</w:t>
            </w:r>
          </w:p>
        </w:tc>
        <w:tc>
          <w:tcPr>
            <w:tcW w:w="4460" w:type="dxa"/>
            <w:vAlign w:val="center"/>
          </w:tcPr>
          <w:p w14:paraId="1949F835" w14:textId="77777777" w:rsidR="00D12939" w:rsidRDefault="004F47F5">
            <w:pPr>
              <w:pStyle w:val="a8"/>
              <w:ind w:firstLineChars="0" w:firstLine="0"/>
              <w:rPr>
                <w:rStyle w:val="1f8"/>
              </w:rPr>
            </w:pPr>
            <w:r>
              <w:rPr>
                <w:rStyle w:val="1f8"/>
                <w:rFonts w:hint="eastAsia"/>
              </w:rPr>
              <w:t>项目位于商洛市柞水县小六里沟，占地为建设用地，属自然山谷沟壑，选址符合当地乡镇环境卫生设施建设规划</w:t>
            </w:r>
          </w:p>
        </w:tc>
        <w:tc>
          <w:tcPr>
            <w:tcW w:w="1028" w:type="dxa"/>
            <w:vAlign w:val="center"/>
          </w:tcPr>
          <w:p w14:paraId="0034EEBB" w14:textId="77777777" w:rsidR="00D12939" w:rsidRDefault="004F47F5">
            <w:pPr>
              <w:pStyle w:val="a8"/>
              <w:ind w:firstLineChars="0" w:firstLine="0"/>
              <w:jc w:val="center"/>
              <w:rPr>
                <w:rStyle w:val="1f8"/>
              </w:rPr>
            </w:pPr>
            <w:r>
              <w:rPr>
                <w:rStyle w:val="1f8"/>
              </w:rPr>
              <w:t>符合</w:t>
            </w:r>
          </w:p>
        </w:tc>
      </w:tr>
      <w:tr w:rsidR="00D12939" w14:paraId="647C630B" w14:textId="77777777">
        <w:trPr>
          <w:trHeight w:val="317"/>
          <w:jc w:val="center"/>
        </w:trPr>
        <w:tc>
          <w:tcPr>
            <w:tcW w:w="4248" w:type="dxa"/>
            <w:vAlign w:val="center"/>
          </w:tcPr>
          <w:p w14:paraId="54F011D1" w14:textId="77777777" w:rsidR="00D12939" w:rsidRDefault="004F47F5">
            <w:pPr>
              <w:pStyle w:val="affffd"/>
              <w:jc w:val="both"/>
              <w:rPr>
                <w:rFonts w:ascii="Times New Roman" w:eastAsia="宋体" w:hAnsi="Times New Roman" w:cs="Times New Roman"/>
                <w:kern w:val="0"/>
                <w:szCs w:val="20"/>
              </w:rPr>
            </w:pPr>
            <w:r>
              <w:rPr>
                <w:rFonts w:ascii="Times New Roman" w:eastAsia="宋体" w:hAnsi="Times New Roman" w:cs="Times New Roman"/>
                <w:kern w:val="0"/>
                <w:szCs w:val="20"/>
              </w:rPr>
              <w:t>不应选在城市工农业发展规划区、农业保护区、自然保护区、风景名胜区、文物（考古）保护区、生活饮用水水源保护区、供水远景规划区、矿产资源储备区、军事要地、国家保密地区和其他需要特别保护的区域内</w:t>
            </w:r>
          </w:p>
        </w:tc>
        <w:tc>
          <w:tcPr>
            <w:tcW w:w="4460" w:type="dxa"/>
            <w:vAlign w:val="center"/>
          </w:tcPr>
          <w:p w14:paraId="18E85503" w14:textId="77777777" w:rsidR="00D12939" w:rsidRDefault="004F47F5">
            <w:pPr>
              <w:pStyle w:val="a8"/>
              <w:ind w:firstLineChars="0" w:firstLine="0"/>
              <w:rPr>
                <w:rStyle w:val="1f8"/>
              </w:rPr>
            </w:pPr>
            <w:r>
              <w:rPr>
                <w:rStyle w:val="1f8"/>
                <w:rFonts w:hint="eastAsia"/>
              </w:rPr>
              <w:t>项目选址距离柞水县城区</w:t>
            </w:r>
            <w:r>
              <w:rPr>
                <w:rStyle w:val="1f8"/>
              </w:rPr>
              <w:t>12km</w:t>
            </w:r>
            <w:r>
              <w:rPr>
                <w:rStyle w:val="1f8"/>
              </w:rPr>
              <w:t>，未与城市工农业发展规划区、农业保护区重叠；</w:t>
            </w:r>
            <w:r>
              <w:rPr>
                <w:rStyle w:val="1f8"/>
                <w:rFonts w:hint="eastAsia"/>
              </w:rPr>
              <w:t>经调查，项目评价范围内无自然保护区、风景名胜区；项目不在文物（考古）保护区、生活饮用水水源保护区、供水远景规划区、矿产资源储备区、军事要地、国家保密地区和其他需要特别保护的区域内。</w:t>
            </w:r>
          </w:p>
        </w:tc>
        <w:tc>
          <w:tcPr>
            <w:tcW w:w="1028" w:type="dxa"/>
            <w:vAlign w:val="center"/>
          </w:tcPr>
          <w:p w14:paraId="24121355" w14:textId="77777777" w:rsidR="00D12939" w:rsidRDefault="004F47F5">
            <w:pPr>
              <w:pStyle w:val="a8"/>
              <w:ind w:firstLineChars="0" w:firstLine="0"/>
              <w:jc w:val="center"/>
              <w:rPr>
                <w:rStyle w:val="1f8"/>
              </w:rPr>
            </w:pPr>
            <w:r>
              <w:rPr>
                <w:rStyle w:val="1f8"/>
              </w:rPr>
              <w:t>符合</w:t>
            </w:r>
          </w:p>
        </w:tc>
      </w:tr>
      <w:tr w:rsidR="00D12939" w14:paraId="5BE07A8D" w14:textId="77777777">
        <w:trPr>
          <w:trHeight w:val="317"/>
          <w:jc w:val="center"/>
        </w:trPr>
        <w:tc>
          <w:tcPr>
            <w:tcW w:w="4248" w:type="dxa"/>
            <w:vAlign w:val="center"/>
          </w:tcPr>
          <w:p w14:paraId="12F07B8F" w14:textId="77777777" w:rsidR="00D12939" w:rsidRDefault="004F47F5">
            <w:pPr>
              <w:pStyle w:val="affffd"/>
              <w:jc w:val="both"/>
              <w:rPr>
                <w:rFonts w:ascii="Times New Roman" w:eastAsia="宋体" w:hAnsi="Times New Roman" w:cs="Times New Roman"/>
                <w:kern w:val="0"/>
                <w:szCs w:val="20"/>
              </w:rPr>
            </w:pPr>
            <w:r>
              <w:rPr>
                <w:rFonts w:ascii="Times New Roman" w:eastAsia="宋体" w:hAnsi="Times New Roman" w:cs="Times New Roman"/>
                <w:kern w:val="0"/>
                <w:szCs w:val="20"/>
              </w:rPr>
              <w:t>生活垃圾填埋场选址的标高应位于重现期不小于</w:t>
            </w:r>
            <w:r>
              <w:rPr>
                <w:rFonts w:ascii="Times New Roman" w:eastAsia="宋体" w:hAnsi="Times New Roman" w:cs="Times New Roman"/>
                <w:kern w:val="0"/>
                <w:szCs w:val="20"/>
              </w:rPr>
              <w:t>50</w:t>
            </w:r>
            <w:r>
              <w:rPr>
                <w:rFonts w:ascii="Times New Roman" w:eastAsia="宋体" w:hAnsi="Times New Roman" w:cs="Times New Roman"/>
                <w:kern w:val="0"/>
                <w:szCs w:val="20"/>
              </w:rPr>
              <w:t>年一遇的洪水位之上，并建设在长远规划的水库等人工蓄水设施的淹没区和保护区之外。拟建有可靠防洪设施的山谷型填埋场，并经过环境影响评价证明洪水对生活垃圾填埋场的环境风险在可接受范围内，前款规定的选址标准可以适当降低</w:t>
            </w:r>
          </w:p>
        </w:tc>
        <w:tc>
          <w:tcPr>
            <w:tcW w:w="4460" w:type="dxa"/>
            <w:vAlign w:val="center"/>
          </w:tcPr>
          <w:p w14:paraId="2EC0D945" w14:textId="77777777" w:rsidR="00D12939" w:rsidRDefault="004F47F5">
            <w:pPr>
              <w:pStyle w:val="a8"/>
              <w:ind w:firstLineChars="0" w:firstLine="0"/>
              <w:rPr>
                <w:rStyle w:val="1f8"/>
              </w:rPr>
            </w:pPr>
            <w:r>
              <w:rPr>
                <w:sz w:val="21"/>
              </w:rPr>
              <w:t>本项目</w:t>
            </w:r>
            <w:r>
              <w:rPr>
                <w:rStyle w:val="1f8"/>
                <w:rFonts w:hint="eastAsia"/>
              </w:rPr>
              <w:t>商洛市柞水县小六里沟</w:t>
            </w:r>
            <w:r>
              <w:rPr>
                <w:sz w:val="21"/>
              </w:rPr>
              <w:t>，海拔高度约</w:t>
            </w:r>
            <w:r>
              <w:rPr>
                <w:sz w:val="21"/>
              </w:rPr>
              <w:t>1137m</w:t>
            </w:r>
            <w:r>
              <w:rPr>
                <w:sz w:val="21"/>
              </w:rPr>
              <w:t>，项目周边无规划的水库等人工蓄水设施。</w:t>
            </w:r>
            <w:r>
              <w:rPr>
                <w:rFonts w:hint="eastAsia"/>
                <w:sz w:val="21"/>
              </w:rPr>
              <w:t>本工程防洪标准按</w:t>
            </w:r>
            <w:r>
              <w:rPr>
                <w:sz w:val="21"/>
              </w:rPr>
              <w:t xml:space="preserve">50 </w:t>
            </w:r>
            <w:r>
              <w:rPr>
                <w:sz w:val="21"/>
              </w:rPr>
              <w:t>年一遇洪水设计，按</w:t>
            </w:r>
            <w:r>
              <w:rPr>
                <w:sz w:val="21"/>
              </w:rPr>
              <w:t xml:space="preserve">100 </w:t>
            </w:r>
            <w:r>
              <w:rPr>
                <w:sz w:val="21"/>
              </w:rPr>
              <w:t>年一遇洪水校核。</w:t>
            </w:r>
          </w:p>
        </w:tc>
        <w:tc>
          <w:tcPr>
            <w:tcW w:w="1028" w:type="dxa"/>
            <w:vAlign w:val="center"/>
          </w:tcPr>
          <w:p w14:paraId="375BE803" w14:textId="77777777" w:rsidR="00D12939" w:rsidRDefault="004F47F5">
            <w:pPr>
              <w:pStyle w:val="a8"/>
              <w:ind w:firstLineChars="0" w:firstLine="0"/>
              <w:jc w:val="center"/>
              <w:rPr>
                <w:rStyle w:val="1f8"/>
              </w:rPr>
            </w:pPr>
            <w:r>
              <w:rPr>
                <w:rStyle w:val="1f8"/>
              </w:rPr>
              <w:t>符合</w:t>
            </w:r>
          </w:p>
        </w:tc>
      </w:tr>
      <w:tr w:rsidR="00D12939" w14:paraId="4631851E" w14:textId="77777777">
        <w:trPr>
          <w:trHeight w:val="317"/>
          <w:jc w:val="center"/>
        </w:trPr>
        <w:tc>
          <w:tcPr>
            <w:tcW w:w="4248" w:type="dxa"/>
            <w:vAlign w:val="center"/>
          </w:tcPr>
          <w:p w14:paraId="4DCA6DA8" w14:textId="77777777" w:rsidR="00D12939" w:rsidRDefault="004F47F5">
            <w:pPr>
              <w:pStyle w:val="affffd"/>
              <w:jc w:val="both"/>
              <w:rPr>
                <w:rFonts w:ascii="Times New Roman" w:eastAsia="宋体" w:hAnsi="Times New Roman" w:cs="Times New Roman"/>
                <w:kern w:val="0"/>
                <w:szCs w:val="20"/>
              </w:rPr>
            </w:pPr>
            <w:r>
              <w:rPr>
                <w:rFonts w:ascii="Times New Roman" w:eastAsia="宋体" w:hAnsi="Times New Roman" w:cs="Times New Roman"/>
                <w:kern w:val="0"/>
                <w:szCs w:val="20"/>
              </w:rPr>
              <w:t>应避开破坏性地震及活动构造区；活动中的坍塌、滑坡、隆起地带和断裂带，石灰岩溶洞发育带；废弃矿区的活动塌陷区；活动沙丘区；湿地；尚未稳定的冲积扇及冲沟等可能危及填埋场安全的区域</w:t>
            </w:r>
          </w:p>
        </w:tc>
        <w:tc>
          <w:tcPr>
            <w:tcW w:w="4460" w:type="dxa"/>
            <w:vAlign w:val="center"/>
          </w:tcPr>
          <w:p w14:paraId="69DD983A" w14:textId="77777777" w:rsidR="00D12939" w:rsidRDefault="004F47F5">
            <w:pPr>
              <w:pStyle w:val="a8"/>
              <w:ind w:firstLineChars="0" w:firstLine="0"/>
              <w:rPr>
                <w:rStyle w:val="1f8"/>
              </w:rPr>
            </w:pPr>
            <w:r>
              <w:rPr>
                <w:rStyle w:val="1f8"/>
                <w:rFonts w:hint="eastAsia"/>
              </w:rPr>
              <w:t>填埋场区工程地质条件、水文条件简单，地质较稳定，无坍塌、断裂地带，无冲积扇、冲沟不安全地质，适宜建筑，相应抗震设防烈度为Ⅵ度区；无活动沙丘等，项目用地避开了以上不稳定地带。</w:t>
            </w:r>
          </w:p>
        </w:tc>
        <w:tc>
          <w:tcPr>
            <w:tcW w:w="1028" w:type="dxa"/>
            <w:vAlign w:val="center"/>
          </w:tcPr>
          <w:p w14:paraId="7525CCDF" w14:textId="77777777" w:rsidR="00D12939" w:rsidRDefault="004F47F5">
            <w:pPr>
              <w:pStyle w:val="a8"/>
              <w:ind w:firstLineChars="0" w:firstLine="0"/>
              <w:jc w:val="center"/>
              <w:rPr>
                <w:rStyle w:val="1f8"/>
              </w:rPr>
            </w:pPr>
            <w:r>
              <w:rPr>
                <w:rStyle w:val="1f8"/>
              </w:rPr>
              <w:t>符合</w:t>
            </w:r>
          </w:p>
        </w:tc>
      </w:tr>
      <w:tr w:rsidR="00D12939" w14:paraId="50455536" w14:textId="77777777">
        <w:trPr>
          <w:trHeight w:val="317"/>
          <w:jc w:val="center"/>
        </w:trPr>
        <w:tc>
          <w:tcPr>
            <w:tcW w:w="4248" w:type="dxa"/>
            <w:vAlign w:val="center"/>
          </w:tcPr>
          <w:p w14:paraId="74CC9E58" w14:textId="77777777" w:rsidR="00D12939" w:rsidRDefault="004F47F5">
            <w:pPr>
              <w:pStyle w:val="affffd"/>
              <w:jc w:val="both"/>
              <w:rPr>
                <w:rFonts w:ascii="Times New Roman" w:eastAsia="宋体" w:hAnsi="Times New Roman" w:cs="Times New Roman"/>
                <w:kern w:val="0"/>
                <w:szCs w:val="20"/>
              </w:rPr>
            </w:pPr>
            <w:r>
              <w:rPr>
                <w:rFonts w:ascii="Times New Roman" w:eastAsia="宋体" w:hAnsi="Times New Roman" w:cs="Times New Roman"/>
                <w:kern w:val="0"/>
                <w:szCs w:val="20"/>
              </w:rPr>
              <w:t>生活垃圾填埋场场址的位置与周围人群的距离应依据环境影响评价结论确定，并经地方环境保护行政主管部门批准</w:t>
            </w:r>
          </w:p>
        </w:tc>
        <w:tc>
          <w:tcPr>
            <w:tcW w:w="4460" w:type="dxa"/>
            <w:vAlign w:val="center"/>
          </w:tcPr>
          <w:p w14:paraId="68E39CFD" w14:textId="6D9ECB9F" w:rsidR="00D12939" w:rsidRDefault="004F47F5" w:rsidP="00A55E33">
            <w:pPr>
              <w:pStyle w:val="a8"/>
              <w:ind w:firstLineChars="0" w:firstLine="0"/>
              <w:rPr>
                <w:rStyle w:val="1f8"/>
              </w:rPr>
            </w:pPr>
            <w:r>
              <w:rPr>
                <w:rStyle w:val="1f8"/>
                <w:rFonts w:hint="eastAsia"/>
              </w:rPr>
              <w:t>项目场址内有三处居民点，</w:t>
            </w:r>
            <w:r w:rsidR="0087355D">
              <w:rPr>
                <w:rStyle w:val="1f8"/>
                <w:rFonts w:hint="eastAsia"/>
              </w:rPr>
              <w:t>评价要求项目正式建设前应做好</w:t>
            </w:r>
            <w:r w:rsidR="00A55E33">
              <w:rPr>
                <w:rStyle w:val="1f8"/>
                <w:rFonts w:hint="eastAsia"/>
              </w:rPr>
              <w:t>场址</w:t>
            </w:r>
            <w:r w:rsidR="0087355D">
              <w:rPr>
                <w:rStyle w:val="1f8"/>
                <w:rFonts w:hint="eastAsia"/>
              </w:rPr>
              <w:t>内居民的搬迁工作。</w:t>
            </w:r>
            <w:r>
              <w:rPr>
                <w:rStyle w:val="1f8"/>
                <w:rFonts w:hint="eastAsia"/>
              </w:rPr>
              <w:t>厂址外</w:t>
            </w:r>
            <w:r>
              <w:rPr>
                <w:rStyle w:val="1f8"/>
              </w:rPr>
              <w:t>400m</w:t>
            </w:r>
            <w:r>
              <w:rPr>
                <w:rStyle w:val="1f8"/>
              </w:rPr>
              <w:t>范围内无居民，</w:t>
            </w:r>
            <w:r>
              <w:rPr>
                <w:rStyle w:val="1f8"/>
                <w:rFonts w:hint="eastAsia"/>
              </w:rPr>
              <w:t>距离项目最近的敏感点为填埋区东南侧直线距离</w:t>
            </w:r>
            <w:r>
              <w:rPr>
                <w:rStyle w:val="1f8"/>
                <w:rFonts w:hint="eastAsia"/>
              </w:rPr>
              <w:t>4</w:t>
            </w:r>
            <w:r>
              <w:rPr>
                <w:rStyle w:val="1f8"/>
              </w:rPr>
              <w:t>55</w:t>
            </w:r>
            <w:r>
              <w:rPr>
                <w:rStyle w:val="1f8"/>
                <w:rFonts w:hint="eastAsia"/>
              </w:rPr>
              <w:t>m</w:t>
            </w:r>
            <w:r>
              <w:rPr>
                <w:rStyle w:val="1f8"/>
                <w:rFonts w:hint="eastAsia"/>
              </w:rPr>
              <w:t>处的松林村，但项目位于沟谷内，松林村和填埋场通过一道天然屏障（山梁）相隔，因此项目对松林村的影响较小，</w:t>
            </w:r>
            <w:r>
              <w:rPr>
                <w:rStyle w:val="1f8"/>
              </w:rPr>
              <w:t>满足环境影响评价结论</w:t>
            </w:r>
            <w:r>
              <w:rPr>
                <w:rStyle w:val="1f8"/>
                <w:rFonts w:hint="eastAsia"/>
              </w:rPr>
              <w:t>。</w:t>
            </w:r>
          </w:p>
        </w:tc>
        <w:tc>
          <w:tcPr>
            <w:tcW w:w="1028" w:type="dxa"/>
            <w:vAlign w:val="center"/>
          </w:tcPr>
          <w:p w14:paraId="7F0A7C09" w14:textId="77777777" w:rsidR="00D12939" w:rsidRDefault="004F47F5">
            <w:pPr>
              <w:pStyle w:val="a8"/>
              <w:ind w:firstLineChars="0" w:firstLine="0"/>
              <w:jc w:val="center"/>
              <w:rPr>
                <w:rStyle w:val="1f8"/>
              </w:rPr>
            </w:pPr>
            <w:r>
              <w:rPr>
                <w:rStyle w:val="1f8"/>
              </w:rPr>
              <w:t>符合</w:t>
            </w:r>
          </w:p>
        </w:tc>
      </w:tr>
    </w:tbl>
    <w:p w14:paraId="33447A0B" w14:textId="5B5B4998" w:rsidR="00C41925" w:rsidRPr="00A55E33" w:rsidRDefault="00C41925" w:rsidP="00C41925">
      <w:pPr>
        <w:pStyle w:val="affffffffe"/>
        <w:ind w:firstLine="496"/>
        <w:rPr>
          <w:color w:val="FF0000"/>
        </w:rPr>
      </w:pPr>
      <w:r w:rsidRPr="00A55E33">
        <w:rPr>
          <w:rFonts w:hint="eastAsia"/>
          <w:color w:val="FF0000"/>
        </w:rPr>
        <w:t>本项目与《生活垃圾处理处置工程项目规范》（</w:t>
      </w:r>
      <w:r w:rsidRPr="00A55E33">
        <w:rPr>
          <w:color w:val="FF0000"/>
        </w:rPr>
        <w:t>GB/T 55012-2021</w:t>
      </w:r>
      <w:r w:rsidRPr="00A55E33">
        <w:rPr>
          <w:color w:val="FF0000"/>
        </w:rPr>
        <w:t>）符合性分析详见表</w:t>
      </w:r>
      <w:r w:rsidRPr="00A55E33">
        <w:rPr>
          <w:rFonts w:hint="eastAsia"/>
          <w:color w:val="FF0000"/>
        </w:rPr>
        <w:t>1.</w:t>
      </w:r>
      <w:r w:rsidRPr="00A55E33">
        <w:rPr>
          <w:color w:val="FF0000"/>
        </w:rPr>
        <w:t>4-6</w:t>
      </w:r>
      <w:r w:rsidRPr="00A55E33">
        <w:rPr>
          <w:color w:val="FF0000"/>
        </w:rPr>
        <w:t>。</w:t>
      </w:r>
    </w:p>
    <w:p w14:paraId="650AC4DF" w14:textId="517EDB9D" w:rsidR="00C41925" w:rsidRPr="00A55E33" w:rsidRDefault="00C41925" w:rsidP="00C41925">
      <w:pPr>
        <w:pStyle w:val="affffffffe"/>
        <w:spacing w:line="240" w:lineRule="auto"/>
        <w:ind w:firstLineChars="0" w:firstLine="0"/>
        <w:jc w:val="center"/>
        <w:rPr>
          <w:rStyle w:val="afffd"/>
          <w:rFonts w:ascii="黑体" w:eastAsia="黑体" w:hAnsi="黑体"/>
          <w:bCs/>
          <w:color w:val="FF0000"/>
          <w:spacing w:val="0"/>
          <w:kern w:val="2"/>
        </w:rPr>
      </w:pPr>
      <w:r w:rsidRPr="00A55E33">
        <w:rPr>
          <w:rStyle w:val="afffd"/>
          <w:rFonts w:ascii="黑体" w:eastAsia="黑体" w:hAnsi="黑体"/>
          <w:bCs/>
          <w:color w:val="FF0000"/>
          <w:spacing w:val="0"/>
          <w:kern w:val="2"/>
        </w:rPr>
        <w:lastRenderedPageBreak/>
        <w:t>表</w:t>
      </w:r>
      <w:r w:rsidRPr="00A55E33">
        <w:rPr>
          <w:rStyle w:val="afffd"/>
          <w:rFonts w:ascii="黑体" w:eastAsia="黑体" w:hAnsi="黑体" w:hint="eastAsia"/>
          <w:bCs/>
          <w:color w:val="FF0000"/>
          <w:spacing w:val="0"/>
          <w:kern w:val="2"/>
        </w:rPr>
        <w:t>1.</w:t>
      </w:r>
      <w:r w:rsidRPr="00A55E33">
        <w:rPr>
          <w:rStyle w:val="afffd"/>
          <w:rFonts w:ascii="黑体" w:eastAsia="黑体" w:hAnsi="黑体"/>
          <w:bCs/>
          <w:color w:val="FF0000"/>
          <w:spacing w:val="0"/>
          <w:kern w:val="2"/>
        </w:rPr>
        <w:t xml:space="preserve">4-6 </w:t>
      </w:r>
      <w:r w:rsidRPr="00A55E33">
        <w:rPr>
          <w:rStyle w:val="afffd"/>
          <w:rFonts w:ascii="黑体" w:eastAsia="黑体" w:hAnsi="黑体" w:hint="eastAsia"/>
          <w:bCs/>
          <w:color w:val="FF0000"/>
          <w:spacing w:val="0"/>
          <w:kern w:val="2"/>
        </w:rPr>
        <w:t>项目</w:t>
      </w:r>
      <w:r w:rsidRPr="00A55E33">
        <w:rPr>
          <w:rStyle w:val="afffd"/>
          <w:rFonts w:ascii="黑体" w:eastAsia="黑体" w:hAnsi="黑体"/>
          <w:bCs/>
          <w:color w:val="FF0000"/>
          <w:spacing w:val="0"/>
          <w:kern w:val="2"/>
        </w:rPr>
        <w:t>与</w:t>
      </w:r>
      <w:r w:rsidRPr="00A55E33">
        <w:rPr>
          <w:rStyle w:val="afffd"/>
          <w:rFonts w:ascii="黑体" w:eastAsia="黑体" w:hAnsi="黑体" w:hint="eastAsia"/>
          <w:bCs/>
          <w:color w:val="FF0000"/>
          <w:spacing w:val="0"/>
          <w:kern w:val="2"/>
        </w:rPr>
        <w:t>《生活垃圾处理处置工程项目规范》（</w:t>
      </w:r>
      <w:r w:rsidRPr="00A55E33">
        <w:rPr>
          <w:rStyle w:val="afffd"/>
          <w:rFonts w:ascii="黑体" w:eastAsia="黑体" w:hAnsi="黑体"/>
          <w:bCs/>
          <w:color w:val="FF0000"/>
          <w:spacing w:val="0"/>
          <w:kern w:val="2"/>
        </w:rPr>
        <w:t>GB/T 55012-2021）选址符合性分析</w:t>
      </w:r>
    </w:p>
    <w:tbl>
      <w:tblPr>
        <w:tblStyle w:val="afff8"/>
        <w:tblW w:w="5000" w:type="pct"/>
        <w:jc w:val="center"/>
        <w:tblLayout w:type="fixed"/>
        <w:tblLook w:val="04A0" w:firstRow="1" w:lastRow="0" w:firstColumn="1" w:lastColumn="0" w:noHBand="0" w:noVBand="1"/>
      </w:tblPr>
      <w:tblGrid>
        <w:gridCol w:w="4248"/>
        <w:gridCol w:w="4460"/>
        <w:gridCol w:w="1028"/>
      </w:tblGrid>
      <w:tr w:rsidR="00C41925" w:rsidRPr="00A55E33" w14:paraId="33A52D93" w14:textId="77777777" w:rsidTr="003B6FD1">
        <w:trPr>
          <w:trHeight w:val="317"/>
          <w:jc w:val="center"/>
        </w:trPr>
        <w:tc>
          <w:tcPr>
            <w:tcW w:w="4248" w:type="dxa"/>
            <w:vAlign w:val="center"/>
          </w:tcPr>
          <w:p w14:paraId="692F86C9" w14:textId="6131938D" w:rsidR="00C41925" w:rsidRPr="00A55E33" w:rsidRDefault="00C41925" w:rsidP="003B6FD1">
            <w:pPr>
              <w:pStyle w:val="a8"/>
              <w:ind w:firstLineChars="0" w:firstLine="0"/>
              <w:jc w:val="center"/>
              <w:rPr>
                <w:rStyle w:val="1f8"/>
                <w:color w:val="FF0000"/>
              </w:rPr>
            </w:pPr>
            <w:r w:rsidRPr="00A55E33">
              <w:rPr>
                <w:rStyle w:val="1f8"/>
                <w:rFonts w:hint="eastAsia"/>
                <w:color w:val="FF0000"/>
              </w:rPr>
              <w:t>《生活垃圾处理处置工程项目规范》（</w:t>
            </w:r>
            <w:r w:rsidRPr="00A55E33">
              <w:rPr>
                <w:rStyle w:val="1f8"/>
                <w:color w:val="FF0000"/>
              </w:rPr>
              <w:t>GB/T 55012-2021</w:t>
            </w:r>
            <w:r w:rsidRPr="00A55E33">
              <w:rPr>
                <w:rStyle w:val="1f8"/>
                <w:color w:val="FF0000"/>
              </w:rPr>
              <w:t>）要求</w:t>
            </w:r>
          </w:p>
        </w:tc>
        <w:tc>
          <w:tcPr>
            <w:tcW w:w="4460" w:type="dxa"/>
            <w:vAlign w:val="center"/>
          </w:tcPr>
          <w:p w14:paraId="5F52BCD0" w14:textId="77777777" w:rsidR="00C41925" w:rsidRPr="00A55E33" w:rsidRDefault="00C41925" w:rsidP="003B6FD1">
            <w:pPr>
              <w:pStyle w:val="a8"/>
              <w:ind w:firstLineChars="0" w:firstLine="0"/>
              <w:jc w:val="center"/>
              <w:rPr>
                <w:rStyle w:val="1f8"/>
                <w:color w:val="FF0000"/>
              </w:rPr>
            </w:pPr>
            <w:r w:rsidRPr="00A55E33">
              <w:rPr>
                <w:rStyle w:val="1f8"/>
                <w:color w:val="FF0000"/>
              </w:rPr>
              <w:t>本项目选址</w:t>
            </w:r>
          </w:p>
        </w:tc>
        <w:tc>
          <w:tcPr>
            <w:tcW w:w="1028" w:type="dxa"/>
            <w:vAlign w:val="center"/>
          </w:tcPr>
          <w:p w14:paraId="042251B5" w14:textId="77777777" w:rsidR="00C41925" w:rsidRPr="00A55E33" w:rsidRDefault="00C41925" w:rsidP="003B6FD1">
            <w:pPr>
              <w:pStyle w:val="a8"/>
              <w:ind w:firstLineChars="0" w:firstLine="0"/>
              <w:rPr>
                <w:rStyle w:val="1f8"/>
                <w:color w:val="FF0000"/>
              </w:rPr>
            </w:pPr>
            <w:r w:rsidRPr="00A55E33">
              <w:rPr>
                <w:rStyle w:val="1f8"/>
                <w:color w:val="FF0000"/>
              </w:rPr>
              <w:t>符合性</w:t>
            </w:r>
          </w:p>
        </w:tc>
      </w:tr>
      <w:tr w:rsidR="00C41925" w:rsidRPr="00A55E33" w14:paraId="018400FD" w14:textId="77777777" w:rsidTr="003B6FD1">
        <w:trPr>
          <w:trHeight w:val="317"/>
          <w:jc w:val="center"/>
        </w:trPr>
        <w:tc>
          <w:tcPr>
            <w:tcW w:w="4248" w:type="dxa"/>
            <w:vAlign w:val="center"/>
          </w:tcPr>
          <w:p w14:paraId="2E6168FC" w14:textId="77777777" w:rsidR="00C41925" w:rsidRPr="00A55E33" w:rsidRDefault="00C41925" w:rsidP="003B6FD1">
            <w:pPr>
              <w:pStyle w:val="affffd"/>
              <w:jc w:val="both"/>
              <w:rPr>
                <w:rFonts w:ascii="Times New Roman" w:eastAsia="宋体" w:hAnsi="Times New Roman" w:cs="Times New Roman"/>
                <w:color w:val="FF0000"/>
                <w:kern w:val="0"/>
                <w:szCs w:val="20"/>
              </w:rPr>
            </w:pPr>
            <w:r w:rsidRPr="00A55E33">
              <w:rPr>
                <w:rFonts w:ascii="Times New Roman" w:eastAsia="宋体" w:hAnsi="Times New Roman" w:cs="Times New Roman" w:hint="eastAsia"/>
                <w:color w:val="FF0000"/>
                <w:kern w:val="0"/>
                <w:szCs w:val="20"/>
              </w:rPr>
              <w:t>生活垃圾处理处置工程应与城乡功能结构相协调，满足城乡建设发展、环境卫生行业发展等需要。选址距居民区、人畜供水点等敏感目标的卫生防护距离，应通过环境影响评价确定，且不应设在下列地区：</w:t>
            </w:r>
          </w:p>
          <w:p w14:paraId="663D3C19" w14:textId="77777777" w:rsidR="00C41925" w:rsidRPr="00A55E33" w:rsidRDefault="00C41925" w:rsidP="003B6FD1">
            <w:pPr>
              <w:pStyle w:val="affffd"/>
              <w:jc w:val="both"/>
              <w:rPr>
                <w:rStyle w:val="1f8"/>
                <w:color w:val="FF0000"/>
              </w:rPr>
            </w:pPr>
            <w:r w:rsidRPr="00A55E33">
              <w:rPr>
                <w:rStyle w:val="1f8"/>
                <w:rFonts w:hint="eastAsia"/>
                <w:color w:val="FF0000"/>
              </w:rPr>
              <w:t>1</w:t>
            </w:r>
            <w:r w:rsidRPr="00A55E33">
              <w:rPr>
                <w:rStyle w:val="1f8"/>
                <w:color w:val="FF0000"/>
              </w:rPr>
              <w:t>.</w:t>
            </w:r>
            <w:r w:rsidRPr="00A55E33">
              <w:rPr>
                <w:rStyle w:val="1f8"/>
                <w:rFonts w:hint="eastAsia"/>
                <w:color w:val="FF0000"/>
              </w:rPr>
              <w:t>生活饮用水水源保护区，供水远景规划区；2</w:t>
            </w:r>
            <w:r w:rsidRPr="00A55E33">
              <w:rPr>
                <w:rStyle w:val="1f8"/>
                <w:color w:val="FF0000"/>
              </w:rPr>
              <w:t>.</w:t>
            </w:r>
            <w:r w:rsidRPr="00A55E33">
              <w:rPr>
                <w:rStyle w:val="1f8"/>
                <w:rFonts w:hint="eastAsia"/>
                <w:color w:val="FF0000"/>
              </w:rPr>
              <w:t>洪泛区和泄洪道；</w:t>
            </w:r>
          </w:p>
          <w:p w14:paraId="3813B84E" w14:textId="77777777" w:rsidR="00C41925" w:rsidRPr="00A55E33" w:rsidRDefault="00C41925" w:rsidP="003B6FD1">
            <w:pPr>
              <w:pStyle w:val="affffd"/>
              <w:jc w:val="both"/>
              <w:rPr>
                <w:rStyle w:val="1f8"/>
                <w:color w:val="FF0000"/>
              </w:rPr>
            </w:pPr>
            <w:r w:rsidRPr="00A55E33">
              <w:rPr>
                <w:rStyle w:val="1f8"/>
                <w:rFonts w:hint="eastAsia"/>
                <w:color w:val="FF0000"/>
              </w:rPr>
              <w:t>3</w:t>
            </w:r>
            <w:r w:rsidRPr="00A55E33">
              <w:rPr>
                <w:rStyle w:val="1f8"/>
                <w:color w:val="FF0000"/>
              </w:rPr>
              <w:t>.</w:t>
            </w:r>
            <w:r w:rsidRPr="00A55E33">
              <w:rPr>
                <w:rStyle w:val="1f8"/>
                <w:rFonts w:hint="eastAsia"/>
                <w:color w:val="FF0000"/>
              </w:rPr>
              <w:t>尚未开采的</w:t>
            </w:r>
            <w:r w:rsidRPr="00A55E33">
              <w:rPr>
                <w:rStyle w:val="1f8"/>
                <w:color w:val="FF0000"/>
              </w:rPr>
              <w:t>地下蕴矿区</w:t>
            </w:r>
            <w:r w:rsidRPr="00A55E33">
              <w:rPr>
                <w:rStyle w:val="1f8"/>
                <w:rFonts w:hint="eastAsia"/>
                <w:color w:val="FF0000"/>
              </w:rPr>
              <w:t>和岩溶发育区；</w:t>
            </w:r>
          </w:p>
          <w:p w14:paraId="5C1BDD9E" w14:textId="77777777" w:rsidR="00C41925" w:rsidRPr="00A55E33" w:rsidRDefault="00C41925" w:rsidP="003B6FD1">
            <w:pPr>
              <w:pStyle w:val="affffd"/>
              <w:jc w:val="both"/>
              <w:rPr>
                <w:rStyle w:val="1f8"/>
                <w:color w:val="FF0000"/>
              </w:rPr>
            </w:pPr>
            <w:r w:rsidRPr="00A55E33">
              <w:rPr>
                <w:rStyle w:val="1f8"/>
                <w:rFonts w:hint="eastAsia"/>
                <w:color w:val="FF0000"/>
              </w:rPr>
              <w:t>4</w:t>
            </w:r>
            <w:r w:rsidRPr="00A55E33">
              <w:rPr>
                <w:rStyle w:val="1f8"/>
                <w:color w:val="FF0000"/>
              </w:rPr>
              <w:t>.</w:t>
            </w:r>
            <w:r w:rsidRPr="00A55E33">
              <w:rPr>
                <w:rStyle w:val="1f8"/>
                <w:rFonts w:hint="eastAsia"/>
                <w:color w:val="FF0000"/>
              </w:rPr>
              <w:t>自然保护区；</w:t>
            </w:r>
          </w:p>
          <w:p w14:paraId="62D2294E" w14:textId="635557F2" w:rsidR="00C41925" w:rsidRPr="00A55E33" w:rsidRDefault="00C41925" w:rsidP="003B6FD1">
            <w:pPr>
              <w:pStyle w:val="affffd"/>
              <w:jc w:val="both"/>
              <w:rPr>
                <w:rFonts w:ascii="Times New Roman" w:eastAsia="宋体" w:hAnsi="Times New Roman" w:cs="Times New Roman"/>
                <w:color w:val="FF0000"/>
                <w:kern w:val="0"/>
                <w:szCs w:val="20"/>
              </w:rPr>
            </w:pPr>
            <w:r w:rsidRPr="00A55E33">
              <w:rPr>
                <w:rStyle w:val="1f8"/>
                <w:rFonts w:hint="eastAsia"/>
                <w:color w:val="FF0000"/>
              </w:rPr>
              <w:t>5</w:t>
            </w:r>
            <w:r w:rsidRPr="00A55E33">
              <w:rPr>
                <w:rStyle w:val="1f8"/>
                <w:color w:val="FF0000"/>
              </w:rPr>
              <w:t>.</w:t>
            </w:r>
            <w:r w:rsidRPr="00A55E33">
              <w:rPr>
                <w:rStyle w:val="1f8"/>
                <w:rFonts w:hint="eastAsia"/>
                <w:color w:val="FF0000"/>
              </w:rPr>
              <w:t>文物古迹区，考古学、历史学及生物学研究考察区。</w:t>
            </w:r>
          </w:p>
        </w:tc>
        <w:tc>
          <w:tcPr>
            <w:tcW w:w="4460" w:type="dxa"/>
            <w:vAlign w:val="center"/>
          </w:tcPr>
          <w:p w14:paraId="19474FA9" w14:textId="6EEC864F" w:rsidR="00C41925" w:rsidRPr="00A55E33" w:rsidRDefault="00C41925" w:rsidP="00C41925">
            <w:pPr>
              <w:pStyle w:val="a8"/>
              <w:ind w:firstLineChars="0" w:firstLine="0"/>
              <w:rPr>
                <w:rStyle w:val="1f8"/>
                <w:color w:val="FF0000"/>
              </w:rPr>
            </w:pPr>
            <w:r w:rsidRPr="00A55E33">
              <w:rPr>
                <w:rStyle w:val="1f8"/>
                <w:rFonts w:hint="eastAsia"/>
                <w:color w:val="FF0000"/>
              </w:rPr>
              <w:t>项目位于商洛市柞水县小六里沟，占地为建设用地，属自然山谷沟壑，选址符合当地乡镇环境卫生设施建设规划。项目防护距离为填埋库区与敞开式渗沥液处理区边界</w:t>
            </w:r>
            <w:r w:rsidRPr="00A55E33">
              <w:rPr>
                <w:rStyle w:val="1f8"/>
                <w:color w:val="FF0000"/>
              </w:rPr>
              <w:t>500m</w:t>
            </w:r>
            <w:r w:rsidRPr="00A55E33">
              <w:rPr>
                <w:rStyle w:val="1f8"/>
                <w:rFonts w:hint="eastAsia"/>
                <w:color w:val="FF0000"/>
              </w:rPr>
              <w:t>范围内，项目场址内有三处居民点，</w:t>
            </w:r>
            <w:r w:rsidR="00A55E33" w:rsidRPr="00A55E33">
              <w:rPr>
                <w:rStyle w:val="1f8"/>
                <w:rFonts w:hint="eastAsia"/>
                <w:color w:val="FF0000"/>
              </w:rPr>
              <w:t>，评价要求项目正式建设前应做好场址内居民的搬迁工作。</w:t>
            </w:r>
            <w:r w:rsidRPr="00A55E33">
              <w:rPr>
                <w:rStyle w:val="1f8"/>
                <w:rFonts w:hint="eastAsia"/>
                <w:color w:val="FF0000"/>
              </w:rPr>
              <w:t>厂址外</w:t>
            </w:r>
            <w:r w:rsidRPr="00A55E33">
              <w:rPr>
                <w:rStyle w:val="1f8"/>
                <w:color w:val="FF0000"/>
              </w:rPr>
              <w:t>400m</w:t>
            </w:r>
            <w:r w:rsidRPr="00A55E33">
              <w:rPr>
                <w:rStyle w:val="1f8"/>
                <w:color w:val="FF0000"/>
              </w:rPr>
              <w:t>范围内无居民，</w:t>
            </w:r>
            <w:r w:rsidRPr="00A55E33">
              <w:rPr>
                <w:rStyle w:val="1f8"/>
                <w:rFonts w:hint="eastAsia"/>
                <w:color w:val="FF0000"/>
              </w:rPr>
              <w:t>距离项目最近的敏感点为填埋区东南侧直线距离</w:t>
            </w:r>
            <w:r w:rsidRPr="00A55E33">
              <w:rPr>
                <w:rStyle w:val="1f8"/>
                <w:rFonts w:hint="eastAsia"/>
                <w:color w:val="FF0000"/>
              </w:rPr>
              <w:t>4</w:t>
            </w:r>
            <w:r w:rsidRPr="00A55E33">
              <w:rPr>
                <w:rStyle w:val="1f8"/>
                <w:color w:val="FF0000"/>
              </w:rPr>
              <w:t>55</w:t>
            </w:r>
            <w:r w:rsidRPr="00A55E33">
              <w:rPr>
                <w:rStyle w:val="1f8"/>
                <w:rFonts w:hint="eastAsia"/>
                <w:color w:val="FF0000"/>
              </w:rPr>
              <w:t>m</w:t>
            </w:r>
            <w:r w:rsidRPr="00A55E33">
              <w:rPr>
                <w:rStyle w:val="1f8"/>
                <w:rFonts w:hint="eastAsia"/>
                <w:color w:val="FF0000"/>
              </w:rPr>
              <w:t>处的松林村，但项目位于沟谷内，松林村和填埋场通过一道天然屏障（山梁）相隔，因此项目对松林村的影响较小，</w:t>
            </w:r>
            <w:r w:rsidRPr="00A55E33">
              <w:rPr>
                <w:rStyle w:val="1f8"/>
                <w:color w:val="FF0000"/>
              </w:rPr>
              <w:t>满足环境影响评价结论</w:t>
            </w:r>
            <w:r w:rsidRPr="00A55E33">
              <w:rPr>
                <w:rStyle w:val="1f8"/>
                <w:rFonts w:hint="eastAsia"/>
                <w:color w:val="FF0000"/>
              </w:rPr>
              <w:t>。</w:t>
            </w:r>
          </w:p>
          <w:p w14:paraId="33878B6D" w14:textId="69E6DEDB" w:rsidR="00C41925" w:rsidRPr="00A55E33" w:rsidRDefault="00C41925" w:rsidP="00C41925">
            <w:pPr>
              <w:pStyle w:val="a8"/>
              <w:ind w:firstLineChars="0" w:firstLine="0"/>
              <w:rPr>
                <w:rStyle w:val="1f8"/>
                <w:color w:val="FF0000"/>
              </w:rPr>
            </w:pPr>
            <w:r w:rsidRPr="00A55E33">
              <w:rPr>
                <w:rStyle w:val="1f8"/>
                <w:rFonts w:hint="eastAsia"/>
                <w:color w:val="FF0000"/>
              </w:rPr>
              <w:t>项目拟建地不涉及</w:t>
            </w:r>
            <w:r w:rsidRPr="00A55E33">
              <w:rPr>
                <w:rStyle w:val="1f8"/>
                <w:color w:val="FF0000"/>
              </w:rPr>
              <w:t>生活饮用水水源保护区，供水远景规划区；洪泛区和泄洪道；尚未开采的地下蕴矿区和岩溶发育区；自然保护区；文物古迹区，考古学、历史学及生物学研究考察区。</w:t>
            </w:r>
          </w:p>
        </w:tc>
        <w:tc>
          <w:tcPr>
            <w:tcW w:w="1028" w:type="dxa"/>
            <w:vAlign w:val="center"/>
          </w:tcPr>
          <w:p w14:paraId="71FC9243" w14:textId="77777777" w:rsidR="00C41925" w:rsidRPr="00A55E33" w:rsidRDefault="00C41925" w:rsidP="003B6FD1">
            <w:pPr>
              <w:pStyle w:val="a8"/>
              <w:ind w:firstLineChars="0" w:firstLine="0"/>
              <w:jc w:val="center"/>
              <w:rPr>
                <w:rStyle w:val="1f8"/>
                <w:color w:val="FF0000"/>
              </w:rPr>
            </w:pPr>
            <w:r w:rsidRPr="00A55E33">
              <w:rPr>
                <w:rStyle w:val="1f8"/>
                <w:color w:val="FF0000"/>
              </w:rPr>
              <w:t>符合</w:t>
            </w:r>
          </w:p>
        </w:tc>
      </w:tr>
    </w:tbl>
    <w:p w14:paraId="688B166A" w14:textId="446768CC" w:rsidR="00C41925" w:rsidRPr="00A55E33" w:rsidRDefault="00C41925" w:rsidP="00C41925">
      <w:pPr>
        <w:pStyle w:val="affffffffe"/>
        <w:ind w:firstLine="496"/>
        <w:rPr>
          <w:color w:val="FF0000"/>
        </w:rPr>
      </w:pPr>
      <w:r w:rsidRPr="00A55E33">
        <w:rPr>
          <w:rFonts w:hint="eastAsia"/>
          <w:color w:val="FF0000"/>
        </w:rPr>
        <w:t>本项目与</w:t>
      </w:r>
      <w:r w:rsidRPr="00A55E33">
        <w:rPr>
          <w:color w:val="FF0000"/>
        </w:rPr>
        <w:t>《生活垃圾卫生填埋处理技术规范》（</w:t>
      </w:r>
      <w:r w:rsidRPr="00A55E33">
        <w:rPr>
          <w:color w:val="FF0000"/>
        </w:rPr>
        <w:t>GB50869-2013</w:t>
      </w:r>
      <w:r w:rsidRPr="00A55E33">
        <w:rPr>
          <w:color w:val="FF0000"/>
        </w:rPr>
        <w:t>）符合性分析详见表</w:t>
      </w:r>
      <w:r w:rsidRPr="00A55E33">
        <w:rPr>
          <w:rFonts w:hint="eastAsia"/>
          <w:color w:val="FF0000"/>
        </w:rPr>
        <w:t>1.</w:t>
      </w:r>
      <w:r w:rsidRPr="00A55E33">
        <w:rPr>
          <w:color w:val="FF0000"/>
        </w:rPr>
        <w:t>4-7</w:t>
      </w:r>
      <w:r w:rsidRPr="00A55E33">
        <w:rPr>
          <w:color w:val="FF0000"/>
        </w:rPr>
        <w:t>。</w:t>
      </w:r>
    </w:p>
    <w:p w14:paraId="3AE7C91C" w14:textId="712A6760" w:rsidR="00C41925" w:rsidRPr="00A55E33" w:rsidRDefault="00C41925" w:rsidP="00C41925">
      <w:pPr>
        <w:pStyle w:val="affffffffe"/>
        <w:spacing w:line="240" w:lineRule="auto"/>
        <w:ind w:firstLineChars="0" w:firstLine="0"/>
        <w:jc w:val="center"/>
        <w:rPr>
          <w:rStyle w:val="afffd"/>
          <w:rFonts w:ascii="黑体" w:eastAsia="黑体" w:hAnsi="黑体"/>
          <w:bCs/>
          <w:color w:val="FF0000"/>
          <w:spacing w:val="0"/>
          <w:kern w:val="2"/>
        </w:rPr>
      </w:pPr>
      <w:r w:rsidRPr="00A55E33">
        <w:rPr>
          <w:rStyle w:val="afffd"/>
          <w:rFonts w:ascii="黑体" w:eastAsia="黑体" w:hAnsi="黑体"/>
          <w:bCs/>
          <w:color w:val="FF0000"/>
          <w:spacing w:val="0"/>
          <w:kern w:val="2"/>
        </w:rPr>
        <w:t>表</w:t>
      </w:r>
      <w:r w:rsidRPr="00A55E33">
        <w:rPr>
          <w:rStyle w:val="afffd"/>
          <w:rFonts w:ascii="黑体" w:eastAsia="黑体" w:hAnsi="黑体" w:hint="eastAsia"/>
          <w:bCs/>
          <w:color w:val="FF0000"/>
          <w:spacing w:val="0"/>
          <w:kern w:val="2"/>
        </w:rPr>
        <w:t>1.</w:t>
      </w:r>
      <w:r w:rsidRPr="00A55E33">
        <w:rPr>
          <w:rStyle w:val="afffd"/>
          <w:rFonts w:ascii="黑体" w:eastAsia="黑体" w:hAnsi="黑体"/>
          <w:bCs/>
          <w:color w:val="FF0000"/>
          <w:spacing w:val="0"/>
          <w:kern w:val="2"/>
        </w:rPr>
        <w:t xml:space="preserve">4-7 </w:t>
      </w:r>
      <w:r w:rsidRPr="00A55E33">
        <w:rPr>
          <w:rStyle w:val="afffd"/>
          <w:rFonts w:ascii="黑体" w:eastAsia="黑体" w:hAnsi="黑体" w:hint="eastAsia"/>
          <w:bCs/>
          <w:color w:val="FF0000"/>
          <w:spacing w:val="0"/>
          <w:kern w:val="2"/>
        </w:rPr>
        <w:t>项目</w:t>
      </w:r>
      <w:r w:rsidRPr="00A55E33">
        <w:rPr>
          <w:rStyle w:val="afffd"/>
          <w:rFonts w:ascii="黑体" w:eastAsia="黑体" w:hAnsi="黑体"/>
          <w:bCs/>
          <w:color w:val="FF0000"/>
          <w:spacing w:val="0"/>
          <w:kern w:val="2"/>
        </w:rPr>
        <w:t>与</w:t>
      </w:r>
      <w:r w:rsidRPr="00A55E33">
        <w:rPr>
          <w:rStyle w:val="afffd"/>
          <w:rFonts w:ascii="黑体" w:eastAsia="黑体" w:hAnsi="黑体" w:hint="eastAsia"/>
          <w:bCs/>
          <w:color w:val="FF0000"/>
          <w:spacing w:val="0"/>
          <w:kern w:val="2"/>
        </w:rPr>
        <w:t>《生活垃圾卫生填埋处理技术规范》（</w:t>
      </w:r>
      <w:r w:rsidRPr="00A55E33">
        <w:rPr>
          <w:rStyle w:val="afffd"/>
          <w:rFonts w:ascii="黑体" w:eastAsia="黑体" w:hAnsi="黑体"/>
          <w:bCs/>
          <w:color w:val="FF0000"/>
          <w:spacing w:val="0"/>
          <w:kern w:val="2"/>
        </w:rPr>
        <w:t>GB50869-2013）选址符合性分析</w:t>
      </w:r>
    </w:p>
    <w:tbl>
      <w:tblPr>
        <w:tblStyle w:val="afff8"/>
        <w:tblW w:w="5000" w:type="pct"/>
        <w:jc w:val="center"/>
        <w:tblLayout w:type="fixed"/>
        <w:tblLook w:val="04A0" w:firstRow="1" w:lastRow="0" w:firstColumn="1" w:lastColumn="0" w:noHBand="0" w:noVBand="1"/>
      </w:tblPr>
      <w:tblGrid>
        <w:gridCol w:w="4248"/>
        <w:gridCol w:w="4460"/>
        <w:gridCol w:w="1028"/>
      </w:tblGrid>
      <w:tr w:rsidR="00C41925" w:rsidRPr="00A55E33" w14:paraId="5CE2FC0C" w14:textId="77777777" w:rsidTr="003B6FD1">
        <w:trPr>
          <w:trHeight w:val="317"/>
          <w:jc w:val="center"/>
        </w:trPr>
        <w:tc>
          <w:tcPr>
            <w:tcW w:w="4248" w:type="dxa"/>
            <w:vAlign w:val="center"/>
          </w:tcPr>
          <w:p w14:paraId="691B0086" w14:textId="5AD32B84" w:rsidR="00C41925" w:rsidRPr="00A55E33" w:rsidRDefault="00C41925" w:rsidP="003D1D20">
            <w:pPr>
              <w:pStyle w:val="a8"/>
              <w:ind w:firstLineChars="0" w:firstLine="0"/>
              <w:jc w:val="center"/>
              <w:rPr>
                <w:rStyle w:val="1f8"/>
                <w:color w:val="FF0000"/>
              </w:rPr>
            </w:pPr>
            <w:r w:rsidRPr="00A55E33">
              <w:rPr>
                <w:rStyle w:val="1f8"/>
                <w:color w:val="FF0000"/>
              </w:rPr>
              <w:t>《生活垃圾卫生填埋处理技术规范》（</w:t>
            </w:r>
            <w:r w:rsidRPr="00A55E33">
              <w:rPr>
                <w:rStyle w:val="1f8"/>
                <w:color w:val="FF0000"/>
              </w:rPr>
              <w:t>GB50869-2013</w:t>
            </w:r>
            <w:r w:rsidRPr="00A55E33">
              <w:rPr>
                <w:rStyle w:val="1f8"/>
                <w:color w:val="FF0000"/>
              </w:rPr>
              <w:t>）要求</w:t>
            </w:r>
          </w:p>
        </w:tc>
        <w:tc>
          <w:tcPr>
            <w:tcW w:w="4460" w:type="dxa"/>
            <w:vAlign w:val="center"/>
          </w:tcPr>
          <w:p w14:paraId="4BF00E37" w14:textId="77777777" w:rsidR="00C41925" w:rsidRPr="00A55E33" w:rsidRDefault="00C41925" w:rsidP="003D1D20">
            <w:pPr>
              <w:pStyle w:val="a8"/>
              <w:ind w:firstLineChars="0" w:firstLine="0"/>
              <w:jc w:val="center"/>
              <w:rPr>
                <w:rStyle w:val="1f8"/>
                <w:color w:val="FF0000"/>
              </w:rPr>
            </w:pPr>
            <w:r w:rsidRPr="00A55E33">
              <w:rPr>
                <w:rStyle w:val="1f8"/>
                <w:color w:val="FF0000"/>
              </w:rPr>
              <w:t>本项目选址</w:t>
            </w:r>
          </w:p>
        </w:tc>
        <w:tc>
          <w:tcPr>
            <w:tcW w:w="1028" w:type="dxa"/>
            <w:vAlign w:val="center"/>
          </w:tcPr>
          <w:p w14:paraId="535E1F48" w14:textId="77777777" w:rsidR="00C41925" w:rsidRPr="00A55E33" w:rsidRDefault="00C41925" w:rsidP="003D1D20">
            <w:pPr>
              <w:pStyle w:val="a8"/>
              <w:ind w:firstLineChars="0" w:firstLine="0"/>
              <w:rPr>
                <w:rStyle w:val="1f8"/>
                <w:color w:val="FF0000"/>
              </w:rPr>
            </w:pPr>
            <w:r w:rsidRPr="00A55E33">
              <w:rPr>
                <w:rStyle w:val="1f8"/>
                <w:color w:val="FF0000"/>
              </w:rPr>
              <w:t>符合性</w:t>
            </w:r>
          </w:p>
        </w:tc>
      </w:tr>
      <w:tr w:rsidR="00C41925" w:rsidRPr="00A55E33" w14:paraId="4E6FE492" w14:textId="77777777" w:rsidTr="003B6FD1">
        <w:trPr>
          <w:trHeight w:val="317"/>
          <w:jc w:val="center"/>
        </w:trPr>
        <w:tc>
          <w:tcPr>
            <w:tcW w:w="4248" w:type="dxa"/>
            <w:vAlign w:val="center"/>
          </w:tcPr>
          <w:p w14:paraId="26659362" w14:textId="77777777"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填埋场不应设在下列地区：</w:t>
            </w:r>
          </w:p>
          <w:p w14:paraId="21D3D911" w14:textId="77777777"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1 </w:t>
            </w:r>
            <w:r w:rsidRPr="00A55E33">
              <w:rPr>
                <w:rFonts w:ascii="Times New Roman" w:eastAsia="宋体" w:hAnsi="Times New Roman" w:cs="Times New Roman"/>
                <w:color w:val="FF0000"/>
                <w:kern w:val="0"/>
                <w:szCs w:val="21"/>
              </w:rPr>
              <w:t>地下水集中供水水源地及补给区，水源保护区；</w:t>
            </w:r>
          </w:p>
          <w:p w14:paraId="573B1912" w14:textId="77777777"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2 </w:t>
            </w:r>
            <w:r w:rsidRPr="00A55E33">
              <w:rPr>
                <w:rFonts w:ascii="Times New Roman" w:eastAsia="宋体" w:hAnsi="Times New Roman" w:cs="Times New Roman"/>
                <w:color w:val="FF0000"/>
                <w:kern w:val="0"/>
                <w:szCs w:val="21"/>
              </w:rPr>
              <w:t>洪泛区和泄洪道；</w:t>
            </w:r>
          </w:p>
          <w:p w14:paraId="113DB4B6" w14:textId="77777777"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3 </w:t>
            </w:r>
            <w:r w:rsidRPr="00A55E33">
              <w:rPr>
                <w:rFonts w:ascii="Times New Roman" w:eastAsia="宋体" w:hAnsi="Times New Roman" w:cs="Times New Roman"/>
                <w:color w:val="FF0000"/>
                <w:kern w:val="0"/>
                <w:szCs w:val="21"/>
              </w:rPr>
              <w:t>填埋库区与敞开式渗沥液处理区边界距居民居住区或人</w:t>
            </w:r>
          </w:p>
          <w:p w14:paraId="074A768C" w14:textId="77777777"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畜供水点的卫生防护距离在</w:t>
            </w:r>
            <w:r w:rsidRPr="00A55E33">
              <w:rPr>
                <w:rFonts w:ascii="Times New Roman" w:eastAsia="宋体" w:hAnsi="Times New Roman" w:cs="Times New Roman"/>
                <w:color w:val="FF0000"/>
                <w:kern w:val="0"/>
                <w:szCs w:val="21"/>
              </w:rPr>
              <w:t>500m</w:t>
            </w:r>
            <w:r w:rsidRPr="00A55E33">
              <w:rPr>
                <w:rFonts w:ascii="Times New Roman" w:eastAsia="宋体" w:hAnsi="Times New Roman" w:cs="Times New Roman"/>
                <w:color w:val="FF0000"/>
                <w:kern w:val="0"/>
                <w:szCs w:val="21"/>
              </w:rPr>
              <w:t>以内的地区；</w:t>
            </w:r>
          </w:p>
          <w:p w14:paraId="3450FECF" w14:textId="6BE3BADA"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4 </w:t>
            </w:r>
            <w:r w:rsidRPr="00A55E33">
              <w:rPr>
                <w:rFonts w:ascii="Times New Roman" w:eastAsia="宋体" w:hAnsi="Times New Roman" w:cs="Times New Roman"/>
                <w:color w:val="FF0000"/>
                <w:kern w:val="0"/>
                <w:szCs w:val="21"/>
              </w:rPr>
              <w:t>填埋库区与渗沥液处理区边界距河流和湖泊</w:t>
            </w:r>
            <w:r w:rsidRPr="00A55E33">
              <w:rPr>
                <w:rFonts w:ascii="Times New Roman" w:eastAsia="宋体" w:hAnsi="Times New Roman" w:cs="Times New Roman"/>
                <w:color w:val="FF0000"/>
                <w:kern w:val="0"/>
                <w:szCs w:val="21"/>
              </w:rPr>
              <w:t>50m</w:t>
            </w:r>
            <w:r w:rsidRPr="00A55E33">
              <w:rPr>
                <w:rFonts w:ascii="Times New Roman" w:eastAsia="宋体" w:hAnsi="Times New Roman" w:cs="Times New Roman"/>
                <w:color w:val="FF0000"/>
                <w:kern w:val="0"/>
                <w:szCs w:val="21"/>
              </w:rPr>
              <w:t>以内的地区，</w:t>
            </w:r>
          </w:p>
          <w:p w14:paraId="5DEB05AA" w14:textId="2CAFF960"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5 </w:t>
            </w:r>
            <w:r w:rsidRPr="00A55E33">
              <w:rPr>
                <w:rFonts w:ascii="Times New Roman" w:eastAsia="宋体" w:hAnsi="Times New Roman" w:cs="Times New Roman"/>
                <w:color w:val="FF0000"/>
                <w:kern w:val="0"/>
                <w:szCs w:val="21"/>
              </w:rPr>
              <w:t>填埋库区与渗沥液处理区边界距民用机场</w:t>
            </w:r>
            <w:r w:rsidRPr="00A55E33">
              <w:rPr>
                <w:rFonts w:ascii="Times New Roman" w:eastAsia="宋体" w:hAnsi="Times New Roman" w:cs="Times New Roman"/>
                <w:color w:val="FF0000"/>
                <w:kern w:val="0"/>
                <w:szCs w:val="21"/>
              </w:rPr>
              <w:t>3km</w:t>
            </w:r>
            <w:r w:rsidRPr="00A55E33">
              <w:rPr>
                <w:rFonts w:ascii="Times New Roman" w:eastAsia="宋体" w:hAnsi="Times New Roman" w:cs="Times New Roman"/>
                <w:color w:val="FF0000"/>
                <w:kern w:val="0"/>
                <w:szCs w:val="21"/>
              </w:rPr>
              <w:t>以内的地区；</w:t>
            </w:r>
          </w:p>
          <w:p w14:paraId="1C454292" w14:textId="77777777"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6 </w:t>
            </w:r>
            <w:r w:rsidRPr="00A55E33">
              <w:rPr>
                <w:rFonts w:ascii="Times New Roman" w:eastAsia="宋体" w:hAnsi="Times New Roman" w:cs="Times New Roman"/>
                <w:color w:val="FF0000"/>
                <w:kern w:val="0"/>
                <w:szCs w:val="21"/>
              </w:rPr>
              <w:t>尚未开采的地下蕴矿区；</w:t>
            </w:r>
          </w:p>
          <w:p w14:paraId="28179F86" w14:textId="77777777" w:rsidR="00C41925" w:rsidRPr="00A55E33" w:rsidRDefault="00C41925"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7 </w:t>
            </w:r>
            <w:r w:rsidRPr="00A55E33">
              <w:rPr>
                <w:rFonts w:ascii="Times New Roman" w:eastAsia="宋体" w:hAnsi="Times New Roman" w:cs="Times New Roman"/>
                <w:color w:val="FF0000"/>
                <w:kern w:val="0"/>
                <w:szCs w:val="21"/>
              </w:rPr>
              <w:t>珍贵动植物保护区和国家、地方自然保护区；</w:t>
            </w:r>
          </w:p>
          <w:p w14:paraId="49A37B33" w14:textId="77777777" w:rsidR="003D1D20" w:rsidRPr="00A55E33" w:rsidRDefault="00C41925" w:rsidP="003D1D20">
            <w:pPr>
              <w:autoSpaceDE w:val="0"/>
              <w:autoSpaceDN w:val="0"/>
              <w:adjustRightInd w:val="0"/>
              <w:jc w:val="left"/>
              <w:rPr>
                <w:rFonts w:ascii="Times New Roman" w:eastAsia="宋体" w:hAnsi="Times New Roman" w:cs="Times New Roman"/>
                <w:bCs/>
                <w:color w:val="FF0000"/>
                <w:kern w:val="0"/>
                <w:szCs w:val="21"/>
              </w:rPr>
            </w:pPr>
            <w:r w:rsidRPr="00A55E33">
              <w:rPr>
                <w:rFonts w:ascii="Times New Roman" w:eastAsia="宋体" w:hAnsi="Times New Roman" w:cs="Times New Roman"/>
                <w:color w:val="FF0000"/>
                <w:kern w:val="0"/>
                <w:szCs w:val="21"/>
              </w:rPr>
              <w:t xml:space="preserve">8 </w:t>
            </w:r>
            <w:r w:rsidRPr="00A55E33">
              <w:rPr>
                <w:rFonts w:ascii="Times New Roman" w:eastAsia="宋体" w:hAnsi="Times New Roman" w:cs="Times New Roman"/>
                <w:color w:val="FF0000"/>
                <w:kern w:val="0"/>
                <w:szCs w:val="21"/>
              </w:rPr>
              <w:t>公园，风景、游览区，文物古迹区，考古学、历史学及生物学</w:t>
            </w:r>
            <w:r w:rsidR="003D1D20" w:rsidRPr="00A55E33">
              <w:rPr>
                <w:rFonts w:ascii="Times New Roman" w:eastAsia="宋体" w:hAnsi="Times New Roman" w:cs="Times New Roman"/>
                <w:bCs/>
                <w:color w:val="FF0000"/>
                <w:kern w:val="0"/>
                <w:szCs w:val="21"/>
              </w:rPr>
              <w:t>研究考察区；</w:t>
            </w:r>
          </w:p>
          <w:p w14:paraId="0AEC51F9" w14:textId="1FBA38E8" w:rsidR="00C41925" w:rsidRPr="00A55E33" w:rsidRDefault="003D1D20" w:rsidP="003D1D20">
            <w:pPr>
              <w:pStyle w:val="affffd"/>
              <w:spacing w:line="240" w:lineRule="auto"/>
              <w:jc w:val="both"/>
              <w:rPr>
                <w:rFonts w:ascii="Times New Roman" w:eastAsia="宋体" w:hAnsi="Times New Roman" w:cs="Times New Roman"/>
                <w:color w:val="FF0000"/>
                <w:kern w:val="0"/>
              </w:rPr>
            </w:pPr>
            <w:r w:rsidRPr="00A55E33">
              <w:rPr>
                <w:rFonts w:ascii="Times New Roman" w:eastAsia="宋体" w:hAnsi="Times New Roman" w:cs="Times New Roman"/>
                <w:color w:val="FF0000"/>
                <w:kern w:val="0"/>
              </w:rPr>
              <w:t xml:space="preserve">9 </w:t>
            </w:r>
            <w:r w:rsidRPr="00A55E33">
              <w:rPr>
                <w:rFonts w:ascii="Times New Roman" w:eastAsia="宋体" w:hAnsi="Times New Roman" w:cs="Times New Roman"/>
                <w:bCs/>
                <w:color w:val="FF0000"/>
                <w:kern w:val="0"/>
              </w:rPr>
              <w:t>军事要地、军工基地和国家保密地区。</w:t>
            </w:r>
          </w:p>
        </w:tc>
        <w:tc>
          <w:tcPr>
            <w:tcW w:w="4460" w:type="dxa"/>
            <w:vAlign w:val="center"/>
          </w:tcPr>
          <w:p w14:paraId="50E109DE" w14:textId="7D36FA10" w:rsidR="00C41925" w:rsidRPr="00A55E33" w:rsidRDefault="00C41925" w:rsidP="003D1D20">
            <w:pPr>
              <w:pStyle w:val="a8"/>
              <w:rPr>
                <w:rStyle w:val="1f8"/>
                <w:color w:val="FF0000"/>
              </w:rPr>
            </w:pPr>
            <w:r w:rsidRPr="00A55E33">
              <w:rPr>
                <w:rStyle w:val="1f8"/>
                <w:color w:val="FF0000"/>
              </w:rPr>
              <w:t>项目位于商洛市柞水县小六里沟，</w:t>
            </w:r>
            <w:r w:rsidR="003D1D20" w:rsidRPr="00A55E33">
              <w:rPr>
                <w:rStyle w:val="1f8"/>
                <w:color w:val="FF0000"/>
              </w:rPr>
              <w:t>拟建地不涉及地下水集中供水水源地及补给区，水源保护区、洪泛区和泄洪道、填埋库区与渗沥液处理区边界距河流和湖泊</w:t>
            </w:r>
            <w:r w:rsidR="003D1D20" w:rsidRPr="00A55E33">
              <w:rPr>
                <w:rStyle w:val="1f8"/>
                <w:color w:val="FF0000"/>
              </w:rPr>
              <w:t>50m</w:t>
            </w:r>
            <w:r w:rsidR="003D1D20" w:rsidRPr="00A55E33">
              <w:rPr>
                <w:rStyle w:val="1f8"/>
                <w:color w:val="FF0000"/>
              </w:rPr>
              <w:t>以内的地区、填埋库区与渗沥液处理区边界距民用机场</w:t>
            </w:r>
            <w:r w:rsidR="003D1D20" w:rsidRPr="00A55E33">
              <w:rPr>
                <w:rStyle w:val="1f8"/>
                <w:color w:val="FF0000"/>
              </w:rPr>
              <w:t>3km</w:t>
            </w:r>
            <w:r w:rsidR="003D1D20" w:rsidRPr="00A55E33">
              <w:rPr>
                <w:rStyle w:val="1f8"/>
                <w:color w:val="FF0000"/>
              </w:rPr>
              <w:t>以内的地区、尚未开采的地下蕴矿区、珍贵动植物保护区和国家、地方自然保护区、</w:t>
            </w:r>
            <w:r w:rsidR="003D1D20" w:rsidRPr="00A55E33">
              <w:rPr>
                <w:rStyle w:val="1f8"/>
                <w:color w:val="FF0000"/>
              </w:rPr>
              <w:t xml:space="preserve"> </w:t>
            </w:r>
            <w:r w:rsidR="003D1D20" w:rsidRPr="00A55E33">
              <w:rPr>
                <w:rStyle w:val="1f8"/>
                <w:color w:val="FF0000"/>
              </w:rPr>
              <w:t>公园，风景、游览区，文物古迹区，考古学、历史学及生物学研究考察区、军事要地、军工基地和国家保密地区。</w:t>
            </w:r>
          </w:p>
          <w:p w14:paraId="2711695E" w14:textId="72FB1F3A" w:rsidR="003D1D20" w:rsidRPr="00A55E33" w:rsidRDefault="003D1D20" w:rsidP="003D1D20">
            <w:pPr>
              <w:pStyle w:val="a8"/>
              <w:ind w:firstLineChars="0" w:firstLine="0"/>
              <w:rPr>
                <w:rStyle w:val="1f8"/>
                <w:color w:val="FF0000"/>
              </w:rPr>
            </w:pPr>
            <w:r w:rsidRPr="00A55E33">
              <w:rPr>
                <w:rStyle w:val="1f8"/>
                <w:color w:val="FF0000"/>
              </w:rPr>
              <w:t>项目防护距离为填埋库区与敞开式渗沥液处理区边界</w:t>
            </w:r>
            <w:r w:rsidRPr="00A55E33">
              <w:rPr>
                <w:rStyle w:val="1f8"/>
                <w:color w:val="FF0000"/>
              </w:rPr>
              <w:t>500m</w:t>
            </w:r>
            <w:r w:rsidRPr="00A55E33">
              <w:rPr>
                <w:rStyle w:val="1f8"/>
                <w:color w:val="FF0000"/>
              </w:rPr>
              <w:t>范围内，项目场址内有三处居民点，</w:t>
            </w:r>
            <w:r w:rsidR="00A55E33" w:rsidRPr="00A55E33">
              <w:rPr>
                <w:rStyle w:val="1f8"/>
                <w:rFonts w:hint="eastAsia"/>
                <w:color w:val="FF0000"/>
              </w:rPr>
              <w:t>评价要求项目正式建设前应做好场址内居民的搬迁工作。</w:t>
            </w:r>
            <w:r w:rsidRPr="00A55E33">
              <w:rPr>
                <w:rStyle w:val="1f8"/>
                <w:color w:val="FF0000"/>
              </w:rPr>
              <w:t>厂址外</w:t>
            </w:r>
            <w:r w:rsidRPr="00A55E33">
              <w:rPr>
                <w:rStyle w:val="1f8"/>
                <w:color w:val="FF0000"/>
              </w:rPr>
              <w:t>400m</w:t>
            </w:r>
            <w:r w:rsidRPr="00A55E33">
              <w:rPr>
                <w:rStyle w:val="1f8"/>
                <w:color w:val="FF0000"/>
              </w:rPr>
              <w:t>范围内无居民，距离项目最近的敏感点为填埋区东南侧直线距离</w:t>
            </w:r>
            <w:r w:rsidRPr="00A55E33">
              <w:rPr>
                <w:rStyle w:val="1f8"/>
                <w:color w:val="FF0000"/>
              </w:rPr>
              <w:t>455m</w:t>
            </w:r>
            <w:r w:rsidRPr="00A55E33">
              <w:rPr>
                <w:rStyle w:val="1f8"/>
                <w:color w:val="FF0000"/>
              </w:rPr>
              <w:t>处的松林村，但项目位于沟谷内，松林村和填埋场通过一道天然屏障（山梁）相隔，因此项目对松林村的影响较小，符合防护距离要求。</w:t>
            </w:r>
          </w:p>
        </w:tc>
        <w:tc>
          <w:tcPr>
            <w:tcW w:w="1028" w:type="dxa"/>
            <w:vAlign w:val="center"/>
          </w:tcPr>
          <w:p w14:paraId="6203FF8E" w14:textId="77777777" w:rsidR="00C41925" w:rsidRPr="00A55E33" w:rsidRDefault="00C41925" w:rsidP="003D1D20">
            <w:pPr>
              <w:pStyle w:val="a8"/>
              <w:ind w:firstLineChars="0" w:firstLine="0"/>
              <w:jc w:val="center"/>
              <w:rPr>
                <w:rStyle w:val="1f8"/>
                <w:color w:val="FF0000"/>
              </w:rPr>
            </w:pPr>
            <w:r w:rsidRPr="00A55E33">
              <w:rPr>
                <w:rStyle w:val="1f8"/>
                <w:color w:val="FF0000"/>
              </w:rPr>
              <w:t>符合</w:t>
            </w:r>
          </w:p>
        </w:tc>
      </w:tr>
      <w:tr w:rsidR="00C41925" w:rsidRPr="00A55E33" w14:paraId="39446FFC" w14:textId="77777777" w:rsidTr="003B6FD1">
        <w:trPr>
          <w:trHeight w:val="317"/>
          <w:jc w:val="center"/>
        </w:trPr>
        <w:tc>
          <w:tcPr>
            <w:tcW w:w="4248" w:type="dxa"/>
            <w:vAlign w:val="center"/>
          </w:tcPr>
          <w:p w14:paraId="44BD22EB" w14:textId="19F98C59" w:rsidR="003D1D20" w:rsidRPr="00A55E33" w:rsidRDefault="003D1D20"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填埋场选址应符合现行国家标准《生活垃圾填埋场污染控制标准》</w:t>
            </w:r>
            <w:r w:rsidRPr="00A55E33">
              <w:rPr>
                <w:rFonts w:ascii="Times New Roman" w:eastAsia="宋体" w:hAnsi="Times New Roman" w:cs="Times New Roman"/>
                <w:color w:val="FF0000"/>
                <w:kern w:val="0"/>
                <w:szCs w:val="21"/>
              </w:rPr>
              <w:t>GB 16889</w:t>
            </w:r>
            <w:r w:rsidRPr="00A55E33">
              <w:rPr>
                <w:rFonts w:ascii="Times New Roman" w:eastAsia="宋体" w:hAnsi="Times New Roman" w:cs="Times New Roman"/>
                <w:color w:val="FF0000"/>
                <w:kern w:val="0"/>
                <w:szCs w:val="21"/>
              </w:rPr>
              <w:t>和相关标准</w:t>
            </w:r>
            <w:r w:rsidRPr="00A55E33">
              <w:rPr>
                <w:rFonts w:ascii="Times New Roman" w:eastAsia="宋体" w:hAnsi="Times New Roman" w:cs="Times New Roman"/>
                <w:color w:val="FF0000"/>
                <w:kern w:val="0"/>
                <w:szCs w:val="21"/>
              </w:rPr>
              <w:lastRenderedPageBreak/>
              <w:t>的规定，并应符合下列规定：</w:t>
            </w:r>
          </w:p>
          <w:p w14:paraId="195129C5" w14:textId="10DB87E0" w:rsidR="003D1D20" w:rsidRPr="00A55E33" w:rsidRDefault="003D1D20"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1 </w:t>
            </w:r>
            <w:r w:rsidRPr="00A55E33">
              <w:rPr>
                <w:rFonts w:ascii="Times New Roman" w:eastAsia="宋体" w:hAnsi="Times New Roman" w:cs="Times New Roman"/>
                <w:color w:val="FF0000"/>
                <w:kern w:val="0"/>
                <w:szCs w:val="21"/>
              </w:rPr>
              <w:t>应与当地城市总体规划和城市环境卫生专业规划协调一致；</w:t>
            </w:r>
          </w:p>
          <w:p w14:paraId="24827382" w14:textId="7C98A5CE" w:rsidR="003D1D20" w:rsidRPr="00A55E33" w:rsidRDefault="003D1D20"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2 </w:t>
            </w:r>
            <w:r w:rsidRPr="00A55E33">
              <w:rPr>
                <w:rFonts w:ascii="Times New Roman" w:eastAsia="宋体" w:hAnsi="Times New Roman" w:cs="Times New Roman"/>
                <w:color w:val="FF0000"/>
                <w:kern w:val="0"/>
                <w:szCs w:val="21"/>
              </w:rPr>
              <w:t>应与当地的大气防护、水土资源保护、自然保护及生态平衡要求相一致；</w:t>
            </w:r>
          </w:p>
          <w:p w14:paraId="3B961ADE" w14:textId="77777777" w:rsidR="003D1D20" w:rsidRPr="00A55E33" w:rsidRDefault="003D1D20"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3 </w:t>
            </w:r>
            <w:r w:rsidRPr="00A55E33">
              <w:rPr>
                <w:rFonts w:ascii="Times New Roman" w:eastAsia="宋体" w:hAnsi="Times New Roman" w:cs="Times New Roman"/>
                <w:color w:val="FF0000"/>
                <w:kern w:val="0"/>
                <w:szCs w:val="21"/>
              </w:rPr>
              <w:t>应交通方便，运距合理；</w:t>
            </w:r>
          </w:p>
          <w:p w14:paraId="08918BEC" w14:textId="77777777" w:rsidR="003D1D20" w:rsidRPr="00A55E33" w:rsidRDefault="003D1D20"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4 </w:t>
            </w:r>
            <w:r w:rsidRPr="00A55E33">
              <w:rPr>
                <w:rFonts w:ascii="Times New Roman" w:eastAsia="宋体" w:hAnsi="Times New Roman" w:cs="Times New Roman"/>
                <w:color w:val="FF0000"/>
                <w:kern w:val="0"/>
                <w:szCs w:val="21"/>
              </w:rPr>
              <w:t>人口密度、土地利用价值及征地费用均应合理；</w:t>
            </w:r>
          </w:p>
          <w:p w14:paraId="7F470CAF" w14:textId="0BED99E0" w:rsidR="003D1D20" w:rsidRPr="00A55E33" w:rsidRDefault="003D1D20"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5 </w:t>
            </w:r>
            <w:r w:rsidRPr="00A55E33">
              <w:rPr>
                <w:rFonts w:ascii="Times New Roman" w:eastAsia="宋体" w:hAnsi="Times New Roman" w:cs="Times New Roman"/>
                <w:color w:val="FF0000"/>
                <w:kern w:val="0"/>
                <w:szCs w:val="21"/>
              </w:rPr>
              <w:t>应位于地下水贫乏地区、环境保护目标区域的地下水流向下游地区及夏季主导风向下风向；</w:t>
            </w:r>
          </w:p>
          <w:p w14:paraId="63D5734E" w14:textId="3B78EC5C" w:rsidR="003D1D20" w:rsidRPr="00A55E33" w:rsidRDefault="003D1D20" w:rsidP="003D1D20">
            <w:pPr>
              <w:autoSpaceDE w:val="0"/>
              <w:autoSpaceDN w:val="0"/>
              <w:adjustRightInd w:val="0"/>
              <w:jc w:val="left"/>
              <w:rPr>
                <w:rFonts w:ascii="Times New Roman" w:eastAsia="宋体" w:hAnsi="Times New Roman" w:cs="Times New Roman"/>
                <w:color w:val="FF0000"/>
                <w:kern w:val="0"/>
                <w:szCs w:val="21"/>
              </w:rPr>
            </w:pPr>
            <w:r w:rsidRPr="00A55E33">
              <w:rPr>
                <w:rFonts w:ascii="Times New Roman" w:eastAsia="宋体" w:hAnsi="Times New Roman" w:cs="Times New Roman"/>
                <w:color w:val="FF0000"/>
                <w:kern w:val="0"/>
                <w:szCs w:val="21"/>
              </w:rPr>
              <w:t xml:space="preserve">6 </w:t>
            </w:r>
            <w:r w:rsidRPr="00A55E33">
              <w:rPr>
                <w:rFonts w:ascii="Times New Roman" w:eastAsia="宋体" w:hAnsi="Times New Roman" w:cs="Times New Roman"/>
                <w:color w:val="FF0000"/>
                <w:kern w:val="0"/>
                <w:szCs w:val="21"/>
              </w:rPr>
              <w:t>选址应有建设项目所在地的建设、规划、环保、环卫、国土资源、水利、卫生监督等有关部门和专业设计单位的有关专业技术人员参加；</w:t>
            </w:r>
          </w:p>
          <w:p w14:paraId="35A083CA" w14:textId="0EB554ED" w:rsidR="00C41925" w:rsidRPr="00A55E33" w:rsidRDefault="003D1D20" w:rsidP="003D1D20">
            <w:pPr>
              <w:pStyle w:val="affffd"/>
              <w:spacing w:line="240" w:lineRule="auto"/>
              <w:jc w:val="both"/>
              <w:rPr>
                <w:rFonts w:ascii="Times New Roman" w:eastAsia="宋体" w:hAnsi="Times New Roman" w:cs="Times New Roman"/>
                <w:color w:val="FF0000"/>
                <w:kern w:val="0"/>
              </w:rPr>
            </w:pPr>
            <w:r w:rsidRPr="00A55E33">
              <w:rPr>
                <w:rFonts w:ascii="Times New Roman" w:eastAsia="宋体" w:hAnsi="Times New Roman" w:cs="Times New Roman"/>
                <w:color w:val="FF0000"/>
                <w:kern w:val="0"/>
              </w:rPr>
              <w:t xml:space="preserve">7 </w:t>
            </w:r>
            <w:r w:rsidRPr="00A55E33">
              <w:rPr>
                <w:rFonts w:ascii="Times New Roman" w:eastAsia="宋体" w:hAnsi="Times New Roman" w:cs="Times New Roman"/>
                <w:color w:val="FF0000"/>
                <w:kern w:val="0"/>
              </w:rPr>
              <w:t>应符合环境影响评价的要求。</w:t>
            </w:r>
          </w:p>
        </w:tc>
        <w:tc>
          <w:tcPr>
            <w:tcW w:w="4460" w:type="dxa"/>
            <w:vAlign w:val="center"/>
          </w:tcPr>
          <w:p w14:paraId="4A51E069" w14:textId="3A018807" w:rsidR="003D1D20" w:rsidRPr="00A55E33" w:rsidRDefault="003D1D20" w:rsidP="003D1D20">
            <w:pPr>
              <w:autoSpaceDE w:val="0"/>
              <w:autoSpaceDN w:val="0"/>
              <w:adjustRightInd w:val="0"/>
              <w:rPr>
                <w:rFonts w:ascii="Times New Roman" w:eastAsia="宋体" w:hAnsi="Times New Roman" w:cs="Times New Roman"/>
                <w:color w:val="FF0000"/>
                <w:kern w:val="0"/>
                <w:szCs w:val="21"/>
              </w:rPr>
            </w:pPr>
            <w:r w:rsidRPr="00A55E33">
              <w:rPr>
                <w:rStyle w:val="1f8"/>
                <w:rFonts w:ascii="Times New Roman" w:eastAsia="宋体" w:hAnsi="Times New Roman" w:cs="Times New Roman"/>
                <w:color w:val="FF0000"/>
              </w:rPr>
              <w:lastRenderedPageBreak/>
              <w:t>项目选址符合</w:t>
            </w:r>
            <w:r w:rsidRPr="00A55E33">
              <w:rPr>
                <w:rFonts w:ascii="Times New Roman" w:eastAsia="宋体" w:hAnsi="Times New Roman" w:cs="Times New Roman"/>
                <w:color w:val="FF0000"/>
                <w:kern w:val="0"/>
                <w:szCs w:val="21"/>
              </w:rPr>
              <w:t>《生活垃圾填埋场污染控制标准》</w:t>
            </w:r>
            <w:r w:rsidRPr="00A55E33">
              <w:rPr>
                <w:rFonts w:ascii="Times New Roman" w:eastAsia="宋体" w:hAnsi="Times New Roman" w:cs="Times New Roman"/>
                <w:color w:val="FF0000"/>
                <w:kern w:val="0"/>
                <w:szCs w:val="21"/>
              </w:rPr>
              <w:t>GB 16889</w:t>
            </w:r>
            <w:r w:rsidRPr="00A55E33">
              <w:rPr>
                <w:rFonts w:ascii="Times New Roman" w:eastAsia="宋体" w:hAnsi="Times New Roman" w:cs="Times New Roman"/>
                <w:color w:val="FF0000"/>
                <w:kern w:val="0"/>
                <w:szCs w:val="21"/>
              </w:rPr>
              <w:t>和相关标准的规定</w:t>
            </w:r>
            <w:r w:rsidRPr="00A55E33">
              <w:rPr>
                <w:rFonts w:ascii="Times New Roman" w:eastAsia="宋体" w:hAnsi="Times New Roman" w:cs="Times New Roman"/>
                <w:color w:val="FF0000"/>
                <w:szCs w:val="21"/>
              </w:rPr>
              <w:t>，与柞水县</w:t>
            </w:r>
            <w:r w:rsidRPr="00A55E33">
              <w:rPr>
                <w:rFonts w:ascii="Times New Roman" w:eastAsia="宋体" w:hAnsi="Times New Roman" w:cs="Times New Roman"/>
                <w:color w:val="FF0000"/>
                <w:kern w:val="0"/>
                <w:szCs w:val="21"/>
              </w:rPr>
              <w:t>总体规</w:t>
            </w:r>
            <w:r w:rsidRPr="00A55E33">
              <w:rPr>
                <w:rFonts w:ascii="Times New Roman" w:eastAsia="宋体" w:hAnsi="Times New Roman" w:cs="Times New Roman"/>
                <w:color w:val="FF0000"/>
                <w:kern w:val="0"/>
                <w:szCs w:val="21"/>
              </w:rPr>
              <w:lastRenderedPageBreak/>
              <w:t>划和城市环境卫生专业规划协调一致，符合柞水县大气防护、水土资源保护、自然保护及生态平衡要求，项目拟建地东侧紧邻道路，交通方便，项目位于地下水贫乏地区、环境保护目标区域的地下水流向下游地区及夏季主导风向下风向，项目选址由柞水县建设、规划、环保、环卫、国土资源、水利、卫生监督等有关部门和专业设计单位的有关专业技术人员共同参与确定，项目选址符合环境影响评价要求。</w:t>
            </w:r>
          </w:p>
          <w:p w14:paraId="69ECB28C" w14:textId="656CB639" w:rsidR="00C41925" w:rsidRPr="00A55E33" w:rsidRDefault="00C41925" w:rsidP="003D1D20">
            <w:pPr>
              <w:pStyle w:val="a8"/>
              <w:ind w:firstLineChars="0" w:firstLine="0"/>
              <w:rPr>
                <w:rStyle w:val="1f8"/>
                <w:color w:val="FF0000"/>
              </w:rPr>
            </w:pPr>
          </w:p>
        </w:tc>
        <w:tc>
          <w:tcPr>
            <w:tcW w:w="1028" w:type="dxa"/>
            <w:vAlign w:val="center"/>
          </w:tcPr>
          <w:p w14:paraId="388AA0B7" w14:textId="77777777" w:rsidR="00C41925" w:rsidRPr="00A55E33" w:rsidRDefault="00C41925" w:rsidP="003D1D20">
            <w:pPr>
              <w:pStyle w:val="a8"/>
              <w:ind w:firstLineChars="0" w:firstLine="0"/>
              <w:jc w:val="center"/>
              <w:rPr>
                <w:rStyle w:val="1f8"/>
                <w:color w:val="FF0000"/>
              </w:rPr>
            </w:pPr>
            <w:r w:rsidRPr="00A55E33">
              <w:rPr>
                <w:rStyle w:val="1f8"/>
                <w:color w:val="FF0000"/>
              </w:rPr>
              <w:lastRenderedPageBreak/>
              <w:t>符合</w:t>
            </w:r>
          </w:p>
        </w:tc>
      </w:tr>
    </w:tbl>
    <w:p w14:paraId="0EE2E0D9" w14:textId="6EF7E417" w:rsidR="00D12939" w:rsidRDefault="004F47F5">
      <w:pPr>
        <w:pStyle w:val="affffffffe"/>
        <w:ind w:firstLine="496"/>
        <w:rPr>
          <w:rStyle w:val="fontstyle01"/>
          <w:rFonts w:hint="default"/>
          <w:color w:val="auto"/>
        </w:rPr>
      </w:pPr>
      <w:r>
        <w:rPr>
          <w:rStyle w:val="fontstyle01"/>
          <w:rFonts w:hint="default"/>
          <w:color w:val="auto"/>
        </w:rPr>
        <w:lastRenderedPageBreak/>
        <w:t>综上所述，本项目选址合理可行。</w:t>
      </w:r>
    </w:p>
    <w:p w14:paraId="30D88B59" w14:textId="77777777" w:rsidR="00D12939" w:rsidRDefault="004F47F5">
      <w:pPr>
        <w:pStyle w:val="2"/>
        <w:spacing w:line="360" w:lineRule="auto"/>
        <w:ind w:firstLine="560"/>
        <w:rPr>
          <w:sz w:val="28"/>
        </w:rPr>
      </w:pPr>
      <w:bookmarkStart w:id="75" w:name="_Toc1391"/>
      <w:bookmarkStart w:id="76" w:name="_Toc22744217"/>
      <w:bookmarkStart w:id="77" w:name="_Toc10700"/>
      <w:bookmarkStart w:id="78" w:name="_Toc20824"/>
      <w:bookmarkStart w:id="79" w:name="_Toc16968"/>
      <w:bookmarkStart w:id="80" w:name="_Toc17223"/>
      <w:bookmarkStart w:id="81" w:name="_Toc5467"/>
      <w:bookmarkStart w:id="82" w:name="_Toc1754"/>
      <w:bookmarkStart w:id="83" w:name="_Toc25009"/>
      <w:bookmarkStart w:id="84" w:name="_Toc13915"/>
      <w:bookmarkStart w:id="85" w:name="_Toc6753"/>
      <w:bookmarkStart w:id="86" w:name="_Toc1276"/>
      <w:bookmarkStart w:id="87" w:name="_Toc15343"/>
      <w:bookmarkStart w:id="88" w:name="_Toc1162"/>
      <w:bookmarkStart w:id="89" w:name="_Toc121411682"/>
      <w:r>
        <w:rPr>
          <w:sz w:val="28"/>
        </w:rPr>
        <w:t>1.5</w:t>
      </w:r>
      <w:r>
        <w:rPr>
          <w:sz w:val="28"/>
        </w:rPr>
        <w:t>关注的主要环境问题及环境影响</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7E6696BE" w14:textId="77777777" w:rsidR="00D12939" w:rsidRDefault="004F47F5">
      <w:pPr>
        <w:autoSpaceDE w:val="0"/>
        <w:autoSpaceDN w:val="0"/>
        <w:adjustRightInd w:val="0"/>
        <w:spacing w:line="360" w:lineRule="auto"/>
        <w:ind w:firstLineChars="200" w:firstLine="480"/>
        <w:rPr>
          <w:rFonts w:ascii="宋体" w:eastAsia="宋体" w:hAnsi="宋体" w:cs="宋体"/>
          <w:kern w:val="0"/>
          <w:sz w:val="24"/>
          <w:szCs w:val="24"/>
        </w:rPr>
      </w:pPr>
      <w:r>
        <w:rPr>
          <w:rFonts w:ascii="宋体" w:eastAsia="宋体" w:hAnsi="宋体" w:cs="宋体" w:hint="eastAsia"/>
          <w:kern w:val="0"/>
          <w:sz w:val="24"/>
          <w:szCs w:val="24"/>
        </w:rPr>
        <w:t>本项目为城市生活垃圾填埋场建设项目，根据工程分析和现场调查的结果，本项目需关注的主要环境问题如下：</w:t>
      </w:r>
    </w:p>
    <w:p w14:paraId="40B1E6D1" w14:textId="77777777" w:rsidR="00D12939" w:rsidRDefault="004F47F5">
      <w:pPr>
        <w:autoSpaceDE w:val="0"/>
        <w:autoSpaceDN w:val="0"/>
        <w:adjustRightInd w:val="0"/>
        <w:spacing w:line="360" w:lineRule="auto"/>
        <w:ind w:firstLineChars="200" w:firstLine="480"/>
        <w:rPr>
          <w:rFonts w:ascii="宋体" w:eastAsia="宋体" w:hAnsi="宋体" w:cs="宋体"/>
          <w:kern w:val="0"/>
          <w:sz w:val="24"/>
          <w:szCs w:val="24"/>
        </w:rPr>
      </w:pPr>
      <w:r>
        <w:rPr>
          <w:rFonts w:ascii="宋体" w:eastAsia="宋体" w:hAnsi="宋体" w:cs="宋体" w:hint="eastAsia"/>
          <w:kern w:val="0"/>
          <w:sz w:val="24"/>
          <w:szCs w:val="24"/>
        </w:rPr>
        <w:t>（</w:t>
      </w:r>
      <w:r>
        <w:rPr>
          <w:rFonts w:ascii="宋体" w:eastAsia="宋体" w:hAnsi="宋体" w:cs="TimesNewRomanPSMT"/>
          <w:kern w:val="0"/>
          <w:sz w:val="24"/>
          <w:szCs w:val="24"/>
        </w:rPr>
        <w:t>1</w:t>
      </w:r>
      <w:r>
        <w:rPr>
          <w:rFonts w:ascii="宋体" w:eastAsia="宋体" w:hAnsi="宋体" w:cs="宋体" w:hint="eastAsia"/>
          <w:kern w:val="0"/>
          <w:sz w:val="24"/>
          <w:szCs w:val="24"/>
        </w:rPr>
        <w:t>）项目选址的合理性及选址的环境可行性；</w:t>
      </w:r>
    </w:p>
    <w:p w14:paraId="03F0BA12" w14:textId="77777777" w:rsidR="00D12939" w:rsidRDefault="004F47F5">
      <w:pPr>
        <w:autoSpaceDE w:val="0"/>
        <w:autoSpaceDN w:val="0"/>
        <w:adjustRightInd w:val="0"/>
        <w:spacing w:line="360" w:lineRule="auto"/>
        <w:ind w:firstLineChars="200" w:firstLine="480"/>
        <w:rPr>
          <w:rFonts w:ascii="宋体" w:eastAsia="宋体" w:hAnsi="宋体" w:cs="宋体"/>
          <w:kern w:val="0"/>
          <w:sz w:val="24"/>
          <w:szCs w:val="24"/>
        </w:rPr>
      </w:pPr>
      <w:r>
        <w:rPr>
          <w:rFonts w:ascii="宋体" w:eastAsia="宋体" w:hAnsi="宋体" w:cs="宋体" w:hint="eastAsia"/>
          <w:kern w:val="0"/>
          <w:sz w:val="24"/>
          <w:szCs w:val="24"/>
        </w:rPr>
        <w:t>（</w:t>
      </w:r>
      <w:r>
        <w:rPr>
          <w:rFonts w:ascii="宋体" w:eastAsia="宋体" w:hAnsi="宋体" w:cs="TimesNewRomanPSMT"/>
          <w:kern w:val="0"/>
          <w:sz w:val="24"/>
          <w:szCs w:val="24"/>
        </w:rPr>
        <w:t>2</w:t>
      </w:r>
      <w:r>
        <w:rPr>
          <w:rFonts w:ascii="宋体" w:eastAsia="宋体" w:hAnsi="宋体" w:cs="宋体" w:hint="eastAsia"/>
          <w:kern w:val="0"/>
          <w:sz w:val="24"/>
          <w:szCs w:val="24"/>
        </w:rPr>
        <w:t>）填埋气体对大气的污染、对公众健康的危害；</w:t>
      </w:r>
    </w:p>
    <w:p w14:paraId="451EE55C" w14:textId="77777777" w:rsidR="00D12939" w:rsidRDefault="004F47F5">
      <w:pPr>
        <w:autoSpaceDE w:val="0"/>
        <w:autoSpaceDN w:val="0"/>
        <w:adjustRightInd w:val="0"/>
        <w:spacing w:line="360" w:lineRule="auto"/>
        <w:ind w:firstLineChars="200" w:firstLine="480"/>
        <w:rPr>
          <w:rFonts w:ascii="宋体" w:eastAsia="宋体" w:hAnsi="宋体" w:cs="宋体"/>
          <w:kern w:val="0"/>
          <w:sz w:val="24"/>
          <w:szCs w:val="24"/>
        </w:rPr>
      </w:pPr>
      <w:r>
        <w:rPr>
          <w:rFonts w:ascii="宋体" w:eastAsia="宋体" w:hAnsi="宋体" w:cs="宋体" w:hint="eastAsia"/>
          <w:kern w:val="0"/>
          <w:sz w:val="24"/>
          <w:szCs w:val="24"/>
        </w:rPr>
        <w:t>（</w:t>
      </w:r>
      <w:r>
        <w:rPr>
          <w:rFonts w:ascii="宋体" w:eastAsia="宋体" w:hAnsi="宋体" w:cs="TimesNewRomanPSMT"/>
          <w:kern w:val="0"/>
          <w:sz w:val="24"/>
          <w:szCs w:val="24"/>
        </w:rPr>
        <w:t>3</w:t>
      </w:r>
      <w:r>
        <w:rPr>
          <w:rFonts w:ascii="宋体" w:eastAsia="宋体" w:hAnsi="宋体" w:cs="宋体" w:hint="eastAsia"/>
          <w:kern w:val="0"/>
          <w:sz w:val="24"/>
          <w:szCs w:val="24"/>
        </w:rPr>
        <w:t>）填埋渗沥液对土壤、地下水环境的影响；</w:t>
      </w:r>
    </w:p>
    <w:p w14:paraId="4D51C354" w14:textId="77777777" w:rsidR="00D12939" w:rsidRDefault="004F47F5">
      <w:pPr>
        <w:autoSpaceDE w:val="0"/>
        <w:autoSpaceDN w:val="0"/>
        <w:adjustRightInd w:val="0"/>
        <w:spacing w:line="360" w:lineRule="auto"/>
        <w:ind w:firstLineChars="200" w:firstLine="480"/>
        <w:rPr>
          <w:rFonts w:ascii="宋体" w:eastAsia="宋体" w:hAnsi="宋体" w:cs="宋体"/>
          <w:kern w:val="0"/>
          <w:sz w:val="24"/>
          <w:szCs w:val="24"/>
        </w:rPr>
      </w:pPr>
      <w:r>
        <w:rPr>
          <w:rFonts w:ascii="宋体" w:eastAsia="宋体" w:hAnsi="宋体" w:cs="宋体" w:hint="eastAsia"/>
          <w:kern w:val="0"/>
          <w:sz w:val="24"/>
          <w:szCs w:val="24"/>
        </w:rPr>
        <w:t>（</w:t>
      </w:r>
      <w:r>
        <w:rPr>
          <w:rFonts w:ascii="宋体" w:eastAsia="宋体" w:hAnsi="宋体" w:cs="TimesNewRomanPSMT"/>
          <w:kern w:val="0"/>
          <w:sz w:val="24"/>
          <w:szCs w:val="24"/>
        </w:rPr>
        <w:t>4</w:t>
      </w:r>
      <w:r>
        <w:rPr>
          <w:rFonts w:ascii="宋体" w:eastAsia="宋体" w:hAnsi="宋体" w:cs="宋体" w:hint="eastAsia"/>
          <w:kern w:val="0"/>
          <w:sz w:val="24"/>
          <w:szCs w:val="24"/>
        </w:rPr>
        <w:t>）填埋场孳生的害虫、昆虫以及在填埋场觅食的鸟类和其他动物可能传播疾病等影响以及卫生防护距离的确定；</w:t>
      </w:r>
    </w:p>
    <w:p w14:paraId="54BF3D3D" w14:textId="77777777" w:rsidR="00D12939" w:rsidRDefault="004F47F5">
      <w:pPr>
        <w:autoSpaceDE w:val="0"/>
        <w:autoSpaceDN w:val="0"/>
        <w:adjustRightInd w:val="0"/>
        <w:spacing w:line="360" w:lineRule="auto"/>
        <w:ind w:firstLineChars="200" w:firstLine="480"/>
        <w:rPr>
          <w:rFonts w:ascii="宋体" w:eastAsia="宋体" w:hAnsi="宋体" w:cs="宋体"/>
          <w:kern w:val="0"/>
          <w:sz w:val="24"/>
          <w:szCs w:val="24"/>
        </w:rPr>
      </w:pPr>
      <w:r>
        <w:rPr>
          <w:rFonts w:ascii="宋体" w:eastAsia="宋体" w:hAnsi="宋体" w:cs="宋体" w:hint="eastAsia"/>
          <w:kern w:val="0"/>
          <w:sz w:val="24"/>
          <w:szCs w:val="24"/>
        </w:rPr>
        <w:t>（</w:t>
      </w:r>
      <w:r>
        <w:rPr>
          <w:rFonts w:ascii="宋体" w:eastAsia="宋体" w:hAnsi="宋体" w:cs="TimesNewRomanPSMT"/>
          <w:kern w:val="0"/>
          <w:sz w:val="24"/>
          <w:szCs w:val="24"/>
        </w:rPr>
        <w:t>5</w:t>
      </w:r>
      <w:r>
        <w:rPr>
          <w:rFonts w:ascii="宋体" w:eastAsia="宋体" w:hAnsi="宋体" w:cs="宋体" w:hint="eastAsia"/>
          <w:kern w:val="0"/>
          <w:sz w:val="24"/>
          <w:szCs w:val="24"/>
        </w:rPr>
        <w:t>）垃圾渗沥液等事故风险的影响；</w:t>
      </w:r>
    </w:p>
    <w:p w14:paraId="479D3130" w14:textId="77777777" w:rsidR="00D12939" w:rsidRDefault="004F47F5">
      <w:pPr>
        <w:spacing w:line="360" w:lineRule="auto"/>
        <w:ind w:firstLineChars="200" w:firstLine="480"/>
        <w:rPr>
          <w:rFonts w:ascii="宋体" w:eastAsia="宋体" w:hAnsi="宋体"/>
        </w:rPr>
      </w:pPr>
      <w:r>
        <w:rPr>
          <w:rFonts w:ascii="宋体" w:eastAsia="宋体" w:hAnsi="宋体" w:cs="宋体" w:hint="eastAsia"/>
          <w:kern w:val="0"/>
          <w:sz w:val="24"/>
          <w:szCs w:val="24"/>
        </w:rPr>
        <w:t>（</w:t>
      </w:r>
      <w:r>
        <w:rPr>
          <w:rFonts w:ascii="宋体" w:eastAsia="宋体" w:hAnsi="宋体" w:cs="TimesNewRomanPSMT"/>
          <w:kern w:val="0"/>
          <w:sz w:val="24"/>
          <w:szCs w:val="24"/>
        </w:rPr>
        <w:t>6</w:t>
      </w:r>
      <w:r>
        <w:rPr>
          <w:rFonts w:ascii="宋体" w:eastAsia="宋体" w:hAnsi="宋体" w:cs="宋体" w:hint="eastAsia"/>
          <w:kern w:val="0"/>
          <w:sz w:val="24"/>
          <w:szCs w:val="24"/>
        </w:rPr>
        <w:t>）服务期满后的污染控制和监督管理。</w:t>
      </w:r>
    </w:p>
    <w:p w14:paraId="7474EB15" w14:textId="77777777" w:rsidR="00D12939" w:rsidRDefault="004F47F5">
      <w:pPr>
        <w:pStyle w:val="2"/>
        <w:spacing w:line="360" w:lineRule="auto"/>
        <w:ind w:firstLine="560"/>
        <w:rPr>
          <w:sz w:val="28"/>
        </w:rPr>
      </w:pPr>
      <w:bookmarkStart w:id="90" w:name="_Toc121411683"/>
      <w:r>
        <w:rPr>
          <w:sz w:val="28"/>
        </w:rPr>
        <w:t>1.6</w:t>
      </w:r>
      <w:r>
        <w:rPr>
          <w:sz w:val="28"/>
        </w:rPr>
        <w:t>环境影响评价主要结论</w:t>
      </w:r>
      <w:bookmarkEnd w:id="90"/>
    </w:p>
    <w:p w14:paraId="446B6D01" w14:textId="77777777" w:rsidR="00D12939" w:rsidRDefault="004F47F5">
      <w:pPr>
        <w:pStyle w:val="affffffffe"/>
        <w:ind w:firstLine="496"/>
        <w:rPr>
          <w:color w:val="auto"/>
        </w:rPr>
      </w:pPr>
      <w:r>
        <w:rPr>
          <w:rFonts w:hint="eastAsia"/>
          <w:color w:val="auto"/>
        </w:rPr>
        <w:t>本项目符合国家产业政策，选址合理；项目的污染治理措施能够满足环保管理要求，废气、废水、噪声和固体废物均能实现达标排放和安全处置，对环境的影响较小。项目建设具有一定的环境经济效益。虽存在一定的环境风险，但在落实风险防范措施、制定应急预案的情况下，其风险值在可接受的水平。因此，从环保角度分析，该项目的建设是可行的</w:t>
      </w:r>
      <w:r>
        <w:rPr>
          <w:color w:val="auto"/>
        </w:rPr>
        <w:t>。</w:t>
      </w:r>
    </w:p>
    <w:p w14:paraId="032E3C75" w14:textId="77777777" w:rsidR="00D12939" w:rsidRDefault="00D12939">
      <w:pPr>
        <w:sectPr w:rsidR="00D12939">
          <w:pgSz w:w="11906" w:h="16838"/>
          <w:pgMar w:top="1440" w:right="1080" w:bottom="1440" w:left="1080" w:header="851" w:footer="992" w:gutter="0"/>
          <w:pgNumType w:start="1"/>
          <w:cols w:space="425"/>
          <w:docGrid w:type="lines" w:linePitch="312"/>
        </w:sectPr>
      </w:pPr>
    </w:p>
    <w:p w14:paraId="1FD21578" w14:textId="77777777" w:rsidR="00D12939" w:rsidRDefault="004F47F5">
      <w:pPr>
        <w:pStyle w:val="1"/>
        <w:jc w:val="center"/>
        <w:rPr>
          <w:sz w:val="30"/>
          <w:szCs w:val="30"/>
        </w:rPr>
      </w:pPr>
      <w:bookmarkStart w:id="91" w:name="_Toc32637"/>
      <w:bookmarkStart w:id="92" w:name="_Toc22744220"/>
      <w:bookmarkStart w:id="93" w:name="_Toc480180485"/>
      <w:bookmarkStart w:id="94" w:name="_Toc31032"/>
      <w:bookmarkStart w:id="95" w:name="_Toc11881"/>
      <w:bookmarkStart w:id="96" w:name="_Toc5863"/>
      <w:bookmarkStart w:id="97" w:name="_Toc19580"/>
      <w:bookmarkStart w:id="98" w:name="_Toc12322"/>
      <w:bookmarkStart w:id="99" w:name="_Toc12470"/>
      <w:bookmarkStart w:id="100" w:name="_Toc21177"/>
      <w:bookmarkStart w:id="101" w:name="_Toc9531"/>
      <w:bookmarkStart w:id="102" w:name="_Toc6834"/>
      <w:bookmarkStart w:id="103" w:name="_Toc8705"/>
      <w:bookmarkStart w:id="104" w:name="_Toc121411684"/>
      <w:bookmarkStart w:id="105" w:name="_Toc476130111"/>
      <w:bookmarkStart w:id="106" w:name="_Toc475562077"/>
      <w:bookmarkStart w:id="107" w:name="_Toc22285"/>
      <w:bookmarkStart w:id="108" w:name="_Toc475562453"/>
      <w:bookmarkStart w:id="109" w:name="_Toc21253"/>
      <w:bookmarkStart w:id="110" w:name="_Toc7692"/>
      <w:bookmarkStart w:id="111" w:name="_Toc184121173"/>
      <w:bookmarkStart w:id="112" w:name="_Toc225149538"/>
      <w:bookmarkStart w:id="113" w:name="_Toc238032611"/>
      <w:r>
        <w:rPr>
          <w:sz w:val="30"/>
          <w:szCs w:val="30"/>
        </w:rPr>
        <w:lastRenderedPageBreak/>
        <w:t>2</w:t>
      </w:r>
      <w:r>
        <w:rPr>
          <w:sz w:val="30"/>
          <w:szCs w:val="30"/>
        </w:rPr>
        <w:t>总则</w:t>
      </w: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598E6294" w14:textId="77777777" w:rsidR="00D12939" w:rsidRDefault="004F47F5">
      <w:pPr>
        <w:pStyle w:val="2"/>
        <w:spacing w:line="360" w:lineRule="auto"/>
        <w:ind w:firstLineChars="165" w:firstLine="462"/>
        <w:rPr>
          <w:sz w:val="28"/>
        </w:rPr>
      </w:pPr>
      <w:bookmarkStart w:id="114" w:name="_Toc480180486"/>
      <w:bookmarkStart w:id="115" w:name="_Toc11491"/>
      <w:bookmarkStart w:id="116" w:name="_Toc476130112"/>
      <w:bookmarkStart w:id="117" w:name="_Toc22744221"/>
      <w:bookmarkStart w:id="118" w:name="_Toc30523"/>
      <w:bookmarkStart w:id="119" w:name="_Toc1888"/>
      <w:bookmarkStart w:id="120" w:name="_Toc305"/>
      <w:bookmarkStart w:id="121" w:name="_Toc18946"/>
      <w:bookmarkStart w:id="122" w:name="_Toc475562078"/>
      <w:bookmarkStart w:id="123" w:name="_Toc13763"/>
      <w:bookmarkStart w:id="124" w:name="_Toc475562454"/>
      <w:bookmarkStart w:id="125" w:name="_Toc15170"/>
      <w:bookmarkStart w:id="126" w:name="_Toc20601"/>
      <w:bookmarkStart w:id="127" w:name="_Toc19315"/>
      <w:bookmarkStart w:id="128" w:name="_Toc13407"/>
      <w:bookmarkStart w:id="129" w:name="_Toc4365"/>
      <w:bookmarkStart w:id="130" w:name="_Toc16041"/>
      <w:bookmarkStart w:id="131" w:name="_Toc20937"/>
      <w:bookmarkStart w:id="132" w:name="_Toc121411685"/>
      <w:bookmarkStart w:id="133" w:name="_Toc22121"/>
      <w:r>
        <w:rPr>
          <w:sz w:val="28"/>
        </w:rPr>
        <w:t>2.1</w:t>
      </w:r>
      <w:r>
        <w:rPr>
          <w:sz w:val="28"/>
        </w:rPr>
        <w:t>编制依据</w:t>
      </w:r>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14:paraId="4668AB45"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134" w:name="_Toc9279"/>
      <w:bookmarkStart w:id="135" w:name="_Toc121411686"/>
      <w:bookmarkStart w:id="136" w:name="_Toc26564"/>
      <w:bookmarkStart w:id="137" w:name="_Toc475562455"/>
      <w:r>
        <w:rPr>
          <w:rFonts w:ascii="Times New Roman" w:eastAsia="黑体" w:hAnsi="Times New Roman" w:cs="Times New Roman"/>
          <w:b w:val="0"/>
          <w:sz w:val="24"/>
        </w:rPr>
        <w:t>2.1.1</w:t>
      </w:r>
      <w:r>
        <w:rPr>
          <w:rFonts w:ascii="Times New Roman" w:eastAsia="黑体" w:hAnsi="Times New Roman" w:cs="Times New Roman"/>
          <w:b w:val="0"/>
          <w:sz w:val="24"/>
        </w:rPr>
        <w:t>法律、法规</w:t>
      </w:r>
      <w:bookmarkEnd w:id="134"/>
      <w:bookmarkEnd w:id="135"/>
      <w:bookmarkEnd w:id="136"/>
      <w:bookmarkEnd w:id="137"/>
    </w:p>
    <w:p w14:paraId="387F584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）《中华人民共和国环境保护法》（</w:t>
      </w:r>
      <w:r>
        <w:rPr>
          <w:rFonts w:ascii="Times New Roman" w:eastAsia="宋体" w:hAnsi="Times New Roman" w:cs="Times New Roman"/>
          <w:sz w:val="24"/>
        </w:rPr>
        <w:t>2014</w:t>
      </w:r>
      <w:r>
        <w:rPr>
          <w:rFonts w:ascii="Times New Roman" w:eastAsia="宋体" w:hAnsi="Times New Roman" w:cs="Times New Roman"/>
          <w:sz w:val="24"/>
        </w:rPr>
        <w:t>年修订），</w:t>
      </w:r>
      <w:r>
        <w:rPr>
          <w:rFonts w:ascii="Times New Roman" w:eastAsia="宋体" w:hAnsi="Times New Roman" w:cs="Times New Roman"/>
          <w:sz w:val="24"/>
        </w:rPr>
        <w:t>2015</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w:t>
      </w:r>
    </w:p>
    <w:p w14:paraId="086B3A7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）《中华人民共和国环境影响评价法》（</w:t>
      </w:r>
      <w:r>
        <w:rPr>
          <w:rFonts w:ascii="Times New Roman" w:eastAsia="宋体" w:hAnsi="Times New Roman" w:cs="Times New Roman"/>
          <w:sz w:val="24"/>
        </w:rPr>
        <w:t>2018</w:t>
      </w:r>
      <w:r>
        <w:rPr>
          <w:rFonts w:ascii="Times New Roman" w:eastAsia="宋体" w:hAnsi="Times New Roman" w:cs="Times New Roman"/>
          <w:sz w:val="24"/>
        </w:rPr>
        <w:t>年</w:t>
      </w:r>
      <w:r>
        <w:rPr>
          <w:rFonts w:ascii="Times New Roman" w:eastAsia="宋体" w:hAnsi="Times New Roman" w:cs="Times New Roman"/>
          <w:sz w:val="24"/>
        </w:rPr>
        <w:t>12</w:t>
      </w:r>
      <w:r>
        <w:rPr>
          <w:rFonts w:ascii="Times New Roman" w:eastAsia="宋体" w:hAnsi="Times New Roman" w:cs="Times New Roman"/>
          <w:sz w:val="24"/>
        </w:rPr>
        <w:t>月</w:t>
      </w:r>
      <w:r>
        <w:rPr>
          <w:rFonts w:ascii="Times New Roman" w:eastAsia="宋体" w:hAnsi="Times New Roman" w:cs="Times New Roman"/>
          <w:sz w:val="24"/>
        </w:rPr>
        <w:t>29</w:t>
      </w:r>
      <w:r>
        <w:rPr>
          <w:rFonts w:ascii="Times New Roman" w:eastAsia="宋体" w:hAnsi="Times New Roman" w:cs="Times New Roman"/>
          <w:sz w:val="24"/>
        </w:rPr>
        <w:t>日修订）；</w:t>
      </w:r>
    </w:p>
    <w:p w14:paraId="14AEE5C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）《中华人民共和国大气污染防治法》（</w:t>
      </w:r>
      <w:r>
        <w:rPr>
          <w:rFonts w:ascii="Times New Roman" w:eastAsia="宋体" w:hAnsi="Times New Roman" w:cs="Times New Roman"/>
          <w:sz w:val="24"/>
        </w:rPr>
        <w:t>2018</w:t>
      </w:r>
      <w:r>
        <w:rPr>
          <w:rFonts w:ascii="Times New Roman" w:eastAsia="宋体" w:hAnsi="Times New Roman" w:cs="Times New Roman"/>
          <w:sz w:val="24"/>
        </w:rPr>
        <w:t>年</w:t>
      </w:r>
      <w:r>
        <w:rPr>
          <w:rFonts w:ascii="Times New Roman" w:eastAsia="宋体" w:hAnsi="Times New Roman" w:cs="Times New Roman"/>
          <w:sz w:val="24"/>
        </w:rPr>
        <w:t>10</w:t>
      </w:r>
      <w:r>
        <w:rPr>
          <w:rFonts w:ascii="Times New Roman" w:eastAsia="宋体" w:hAnsi="Times New Roman" w:cs="Times New Roman"/>
          <w:sz w:val="24"/>
        </w:rPr>
        <w:t>月</w:t>
      </w:r>
      <w:r>
        <w:rPr>
          <w:rFonts w:ascii="Times New Roman" w:eastAsia="宋体" w:hAnsi="Times New Roman" w:cs="Times New Roman"/>
          <w:sz w:val="24"/>
        </w:rPr>
        <w:t>26</w:t>
      </w:r>
      <w:r>
        <w:rPr>
          <w:rFonts w:ascii="Times New Roman" w:eastAsia="宋体" w:hAnsi="Times New Roman" w:cs="Times New Roman"/>
          <w:sz w:val="24"/>
        </w:rPr>
        <w:t>日修订）；</w:t>
      </w:r>
    </w:p>
    <w:p w14:paraId="14B221D8"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）《中华人民共和国水污染防治法》（</w:t>
      </w:r>
      <w:r>
        <w:rPr>
          <w:rFonts w:ascii="Times New Roman" w:eastAsia="宋体" w:hAnsi="Times New Roman" w:cs="Times New Roman"/>
          <w:sz w:val="24"/>
        </w:rPr>
        <w:t>2017</w:t>
      </w:r>
      <w:r>
        <w:rPr>
          <w:rFonts w:ascii="Times New Roman" w:eastAsia="宋体" w:hAnsi="Times New Roman" w:cs="Times New Roman"/>
          <w:sz w:val="24"/>
        </w:rPr>
        <w:t>年</w:t>
      </w:r>
      <w:r>
        <w:rPr>
          <w:rFonts w:ascii="Times New Roman" w:eastAsia="宋体" w:hAnsi="Times New Roman" w:cs="Times New Roman"/>
          <w:sz w:val="24"/>
        </w:rPr>
        <w:t>6</w:t>
      </w:r>
      <w:r>
        <w:rPr>
          <w:rFonts w:ascii="Times New Roman" w:eastAsia="宋体" w:hAnsi="Times New Roman" w:cs="Times New Roman"/>
          <w:sz w:val="24"/>
        </w:rPr>
        <w:t>月</w:t>
      </w:r>
      <w:r>
        <w:rPr>
          <w:rFonts w:ascii="Times New Roman" w:eastAsia="宋体" w:hAnsi="Times New Roman" w:cs="Times New Roman"/>
          <w:sz w:val="24"/>
        </w:rPr>
        <w:t>28</w:t>
      </w:r>
      <w:r>
        <w:rPr>
          <w:rFonts w:ascii="Times New Roman" w:eastAsia="宋体" w:hAnsi="Times New Roman" w:cs="Times New Roman"/>
          <w:sz w:val="24"/>
        </w:rPr>
        <w:t>日修订）；</w:t>
      </w:r>
    </w:p>
    <w:p w14:paraId="10C91C6F" w14:textId="74B227EF" w:rsidR="00D12939" w:rsidRDefault="004F47F5">
      <w:pPr>
        <w:spacing w:line="360" w:lineRule="auto"/>
        <w:ind w:firstLineChars="200" w:firstLine="480"/>
        <w:rPr>
          <w:rFonts w:ascii="Times New Roman" w:eastAsia="宋体" w:hAnsi="Times New Roman" w:cs="Times New Roman"/>
          <w:spacing w:val="-4"/>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w:t>
      </w:r>
      <w:r>
        <w:rPr>
          <w:rFonts w:ascii="Times New Roman" w:eastAsia="宋体" w:hAnsi="Times New Roman" w:cs="Times New Roman"/>
          <w:spacing w:val="-4"/>
          <w:sz w:val="24"/>
        </w:rPr>
        <w:t>《中华人民共和国固体废物污染环境防治法》（</w:t>
      </w:r>
      <w:r w:rsidR="003D1D20">
        <w:rPr>
          <w:rFonts w:ascii="Times New Roman" w:eastAsia="宋体" w:hAnsi="Times New Roman" w:cs="Times New Roman"/>
          <w:spacing w:val="-4"/>
          <w:sz w:val="24"/>
        </w:rPr>
        <w:t>2020</w:t>
      </w:r>
      <w:r w:rsidR="003D1D20">
        <w:rPr>
          <w:rFonts w:ascii="Times New Roman" w:eastAsia="宋体" w:hAnsi="Times New Roman" w:cs="Times New Roman"/>
          <w:spacing w:val="-4"/>
          <w:sz w:val="24"/>
        </w:rPr>
        <w:t>年</w:t>
      </w:r>
      <w:r w:rsidR="003D1D20">
        <w:rPr>
          <w:rFonts w:ascii="Times New Roman" w:eastAsia="宋体" w:hAnsi="Times New Roman" w:cs="Times New Roman"/>
          <w:spacing w:val="-4"/>
          <w:sz w:val="24"/>
        </w:rPr>
        <w:t>4</w:t>
      </w:r>
      <w:r w:rsidR="003D1D20">
        <w:rPr>
          <w:rFonts w:ascii="Times New Roman" w:eastAsia="宋体" w:hAnsi="Times New Roman" w:cs="Times New Roman"/>
          <w:spacing w:val="-4"/>
          <w:sz w:val="24"/>
        </w:rPr>
        <w:t>月</w:t>
      </w:r>
      <w:r w:rsidR="003D1D20">
        <w:rPr>
          <w:rFonts w:ascii="Times New Roman" w:eastAsia="宋体" w:hAnsi="Times New Roman" w:cs="Times New Roman"/>
          <w:spacing w:val="-4"/>
          <w:sz w:val="24"/>
        </w:rPr>
        <w:t>29</w:t>
      </w:r>
      <w:r w:rsidR="003D1D20">
        <w:rPr>
          <w:rFonts w:ascii="Times New Roman" w:eastAsia="宋体" w:hAnsi="Times New Roman" w:cs="Times New Roman"/>
          <w:spacing w:val="-4"/>
          <w:sz w:val="24"/>
        </w:rPr>
        <w:t>日修订）</w:t>
      </w:r>
      <w:r>
        <w:rPr>
          <w:rFonts w:ascii="Times New Roman" w:eastAsia="宋体" w:hAnsi="Times New Roman" w:cs="Times New Roman"/>
          <w:spacing w:val="-4"/>
          <w:sz w:val="24"/>
        </w:rPr>
        <w:t>；</w:t>
      </w:r>
    </w:p>
    <w:p w14:paraId="0E549450" w14:textId="51E22213"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6</w:t>
      </w:r>
      <w:r>
        <w:rPr>
          <w:rFonts w:ascii="Times New Roman" w:eastAsia="宋体" w:hAnsi="Times New Roman" w:cs="Times New Roman"/>
          <w:sz w:val="24"/>
        </w:rPr>
        <w:t>）</w:t>
      </w:r>
      <w:r w:rsidRPr="003D1D20">
        <w:rPr>
          <w:rFonts w:ascii="Times New Roman" w:eastAsia="宋体" w:hAnsi="Times New Roman" w:cs="Times New Roman"/>
          <w:color w:val="FF0000"/>
          <w:sz w:val="24"/>
        </w:rPr>
        <w:t>《</w:t>
      </w:r>
      <w:r w:rsidR="003D1D20" w:rsidRPr="003D1D20">
        <w:rPr>
          <w:rFonts w:ascii="Times New Roman" w:eastAsia="宋体" w:hAnsi="Times New Roman" w:cs="Times New Roman" w:hint="eastAsia"/>
          <w:color w:val="FF0000"/>
          <w:sz w:val="24"/>
        </w:rPr>
        <w:t>中华人民共和国噪声污染防治法</w:t>
      </w:r>
      <w:r w:rsidRPr="003D1D20">
        <w:rPr>
          <w:rFonts w:ascii="Times New Roman" w:eastAsia="宋体" w:hAnsi="Times New Roman" w:cs="Times New Roman"/>
          <w:color w:val="FF0000"/>
          <w:sz w:val="24"/>
        </w:rPr>
        <w:t>》（</w:t>
      </w:r>
      <w:r w:rsidR="003D1D20" w:rsidRPr="003D1D20">
        <w:rPr>
          <w:rFonts w:ascii="Times New Roman" w:eastAsia="宋体" w:hAnsi="Times New Roman" w:cs="Times New Roman"/>
          <w:color w:val="FF0000"/>
          <w:sz w:val="24"/>
        </w:rPr>
        <w:t>2022</w:t>
      </w:r>
      <w:r w:rsidR="003D1D20" w:rsidRPr="003D1D20">
        <w:rPr>
          <w:rFonts w:ascii="Times New Roman" w:eastAsia="宋体" w:hAnsi="Times New Roman" w:cs="Times New Roman"/>
          <w:color w:val="FF0000"/>
          <w:sz w:val="24"/>
        </w:rPr>
        <w:t>年</w:t>
      </w:r>
      <w:r w:rsidR="003D1D20" w:rsidRPr="003D1D20">
        <w:rPr>
          <w:rFonts w:ascii="Times New Roman" w:eastAsia="宋体" w:hAnsi="Times New Roman" w:cs="Times New Roman"/>
          <w:color w:val="FF0000"/>
          <w:sz w:val="24"/>
        </w:rPr>
        <w:t>6</w:t>
      </w:r>
      <w:r w:rsidR="003D1D20" w:rsidRPr="003D1D20">
        <w:rPr>
          <w:rFonts w:ascii="Times New Roman" w:eastAsia="宋体" w:hAnsi="Times New Roman" w:cs="Times New Roman"/>
          <w:color w:val="FF0000"/>
          <w:sz w:val="24"/>
        </w:rPr>
        <w:t>月</w:t>
      </w:r>
      <w:r w:rsidR="003D1D20" w:rsidRPr="003D1D20">
        <w:rPr>
          <w:rFonts w:ascii="Times New Roman" w:eastAsia="宋体" w:hAnsi="Times New Roman" w:cs="Times New Roman"/>
          <w:color w:val="FF0000"/>
          <w:sz w:val="24"/>
        </w:rPr>
        <w:t>5</w:t>
      </w:r>
      <w:r w:rsidR="003D1D20" w:rsidRPr="003D1D20">
        <w:rPr>
          <w:rFonts w:ascii="Times New Roman" w:eastAsia="宋体" w:hAnsi="Times New Roman" w:cs="Times New Roman"/>
          <w:color w:val="FF0000"/>
          <w:sz w:val="24"/>
        </w:rPr>
        <w:t>日施行</w:t>
      </w:r>
      <w:r w:rsidRPr="003D1D20">
        <w:rPr>
          <w:rFonts w:ascii="Times New Roman" w:eastAsia="宋体" w:hAnsi="Times New Roman" w:cs="Times New Roman"/>
          <w:color w:val="FF0000"/>
          <w:sz w:val="24"/>
        </w:rPr>
        <w:t>）；</w:t>
      </w:r>
    </w:p>
    <w:p w14:paraId="38E5FAD3" w14:textId="24A7AF72" w:rsidR="00D12939" w:rsidRPr="00231F74" w:rsidRDefault="004F47F5">
      <w:pPr>
        <w:spacing w:line="360" w:lineRule="auto"/>
        <w:ind w:firstLineChars="200" w:firstLine="480"/>
        <w:rPr>
          <w:rFonts w:ascii="Times New Roman" w:eastAsia="宋体" w:hAnsi="Times New Roman" w:cs="Times New Roman"/>
          <w:color w:val="FF0000"/>
          <w:sz w:val="24"/>
        </w:rPr>
      </w:pPr>
      <w:r>
        <w:rPr>
          <w:rFonts w:ascii="Times New Roman" w:eastAsia="宋体" w:hAnsi="Times New Roman" w:cs="Times New Roman"/>
          <w:sz w:val="24"/>
        </w:rPr>
        <w:t>（</w:t>
      </w:r>
      <w:r w:rsidR="003D1D20">
        <w:rPr>
          <w:rFonts w:ascii="Times New Roman" w:eastAsia="宋体" w:hAnsi="Times New Roman" w:cs="Times New Roman"/>
          <w:sz w:val="24"/>
        </w:rPr>
        <w:t>7</w:t>
      </w:r>
      <w:r>
        <w:rPr>
          <w:rFonts w:ascii="Times New Roman" w:eastAsia="宋体" w:hAnsi="Times New Roman" w:cs="Times New Roman"/>
          <w:sz w:val="24"/>
        </w:rPr>
        <w:t>）</w:t>
      </w:r>
      <w:r w:rsidRPr="00231F74">
        <w:rPr>
          <w:rFonts w:ascii="Times New Roman" w:eastAsia="宋体" w:hAnsi="Times New Roman" w:cs="Times New Roman"/>
          <w:color w:val="FF0000"/>
          <w:sz w:val="24"/>
        </w:rPr>
        <w:t>《中华人民共和国水土保持法》（</w:t>
      </w:r>
      <w:r w:rsidRPr="00231F74">
        <w:rPr>
          <w:rFonts w:ascii="Times New Roman" w:eastAsia="宋体" w:hAnsi="Times New Roman" w:cs="Times New Roman"/>
          <w:color w:val="FF0000"/>
          <w:sz w:val="24"/>
        </w:rPr>
        <w:t>2010</w:t>
      </w:r>
      <w:r w:rsidRPr="00231F74">
        <w:rPr>
          <w:rFonts w:ascii="Times New Roman" w:eastAsia="宋体" w:hAnsi="Times New Roman" w:cs="Times New Roman"/>
          <w:color w:val="FF0000"/>
          <w:sz w:val="24"/>
        </w:rPr>
        <w:t>年</w:t>
      </w:r>
      <w:r w:rsidR="00231F74" w:rsidRPr="00231F74">
        <w:rPr>
          <w:rFonts w:ascii="Times New Roman" w:eastAsia="宋体" w:hAnsi="Times New Roman" w:cs="Times New Roman"/>
          <w:color w:val="FF0000"/>
          <w:sz w:val="24"/>
        </w:rPr>
        <w:t>12</w:t>
      </w:r>
      <w:r w:rsidR="00231F74" w:rsidRPr="00231F74">
        <w:rPr>
          <w:rFonts w:ascii="Times New Roman" w:eastAsia="宋体" w:hAnsi="Times New Roman" w:cs="Times New Roman"/>
          <w:color w:val="FF0000"/>
          <w:sz w:val="24"/>
        </w:rPr>
        <w:t>月</w:t>
      </w:r>
      <w:r w:rsidR="00231F74" w:rsidRPr="00231F74">
        <w:rPr>
          <w:rFonts w:ascii="Times New Roman" w:eastAsia="宋体" w:hAnsi="Times New Roman" w:cs="Times New Roman"/>
          <w:color w:val="FF0000"/>
          <w:sz w:val="24"/>
        </w:rPr>
        <w:t>25</w:t>
      </w:r>
      <w:r w:rsidR="00231F74" w:rsidRPr="00231F74">
        <w:rPr>
          <w:rFonts w:ascii="Times New Roman" w:eastAsia="宋体" w:hAnsi="Times New Roman" w:cs="Times New Roman"/>
          <w:color w:val="FF0000"/>
          <w:sz w:val="24"/>
        </w:rPr>
        <w:t>日</w:t>
      </w:r>
      <w:r w:rsidRPr="00231F74">
        <w:rPr>
          <w:rFonts w:ascii="Times New Roman" w:eastAsia="宋体" w:hAnsi="Times New Roman" w:cs="Times New Roman"/>
          <w:color w:val="FF0000"/>
          <w:sz w:val="24"/>
        </w:rPr>
        <w:t>修订）；</w:t>
      </w:r>
    </w:p>
    <w:p w14:paraId="10DB8E35" w14:textId="488D08A0"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sidR="00231F74">
        <w:rPr>
          <w:rFonts w:ascii="Times New Roman" w:eastAsia="宋体" w:hAnsi="Times New Roman" w:cs="Times New Roman"/>
          <w:sz w:val="24"/>
        </w:rPr>
        <w:t>8</w:t>
      </w:r>
      <w:r>
        <w:rPr>
          <w:rFonts w:ascii="Times New Roman" w:eastAsia="宋体" w:hAnsi="Times New Roman" w:cs="Times New Roman"/>
          <w:sz w:val="24"/>
        </w:rPr>
        <w:t>）《中华人民共和国土地管理法》，</w:t>
      </w:r>
      <w:r>
        <w:rPr>
          <w:rFonts w:ascii="Times New Roman" w:eastAsia="宋体" w:hAnsi="Times New Roman" w:cs="Times New Roman"/>
          <w:sz w:val="24"/>
        </w:rPr>
        <w:t>2020</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w:t>
      </w:r>
      <w:r w:rsidR="00231F74">
        <w:rPr>
          <w:rFonts w:ascii="Times New Roman" w:eastAsia="宋体" w:hAnsi="Times New Roman" w:cs="Times New Roman" w:hint="eastAsia"/>
          <w:sz w:val="24"/>
        </w:rPr>
        <w:t>实施</w:t>
      </w:r>
      <w:r>
        <w:rPr>
          <w:rFonts w:ascii="Times New Roman" w:eastAsia="宋体" w:hAnsi="Times New Roman" w:cs="Times New Roman"/>
          <w:sz w:val="24"/>
        </w:rPr>
        <w:t>；</w:t>
      </w:r>
    </w:p>
    <w:p w14:paraId="51EB39AE" w14:textId="612169A3"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sidR="00231F74">
        <w:rPr>
          <w:rFonts w:ascii="Times New Roman" w:eastAsia="宋体" w:hAnsi="Times New Roman" w:cs="Times New Roman"/>
          <w:sz w:val="24"/>
        </w:rPr>
        <w:t>9</w:t>
      </w:r>
      <w:r>
        <w:rPr>
          <w:rFonts w:ascii="Times New Roman" w:eastAsia="宋体" w:hAnsi="Times New Roman" w:cs="Times New Roman"/>
          <w:sz w:val="24"/>
        </w:rPr>
        <w:t>）《中华人民共和国循环经济促进法》，</w:t>
      </w:r>
      <w:r>
        <w:rPr>
          <w:rFonts w:ascii="Times New Roman" w:eastAsia="宋体" w:hAnsi="Times New Roman" w:cs="Times New Roman"/>
          <w:sz w:val="24"/>
        </w:rPr>
        <w:t>2018</w:t>
      </w:r>
      <w:r>
        <w:rPr>
          <w:rFonts w:ascii="Times New Roman" w:eastAsia="宋体" w:hAnsi="Times New Roman" w:cs="Times New Roman"/>
          <w:sz w:val="24"/>
        </w:rPr>
        <w:t>年</w:t>
      </w:r>
      <w:r>
        <w:rPr>
          <w:rFonts w:ascii="Times New Roman" w:eastAsia="宋体" w:hAnsi="Times New Roman" w:cs="Times New Roman"/>
          <w:sz w:val="24"/>
        </w:rPr>
        <w:t>10</w:t>
      </w:r>
      <w:r>
        <w:rPr>
          <w:rFonts w:ascii="Times New Roman" w:eastAsia="宋体" w:hAnsi="Times New Roman" w:cs="Times New Roman"/>
          <w:sz w:val="24"/>
        </w:rPr>
        <w:t>月</w:t>
      </w:r>
      <w:r>
        <w:rPr>
          <w:rFonts w:ascii="Times New Roman" w:eastAsia="宋体" w:hAnsi="Times New Roman" w:cs="Times New Roman"/>
          <w:sz w:val="24"/>
        </w:rPr>
        <w:t>26</w:t>
      </w:r>
      <w:r>
        <w:rPr>
          <w:rFonts w:ascii="Times New Roman" w:eastAsia="宋体" w:hAnsi="Times New Roman" w:cs="Times New Roman"/>
          <w:sz w:val="24"/>
        </w:rPr>
        <w:t>日修订；</w:t>
      </w:r>
    </w:p>
    <w:p w14:paraId="0614B734" w14:textId="66C49FC4" w:rsidR="00D12939" w:rsidRPr="00231F74" w:rsidRDefault="004F47F5">
      <w:pPr>
        <w:spacing w:line="360" w:lineRule="auto"/>
        <w:ind w:firstLineChars="200" w:firstLine="480"/>
        <w:rPr>
          <w:rFonts w:ascii="Times New Roman" w:eastAsia="宋体" w:hAnsi="Times New Roman" w:cs="Times New Roman"/>
          <w:color w:val="FF0000"/>
          <w:sz w:val="24"/>
        </w:rPr>
      </w:pPr>
      <w:r w:rsidRPr="00231F74">
        <w:rPr>
          <w:rFonts w:ascii="Times New Roman" w:eastAsia="宋体" w:hAnsi="Times New Roman" w:cs="Times New Roman"/>
          <w:color w:val="FF0000"/>
          <w:sz w:val="24"/>
        </w:rPr>
        <w:t>（</w:t>
      </w:r>
      <w:r w:rsidRPr="00231F74">
        <w:rPr>
          <w:rFonts w:ascii="Times New Roman" w:eastAsia="宋体" w:hAnsi="Times New Roman" w:cs="Times New Roman"/>
          <w:color w:val="FF0000"/>
          <w:sz w:val="24"/>
        </w:rPr>
        <w:t>1</w:t>
      </w:r>
      <w:r w:rsidR="00231F74" w:rsidRPr="00231F74">
        <w:rPr>
          <w:rFonts w:ascii="Times New Roman" w:eastAsia="宋体" w:hAnsi="Times New Roman" w:cs="Times New Roman"/>
          <w:color w:val="FF0000"/>
          <w:sz w:val="24"/>
        </w:rPr>
        <w:t>0</w:t>
      </w:r>
      <w:r w:rsidRPr="00231F74">
        <w:rPr>
          <w:rFonts w:ascii="Times New Roman" w:eastAsia="宋体" w:hAnsi="Times New Roman" w:cs="Times New Roman"/>
          <w:color w:val="FF0000"/>
          <w:sz w:val="24"/>
        </w:rPr>
        <w:t>）《中华人民共和国土壤污染防治法》</w:t>
      </w:r>
      <w:r w:rsidR="00231F74" w:rsidRPr="00231F74">
        <w:rPr>
          <w:rFonts w:ascii="Times New Roman" w:eastAsia="宋体" w:hAnsi="Times New Roman" w:cs="Times New Roman" w:hint="eastAsia"/>
          <w:color w:val="FF0000"/>
          <w:sz w:val="24"/>
        </w:rPr>
        <w:t>，</w:t>
      </w:r>
      <w:r w:rsidRPr="00231F74">
        <w:rPr>
          <w:rFonts w:ascii="Times New Roman" w:eastAsia="宋体" w:hAnsi="Times New Roman" w:cs="Times New Roman"/>
          <w:color w:val="FF0000"/>
          <w:sz w:val="24"/>
        </w:rPr>
        <w:t>2019</w:t>
      </w:r>
      <w:r w:rsidRPr="00231F74">
        <w:rPr>
          <w:rFonts w:ascii="Times New Roman" w:eastAsia="宋体" w:hAnsi="Times New Roman" w:cs="Times New Roman"/>
          <w:color w:val="FF0000"/>
          <w:sz w:val="24"/>
        </w:rPr>
        <w:t>年</w:t>
      </w:r>
      <w:r w:rsidRPr="00231F74">
        <w:rPr>
          <w:rFonts w:ascii="Times New Roman" w:eastAsia="宋体" w:hAnsi="Times New Roman" w:cs="Times New Roman"/>
          <w:color w:val="FF0000"/>
          <w:sz w:val="24"/>
        </w:rPr>
        <w:t>1</w:t>
      </w:r>
      <w:r w:rsidRPr="00231F74">
        <w:rPr>
          <w:rFonts w:ascii="Times New Roman" w:eastAsia="宋体" w:hAnsi="Times New Roman" w:cs="Times New Roman"/>
          <w:color w:val="FF0000"/>
          <w:sz w:val="24"/>
        </w:rPr>
        <w:t>月</w:t>
      </w:r>
      <w:r w:rsidRPr="00231F74">
        <w:rPr>
          <w:rFonts w:ascii="Times New Roman" w:eastAsia="宋体" w:hAnsi="Times New Roman" w:cs="Times New Roman"/>
          <w:color w:val="FF0000"/>
          <w:sz w:val="24"/>
        </w:rPr>
        <w:t>1</w:t>
      </w:r>
      <w:r w:rsidRPr="00231F74">
        <w:rPr>
          <w:rFonts w:ascii="Times New Roman" w:eastAsia="宋体" w:hAnsi="Times New Roman" w:cs="Times New Roman"/>
          <w:color w:val="FF0000"/>
          <w:sz w:val="24"/>
        </w:rPr>
        <w:t>日</w:t>
      </w:r>
      <w:r w:rsidR="00231F74" w:rsidRPr="00231F74">
        <w:rPr>
          <w:rFonts w:ascii="Times New Roman" w:eastAsia="宋体" w:hAnsi="Times New Roman" w:cs="Times New Roman" w:hint="eastAsia"/>
          <w:color w:val="FF0000"/>
          <w:sz w:val="24"/>
        </w:rPr>
        <w:t>实施。</w:t>
      </w:r>
    </w:p>
    <w:p w14:paraId="63C4FF6F"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138" w:name="_Toc121411687"/>
      <w:bookmarkStart w:id="139" w:name="_Toc25403"/>
      <w:bookmarkStart w:id="140" w:name="_Toc475562456"/>
      <w:bookmarkStart w:id="141" w:name="_Toc2422"/>
      <w:r>
        <w:rPr>
          <w:rFonts w:ascii="Times New Roman" w:eastAsia="黑体" w:hAnsi="Times New Roman" w:cs="Times New Roman"/>
          <w:b w:val="0"/>
          <w:sz w:val="24"/>
        </w:rPr>
        <w:t>2.1.2</w:t>
      </w:r>
      <w:r>
        <w:rPr>
          <w:rFonts w:ascii="Times New Roman" w:eastAsia="黑体" w:hAnsi="Times New Roman" w:cs="Times New Roman"/>
          <w:b w:val="0"/>
          <w:sz w:val="24"/>
        </w:rPr>
        <w:t>国家与行业政策、规章</w:t>
      </w:r>
      <w:bookmarkEnd w:id="138"/>
      <w:bookmarkEnd w:id="139"/>
      <w:bookmarkEnd w:id="140"/>
      <w:bookmarkEnd w:id="141"/>
    </w:p>
    <w:p w14:paraId="1788325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）《建设项目环境保护管理条例》国务院第</w:t>
      </w:r>
      <w:r>
        <w:rPr>
          <w:rFonts w:ascii="Times New Roman" w:eastAsia="宋体" w:hAnsi="Times New Roman" w:cs="Times New Roman"/>
          <w:sz w:val="24"/>
        </w:rPr>
        <w:t>682</w:t>
      </w:r>
      <w:r>
        <w:rPr>
          <w:rFonts w:ascii="Times New Roman" w:eastAsia="宋体" w:hAnsi="Times New Roman" w:cs="Times New Roman"/>
          <w:sz w:val="24"/>
        </w:rPr>
        <w:t>号令，</w:t>
      </w:r>
      <w:r>
        <w:rPr>
          <w:rFonts w:ascii="Times New Roman" w:eastAsia="宋体" w:hAnsi="Times New Roman" w:cs="Times New Roman"/>
          <w:sz w:val="24"/>
        </w:rPr>
        <w:t>2017</w:t>
      </w:r>
      <w:r>
        <w:rPr>
          <w:rFonts w:ascii="Times New Roman" w:eastAsia="宋体" w:hAnsi="Times New Roman" w:cs="Times New Roman"/>
          <w:sz w:val="24"/>
        </w:rPr>
        <w:t>年；</w:t>
      </w:r>
    </w:p>
    <w:p w14:paraId="5F003ED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）《建设项目环境影响评价分类管理名录》（</w:t>
      </w:r>
      <w:r>
        <w:rPr>
          <w:rFonts w:ascii="Times New Roman" w:eastAsia="宋体" w:hAnsi="Times New Roman" w:cs="Times New Roman"/>
          <w:sz w:val="24"/>
        </w:rPr>
        <w:t>2021</w:t>
      </w:r>
      <w:r>
        <w:rPr>
          <w:rFonts w:ascii="Times New Roman" w:eastAsia="宋体" w:hAnsi="Times New Roman" w:cs="Times New Roman"/>
          <w:sz w:val="24"/>
        </w:rPr>
        <w:t>年）；</w:t>
      </w:r>
      <w:r>
        <w:rPr>
          <w:rFonts w:ascii="Times New Roman" w:eastAsia="宋体" w:hAnsi="Times New Roman" w:cs="Times New Roman" w:hint="eastAsia"/>
          <w:sz w:val="24"/>
        </w:rPr>
        <w:t>中华人民共和国环境保护部令第</w:t>
      </w:r>
      <w:r>
        <w:rPr>
          <w:rFonts w:ascii="Times New Roman" w:eastAsia="宋体" w:hAnsi="Times New Roman" w:cs="Times New Roman"/>
          <w:sz w:val="24"/>
        </w:rPr>
        <w:t>16</w:t>
      </w:r>
      <w:r>
        <w:rPr>
          <w:rFonts w:ascii="Times New Roman" w:eastAsia="宋体" w:hAnsi="Times New Roman" w:cs="Times New Roman"/>
          <w:sz w:val="24"/>
        </w:rPr>
        <w:t>号，</w:t>
      </w:r>
      <w:r>
        <w:rPr>
          <w:rFonts w:ascii="Times New Roman" w:eastAsia="宋体" w:hAnsi="Times New Roman" w:cs="Times New Roman"/>
          <w:sz w:val="24"/>
        </w:rPr>
        <w:t>2021</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日施行；</w:t>
      </w:r>
    </w:p>
    <w:p w14:paraId="2776EADD" w14:textId="4DB4443D"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）《产业结构调整指导目录（</w:t>
      </w:r>
      <w:r>
        <w:rPr>
          <w:rFonts w:ascii="Times New Roman" w:eastAsia="宋体" w:hAnsi="Times New Roman" w:cs="Times New Roman"/>
          <w:sz w:val="24"/>
        </w:rPr>
        <w:t>2019</w:t>
      </w:r>
      <w:r>
        <w:rPr>
          <w:rFonts w:ascii="Times New Roman" w:eastAsia="宋体" w:hAnsi="Times New Roman" w:cs="Times New Roman"/>
          <w:sz w:val="24"/>
        </w:rPr>
        <w:t>年本）</w:t>
      </w:r>
      <w:r w:rsidR="00231F74">
        <w:rPr>
          <w:rFonts w:ascii="Times New Roman" w:eastAsia="宋体" w:hAnsi="Times New Roman" w:cs="Times New Roman" w:hint="eastAsia"/>
          <w:sz w:val="24"/>
        </w:rPr>
        <w:t>（</w:t>
      </w:r>
      <w:r w:rsidR="00231F74">
        <w:rPr>
          <w:rFonts w:ascii="Times New Roman" w:eastAsia="宋体" w:hAnsi="Times New Roman" w:cs="Times New Roman" w:hint="eastAsia"/>
          <w:sz w:val="24"/>
        </w:rPr>
        <w:t>2</w:t>
      </w:r>
      <w:r w:rsidR="00231F74">
        <w:rPr>
          <w:rFonts w:ascii="Times New Roman" w:eastAsia="宋体" w:hAnsi="Times New Roman" w:cs="Times New Roman"/>
          <w:sz w:val="24"/>
        </w:rPr>
        <w:t>021</w:t>
      </w:r>
      <w:r w:rsidR="00231F74">
        <w:rPr>
          <w:rFonts w:ascii="Times New Roman" w:eastAsia="宋体" w:hAnsi="Times New Roman" w:cs="Times New Roman" w:hint="eastAsia"/>
          <w:sz w:val="24"/>
        </w:rPr>
        <w:t>年修正）</w:t>
      </w:r>
      <w:r>
        <w:rPr>
          <w:rFonts w:ascii="Times New Roman" w:eastAsia="宋体" w:hAnsi="Times New Roman" w:cs="Times New Roman"/>
          <w:sz w:val="24"/>
        </w:rPr>
        <w:t>》；</w:t>
      </w:r>
      <w:r>
        <w:rPr>
          <w:rFonts w:ascii="Times New Roman" w:eastAsia="宋体" w:hAnsi="Times New Roman" w:cs="Times New Roman" w:hint="eastAsia"/>
          <w:sz w:val="24"/>
        </w:rPr>
        <w:t>国家发展和改革委员会第</w:t>
      </w:r>
      <w:r>
        <w:rPr>
          <w:rFonts w:ascii="Times New Roman" w:eastAsia="宋体" w:hAnsi="Times New Roman" w:cs="Times New Roman"/>
          <w:sz w:val="24"/>
        </w:rPr>
        <w:t>29</w:t>
      </w:r>
      <w:r>
        <w:rPr>
          <w:rFonts w:ascii="Times New Roman" w:eastAsia="宋体" w:hAnsi="Times New Roman" w:cs="Times New Roman"/>
          <w:sz w:val="24"/>
        </w:rPr>
        <w:t>号令，</w:t>
      </w:r>
      <w:r>
        <w:rPr>
          <w:rFonts w:ascii="Times New Roman" w:eastAsia="宋体" w:hAnsi="Times New Roman" w:cs="Times New Roman"/>
          <w:sz w:val="24"/>
        </w:rPr>
        <w:t>2020</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日施行；</w:t>
      </w:r>
    </w:p>
    <w:p w14:paraId="181CDB5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）《水污染防治行动计划》（</w:t>
      </w:r>
      <w:r>
        <w:rPr>
          <w:rFonts w:ascii="Times New Roman" w:eastAsia="宋体" w:hAnsi="Times New Roman" w:cs="Times New Roman"/>
          <w:sz w:val="24"/>
        </w:rPr>
        <w:t>2015</w:t>
      </w:r>
      <w:r>
        <w:rPr>
          <w:rFonts w:ascii="Times New Roman" w:eastAsia="宋体" w:hAnsi="Times New Roman" w:cs="Times New Roman"/>
          <w:sz w:val="24"/>
        </w:rPr>
        <w:t>），国务院国发</w:t>
      </w:r>
      <w:r>
        <w:rPr>
          <w:rFonts w:ascii="Times New Roman" w:eastAsia="宋体" w:hAnsi="Times New Roman" w:cs="Times New Roman"/>
          <w:sz w:val="24"/>
        </w:rPr>
        <w:t>[2015]17</w:t>
      </w:r>
      <w:r>
        <w:rPr>
          <w:rFonts w:ascii="Times New Roman" w:eastAsia="宋体" w:hAnsi="Times New Roman" w:cs="Times New Roman"/>
          <w:sz w:val="24"/>
        </w:rPr>
        <w:t>号；</w:t>
      </w:r>
    </w:p>
    <w:p w14:paraId="2617047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）《大气污染防治行动计划》（</w:t>
      </w:r>
      <w:r>
        <w:rPr>
          <w:rFonts w:ascii="Times New Roman" w:eastAsia="宋体" w:hAnsi="Times New Roman" w:cs="Times New Roman"/>
          <w:sz w:val="24"/>
        </w:rPr>
        <w:t>2013</w:t>
      </w:r>
      <w:r>
        <w:rPr>
          <w:rFonts w:ascii="Times New Roman" w:eastAsia="宋体" w:hAnsi="Times New Roman" w:cs="Times New Roman"/>
          <w:sz w:val="24"/>
        </w:rPr>
        <w:t>），国务院国发</w:t>
      </w:r>
      <w:r>
        <w:rPr>
          <w:rFonts w:ascii="Times New Roman" w:eastAsia="宋体" w:hAnsi="Times New Roman" w:cs="Times New Roman"/>
          <w:sz w:val="24"/>
        </w:rPr>
        <w:t>[2013]37</w:t>
      </w:r>
      <w:r>
        <w:rPr>
          <w:rFonts w:ascii="Times New Roman" w:eastAsia="宋体" w:hAnsi="Times New Roman" w:cs="Times New Roman"/>
          <w:sz w:val="24"/>
        </w:rPr>
        <w:t>号；</w:t>
      </w:r>
    </w:p>
    <w:p w14:paraId="5C128EE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6</w:t>
      </w:r>
      <w:r>
        <w:rPr>
          <w:rFonts w:ascii="Times New Roman" w:eastAsia="宋体" w:hAnsi="Times New Roman" w:cs="Times New Roman"/>
          <w:sz w:val="24"/>
        </w:rPr>
        <w:t>）《土壤污染防治行动计划》（</w:t>
      </w:r>
      <w:r>
        <w:rPr>
          <w:rFonts w:ascii="Times New Roman" w:eastAsia="宋体" w:hAnsi="Times New Roman" w:cs="Times New Roman"/>
          <w:sz w:val="24"/>
        </w:rPr>
        <w:t>2016</w:t>
      </w:r>
      <w:r>
        <w:rPr>
          <w:rFonts w:ascii="Times New Roman" w:eastAsia="宋体" w:hAnsi="Times New Roman" w:cs="Times New Roman"/>
          <w:sz w:val="24"/>
        </w:rPr>
        <w:t>），国务院国发</w:t>
      </w:r>
      <w:r>
        <w:rPr>
          <w:rFonts w:ascii="Times New Roman" w:eastAsia="宋体" w:hAnsi="Times New Roman" w:cs="Times New Roman"/>
          <w:sz w:val="24"/>
        </w:rPr>
        <w:t>[2016]31</w:t>
      </w:r>
      <w:r>
        <w:rPr>
          <w:rFonts w:ascii="Times New Roman" w:eastAsia="宋体" w:hAnsi="Times New Roman" w:cs="Times New Roman"/>
          <w:sz w:val="24"/>
        </w:rPr>
        <w:t>号；</w:t>
      </w:r>
    </w:p>
    <w:p w14:paraId="4F025AE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7</w:t>
      </w:r>
      <w:r>
        <w:rPr>
          <w:rFonts w:ascii="Times New Roman" w:eastAsia="宋体" w:hAnsi="Times New Roman" w:cs="Times New Roman"/>
          <w:sz w:val="24"/>
        </w:rPr>
        <w:t>）《关于进一步加强环境影响评价管理防范环境风险的通知》环保部（环发</w:t>
      </w:r>
      <w:r>
        <w:rPr>
          <w:rFonts w:ascii="Times New Roman" w:eastAsia="宋体" w:hAnsi="Times New Roman" w:cs="Times New Roman"/>
          <w:sz w:val="24"/>
        </w:rPr>
        <w:t>[2012]77</w:t>
      </w:r>
      <w:r>
        <w:rPr>
          <w:rFonts w:ascii="Times New Roman" w:eastAsia="宋体" w:hAnsi="Times New Roman" w:cs="Times New Roman"/>
          <w:sz w:val="24"/>
        </w:rPr>
        <w:t>号），</w:t>
      </w:r>
      <w:r>
        <w:rPr>
          <w:rFonts w:ascii="Times New Roman" w:eastAsia="宋体" w:hAnsi="Times New Roman" w:cs="Times New Roman"/>
          <w:sz w:val="24"/>
        </w:rPr>
        <w:t>2012</w:t>
      </w:r>
      <w:r>
        <w:rPr>
          <w:rFonts w:ascii="Times New Roman" w:eastAsia="宋体" w:hAnsi="Times New Roman" w:cs="Times New Roman"/>
          <w:sz w:val="24"/>
        </w:rPr>
        <w:t>年</w:t>
      </w:r>
      <w:r>
        <w:rPr>
          <w:rFonts w:ascii="Times New Roman" w:eastAsia="宋体" w:hAnsi="Times New Roman" w:cs="Times New Roman"/>
          <w:sz w:val="24"/>
        </w:rPr>
        <w:t>7</w:t>
      </w:r>
      <w:r>
        <w:rPr>
          <w:rFonts w:ascii="Times New Roman" w:eastAsia="宋体" w:hAnsi="Times New Roman" w:cs="Times New Roman"/>
          <w:sz w:val="24"/>
        </w:rPr>
        <w:t>月；</w:t>
      </w:r>
    </w:p>
    <w:p w14:paraId="28659E2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8</w:t>
      </w:r>
      <w:r>
        <w:rPr>
          <w:rFonts w:ascii="Times New Roman" w:eastAsia="宋体" w:hAnsi="Times New Roman" w:cs="Times New Roman"/>
          <w:sz w:val="24"/>
        </w:rPr>
        <w:t>）《关于切实加强风险防范严格环境影响评价管理的通知》环境保护部（环发</w:t>
      </w:r>
      <w:r>
        <w:rPr>
          <w:rFonts w:ascii="Times New Roman" w:eastAsia="宋体" w:hAnsi="Times New Roman" w:cs="Times New Roman"/>
          <w:sz w:val="24"/>
        </w:rPr>
        <w:t>[2012]98</w:t>
      </w:r>
      <w:r>
        <w:rPr>
          <w:rFonts w:ascii="Times New Roman" w:eastAsia="宋体" w:hAnsi="Times New Roman" w:cs="Times New Roman"/>
          <w:sz w:val="24"/>
        </w:rPr>
        <w:t>号），</w:t>
      </w:r>
      <w:r>
        <w:rPr>
          <w:rFonts w:ascii="Times New Roman" w:eastAsia="宋体" w:hAnsi="Times New Roman" w:cs="Times New Roman"/>
          <w:sz w:val="24"/>
        </w:rPr>
        <w:t>2012</w:t>
      </w:r>
      <w:r>
        <w:rPr>
          <w:rFonts w:ascii="Times New Roman" w:eastAsia="宋体" w:hAnsi="Times New Roman" w:cs="Times New Roman"/>
          <w:sz w:val="24"/>
        </w:rPr>
        <w:t>年</w:t>
      </w:r>
      <w:r>
        <w:rPr>
          <w:rFonts w:ascii="Times New Roman" w:eastAsia="宋体" w:hAnsi="Times New Roman" w:cs="Times New Roman"/>
          <w:sz w:val="24"/>
        </w:rPr>
        <w:t>8</w:t>
      </w:r>
      <w:r>
        <w:rPr>
          <w:rFonts w:ascii="Times New Roman" w:eastAsia="宋体" w:hAnsi="Times New Roman" w:cs="Times New Roman"/>
          <w:sz w:val="24"/>
        </w:rPr>
        <w:t>月；</w:t>
      </w:r>
    </w:p>
    <w:p w14:paraId="5D719A1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9</w:t>
      </w:r>
      <w:r>
        <w:rPr>
          <w:rFonts w:ascii="Times New Roman" w:eastAsia="宋体" w:hAnsi="Times New Roman" w:cs="Times New Roman"/>
          <w:sz w:val="24"/>
        </w:rPr>
        <w:t>）</w:t>
      </w:r>
      <w:r>
        <w:rPr>
          <w:rFonts w:ascii="Times New Roman" w:eastAsia="宋体" w:hAnsi="Times New Roman" w:cs="Times New Roman" w:hint="eastAsia"/>
          <w:sz w:val="24"/>
        </w:rPr>
        <w:t xml:space="preserve"> </w:t>
      </w:r>
      <w:r>
        <w:rPr>
          <w:rFonts w:ascii="Times New Roman" w:eastAsia="宋体" w:hAnsi="Times New Roman" w:cs="Times New Roman"/>
          <w:sz w:val="24"/>
        </w:rPr>
        <w:t>《建设项目环境影响评价信息公开机制方案》环境保护部（环发</w:t>
      </w:r>
      <w:r>
        <w:rPr>
          <w:rFonts w:ascii="Times New Roman" w:eastAsia="宋体" w:hAnsi="Times New Roman" w:cs="Times New Roman"/>
          <w:sz w:val="24"/>
        </w:rPr>
        <w:t>[2015]162</w:t>
      </w:r>
      <w:r>
        <w:rPr>
          <w:rFonts w:ascii="Times New Roman" w:eastAsia="宋体" w:hAnsi="Times New Roman" w:cs="Times New Roman"/>
          <w:sz w:val="24"/>
        </w:rPr>
        <w:t>号），</w:t>
      </w:r>
      <w:r>
        <w:rPr>
          <w:rFonts w:ascii="Times New Roman" w:eastAsia="宋体" w:hAnsi="Times New Roman" w:cs="Times New Roman"/>
          <w:sz w:val="24"/>
        </w:rPr>
        <w:t>2015</w:t>
      </w:r>
      <w:r>
        <w:rPr>
          <w:rFonts w:ascii="Times New Roman" w:eastAsia="宋体" w:hAnsi="Times New Roman" w:cs="Times New Roman"/>
          <w:sz w:val="24"/>
        </w:rPr>
        <w:t>年</w:t>
      </w:r>
      <w:r>
        <w:rPr>
          <w:rFonts w:ascii="Times New Roman" w:eastAsia="宋体" w:hAnsi="Times New Roman" w:cs="Times New Roman"/>
          <w:sz w:val="24"/>
        </w:rPr>
        <w:t>12</w:t>
      </w:r>
      <w:r>
        <w:rPr>
          <w:rFonts w:ascii="Times New Roman" w:eastAsia="宋体" w:hAnsi="Times New Roman" w:cs="Times New Roman"/>
          <w:sz w:val="24"/>
        </w:rPr>
        <w:t>月</w:t>
      </w:r>
      <w:r>
        <w:rPr>
          <w:rFonts w:ascii="Times New Roman" w:eastAsia="宋体" w:hAnsi="Times New Roman" w:cs="Times New Roman"/>
          <w:sz w:val="24"/>
        </w:rPr>
        <w:t>10</w:t>
      </w:r>
      <w:r>
        <w:rPr>
          <w:rFonts w:ascii="Times New Roman" w:eastAsia="宋体" w:hAnsi="Times New Roman" w:cs="Times New Roman"/>
          <w:sz w:val="24"/>
        </w:rPr>
        <w:t>日；</w:t>
      </w:r>
    </w:p>
    <w:p w14:paraId="6A30F5E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10</w:t>
      </w:r>
      <w:r>
        <w:rPr>
          <w:rFonts w:ascii="Times New Roman" w:eastAsia="宋体" w:hAnsi="Times New Roman" w:cs="Times New Roman"/>
          <w:sz w:val="24"/>
        </w:rPr>
        <w:t>）《关于以改善环境质量为核心加强环境影响评价管理的通知》环境保护部（环环评</w:t>
      </w:r>
      <w:r>
        <w:rPr>
          <w:rFonts w:ascii="Times New Roman" w:eastAsia="宋体" w:hAnsi="Times New Roman" w:cs="Times New Roman"/>
          <w:sz w:val="24"/>
        </w:rPr>
        <w:lastRenderedPageBreak/>
        <w:t>[2016]150</w:t>
      </w:r>
      <w:r>
        <w:rPr>
          <w:rFonts w:ascii="Times New Roman" w:eastAsia="宋体" w:hAnsi="Times New Roman" w:cs="Times New Roman"/>
          <w:sz w:val="24"/>
        </w:rPr>
        <w:t>号），</w:t>
      </w:r>
      <w:r>
        <w:rPr>
          <w:rFonts w:ascii="Times New Roman" w:eastAsia="宋体" w:hAnsi="Times New Roman" w:cs="Times New Roman"/>
          <w:sz w:val="24"/>
        </w:rPr>
        <w:t>2016</w:t>
      </w:r>
      <w:r>
        <w:rPr>
          <w:rFonts w:ascii="Times New Roman" w:eastAsia="宋体" w:hAnsi="Times New Roman" w:cs="Times New Roman"/>
          <w:sz w:val="24"/>
        </w:rPr>
        <w:t>年</w:t>
      </w:r>
      <w:r>
        <w:rPr>
          <w:rFonts w:ascii="Times New Roman" w:eastAsia="宋体" w:hAnsi="Times New Roman" w:cs="Times New Roman"/>
          <w:sz w:val="24"/>
        </w:rPr>
        <w:t>10</w:t>
      </w:r>
      <w:r>
        <w:rPr>
          <w:rFonts w:ascii="Times New Roman" w:eastAsia="宋体" w:hAnsi="Times New Roman" w:cs="Times New Roman"/>
          <w:sz w:val="24"/>
        </w:rPr>
        <w:t>月</w:t>
      </w:r>
      <w:r>
        <w:rPr>
          <w:rFonts w:ascii="Times New Roman" w:eastAsia="宋体" w:hAnsi="Times New Roman" w:cs="Times New Roman"/>
          <w:sz w:val="24"/>
        </w:rPr>
        <w:t>26</w:t>
      </w:r>
      <w:r>
        <w:rPr>
          <w:rFonts w:ascii="Times New Roman" w:eastAsia="宋体" w:hAnsi="Times New Roman" w:cs="Times New Roman"/>
          <w:sz w:val="24"/>
        </w:rPr>
        <w:t>日</w:t>
      </w:r>
      <w:r>
        <w:rPr>
          <w:rFonts w:ascii="Times New Roman" w:eastAsia="宋体" w:hAnsi="Times New Roman" w:cs="Times New Roman" w:hint="eastAsia"/>
          <w:sz w:val="24"/>
        </w:rPr>
        <w:t>；</w:t>
      </w:r>
    </w:p>
    <w:p w14:paraId="7355F2A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11</w:t>
      </w:r>
      <w:r>
        <w:rPr>
          <w:rFonts w:ascii="Times New Roman" w:eastAsia="宋体" w:hAnsi="Times New Roman" w:cs="Times New Roman"/>
          <w:sz w:val="24"/>
        </w:rPr>
        <w:t>）《关于做好环境影响评价制度与排序许可制衔接相关工作的通知》，环办环评</w:t>
      </w:r>
      <w:r>
        <w:rPr>
          <w:rFonts w:ascii="Times New Roman" w:eastAsia="宋体" w:hAnsi="Times New Roman" w:cs="Times New Roman"/>
          <w:sz w:val="24"/>
        </w:rPr>
        <w:t>[2017]84</w:t>
      </w:r>
      <w:r>
        <w:rPr>
          <w:rFonts w:ascii="Times New Roman" w:eastAsia="宋体" w:hAnsi="Times New Roman" w:cs="Times New Roman"/>
          <w:sz w:val="24"/>
        </w:rPr>
        <w:t>号，</w:t>
      </w:r>
      <w:r>
        <w:rPr>
          <w:rFonts w:ascii="Times New Roman" w:eastAsia="宋体" w:hAnsi="Times New Roman" w:cs="Times New Roman"/>
          <w:sz w:val="24"/>
        </w:rPr>
        <w:t>2017</w:t>
      </w:r>
      <w:r>
        <w:rPr>
          <w:rFonts w:ascii="Times New Roman" w:eastAsia="宋体" w:hAnsi="Times New Roman" w:cs="Times New Roman"/>
          <w:sz w:val="24"/>
        </w:rPr>
        <w:t>年</w:t>
      </w:r>
      <w:r>
        <w:rPr>
          <w:rFonts w:ascii="Times New Roman" w:eastAsia="宋体" w:hAnsi="Times New Roman" w:cs="Times New Roman"/>
          <w:sz w:val="24"/>
        </w:rPr>
        <w:t>11</w:t>
      </w:r>
      <w:r>
        <w:rPr>
          <w:rFonts w:ascii="Times New Roman" w:eastAsia="宋体" w:hAnsi="Times New Roman" w:cs="Times New Roman"/>
          <w:sz w:val="24"/>
        </w:rPr>
        <w:t>月</w:t>
      </w:r>
      <w:r>
        <w:rPr>
          <w:rFonts w:ascii="Times New Roman" w:eastAsia="宋体" w:hAnsi="Times New Roman" w:cs="Times New Roman"/>
          <w:sz w:val="24"/>
        </w:rPr>
        <w:t>14</w:t>
      </w:r>
      <w:r>
        <w:rPr>
          <w:rFonts w:ascii="Times New Roman" w:eastAsia="宋体" w:hAnsi="Times New Roman" w:cs="Times New Roman"/>
          <w:sz w:val="24"/>
        </w:rPr>
        <w:t>日；</w:t>
      </w:r>
    </w:p>
    <w:p w14:paraId="434A23A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12</w:t>
      </w:r>
      <w:r>
        <w:rPr>
          <w:rFonts w:ascii="Times New Roman" w:eastAsia="宋体" w:hAnsi="Times New Roman" w:cs="Times New Roman"/>
          <w:sz w:val="24"/>
        </w:rPr>
        <w:t>）《关于加强环境保护重点工作的意见》，国发〔</w:t>
      </w:r>
      <w:r>
        <w:rPr>
          <w:rFonts w:ascii="Times New Roman" w:eastAsia="宋体" w:hAnsi="Times New Roman" w:cs="Times New Roman"/>
          <w:sz w:val="24"/>
        </w:rPr>
        <w:t>2011</w:t>
      </w:r>
      <w:r>
        <w:rPr>
          <w:rFonts w:ascii="Times New Roman" w:eastAsia="宋体" w:hAnsi="Times New Roman" w:cs="Times New Roman"/>
          <w:sz w:val="24"/>
        </w:rPr>
        <w:t>〕</w:t>
      </w:r>
      <w:r>
        <w:rPr>
          <w:rFonts w:ascii="Times New Roman" w:eastAsia="宋体" w:hAnsi="Times New Roman" w:cs="Times New Roman"/>
          <w:sz w:val="24"/>
        </w:rPr>
        <w:t>35</w:t>
      </w:r>
      <w:r>
        <w:rPr>
          <w:rFonts w:ascii="Times New Roman" w:eastAsia="宋体" w:hAnsi="Times New Roman" w:cs="Times New Roman"/>
          <w:sz w:val="24"/>
        </w:rPr>
        <w:t>号，</w:t>
      </w:r>
      <w:r>
        <w:rPr>
          <w:rFonts w:ascii="Times New Roman" w:eastAsia="宋体" w:hAnsi="Times New Roman" w:cs="Times New Roman"/>
          <w:sz w:val="24"/>
        </w:rPr>
        <w:t>2011</w:t>
      </w:r>
      <w:r>
        <w:rPr>
          <w:rFonts w:ascii="Times New Roman" w:eastAsia="宋体" w:hAnsi="Times New Roman" w:cs="Times New Roman"/>
          <w:sz w:val="24"/>
        </w:rPr>
        <w:t>年</w:t>
      </w:r>
      <w:r>
        <w:rPr>
          <w:rFonts w:ascii="Times New Roman" w:eastAsia="宋体" w:hAnsi="Times New Roman" w:cs="Times New Roman"/>
          <w:sz w:val="24"/>
        </w:rPr>
        <w:t>10</w:t>
      </w:r>
      <w:r>
        <w:rPr>
          <w:rFonts w:ascii="Times New Roman" w:eastAsia="宋体" w:hAnsi="Times New Roman" w:cs="Times New Roman"/>
          <w:sz w:val="24"/>
        </w:rPr>
        <w:t>月；</w:t>
      </w:r>
    </w:p>
    <w:p w14:paraId="0E462EE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13</w:t>
      </w:r>
      <w:r>
        <w:rPr>
          <w:rFonts w:ascii="Times New Roman" w:eastAsia="宋体" w:hAnsi="Times New Roman" w:cs="Times New Roman"/>
          <w:sz w:val="24"/>
        </w:rPr>
        <w:t>）《环境影响评价公众参与管理办法》，生态环保部第</w:t>
      </w:r>
      <w:r>
        <w:rPr>
          <w:rFonts w:ascii="Times New Roman" w:eastAsia="宋体" w:hAnsi="Times New Roman" w:cs="Times New Roman"/>
          <w:sz w:val="24"/>
        </w:rPr>
        <w:t>4</w:t>
      </w:r>
      <w:r>
        <w:rPr>
          <w:rFonts w:ascii="Times New Roman" w:eastAsia="宋体" w:hAnsi="Times New Roman" w:cs="Times New Roman"/>
          <w:sz w:val="24"/>
        </w:rPr>
        <w:t>号令，</w:t>
      </w:r>
      <w:r>
        <w:rPr>
          <w:rFonts w:ascii="Times New Roman" w:eastAsia="宋体" w:hAnsi="Times New Roman" w:cs="Times New Roman"/>
          <w:sz w:val="24"/>
        </w:rPr>
        <w:t>2019</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日起施行；</w:t>
      </w:r>
      <w:r>
        <w:rPr>
          <w:rFonts w:ascii="Times New Roman" w:eastAsia="宋体" w:hAnsi="Times New Roman" w:cs="Times New Roman"/>
          <w:sz w:val="24"/>
        </w:rPr>
        <w:t xml:space="preserve"> </w:t>
      </w:r>
    </w:p>
    <w:p w14:paraId="35825C70"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14</w:t>
      </w:r>
      <w:r>
        <w:rPr>
          <w:rFonts w:ascii="Times New Roman" w:eastAsia="宋体" w:hAnsi="Times New Roman" w:cs="Times New Roman"/>
          <w:sz w:val="24"/>
        </w:rPr>
        <w:t>）《国家危险废物名录（</w:t>
      </w:r>
      <w:r>
        <w:rPr>
          <w:rFonts w:ascii="Times New Roman" w:eastAsia="宋体" w:hAnsi="Times New Roman" w:cs="Times New Roman"/>
          <w:sz w:val="24"/>
        </w:rPr>
        <w:t>2021</w:t>
      </w:r>
      <w:r>
        <w:rPr>
          <w:rFonts w:ascii="Times New Roman" w:eastAsia="宋体" w:hAnsi="Times New Roman" w:cs="Times New Roman"/>
          <w:sz w:val="24"/>
        </w:rPr>
        <w:t>年版）》（中华人民共和国环境保护部令第</w:t>
      </w:r>
      <w:r>
        <w:rPr>
          <w:rFonts w:ascii="Times New Roman" w:eastAsia="宋体" w:hAnsi="Times New Roman" w:cs="Times New Roman"/>
          <w:sz w:val="24"/>
        </w:rPr>
        <w:t>15</w:t>
      </w:r>
      <w:r>
        <w:rPr>
          <w:rFonts w:ascii="Times New Roman" w:eastAsia="宋体" w:hAnsi="Times New Roman" w:cs="Times New Roman"/>
          <w:sz w:val="24"/>
        </w:rPr>
        <w:t>号），</w:t>
      </w:r>
      <w:r>
        <w:rPr>
          <w:rFonts w:ascii="Times New Roman" w:eastAsia="宋体" w:hAnsi="Times New Roman" w:cs="Times New Roman"/>
          <w:sz w:val="24"/>
        </w:rPr>
        <w:t>2021</w:t>
      </w:r>
      <w:r>
        <w:rPr>
          <w:rFonts w:ascii="Times New Roman" w:eastAsia="宋体" w:hAnsi="Times New Roman" w:cs="Times New Roman"/>
          <w:sz w:val="24"/>
        </w:rPr>
        <w:t>年</w:t>
      </w:r>
      <w:r>
        <w:rPr>
          <w:rFonts w:ascii="Times New Roman" w:eastAsia="宋体" w:hAnsi="Times New Roman" w:cs="Times New Roman"/>
          <w:sz w:val="24"/>
        </w:rPr>
        <w:t>1</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日起施行</w:t>
      </w:r>
      <w:r>
        <w:rPr>
          <w:rFonts w:ascii="Times New Roman" w:eastAsia="宋体" w:hAnsi="Times New Roman" w:cs="Times New Roman" w:hint="eastAsia"/>
          <w:sz w:val="24"/>
        </w:rPr>
        <w:t>。</w:t>
      </w:r>
    </w:p>
    <w:p w14:paraId="65210C94"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142" w:name="_Toc121411688"/>
      <w:bookmarkStart w:id="143" w:name="_Toc8534"/>
      <w:bookmarkStart w:id="144" w:name="_Toc475562457"/>
      <w:bookmarkStart w:id="145" w:name="_Toc11057"/>
      <w:r>
        <w:rPr>
          <w:rFonts w:ascii="Times New Roman" w:eastAsia="黑体" w:hAnsi="Times New Roman" w:cs="Times New Roman"/>
          <w:b w:val="0"/>
          <w:sz w:val="24"/>
        </w:rPr>
        <w:t>2.1.3</w:t>
      </w:r>
      <w:r>
        <w:rPr>
          <w:rFonts w:ascii="Times New Roman" w:eastAsia="黑体" w:hAnsi="Times New Roman" w:cs="Times New Roman"/>
          <w:b w:val="0"/>
          <w:sz w:val="24"/>
        </w:rPr>
        <w:t>地方法规、政策</w:t>
      </w:r>
      <w:bookmarkEnd w:id="142"/>
      <w:bookmarkEnd w:id="143"/>
      <w:bookmarkEnd w:id="144"/>
      <w:bookmarkEnd w:id="145"/>
    </w:p>
    <w:p w14:paraId="3FEC661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）《陕西省水污染防治工作方案》（陕政发</w:t>
      </w:r>
      <w:r>
        <w:rPr>
          <w:rFonts w:ascii="Times New Roman" w:eastAsia="宋体" w:hAnsi="Times New Roman" w:cs="Times New Roman"/>
          <w:sz w:val="24"/>
        </w:rPr>
        <w:t>[2015]60</w:t>
      </w:r>
      <w:r>
        <w:rPr>
          <w:rFonts w:ascii="Times New Roman" w:eastAsia="宋体" w:hAnsi="Times New Roman" w:cs="Times New Roman"/>
          <w:sz w:val="24"/>
        </w:rPr>
        <w:t>号）；</w:t>
      </w:r>
    </w:p>
    <w:p w14:paraId="6B14DEB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）《陕西省大气污染防治条例》，</w:t>
      </w:r>
      <w:r>
        <w:rPr>
          <w:rFonts w:ascii="Times New Roman" w:eastAsia="宋体" w:hAnsi="Times New Roman" w:cs="Times New Roman" w:hint="eastAsia"/>
          <w:sz w:val="24"/>
        </w:rPr>
        <w:t>（</w:t>
      </w:r>
      <w:r>
        <w:rPr>
          <w:rFonts w:ascii="Times New Roman" w:eastAsia="宋体" w:hAnsi="Times New Roman" w:cs="Times New Roman" w:hint="eastAsia"/>
          <w:sz w:val="24"/>
        </w:rPr>
        <w:t>2019</w:t>
      </w:r>
      <w:r>
        <w:rPr>
          <w:rFonts w:ascii="Times New Roman" w:eastAsia="宋体" w:hAnsi="Times New Roman" w:cs="Times New Roman" w:hint="eastAsia"/>
          <w:sz w:val="24"/>
        </w:rPr>
        <w:t>年修订）</w:t>
      </w:r>
      <w:r>
        <w:rPr>
          <w:rFonts w:ascii="Times New Roman" w:eastAsia="宋体" w:hAnsi="Times New Roman" w:cs="Times New Roman"/>
          <w:sz w:val="24"/>
        </w:rPr>
        <w:t>；</w:t>
      </w:r>
    </w:p>
    <w:p w14:paraId="1AB0D6F8"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）《陕西省地下水条例》，</w:t>
      </w:r>
      <w:r>
        <w:rPr>
          <w:rFonts w:ascii="Times New Roman" w:eastAsia="宋体" w:hAnsi="Times New Roman" w:cs="Times New Roman"/>
          <w:sz w:val="24"/>
        </w:rPr>
        <w:t>2016</w:t>
      </w:r>
      <w:r>
        <w:rPr>
          <w:rFonts w:ascii="Times New Roman" w:eastAsia="宋体" w:hAnsi="Times New Roman" w:cs="Times New Roman"/>
          <w:sz w:val="24"/>
        </w:rPr>
        <w:t>年</w:t>
      </w:r>
      <w:r>
        <w:rPr>
          <w:rFonts w:ascii="Times New Roman" w:eastAsia="宋体" w:hAnsi="Times New Roman" w:cs="Times New Roman"/>
          <w:sz w:val="24"/>
        </w:rPr>
        <w:t>4</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日起施行；</w:t>
      </w:r>
    </w:p>
    <w:p w14:paraId="0D339C7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）《陕西省固体废物污染环境防治条例》</w:t>
      </w:r>
      <w:r>
        <w:rPr>
          <w:rFonts w:ascii="Times New Roman" w:eastAsia="宋体" w:hAnsi="Times New Roman" w:cs="Times New Roman" w:hint="eastAsia"/>
          <w:sz w:val="24"/>
        </w:rPr>
        <w:t>》（</w:t>
      </w:r>
      <w:r>
        <w:rPr>
          <w:rFonts w:ascii="Times New Roman" w:eastAsia="宋体" w:hAnsi="Times New Roman" w:cs="Times New Roman"/>
          <w:sz w:val="24"/>
        </w:rPr>
        <w:t>2019</w:t>
      </w:r>
      <w:r>
        <w:rPr>
          <w:rFonts w:ascii="Times New Roman" w:eastAsia="宋体" w:hAnsi="Times New Roman" w:cs="Times New Roman"/>
          <w:sz w:val="24"/>
        </w:rPr>
        <w:t>年修正），</w:t>
      </w:r>
      <w:r>
        <w:rPr>
          <w:rFonts w:ascii="Times New Roman" w:eastAsia="宋体" w:hAnsi="Times New Roman" w:cs="Times New Roman"/>
          <w:sz w:val="24"/>
        </w:rPr>
        <w:t>2019</w:t>
      </w:r>
      <w:r>
        <w:rPr>
          <w:rFonts w:ascii="Times New Roman" w:eastAsia="宋体" w:hAnsi="Times New Roman" w:cs="Times New Roman"/>
          <w:sz w:val="24"/>
        </w:rPr>
        <w:t>年</w:t>
      </w:r>
      <w:r>
        <w:rPr>
          <w:rFonts w:ascii="Times New Roman" w:eastAsia="宋体" w:hAnsi="Times New Roman" w:cs="Times New Roman"/>
          <w:sz w:val="24"/>
        </w:rPr>
        <w:t>7</w:t>
      </w:r>
      <w:r>
        <w:rPr>
          <w:rFonts w:ascii="Times New Roman" w:eastAsia="宋体" w:hAnsi="Times New Roman" w:cs="Times New Roman"/>
          <w:sz w:val="24"/>
        </w:rPr>
        <w:t>月</w:t>
      </w:r>
      <w:r>
        <w:rPr>
          <w:rFonts w:ascii="Times New Roman" w:eastAsia="宋体" w:hAnsi="Times New Roman" w:cs="Times New Roman"/>
          <w:sz w:val="24"/>
        </w:rPr>
        <w:t>31</w:t>
      </w:r>
      <w:r>
        <w:rPr>
          <w:rFonts w:ascii="Times New Roman" w:eastAsia="宋体" w:hAnsi="Times New Roman" w:cs="Times New Roman"/>
          <w:sz w:val="24"/>
        </w:rPr>
        <w:t>日；</w:t>
      </w:r>
    </w:p>
    <w:p w14:paraId="1006802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）《陕西省水土保持条例》，</w:t>
      </w:r>
      <w:r>
        <w:rPr>
          <w:rFonts w:ascii="Times New Roman" w:eastAsia="宋体" w:hAnsi="Times New Roman" w:cs="Times New Roman"/>
          <w:sz w:val="24"/>
        </w:rPr>
        <w:t>2013</w:t>
      </w:r>
      <w:r>
        <w:rPr>
          <w:rFonts w:ascii="Times New Roman" w:eastAsia="宋体" w:hAnsi="Times New Roman" w:cs="Times New Roman"/>
          <w:sz w:val="24"/>
        </w:rPr>
        <w:t>年</w:t>
      </w:r>
      <w:r>
        <w:rPr>
          <w:rFonts w:ascii="Times New Roman" w:eastAsia="宋体" w:hAnsi="Times New Roman" w:cs="Times New Roman"/>
          <w:sz w:val="24"/>
        </w:rPr>
        <w:t>10</w:t>
      </w:r>
      <w:r>
        <w:rPr>
          <w:rFonts w:ascii="Times New Roman" w:eastAsia="宋体" w:hAnsi="Times New Roman" w:cs="Times New Roman"/>
          <w:sz w:val="24"/>
        </w:rPr>
        <w:t>月</w:t>
      </w:r>
      <w:r>
        <w:rPr>
          <w:rFonts w:ascii="Times New Roman" w:eastAsia="宋体" w:hAnsi="Times New Roman" w:cs="Times New Roman"/>
          <w:sz w:val="24"/>
        </w:rPr>
        <w:t>1</w:t>
      </w:r>
      <w:r>
        <w:rPr>
          <w:rFonts w:ascii="Times New Roman" w:eastAsia="宋体" w:hAnsi="Times New Roman" w:cs="Times New Roman"/>
          <w:sz w:val="24"/>
        </w:rPr>
        <w:t>日起施行，</w:t>
      </w:r>
      <w:r>
        <w:rPr>
          <w:rFonts w:ascii="Times New Roman" w:eastAsia="宋体" w:hAnsi="Times New Roman" w:cs="Times New Roman"/>
          <w:sz w:val="24"/>
        </w:rPr>
        <w:t>2018</w:t>
      </w:r>
      <w:r>
        <w:rPr>
          <w:rFonts w:ascii="Times New Roman" w:eastAsia="宋体" w:hAnsi="Times New Roman" w:cs="Times New Roman"/>
          <w:sz w:val="24"/>
        </w:rPr>
        <w:t>年</w:t>
      </w:r>
      <w:r>
        <w:rPr>
          <w:rFonts w:ascii="Times New Roman" w:eastAsia="宋体" w:hAnsi="Times New Roman" w:cs="Times New Roman"/>
          <w:sz w:val="24"/>
        </w:rPr>
        <w:t>5</w:t>
      </w:r>
      <w:r>
        <w:rPr>
          <w:rFonts w:ascii="Times New Roman" w:eastAsia="宋体" w:hAnsi="Times New Roman" w:cs="Times New Roman"/>
          <w:sz w:val="24"/>
        </w:rPr>
        <w:t>月</w:t>
      </w:r>
      <w:r>
        <w:rPr>
          <w:rFonts w:ascii="Times New Roman" w:eastAsia="宋体" w:hAnsi="Times New Roman" w:cs="Times New Roman"/>
          <w:sz w:val="24"/>
        </w:rPr>
        <w:t>31</w:t>
      </w:r>
      <w:r>
        <w:rPr>
          <w:rFonts w:ascii="Times New Roman" w:eastAsia="宋体" w:hAnsi="Times New Roman" w:cs="Times New Roman"/>
          <w:sz w:val="24"/>
        </w:rPr>
        <w:t>日修改；</w:t>
      </w:r>
    </w:p>
    <w:p w14:paraId="22A317E3" w14:textId="7B261EA8"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sidR="00231F74">
        <w:rPr>
          <w:rFonts w:ascii="Times New Roman" w:eastAsia="宋体" w:hAnsi="Times New Roman" w:cs="Times New Roman"/>
          <w:sz w:val="24"/>
        </w:rPr>
        <w:t>6</w:t>
      </w:r>
      <w:r>
        <w:rPr>
          <w:rFonts w:ascii="Times New Roman" w:eastAsia="宋体" w:hAnsi="Times New Roman" w:cs="Times New Roman"/>
          <w:sz w:val="24"/>
        </w:rPr>
        <w:t>）</w:t>
      </w:r>
      <w:r w:rsidR="002D1C03">
        <w:rPr>
          <w:rFonts w:ascii="Times New Roman" w:eastAsia="宋体" w:hAnsi="Times New Roman" w:cs="Times New Roman" w:hint="eastAsia"/>
          <w:sz w:val="24"/>
        </w:rPr>
        <w:t xml:space="preserve"> </w:t>
      </w:r>
      <w:r>
        <w:rPr>
          <w:rFonts w:ascii="Times New Roman" w:eastAsia="宋体" w:hAnsi="Times New Roman" w:cs="Times New Roman"/>
          <w:sz w:val="24"/>
        </w:rPr>
        <w:t>《陕西省人民政府办公厅关于印发陕西省生态功能区划的通知》陕政发</w:t>
      </w:r>
      <w:r>
        <w:rPr>
          <w:rFonts w:ascii="Times New Roman" w:eastAsia="宋体" w:hAnsi="Times New Roman" w:cs="Times New Roman"/>
          <w:sz w:val="24"/>
        </w:rPr>
        <w:t>[2004]115</w:t>
      </w:r>
      <w:r>
        <w:rPr>
          <w:rFonts w:ascii="Times New Roman" w:eastAsia="宋体" w:hAnsi="Times New Roman" w:cs="Times New Roman"/>
          <w:sz w:val="24"/>
        </w:rPr>
        <w:t>号，</w:t>
      </w:r>
      <w:r>
        <w:rPr>
          <w:rFonts w:ascii="Times New Roman" w:eastAsia="宋体" w:hAnsi="Times New Roman" w:cs="Times New Roman"/>
          <w:sz w:val="24"/>
        </w:rPr>
        <w:t>2004</w:t>
      </w:r>
      <w:r>
        <w:rPr>
          <w:rFonts w:ascii="Times New Roman" w:eastAsia="宋体" w:hAnsi="Times New Roman" w:cs="Times New Roman"/>
          <w:sz w:val="24"/>
        </w:rPr>
        <w:t>年</w:t>
      </w:r>
      <w:r>
        <w:rPr>
          <w:rFonts w:ascii="Times New Roman" w:eastAsia="宋体" w:hAnsi="Times New Roman" w:cs="Times New Roman"/>
          <w:sz w:val="24"/>
        </w:rPr>
        <w:t>11</w:t>
      </w:r>
      <w:r>
        <w:rPr>
          <w:rFonts w:ascii="Times New Roman" w:eastAsia="宋体" w:hAnsi="Times New Roman" w:cs="Times New Roman"/>
          <w:sz w:val="24"/>
        </w:rPr>
        <w:t>月；</w:t>
      </w:r>
    </w:p>
    <w:p w14:paraId="65D82752" w14:textId="66084C11"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sidR="00231F74">
        <w:rPr>
          <w:rFonts w:ascii="Times New Roman" w:eastAsia="宋体" w:hAnsi="Times New Roman" w:cs="Times New Roman"/>
          <w:sz w:val="24"/>
        </w:rPr>
        <w:t>7</w:t>
      </w:r>
      <w:r>
        <w:rPr>
          <w:rFonts w:ascii="Times New Roman" w:eastAsia="宋体" w:hAnsi="Times New Roman" w:cs="Times New Roman"/>
          <w:sz w:val="24"/>
        </w:rPr>
        <w:t>）《行业用水定额》（</w:t>
      </w:r>
      <w:r>
        <w:rPr>
          <w:rFonts w:ascii="Times New Roman" w:eastAsia="宋体" w:hAnsi="Times New Roman" w:cs="Times New Roman"/>
          <w:sz w:val="24"/>
        </w:rPr>
        <w:t>DB61/T943-20</w:t>
      </w:r>
      <w:r>
        <w:rPr>
          <w:rFonts w:ascii="Times New Roman" w:eastAsia="宋体" w:hAnsi="Times New Roman" w:cs="Times New Roman" w:hint="eastAsia"/>
          <w:sz w:val="24"/>
        </w:rPr>
        <w:t>20</w:t>
      </w:r>
      <w:r>
        <w:rPr>
          <w:rFonts w:ascii="Times New Roman" w:eastAsia="宋体" w:hAnsi="Times New Roman" w:cs="Times New Roman"/>
          <w:sz w:val="24"/>
        </w:rPr>
        <w:t>），</w:t>
      </w:r>
      <w:r>
        <w:rPr>
          <w:rFonts w:ascii="Times New Roman" w:eastAsia="宋体" w:hAnsi="Times New Roman" w:cs="Times New Roman"/>
          <w:sz w:val="24"/>
        </w:rPr>
        <w:t>20</w:t>
      </w:r>
      <w:r>
        <w:rPr>
          <w:rFonts w:ascii="Times New Roman" w:eastAsia="宋体" w:hAnsi="Times New Roman" w:cs="Times New Roman" w:hint="eastAsia"/>
          <w:sz w:val="24"/>
        </w:rPr>
        <w:t>20</w:t>
      </w:r>
      <w:r>
        <w:rPr>
          <w:rFonts w:ascii="Times New Roman" w:eastAsia="宋体" w:hAnsi="Times New Roman" w:cs="Times New Roman"/>
          <w:sz w:val="24"/>
        </w:rPr>
        <w:t>年</w:t>
      </w:r>
      <w:r>
        <w:rPr>
          <w:rFonts w:ascii="Times New Roman" w:eastAsia="宋体" w:hAnsi="Times New Roman" w:cs="Times New Roman" w:hint="eastAsia"/>
          <w:sz w:val="24"/>
        </w:rPr>
        <w:t>9</w:t>
      </w:r>
      <w:r>
        <w:rPr>
          <w:rFonts w:ascii="Times New Roman" w:eastAsia="宋体" w:hAnsi="Times New Roman" w:cs="Times New Roman"/>
          <w:sz w:val="24"/>
        </w:rPr>
        <w:t>月</w:t>
      </w:r>
      <w:r>
        <w:rPr>
          <w:rFonts w:ascii="Times New Roman" w:eastAsia="宋体" w:hAnsi="Times New Roman" w:cs="Times New Roman" w:hint="eastAsia"/>
          <w:sz w:val="24"/>
        </w:rPr>
        <w:t>12</w:t>
      </w:r>
      <w:r>
        <w:rPr>
          <w:rFonts w:ascii="Times New Roman" w:eastAsia="宋体" w:hAnsi="Times New Roman" w:cs="Times New Roman" w:hint="eastAsia"/>
          <w:sz w:val="24"/>
        </w:rPr>
        <w:t>日；</w:t>
      </w:r>
    </w:p>
    <w:p w14:paraId="3069560C" w14:textId="72B315E6"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sidR="00231F74">
        <w:rPr>
          <w:rFonts w:ascii="Times New Roman" w:eastAsia="宋体" w:hAnsi="Times New Roman" w:cs="Times New Roman"/>
          <w:sz w:val="24"/>
        </w:rPr>
        <w:t>8</w:t>
      </w:r>
      <w:r>
        <w:rPr>
          <w:rFonts w:ascii="Times New Roman" w:eastAsia="宋体" w:hAnsi="Times New Roman" w:cs="Times New Roman" w:hint="eastAsia"/>
          <w:sz w:val="24"/>
        </w:rPr>
        <w:t>）陕西省人民政府办公厅《关于印发蓝天碧水净土保卫战</w:t>
      </w:r>
      <w:r>
        <w:rPr>
          <w:rFonts w:ascii="Times New Roman" w:eastAsia="宋体" w:hAnsi="Times New Roman" w:cs="Times New Roman"/>
          <w:sz w:val="24"/>
        </w:rPr>
        <w:t>2022</w:t>
      </w:r>
      <w:r>
        <w:rPr>
          <w:rFonts w:ascii="Times New Roman" w:eastAsia="宋体" w:hAnsi="Times New Roman" w:cs="Times New Roman" w:hint="eastAsia"/>
          <w:sz w:val="24"/>
        </w:rPr>
        <w:t>年工作方案的通知》，陕政办发</w:t>
      </w:r>
      <w:r>
        <w:rPr>
          <w:rFonts w:ascii="Times New Roman" w:eastAsia="宋体" w:hAnsi="Times New Roman" w:cs="Times New Roman"/>
          <w:sz w:val="24"/>
        </w:rPr>
        <w:t>[2022]8</w:t>
      </w:r>
      <w:r>
        <w:rPr>
          <w:rFonts w:ascii="Times New Roman" w:eastAsia="宋体" w:hAnsi="Times New Roman" w:cs="Times New Roman" w:hint="eastAsia"/>
          <w:sz w:val="24"/>
        </w:rPr>
        <w:t>号，</w:t>
      </w:r>
      <w:r>
        <w:rPr>
          <w:rFonts w:ascii="Times New Roman" w:eastAsia="宋体" w:hAnsi="Times New Roman" w:cs="Times New Roman"/>
          <w:sz w:val="24"/>
        </w:rPr>
        <w:t>2022</w:t>
      </w:r>
      <w:r>
        <w:rPr>
          <w:rFonts w:ascii="Times New Roman" w:eastAsia="宋体" w:hAnsi="Times New Roman" w:cs="Times New Roman" w:hint="eastAsia"/>
          <w:sz w:val="24"/>
        </w:rPr>
        <w:t>年</w:t>
      </w:r>
      <w:r>
        <w:rPr>
          <w:rFonts w:ascii="Times New Roman" w:eastAsia="宋体" w:hAnsi="Times New Roman" w:cs="Times New Roman"/>
          <w:sz w:val="24"/>
        </w:rPr>
        <w:t>3</w:t>
      </w:r>
      <w:r>
        <w:rPr>
          <w:rFonts w:ascii="Times New Roman" w:eastAsia="宋体" w:hAnsi="Times New Roman" w:cs="Times New Roman" w:hint="eastAsia"/>
          <w:sz w:val="24"/>
        </w:rPr>
        <w:t>月</w:t>
      </w:r>
      <w:r>
        <w:rPr>
          <w:rFonts w:ascii="Times New Roman" w:eastAsia="宋体" w:hAnsi="Times New Roman" w:cs="Times New Roman"/>
          <w:sz w:val="24"/>
        </w:rPr>
        <w:t>14</w:t>
      </w:r>
      <w:r>
        <w:rPr>
          <w:rFonts w:ascii="Times New Roman" w:eastAsia="宋体" w:hAnsi="Times New Roman" w:cs="Times New Roman" w:hint="eastAsia"/>
          <w:sz w:val="24"/>
        </w:rPr>
        <w:t>日；</w:t>
      </w:r>
    </w:p>
    <w:p w14:paraId="5416DB5B" w14:textId="10BA07D5"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sidR="00231F74">
        <w:rPr>
          <w:rFonts w:ascii="Times New Roman" w:eastAsia="宋体" w:hAnsi="Times New Roman" w:cs="Times New Roman"/>
          <w:sz w:val="24"/>
        </w:rPr>
        <w:t>9</w:t>
      </w:r>
      <w:r>
        <w:rPr>
          <w:rFonts w:ascii="Times New Roman" w:eastAsia="宋体" w:hAnsi="Times New Roman" w:cs="Times New Roman" w:hint="eastAsia"/>
          <w:sz w:val="24"/>
        </w:rPr>
        <w:t>）《陕西省人民政府办公厅关于印发秦岭生态环境保护总体规划的通知》（陕政办发〔</w:t>
      </w:r>
      <w:r>
        <w:rPr>
          <w:rFonts w:ascii="Times New Roman" w:eastAsia="宋体" w:hAnsi="Times New Roman" w:cs="Times New Roman"/>
          <w:sz w:val="24"/>
        </w:rPr>
        <w:t>2020</w:t>
      </w:r>
      <w:r>
        <w:rPr>
          <w:rFonts w:ascii="Times New Roman" w:eastAsia="宋体" w:hAnsi="Times New Roman" w:cs="Times New Roman" w:hint="eastAsia"/>
          <w:sz w:val="24"/>
        </w:rPr>
        <w:t>〕</w:t>
      </w:r>
      <w:r>
        <w:rPr>
          <w:rFonts w:ascii="Times New Roman" w:eastAsia="宋体" w:hAnsi="Times New Roman" w:cs="Times New Roman"/>
          <w:sz w:val="24"/>
        </w:rPr>
        <w:t>13</w:t>
      </w:r>
      <w:r>
        <w:rPr>
          <w:rFonts w:ascii="Times New Roman" w:eastAsia="宋体" w:hAnsi="Times New Roman" w:cs="Times New Roman" w:hint="eastAsia"/>
          <w:sz w:val="24"/>
        </w:rPr>
        <w:t>号），</w:t>
      </w:r>
      <w:r>
        <w:rPr>
          <w:rFonts w:ascii="Times New Roman" w:eastAsia="宋体" w:hAnsi="Times New Roman" w:cs="Times New Roman"/>
          <w:sz w:val="24"/>
        </w:rPr>
        <w:t>2020</w:t>
      </w:r>
      <w:r>
        <w:rPr>
          <w:rFonts w:ascii="Times New Roman" w:eastAsia="宋体" w:hAnsi="Times New Roman" w:cs="Times New Roman" w:hint="eastAsia"/>
          <w:sz w:val="24"/>
        </w:rPr>
        <w:t>年</w:t>
      </w:r>
      <w:r>
        <w:rPr>
          <w:rFonts w:ascii="Times New Roman" w:eastAsia="宋体" w:hAnsi="Times New Roman" w:cs="Times New Roman"/>
          <w:sz w:val="24"/>
        </w:rPr>
        <w:t>7</w:t>
      </w:r>
      <w:r>
        <w:rPr>
          <w:rFonts w:ascii="Times New Roman" w:eastAsia="宋体" w:hAnsi="Times New Roman" w:cs="Times New Roman" w:hint="eastAsia"/>
          <w:sz w:val="24"/>
        </w:rPr>
        <w:t>月</w:t>
      </w:r>
      <w:r>
        <w:rPr>
          <w:rFonts w:ascii="Times New Roman" w:eastAsia="宋体" w:hAnsi="Times New Roman" w:cs="Times New Roman"/>
          <w:sz w:val="24"/>
        </w:rPr>
        <w:t>11</w:t>
      </w:r>
      <w:r>
        <w:rPr>
          <w:rFonts w:ascii="Times New Roman" w:eastAsia="宋体" w:hAnsi="Times New Roman" w:cs="Times New Roman" w:hint="eastAsia"/>
          <w:sz w:val="24"/>
        </w:rPr>
        <w:t>日；</w:t>
      </w:r>
    </w:p>
    <w:p w14:paraId="0BEA1977" w14:textId="481DDDDA"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w:t>
      </w:r>
      <w:r w:rsidR="00231F74">
        <w:rPr>
          <w:rFonts w:ascii="Times New Roman" w:eastAsia="宋体" w:hAnsi="Times New Roman" w:cs="Times New Roman"/>
          <w:sz w:val="24"/>
        </w:rPr>
        <w:t>0</w:t>
      </w:r>
      <w:r>
        <w:rPr>
          <w:rFonts w:ascii="Times New Roman" w:eastAsia="宋体" w:hAnsi="Times New Roman" w:cs="Times New Roman" w:hint="eastAsia"/>
          <w:sz w:val="24"/>
        </w:rPr>
        <w:t>）《陕西省实施</w:t>
      </w:r>
      <w:r>
        <w:rPr>
          <w:rFonts w:ascii="Times New Roman" w:eastAsia="宋体" w:hAnsi="Times New Roman" w:cs="Times New Roman"/>
          <w:sz w:val="24"/>
        </w:rPr>
        <w:t>&lt;</w:t>
      </w:r>
      <w:r>
        <w:rPr>
          <w:rFonts w:ascii="Times New Roman" w:eastAsia="宋体" w:hAnsi="Times New Roman" w:cs="Times New Roman" w:hint="eastAsia"/>
          <w:sz w:val="24"/>
        </w:rPr>
        <w:t>中华人民共和国水法</w:t>
      </w:r>
      <w:r>
        <w:rPr>
          <w:rFonts w:ascii="Times New Roman" w:eastAsia="宋体" w:hAnsi="Times New Roman" w:cs="Times New Roman"/>
          <w:sz w:val="24"/>
        </w:rPr>
        <w:t>&gt;</w:t>
      </w:r>
      <w:r>
        <w:rPr>
          <w:rFonts w:ascii="Times New Roman" w:eastAsia="宋体" w:hAnsi="Times New Roman" w:cs="Times New Roman" w:hint="eastAsia"/>
          <w:sz w:val="24"/>
        </w:rPr>
        <w:t>办法》，</w:t>
      </w:r>
      <w:r>
        <w:rPr>
          <w:rFonts w:ascii="Times New Roman" w:eastAsia="宋体" w:hAnsi="Times New Roman" w:cs="Times New Roman"/>
          <w:sz w:val="24"/>
        </w:rPr>
        <w:t>2018</w:t>
      </w:r>
      <w:r>
        <w:rPr>
          <w:rFonts w:ascii="Times New Roman" w:eastAsia="宋体" w:hAnsi="Times New Roman" w:cs="Times New Roman" w:hint="eastAsia"/>
          <w:sz w:val="24"/>
        </w:rPr>
        <w:t>年</w:t>
      </w:r>
      <w:r>
        <w:rPr>
          <w:rFonts w:ascii="Times New Roman" w:eastAsia="宋体" w:hAnsi="Times New Roman" w:cs="Times New Roman"/>
          <w:sz w:val="24"/>
        </w:rPr>
        <w:t>5</w:t>
      </w:r>
      <w:r>
        <w:rPr>
          <w:rFonts w:ascii="Times New Roman" w:eastAsia="宋体" w:hAnsi="Times New Roman" w:cs="Times New Roman" w:hint="eastAsia"/>
          <w:sz w:val="24"/>
        </w:rPr>
        <w:t>月</w:t>
      </w:r>
      <w:r>
        <w:rPr>
          <w:rFonts w:ascii="Times New Roman" w:eastAsia="宋体" w:hAnsi="Times New Roman" w:cs="Times New Roman"/>
          <w:sz w:val="24"/>
        </w:rPr>
        <w:t>31</w:t>
      </w:r>
      <w:r>
        <w:rPr>
          <w:rFonts w:ascii="Times New Roman" w:eastAsia="宋体" w:hAnsi="Times New Roman" w:cs="Times New Roman" w:hint="eastAsia"/>
          <w:sz w:val="24"/>
        </w:rPr>
        <w:t>日修订；</w:t>
      </w:r>
      <w:r>
        <w:rPr>
          <w:rFonts w:ascii="Times New Roman" w:eastAsia="宋体" w:hAnsi="Times New Roman" w:cs="Times New Roman"/>
          <w:sz w:val="24"/>
        </w:rPr>
        <w:t xml:space="preserve"> </w:t>
      </w:r>
    </w:p>
    <w:p w14:paraId="2EDF90D2" w14:textId="50751142"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w:t>
      </w:r>
      <w:r w:rsidR="00231F74">
        <w:rPr>
          <w:rFonts w:ascii="Times New Roman" w:eastAsia="宋体" w:hAnsi="Times New Roman" w:cs="Times New Roman"/>
          <w:sz w:val="24"/>
        </w:rPr>
        <w:t>1</w:t>
      </w:r>
      <w:r>
        <w:rPr>
          <w:rFonts w:ascii="Times New Roman" w:eastAsia="宋体" w:hAnsi="Times New Roman" w:cs="Times New Roman" w:hint="eastAsia"/>
          <w:sz w:val="24"/>
        </w:rPr>
        <w:t>）《陕西省实施</w:t>
      </w:r>
      <w:r>
        <w:rPr>
          <w:rFonts w:ascii="Times New Roman" w:eastAsia="宋体" w:hAnsi="Times New Roman" w:cs="Times New Roman"/>
          <w:sz w:val="24"/>
        </w:rPr>
        <w:t>&lt;</w:t>
      </w:r>
      <w:r>
        <w:rPr>
          <w:rFonts w:ascii="Times New Roman" w:eastAsia="宋体" w:hAnsi="Times New Roman" w:cs="Times New Roman" w:hint="eastAsia"/>
          <w:sz w:val="24"/>
        </w:rPr>
        <w:t>中华人民共和国环境影响评价法</w:t>
      </w:r>
      <w:r>
        <w:rPr>
          <w:rFonts w:ascii="Times New Roman" w:eastAsia="宋体" w:hAnsi="Times New Roman" w:cs="Times New Roman"/>
          <w:sz w:val="24"/>
        </w:rPr>
        <w:t>&gt;</w:t>
      </w:r>
      <w:r>
        <w:rPr>
          <w:rFonts w:ascii="Times New Roman" w:eastAsia="宋体" w:hAnsi="Times New Roman" w:cs="Times New Roman" w:hint="eastAsia"/>
          <w:sz w:val="24"/>
        </w:rPr>
        <w:t>办法》（</w:t>
      </w:r>
      <w:r>
        <w:rPr>
          <w:rFonts w:ascii="Times New Roman" w:eastAsia="宋体" w:hAnsi="Times New Roman" w:cs="Times New Roman"/>
          <w:sz w:val="24"/>
        </w:rPr>
        <w:t>2020</w:t>
      </w:r>
      <w:r>
        <w:rPr>
          <w:rFonts w:ascii="Times New Roman" w:eastAsia="宋体" w:hAnsi="Times New Roman" w:cs="Times New Roman" w:hint="eastAsia"/>
          <w:sz w:val="24"/>
        </w:rPr>
        <w:t>年修正），</w:t>
      </w:r>
      <w:r>
        <w:rPr>
          <w:rFonts w:ascii="Times New Roman" w:eastAsia="宋体" w:hAnsi="Times New Roman" w:cs="Times New Roman"/>
          <w:sz w:val="24"/>
        </w:rPr>
        <w:t>2020</w:t>
      </w:r>
      <w:r>
        <w:rPr>
          <w:rFonts w:ascii="Times New Roman" w:eastAsia="宋体" w:hAnsi="Times New Roman" w:cs="Times New Roman" w:hint="eastAsia"/>
          <w:sz w:val="24"/>
        </w:rPr>
        <w:t>年</w:t>
      </w:r>
      <w:r>
        <w:rPr>
          <w:rFonts w:ascii="Times New Roman" w:eastAsia="宋体" w:hAnsi="Times New Roman" w:cs="Times New Roman"/>
          <w:sz w:val="24"/>
        </w:rPr>
        <w:t>10</w:t>
      </w:r>
      <w:r>
        <w:rPr>
          <w:rFonts w:ascii="Times New Roman" w:eastAsia="宋体" w:hAnsi="Times New Roman" w:cs="Times New Roman" w:hint="eastAsia"/>
          <w:sz w:val="24"/>
        </w:rPr>
        <w:t>月</w:t>
      </w:r>
      <w:r>
        <w:rPr>
          <w:rFonts w:ascii="Times New Roman" w:eastAsia="宋体" w:hAnsi="Times New Roman" w:cs="Times New Roman"/>
          <w:sz w:val="24"/>
        </w:rPr>
        <w:t>10</w:t>
      </w:r>
      <w:r>
        <w:rPr>
          <w:rFonts w:ascii="Times New Roman" w:eastAsia="宋体" w:hAnsi="Times New Roman" w:cs="Times New Roman" w:hint="eastAsia"/>
          <w:sz w:val="24"/>
        </w:rPr>
        <w:t>日；</w:t>
      </w:r>
    </w:p>
    <w:p w14:paraId="51C390AB" w14:textId="0F4AA964"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sidR="00231F74">
        <w:rPr>
          <w:rFonts w:ascii="Times New Roman" w:eastAsia="宋体" w:hAnsi="Times New Roman" w:cs="Times New Roman"/>
          <w:sz w:val="24"/>
        </w:rPr>
        <w:t>2</w:t>
      </w:r>
      <w:r>
        <w:rPr>
          <w:rFonts w:ascii="Times New Roman" w:eastAsia="宋体" w:hAnsi="Times New Roman" w:cs="Times New Roman" w:hint="eastAsia"/>
          <w:sz w:val="24"/>
        </w:rPr>
        <w:t>）陕西省环境保护厅关于印发《陕西省固体废物污染防治专项整治行动方案》的通知（陕环发〔</w:t>
      </w:r>
      <w:r>
        <w:rPr>
          <w:rFonts w:ascii="Times New Roman" w:eastAsia="宋体" w:hAnsi="Times New Roman" w:cs="Times New Roman"/>
          <w:sz w:val="24"/>
        </w:rPr>
        <w:t>2018</w:t>
      </w:r>
      <w:r>
        <w:rPr>
          <w:rFonts w:ascii="Times New Roman" w:eastAsia="宋体" w:hAnsi="Times New Roman" w:cs="Times New Roman" w:hint="eastAsia"/>
          <w:sz w:val="24"/>
        </w:rPr>
        <w:t>〕</w:t>
      </w:r>
      <w:r>
        <w:rPr>
          <w:rFonts w:ascii="Times New Roman" w:eastAsia="宋体" w:hAnsi="Times New Roman" w:cs="Times New Roman"/>
          <w:sz w:val="24"/>
        </w:rPr>
        <w:t>29</w:t>
      </w:r>
      <w:r>
        <w:rPr>
          <w:rFonts w:ascii="Times New Roman" w:eastAsia="宋体" w:hAnsi="Times New Roman" w:cs="Times New Roman" w:hint="eastAsia"/>
          <w:sz w:val="24"/>
        </w:rPr>
        <w:t>号），</w:t>
      </w:r>
      <w:r>
        <w:rPr>
          <w:rFonts w:ascii="Times New Roman" w:eastAsia="宋体" w:hAnsi="Times New Roman" w:cs="Times New Roman"/>
          <w:sz w:val="24"/>
        </w:rPr>
        <w:t>2018</w:t>
      </w:r>
      <w:r>
        <w:rPr>
          <w:rFonts w:ascii="Times New Roman" w:eastAsia="宋体" w:hAnsi="Times New Roman" w:cs="Times New Roman" w:hint="eastAsia"/>
          <w:sz w:val="24"/>
        </w:rPr>
        <w:t>年</w:t>
      </w:r>
      <w:r>
        <w:rPr>
          <w:rFonts w:ascii="Times New Roman" w:eastAsia="宋体" w:hAnsi="Times New Roman" w:cs="Times New Roman"/>
          <w:sz w:val="24"/>
        </w:rPr>
        <w:t>9</w:t>
      </w:r>
      <w:r>
        <w:rPr>
          <w:rFonts w:ascii="Times New Roman" w:eastAsia="宋体" w:hAnsi="Times New Roman" w:cs="Times New Roman" w:hint="eastAsia"/>
          <w:sz w:val="24"/>
        </w:rPr>
        <w:t>月</w:t>
      </w:r>
      <w:r>
        <w:rPr>
          <w:rFonts w:ascii="Times New Roman" w:eastAsia="宋体" w:hAnsi="Times New Roman" w:cs="Times New Roman"/>
          <w:sz w:val="24"/>
        </w:rPr>
        <w:t>30</w:t>
      </w:r>
      <w:r>
        <w:rPr>
          <w:rFonts w:ascii="Times New Roman" w:eastAsia="宋体" w:hAnsi="Times New Roman" w:cs="Times New Roman" w:hint="eastAsia"/>
          <w:sz w:val="24"/>
        </w:rPr>
        <w:t>日；</w:t>
      </w:r>
    </w:p>
    <w:p w14:paraId="34A9D543" w14:textId="3678A3AD"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w:t>
      </w:r>
      <w:r w:rsidR="00231F74">
        <w:rPr>
          <w:rFonts w:ascii="Times New Roman" w:eastAsia="宋体" w:hAnsi="Times New Roman" w:cs="Times New Roman"/>
          <w:sz w:val="24"/>
        </w:rPr>
        <w:t>3</w:t>
      </w:r>
      <w:r>
        <w:rPr>
          <w:rFonts w:ascii="Times New Roman" w:eastAsia="宋体" w:hAnsi="Times New Roman" w:cs="Times New Roman" w:hint="eastAsia"/>
          <w:sz w:val="24"/>
        </w:rPr>
        <w:t>）陕西省环境保护厅关于印发《陕西省危险废物转移电子联单管理办法（试行）》的通知（陕环函〔</w:t>
      </w:r>
      <w:r>
        <w:rPr>
          <w:rFonts w:ascii="Times New Roman" w:eastAsia="宋体" w:hAnsi="Times New Roman" w:cs="Times New Roman"/>
          <w:sz w:val="24"/>
        </w:rPr>
        <w:t>2012</w:t>
      </w:r>
      <w:r>
        <w:rPr>
          <w:rFonts w:ascii="Times New Roman" w:eastAsia="宋体" w:hAnsi="Times New Roman" w:cs="Times New Roman" w:hint="eastAsia"/>
          <w:sz w:val="24"/>
        </w:rPr>
        <w:t>〕</w:t>
      </w:r>
      <w:r>
        <w:rPr>
          <w:rFonts w:ascii="Times New Roman" w:eastAsia="宋体" w:hAnsi="Times New Roman" w:cs="Times New Roman"/>
          <w:sz w:val="24"/>
        </w:rPr>
        <w:t>777</w:t>
      </w:r>
      <w:r>
        <w:rPr>
          <w:rFonts w:ascii="Times New Roman" w:eastAsia="宋体" w:hAnsi="Times New Roman" w:cs="Times New Roman" w:hint="eastAsia"/>
          <w:sz w:val="24"/>
        </w:rPr>
        <w:t>号），</w:t>
      </w:r>
      <w:r>
        <w:rPr>
          <w:rFonts w:ascii="Times New Roman" w:eastAsia="宋体" w:hAnsi="Times New Roman" w:cs="Times New Roman"/>
          <w:sz w:val="24"/>
        </w:rPr>
        <w:t>2012</w:t>
      </w:r>
      <w:r>
        <w:rPr>
          <w:rFonts w:ascii="Times New Roman" w:eastAsia="宋体" w:hAnsi="Times New Roman" w:cs="Times New Roman" w:hint="eastAsia"/>
          <w:sz w:val="24"/>
        </w:rPr>
        <w:t>年</w:t>
      </w:r>
      <w:r>
        <w:rPr>
          <w:rFonts w:ascii="Times New Roman" w:eastAsia="宋体" w:hAnsi="Times New Roman" w:cs="Times New Roman"/>
          <w:sz w:val="24"/>
        </w:rPr>
        <w:t>8</w:t>
      </w:r>
      <w:r>
        <w:rPr>
          <w:rFonts w:ascii="Times New Roman" w:eastAsia="宋体" w:hAnsi="Times New Roman" w:cs="Times New Roman" w:hint="eastAsia"/>
          <w:sz w:val="24"/>
        </w:rPr>
        <w:t>月</w:t>
      </w:r>
      <w:r>
        <w:rPr>
          <w:rFonts w:ascii="Times New Roman" w:eastAsia="宋体" w:hAnsi="Times New Roman" w:cs="Times New Roman"/>
          <w:sz w:val="24"/>
        </w:rPr>
        <w:t>29</w:t>
      </w:r>
      <w:r>
        <w:rPr>
          <w:rFonts w:ascii="Times New Roman" w:eastAsia="宋体" w:hAnsi="Times New Roman" w:cs="Times New Roman" w:hint="eastAsia"/>
          <w:sz w:val="24"/>
        </w:rPr>
        <w:t>日；</w:t>
      </w:r>
      <w:r>
        <w:rPr>
          <w:rFonts w:ascii="Times New Roman" w:eastAsia="宋体" w:hAnsi="Times New Roman" w:cs="Times New Roman"/>
          <w:sz w:val="24"/>
        </w:rPr>
        <w:t xml:space="preserve"> </w:t>
      </w:r>
    </w:p>
    <w:p w14:paraId="72672EFF" w14:textId="115B309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w:t>
      </w:r>
      <w:r w:rsidR="00231F74">
        <w:rPr>
          <w:rFonts w:ascii="Times New Roman" w:eastAsia="宋体" w:hAnsi="Times New Roman" w:cs="Times New Roman"/>
          <w:sz w:val="24"/>
        </w:rPr>
        <w:t>4</w:t>
      </w:r>
      <w:r>
        <w:rPr>
          <w:rFonts w:ascii="Times New Roman" w:eastAsia="宋体" w:hAnsi="Times New Roman" w:cs="Times New Roman" w:hint="eastAsia"/>
          <w:sz w:val="24"/>
        </w:rPr>
        <w:t>）《陕西省秦岭生态环境保护条例》，</w:t>
      </w:r>
      <w:r>
        <w:rPr>
          <w:rFonts w:ascii="Times New Roman" w:eastAsia="宋体" w:hAnsi="Times New Roman" w:cs="Times New Roman"/>
          <w:sz w:val="24"/>
        </w:rPr>
        <w:t>2019</w:t>
      </w:r>
      <w:r>
        <w:rPr>
          <w:rFonts w:ascii="Times New Roman" w:eastAsia="宋体" w:hAnsi="Times New Roman" w:cs="Times New Roman" w:hint="eastAsia"/>
          <w:sz w:val="24"/>
        </w:rPr>
        <w:t>年</w:t>
      </w:r>
      <w:r>
        <w:rPr>
          <w:rFonts w:ascii="Times New Roman" w:eastAsia="宋体" w:hAnsi="Times New Roman" w:cs="Times New Roman"/>
          <w:sz w:val="24"/>
        </w:rPr>
        <w:t>9</w:t>
      </w:r>
      <w:r>
        <w:rPr>
          <w:rFonts w:ascii="Times New Roman" w:eastAsia="宋体" w:hAnsi="Times New Roman" w:cs="Times New Roman" w:hint="eastAsia"/>
          <w:sz w:val="24"/>
        </w:rPr>
        <w:t>月</w:t>
      </w:r>
      <w:r>
        <w:rPr>
          <w:rFonts w:ascii="Times New Roman" w:eastAsia="宋体" w:hAnsi="Times New Roman" w:cs="Times New Roman"/>
          <w:sz w:val="24"/>
        </w:rPr>
        <w:t>27</w:t>
      </w:r>
      <w:r>
        <w:rPr>
          <w:rFonts w:ascii="Times New Roman" w:eastAsia="宋体" w:hAnsi="Times New Roman" w:cs="Times New Roman" w:hint="eastAsia"/>
          <w:sz w:val="24"/>
        </w:rPr>
        <w:t>日；</w:t>
      </w:r>
    </w:p>
    <w:p w14:paraId="7B82EDA9" w14:textId="69ABCE6D"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w:t>
      </w:r>
      <w:r>
        <w:rPr>
          <w:rFonts w:ascii="Times New Roman" w:eastAsia="宋体" w:hAnsi="Times New Roman" w:cs="Times New Roman" w:hint="eastAsia"/>
          <w:sz w:val="24"/>
        </w:rPr>
        <w:t>1</w:t>
      </w:r>
      <w:r w:rsidR="00231F74">
        <w:rPr>
          <w:rFonts w:ascii="Times New Roman" w:eastAsia="宋体" w:hAnsi="Times New Roman" w:cs="Times New Roman"/>
          <w:sz w:val="24"/>
        </w:rPr>
        <w:t>5</w:t>
      </w:r>
      <w:r>
        <w:rPr>
          <w:rFonts w:ascii="Times New Roman" w:eastAsia="宋体" w:hAnsi="Times New Roman" w:cs="Times New Roman" w:hint="eastAsia"/>
          <w:sz w:val="24"/>
        </w:rPr>
        <w:t>）商洛市人民政府关于印发《商洛市</w:t>
      </w:r>
      <w:r>
        <w:rPr>
          <w:rFonts w:ascii="Times New Roman" w:eastAsia="宋体" w:hAnsi="Times New Roman" w:cs="Times New Roman"/>
          <w:sz w:val="24"/>
        </w:rPr>
        <w:t>“</w:t>
      </w:r>
      <w:r>
        <w:rPr>
          <w:rFonts w:ascii="Times New Roman" w:eastAsia="宋体" w:hAnsi="Times New Roman" w:cs="Times New Roman" w:hint="eastAsia"/>
          <w:sz w:val="24"/>
        </w:rPr>
        <w:t>三线一单</w:t>
      </w:r>
      <w:r>
        <w:rPr>
          <w:rFonts w:ascii="Times New Roman" w:eastAsia="宋体" w:hAnsi="Times New Roman" w:cs="Times New Roman"/>
          <w:sz w:val="24"/>
        </w:rPr>
        <w:t>”</w:t>
      </w:r>
      <w:r>
        <w:rPr>
          <w:rFonts w:ascii="Times New Roman" w:eastAsia="宋体" w:hAnsi="Times New Roman" w:cs="Times New Roman" w:hint="eastAsia"/>
          <w:sz w:val="24"/>
        </w:rPr>
        <w:t>生态环境分区管控方案》的通知（商政发〔</w:t>
      </w:r>
      <w:r>
        <w:rPr>
          <w:rFonts w:ascii="Times New Roman" w:eastAsia="宋体" w:hAnsi="Times New Roman" w:cs="Times New Roman"/>
          <w:sz w:val="24"/>
        </w:rPr>
        <w:t>2021</w:t>
      </w:r>
      <w:r>
        <w:rPr>
          <w:rFonts w:ascii="Times New Roman" w:eastAsia="宋体" w:hAnsi="Times New Roman" w:cs="Times New Roman" w:hint="eastAsia"/>
          <w:sz w:val="24"/>
        </w:rPr>
        <w:t>〕</w:t>
      </w:r>
      <w:r>
        <w:rPr>
          <w:rFonts w:ascii="Times New Roman" w:eastAsia="宋体" w:hAnsi="Times New Roman" w:cs="Times New Roman"/>
          <w:sz w:val="24"/>
        </w:rPr>
        <w:t>22</w:t>
      </w:r>
      <w:r>
        <w:rPr>
          <w:rFonts w:ascii="Times New Roman" w:eastAsia="宋体" w:hAnsi="Times New Roman" w:cs="Times New Roman" w:hint="eastAsia"/>
          <w:sz w:val="24"/>
        </w:rPr>
        <w:t>号），</w:t>
      </w:r>
      <w:r>
        <w:rPr>
          <w:rFonts w:ascii="Times New Roman" w:eastAsia="宋体" w:hAnsi="Times New Roman" w:cs="Times New Roman"/>
          <w:sz w:val="24"/>
        </w:rPr>
        <w:t>2021</w:t>
      </w:r>
      <w:r>
        <w:rPr>
          <w:rFonts w:ascii="Times New Roman" w:eastAsia="宋体" w:hAnsi="Times New Roman" w:cs="Times New Roman" w:hint="eastAsia"/>
          <w:sz w:val="24"/>
        </w:rPr>
        <w:t>年</w:t>
      </w:r>
      <w:r>
        <w:rPr>
          <w:rFonts w:ascii="Times New Roman" w:eastAsia="宋体" w:hAnsi="Times New Roman" w:cs="Times New Roman"/>
          <w:sz w:val="24"/>
        </w:rPr>
        <w:t>11</w:t>
      </w:r>
      <w:r>
        <w:rPr>
          <w:rFonts w:ascii="Times New Roman" w:eastAsia="宋体" w:hAnsi="Times New Roman" w:cs="Times New Roman" w:hint="eastAsia"/>
          <w:sz w:val="24"/>
        </w:rPr>
        <w:t>月</w:t>
      </w:r>
      <w:r>
        <w:rPr>
          <w:rFonts w:ascii="Times New Roman" w:eastAsia="宋体" w:hAnsi="Times New Roman" w:cs="Times New Roman"/>
          <w:sz w:val="24"/>
        </w:rPr>
        <w:t>18</w:t>
      </w:r>
      <w:r>
        <w:rPr>
          <w:rFonts w:ascii="Times New Roman" w:eastAsia="宋体" w:hAnsi="Times New Roman" w:cs="Times New Roman" w:hint="eastAsia"/>
          <w:sz w:val="24"/>
        </w:rPr>
        <w:t>日；</w:t>
      </w:r>
      <w:r>
        <w:rPr>
          <w:rFonts w:ascii="Times New Roman" w:eastAsia="宋体" w:hAnsi="Times New Roman" w:cs="Times New Roman"/>
          <w:sz w:val="24"/>
        </w:rPr>
        <w:t xml:space="preserve"> </w:t>
      </w:r>
    </w:p>
    <w:p w14:paraId="68E46481" w14:textId="53CFC9C3" w:rsidR="00D12939" w:rsidRDefault="004F47F5">
      <w:pPr>
        <w:spacing w:line="360" w:lineRule="auto"/>
        <w:ind w:firstLineChars="200" w:firstLine="480"/>
        <w:rPr>
          <w:rFonts w:ascii="Times New Roman" w:eastAsia="宋体" w:hAnsi="Times New Roman" w:cs="Times New Roman"/>
          <w:color w:val="FF0000"/>
          <w:sz w:val="24"/>
        </w:rPr>
      </w:pPr>
      <w:r w:rsidRPr="00231F74">
        <w:rPr>
          <w:rFonts w:ascii="Times New Roman" w:eastAsia="宋体" w:hAnsi="Times New Roman" w:cs="Times New Roman" w:hint="eastAsia"/>
          <w:color w:val="FF0000"/>
          <w:sz w:val="24"/>
        </w:rPr>
        <w:t>（</w:t>
      </w:r>
      <w:r w:rsidRPr="00231F74">
        <w:rPr>
          <w:rFonts w:ascii="Times New Roman" w:eastAsia="宋体" w:hAnsi="Times New Roman" w:cs="Times New Roman"/>
          <w:color w:val="FF0000"/>
          <w:sz w:val="24"/>
        </w:rPr>
        <w:t>1</w:t>
      </w:r>
      <w:r w:rsidR="00231F74" w:rsidRPr="00231F74">
        <w:rPr>
          <w:rFonts w:ascii="Times New Roman" w:eastAsia="宋体" w:hAnsi="Times New Roman" w:cs="Times New Roman"/>
          <w:color w:val="FF0000"/>
          <w:sz w:val="24"/>
        </w:rPr>
        <w:t>6</w:t>
      </w:r>
      <w:r w:rsidRPr="00231F74">
        <w:rPr>
          <w:rFonts w:ascii="Times New Roman" w:eastAsia="宋体" w:hAnsi="Times New Roman" w:cs="Times New Roman" w:hint="eastAsia"/>
          <w:color w:val="FF0000"/>
          <w:sz w:val="24"/>
        </w:rPr>
        <w:t>）《</w:t>
      </w:r>
      <w:r w:rsidR="00231F74" w:rsidRPr="00231F74">
        <w:rPr>
          <w:rFonts w:ascii="Times New Roman" w:eastAsia="宋体" w:hAnsi="Times New Roman" w:cs="Times New Roman" w:hint="eastAsia"/>
          <w:color w:val="FF0000"/>
          <w:sz w:val="24"/>
        </w:rPr>
        <w:t>商洛市人民政府办公室关于印发蓝天碧水净土保卫战</w:t>
      </w:r>
      <w:r w:rsidR="00231F74" w:rsidRPr="00231F74">
        <w:rPr>
          <w:rFonts w:ascii="Times New Roman" w:eastAsia="宋体" w:hAnsi="Times New Roman" w:cs="Times New Roman"/>
          <w:color w:val="FF0000"/>
          <w:sz w:val="24"/>
        </w:rPr>
        <w:t>2022</w:t>
      </w:r>
      <w:r w:rsidR="00231F74" w:rsidRPr="00231F74">
        <w:rPr>
          <w:rFonts w:ascii="Times New Roman" w:eastAsia="宋体" w:hAnsi="Times New Roman" w:cs="Times New Roman"/>
          <w:color w:val="FF0000"/>
          <w:sz w:val="24"/>
        </w:rPr>
        <w:t>年实施方案的通知</w:t>
      </w:r>
      <w:r w:rsidRPr="00231F74">
        <w:rPr>
          <w:rFonts w:ascii="Times New Roman" w:eastAsia="宋体" w:hAnsi="Times New Roman" w:cs="Times New Roman" w:hint="eastAsia"/>
          <w:color w:val="FF0000"/>
          <w:sz w:val="24"/>
        </w:rPr>
        <w:t>》（</w:t>
      </w:r>
      <w:r w:rsidR="00231F74" w:rsidRPr="00231F74">
        <w:rPr>
          <w:rFonts w:ascii="Times New Roman" w:eastAsia="宋体" w:hAnsi="Times New Roman" w:cs="Times New Roman" w:hint="eastAsia"/>
          <w:color w:val="FF0000"/>
          <w:sz w:val="24"/>
        </w:rPr>
        <w:t>商政办发〔</w:t>
      </w:r>
      <w:r w:rsidR="00231F74" w:rsidRPr="00231F74">
        <w:rPr>
          <w:rFonts w:ascii="Times New Roman" w:eastAsia="宋体" w:hAnsi="Times New Roman" w:cs="Times New Roman"/>
          <w:color w:val="FF0000"/>
          <w:sz w:val="24"/>
        </w:rPr>
        <w:t>2022</w:t>
      </w:r>
      <w:r w:rsidR="00231F74" w:rsidRPr="00231F74">
        <w:rPr>
          <w:rFonts w:ascii="Times New Roman" w:eastAsia="宋体" w:hAnsi="Times New Roman" w:cs="Times New Roman"/>
          <w:color w:val="FF0000"/>
          <w:sz w:val="24"/>
        </w:rPr>
        <w:t>〕</w:t>
      </w:r>
      <w:r w:rsidR="00231F74" w:rsidRPr="00231F74">
        <w:rPr>
          <w:rFonts w:ascii="Times New Roman" w:eastAsia="宋体" w:hAnsi="Times New Roman" w:cs="Times New Roman"/>
          <w:color w:val="FF0000"/>
          <w:sz w:val="24"/>
        </w:rPr>
        <w:t>29</w:t>
      </w:r>
      <w:r w:rsidR="00231F74" w:rsidRPr="00231F74">
        <w:rPr>
          <w:rFonts w:ascii="Times New Roman" w:eastAsia="宋体" w:hAnsi="Times New Roman" w:cs="Times New Roman"/>
          <w:color w:val="FF0000"/>
          <w:sz w:val="24"/>
        </w:rPr>
        <w:t>号</w:t>
      </w:r>
      <w:r w:rsidRPr="00231F74">
        <w:rPr>
          <w:rFonts w:ascii="Times New Roman" w:eastAsia="宋体" w:hAnsi="Times New Roman" w:cs="Times New Roman" w:hint="eastAsia"/>
          <w:color w:val="FF0000"/>
          <w:sz w:val="24"/>
        </w:rPr>
        <w:t>），</w:t>
      </w:r>
      <w:r w:rsidRPr="00231F74">
        <w:rPr>
          <w:rFonts w:ascii="Times New Roman" w:eastAsia="宋体" w:hAnsi="Times New Roman" w:cs="Times New Roman"/>
          <w:color w:val="FF0000"/>
          <w:sz w:val="24"/>
        </w:rPr>
        <w:t>202</w:t>
      </w:r>
      <w:r w:rsidR="00231F74" w:rsidRPr="00231F74">
        <w:rPr>
          <w:rFonts w:ascii="Times New Roman" w:eastAsia="宋体" w:hAnsi="Times New Roman" w:cs="Times New Roman"/>
          <w:color w:val="FF0000"/>
          <w:sz w:val="24"/>
        </w:rPr>
        <w:t>2</w:t>
      </w:r>
      <w:r w:rsidRPr="00231F74">
        <w:rPr>
          <w:rFonts w:ascii="Times New Roman" w:eastAsia="宋体" w:hAnsi="Times New Roman" w:cs="Times New Roman" w:hint="eastAsia"/>
          <w:color w:val="FF0000"/>
          <w:sz w:val="24"/>
        </w:rPr>
        <w:t>年</w:t>
      </w:r>
      <w:r w:rsidR="00231F74" w:rsidRPr="00231F74">
        <w:rPr>
          <w:rFonts w:ascii="Times New Roman" w:eastAsia="宋体" w:hAnsi="Times New Roman" w:cs="Times New Roman"/>
          <w:color w:val="FF0000"/>
          <w:sz w:val="24"/>
        </w:rPr>
        <w:t>7</w:t>
      </w:r>
      <w:r w:rsidRPr="00231F74">
        <w:rPr>
          <w:rFonts w:ascii="Times New Roman" w:eastAsia="宋体" w:hAnsi="Times New Roman" w:cs="Times New Roman" w:hint="eastAsia"/>
          <w:color w:val="FF0000"/>
          <w:sz w:val="24"/>
        </w:rPr>
        <w:t>月</w:t>
      </w:r>
      <w:r w:rsidR="00231F74" w:rsidRPr="00231F74">
        <w:rPr>
          <w:rFonts w:ascii="Times New Roman" w:eastAsia="宋体" w:hAnsi="Times New Roman" w:cs="Times New Roman"/>
          <w:color w:val="FF0000"/>
          <w:sz w:val="24"/>
        </w:rPr>
        <w:t>15</w:t>
      </w:r>
      <w:r w:rsidRPr="00231F74">
        <w:rPr>
          <w:rFonts w:ascii="Times New Roman" w:eastAsia="宋体" w:hAnsi="Times New Roman" w:cs="Times New Roman" w:hint="eastAsia"/>
          <w:color w:val="FF0000"/>
          <w:sz w:val="24"/>
        </w:rPr>
        <w:t>日；</w:t>
      </w:r>
      <w:r w:rsidRPr="00231F74">
        <w:rPr>
          <w:rFonts w:ascii="Times New Roman" w:eastAsia="宋体" w:hAnsi="Times New Roman" w:cs="Times New Roman"/>
          <w:color w:val="FF0000"/>
          <w:sz w:val="24"/>
        </w:rPr>
        <w:t xml:space="preserve"> </w:t>
      </w:r>
    </w:p>
    <w:p w14:paraId="546CCC92" w14:textId="160C0F3B" w:rsidR="00231F74" w:rsidRDefault="00231F74" w:rsidP="00231F74">
      <w:pPr>
        <w:spacing w:line="360" w:lineRule="auto"/>
        <w:ind w:firstLineChars="200" w:firstLine="480"/>
        <w:rPr>
          <w:rFonts w:ascii="Times New Roman" w:eastAsia="宋体" w:hAnsi="Times New Roman" w:cs="Times New Roman"/>
          <w:color w:val="FF0000"/>
          <w:sz w:val="24"/>
        </w:rPr>
      </w:pPr>
      <w:r>
        <w:rPr>
          <w:rFonts w:ascii="Times New Roman" w:eastAsia="宋体" w:hAnsi="Times New Roman" w:cs="Times New Roman" w:hint="eastAsia"/>
          <w:color w:val="FF0000"/>
          <w:sz w:val="24"/>
        </w:rPr>
        <w:t>（</w:t>
      </w:r>
      <w:r>
        <w:rPr>
          <w:rFonts w:ascii="Times New Roman" w:eastAsia="宋体" w:hAnsi="Times New Roman" w:cs="Times New Roman" w:hint="eastAsia"/>
          <w:color w:val="FF0000"/>
          <w:sz w:val="24"/>
        </w:rPr>
        <w:t>1</w:t>
      </w:r>
      <w:r>
        <w:rPr>
          <w:rFonts w:ascii="Times New Roman" w:eastAsia="宋体" w:hAnsi="Times New Roman" w:cs="Times New Roman"/>
          <w:color w:val="FF0000"/>
          <w:sz w:val="24"/>
        </w:rPr>
        <w:t>7</w:t>
      </w:r>
      <w:r>
        <w:rPr>
          <w:rFonts w:ascii="Times New Roman" w:eastAsia="宋体" w:hAnsi="Times New Roman" w:cs="Times New Roman" w:hint="eastAsia"/>
          <w:color w:val="FF0000"/>
          <w:sz w:val="24"/>
        </w:rPr>
        <w:t>）《</w:t>
      </w:r>
      <w:r w:rsidRPr="00231F74">
        <w:rPr>
          <w:rFonts w:ascii="Times New Roman" w:eastAsia="宋体" w:hAnsi="Times New Roman" w:cs="Times New Roman" w:hint="eastAsia"/>
          <w:color w:val="FF0000"/>
          <w:sz w:val="24"/>
        </w:rPr>
        <w:t>关于印发柞水县蓝天碧水净土保卫战</w:t>
      </w:r>
      <w:r w:rsidRPr="00231F74">
        <w:rPr>
          <w:rFonts w:ascii="Times New Roman" w:eastAsia="宋体" w:hAnsi="Times New Roman" w:cs="Times New Roman"/>
          <w:color w:val="FF0000"/>
          <w:sz w:val="24"/>
        </w:rPr>
        <w:t>2022</w:t>
      </w:r>
      <w:r w:rsidRPr="00231F74">
        <w:rPr>
          <w:rFonts w:ascii="Times New Roman" w:eastAsia="宋体" w:hAnsi="Times New Roman" w:cs="Times New Roman"/>
          <w:color w:val="FF0000"/>
          <w:sz w:val="24"/>
        </w:rPr>
        <w:t>年实施方案的通知</w:t>
      </w:r>
      <w:r>
        <w:rPr>
          <w:rFonts w:ascii="Times New Roman" w:eastAsia="宋体" w:hAnsi="Times New Roman" w:cs="Times New Roman" w:hint="eastAsia"/>
          <w:color w:val="FF0000"/>
          <w:sz w:val="24"/>
        </w:rPr>
        <w:t>》</w:t>
      </w:r>
      <w:r w:rsidRPr="00231F74">
        <w:rPr>
          <w:rFonts w:ascii="Times New Roman" w:eastAsia="宋体" w:hAnsi="Times New Roman" w:cs="Times New Roman" w:hint="eastAsia"/>
          <w:color w:val="FF0000"/>
          <w:sz w:val="24"/>
        </w:rPr>
        <w:t>（</w:t>
      </w:r>
      <w:r w:rsidR="002D1C03">
        <w:rPr>
          <w:rFonts w:ascii="Times New Roman" w:eastAsia="宋体" w:hAnsi="Times New Roman" w:cs="Times New Roman" w:hint="eastAsia"/>
          <w:color w:val="FF0000"/>
          <w:sz w:val="24"/>
        </w:rPr>
        <w:t>柞</w:t>
      </w:r>
      <w:r w:rsidRPr="00231F74">
        <w:rPr>
          <w:rFonts w:ascii="Times New Roman" w:eastAsia="宋体" w:hAnsi="Times New Roman" w:cs="Times New Roman" w:hint="eastAsia"/>
          <w:color w:val="FF0000"/>
          <w:sz w:val="24"/>
        </w:rPr>
        <w:t>政办发〔</w:t>
      </w:r>
      <w:r w:rsidRPr="00231F74">
        <w:rPr>
          <w:rFonts w:ascii="Times New Roman" w:eastAsia="宋体" w:hAnsi="Times New Roman" w:cs="Times New Roman"/>
          <w:color w:val="FF0000"/>
          <w:sz w:val="24"/>
        </w:rPr>
        <w:t>2022</w:t>
      </w:r>
      <w:r w:rsidRPr="00231F74">
        <w:rPr>
          <w:rFonts w:ascii="Times New Roman" w:eastAsia="宋体" w:hAnsi="Times New Roman" w:cs="Times New Roman"/>
          <w:color w:val="FF0000"/>
          <w:sz w:val="24"/>
        </w:rPr>
        <w:t>〕</w:t>
      </w:r>
      <w:r w:rsidR="002D1C03">
        <w:rPr>
          <w:rFonts w:ascii="Times New Roman" w:eastAsia="宋体" w:hAnsi="Times New Roman" w:cs="Times New Roman"/>
          <w:color w:val="FF0000"/>
          <w:sz w:val="24"/>
        </w:rPr>
        <w:t>18</w:t>
      </w:r>
      <w:r w:rsidRPr="00231F74">
        <w:rPr>
          <w:rFonts w:ascii="Times New Roman" w:eastAsia="宋体" w:hAnsi="Times New Roman" w:cs="Times New Roman"/>
          <w:color w:val="FF0000"/>
          <w:sz w:val="24"/>
        </w:rPr>
        <w:t>号</w:t>
      </w:r>
      <w:r w:rsidRPr="00231F74">
        <w:rPr>
          <w:rFonts w:ascii="Times New Roman" w:eastAsia="宋体" w:hAnsi="Times New Roman" w:cs="Times New Roman" w:hint="eastAsia"/>
          <w:color w:val="FF0000"/>
          <w:sz w:val="24"/>
        </w:rPr>
        <w:t>），</w:t>
      </w:r>
      <w:r w:rsidRPr="00231F74">
        <w:rPr>
          <w:rFonts w:ascii="Times New Roman" w:eastAsia="宋体" w:hAnsi="Times New Roman" w:cs="Times New Roman"/>
          <w:color w:val="FF0000"/>
          <w:sz w:val="24"/>
        </w:rPr>
        <w:t>2022</w:t>
      </w:r>
      <w:r w:rsidRPr="00231F74">
        <w:rPr>
          <w:rFonts w:ascii="Times New Roman" w:eastAsia="宋体" w:hAnsi="Times New Roman" w:cs="Times New Roman" w:hint="eastAsia"/>
          <w:color w:val="FF0000"/>
          <w:sz w:val="24"/>
        </w:rPr>
        <w:t>年</w:t>
      </w:r>
      <w:r w:rsidRPr="00231F74">
        <w:rPr>
          <w:rFonts w:ascii="Times New Roman" w:eastAsia="宋体" w:hAnsi="Times New Roman" w:cs="Times New Roman"/>
          <w:color w:val="FF0000"/>
          <w:sz w:val="24"/>
        </w:rPr>
        <w:t>7</w:t>
      </w:r>
      <w:r w:rsidRPr="00231F74">
        <w:rPr>
          <w:rFonts w:ascii="Times New Roman" w:eastAsia="宋体" w:hAnsi="Times New Roman" w:cs="Times New Roman" w:hint="eastAsia"/>
          <w:color w:val="FF0000"/>
          <w:sz w:val="24"/>
        </w:rPr>
        <w:t>月</w:t>
      </w:r>
      <w:r w:rsidR="002D1C03">
        <w:rPr>
          <w:rFonts w:ascii="Times New Roman" w:eastAsia="宋体" w:hAnsi="Times New Roman" w:cs="Times New Roman"/>
          <w:color w:val="FF0000"/>
          <w:sz w:val="24"/>
        </w:rPr>
        <w:t>28</w:t>
      </w:r>
      <w:r w:rsidRPr="00231F74">
        <w:rPr>
          <w:rFonts w:ascii="Times New Roman" w:eastAsia="宋体" w:hAnsi="Times New Roman" w:cs="Times New Roman" w:hint="eastAsia"/>
          <w:color w:val="FF0000"/>
          <w:sz w:val="24"/>
        </w:rPr>
        <w:t>日；</w:t>
      </w:r>
    </w:p>
    <w:p w14:paraId="71DFCAC7" w14:textId="20BB4ACA" w:rsidR="00231F74" w:rsidRPr="002D1C03" w:rsidRDefault="002D1C03" w:rsidP="002D1C03">
      <w:pPr>
        <w:spacing w:line="360" w:lineRule="auto"/>
        <w:ind w:firstLineChars="200" w:firstLine="480"/>
        <w:rPr>
          <w:rFonts w:ascii="Times New Roman" w:eastAsia="宋体" w:hAnsi="Times New Roman" w:cs="Times New Roman"/>
          <w:color w:val="FF0000"/>
          <w:sz w:val="24"/>
        </w:rPr>
      </w:pPr>
      <w:r>
        <w:rPr>
          <w:rFonts w:ascii="Times New Roman" w:eastAsia="宋体" w:hAnsi="Times New Roman" w:cs="Times New Roman" w:hint="eastAsia"/>
          <w:color w:val="FF0000"/>
          <w:sz w:val="24"/>
        </w:rPr>
        <w:t>（</w:t>
      </w:r>
      <w:r>
        <w:rPr>
          <w:rFonts w:ascii="Times New Roman" w:eastAsia="宋体" w:hAnsi="Times New Roman" w:cs="Times New Roman" w:hint="eastAsia"/>
          <w:color w:val="FF0000"/>
          <w:sz w:val="24"/>
        </w:rPr>
        <w:t>1</w:t>
      </w:r>
      <w:r>
        <w:rPr>
          <w:rFonts w:ascii="Times New Roman" w:eastAsia="宋体" w:hAnsi="Times New Roman" w:cs="Times New Roman"/>
          <w:color w:val="FF0000"/>
          <w:sz w:val="24"/>
        </w:rPr>
        <w:t>8</w:t>
      </w:r>
      <w:r>
        <w:rPr>
          <w:rFonts w:ascii="Times New Roman" w:eastAsia="宋体" w:hAnsi="Times New Roman" w:cs="Times New Roman" w:hint="eastAsia"/>
          <w:color w:val="FF0000"/>
          <w:sz w:val="24"/>
        </w:rPr>
        <w:t>）</w:t>
      </w:r>
      <w:r w:rsidR="00231F74" w:rsidRPr="002D1C03">
        <w:rPr>
          <w:rFonts w:ascii="Times New Roman" w:eastAsia="宋体" w:hAnsi="Times New Roman" w:cs="Times New Roman" w:hint="eastAsia"/>
          <w:color w:val="FF0000"/>
          <w:sz w:val="24"/>
        </w:rPr>
        <w:t>《</w:t>
      </w:r>
      <w:r w:rsidRPr="002D1C03">
        <w:rPr>
          <w:rFonts w:ascii="Times New Roman" w:eastAsia="宋体" w:hAnsi="Times New Roman" w:cs="Times New Roman" w:hint="eastAsia"/>
          <w:color w:val="FF0000"/>
          <w:sz w:val="24"/>
        </w:rPr>
        <w:t>陕西省人民政府办公厅关于印发“十四五”生态环境保护规划的通知</w:t>
      </w:r>
      <w:r w:rsidR="00231F74" w:rsidRPr="002D1C03">
        <w:rPr>
          <w:rFonts w:ascii="Times New Roman" w:eastAsia="宋体" w:hAnsi="Times New Roman" w:cs="Times New Roman" w:hint="eastAsia"/>
          <w:color w:val="FF0000"/>
          <w:sz w:val="24"/>
        </w:rPr>
        <w:t>》</w:t>
      </w:r>
      <w:r w:rsidRPr="002D1C03">
        <w:rPr>
          <w:rFonts w:ascii="Times New Roman" w:eastAsia="宋体" w:hAnsi="Times New Roman" w:cs="Times New Roman" w:hint="eastAsia"/>
          <w:color w:val="FF0000"/>
          <w:sz w:val="24"/>
        </w:rPr>
        <w:t>（</w:t>
      </w:r>
      <w:r>
        <w:rPr>
          <w:rFonts w:ascii="Times New Roman" w:eastAsia="宋体" w:hAnsi="Times New Roman" w:cs="Times New Roman" w:hint="eastAsia"/>
          <w:color w:val="FF0000"/>
          <w:sz w:val="24"/>
        </w:rPr>
        <w:t>陕</w:t>
      </w:r>
      <w:r w:rsidRPr="002D1C03">
        <w:rPr>
          <w:rFonts w:ascii="Times New Roman" w:eastAsia="宋体" w:hAnsi="Times New Roman" w:cs="Times New Roman" w:hint="eastAsia"/>
          <w:color w:val="FF0000"/>
          <w:sz w:val="24"/>
        </w:rPr>
        <w:t>政办发〔</w:t>
      </w:r>
      <w:r w:rsidRPr="002D1C03">
        <w:rPr>
          <w:rFonts w:ascii="Times New Roman" w:eastAsia="宋体" w:hAnsi="Times New Roman" w:cs="Times New Roman"/>
          <w:color w:val="FF0000"/>
          <w:sz w:val="24"/>
        </w:rPr>
        <w:t>2021</w:t>
      </w:r>
      <w:r w:rsidRPr="002D1C03">
        <w:rPr>
          <w:rFonts w:ascii="Times New Roman" w:eastAsia="宋体" w:hAnsi="Times New Roman" w:cs="Times New Roman"/>
          <w:color w:val="FF0000"/>
          <w:sz w:val="24"/>
        </w:rPr>
        <w:t>〕</w:t>
      </w:r>
      <w:r>
        <w:rPr>
          <w:rFonts w:ascii="Times New Roman" w:eastAsia="宋体" w:hAnsi="Times New Roman" w:cs="Times New Roman"/>
          <w:color w:val="FF0000"/>
          <w:sz w:val="24"/>
        </w:rPr>
        <w:t>25</w:t>
      </w:r>
      <w:r w:rsidRPr="002D1C03">
        <w:rPr>
          <w:rFonts w:ascii="Times New Roman" w:eastAsia="宋体" w:hAnsi="Times New Roman" w:cs="Times New Roman"/>
          <w:color w:val="FF0000"/>
          <w:sz w:val="24"/>
        </w:rPr>
        <w:t>号</w:t>
      </w:r>
      <w:r w:rsidRPr="002D1C03">
        <w:rPr>
          <w:rFonts w:ascii="Times New Roman" w:eastAsia="宋体" w:hAnsi="Times New Roman" w:cs="Times New Roman" w:hint="eastAsia"/>
          <w:color w:val="FF0000"/>
          <w:sz w:val="24"/>
        </w:rPr>
        <w:t>）</w:t>
      </w:r>
      <w:r w:rsidRPr="00231F74">
        <w:rPr>
          <w:rFonts w:ascii="Times New Roman" w:eastAsia="宋体" w:hAnsi="Times New Roman" w:cs="Times New Roman" w:hint="eastAsia"/>
          <w:color w:val="FF0000"/>
          <w:sz w:val="24"/>
        </w:rPr>
        <w:t>，</w:t>
      </w:r>
      <w:r w:rsidRPr="00231F74">
        <w:rPr>
          <w:rFonts w:ascii="Times New Roman" w:eastAsia="宋体" w:hAnsi="Times New Roman" w:cs="Times New Roman"/>
          <w:color w:val="FF0000"/>
          <w:sz w:val="24"/>
        </w:rPr>
        <w:t>202</w:t>
      </w:r>
      <w:r>
        <w:rPr>
          <w:rFonts w:ascii="Times New Roman" w:eastAsia="宋体" w:hAnsi="Times New Roman" w:cs="Times New Roman"/>
          <w:color w:val="FF0000"/>
          <w:sz w:val="24"/>
        </w:rPr>
        <w:t>1</w:t>
      </w:r>
      <w:r w:rsidRPr="00231F74">
        <w:rPr>
          <w:rFonts w:ascii="Times New Roman" w:eastAsia="宋体" w:hAnsi="Times New Roman" w:cs="Times New Roman" w:hint="eastAsia"/>
          <w:color w:val="FF0000"/>
          <w:sz w:val="24"/>
        </w:rPr>
        <w:t>年</w:t>
      </w:r>
      <w:r>
        <w:rPr>
          <w:rFonts w:ascii="Times New Roman" w:eastAsia="宋体" w:hAnsi="Times New Roman" w:cs="Times New Roman"/>
          <w:color w:val="FF0000"/>
          <w:sz w:val="24"/>
        </w:rPr>
        <w:t>9</w:t>
      </w:r>
      <w:r w:rsidRPr="00231F74">
        <w:rPr>
          <w:rFonts w:ascii="Times New Roman" w:eastAsia="宋体" w:hAnsi="Times New Roman" w:cs="Times New Roman" w:hint="eastAsia"/>
          <w:color w:val="FF0000"/>
          <w:sz w:val="24"/>
        </w:rPr>
        <w:t>月</w:t>
      </w:r>
      <w:r>
        <w:rPr>
          <w:rFonts w:ascii="Times New Roman" w:eastAsia="宋体" w:hAnsi="Times New Roman" w:cs="Times New Roman"/>
          <w:color w:val="FF0000"/>
          <w:sz w:val="24"/>
        </w:rPr>
        <w:t>18</w:t>
      </w:r>
      <w:r w:rsidRPr="00231F74">
        <w:rPr>
          <w:rFonts w:ascii="Times New Roman" w:eastAsia="宋体" w:hAnsi="Times New Roman" w:cs="Times New Roman" w:hint="eastAsia"/>
          <w:color w:val="FF0000"/>
          <w:sz w:val="24"/>
        </w:rPr>
        <w:t>日</w:t>
      </w:r>
      <w:r w:rsidR="00231F74" w:rsidRPr="002D1C03">
        <w:rPr>
          <w:rFonts w:ascii="Times New Roman" w:eastAsia="宋体" w:hAnsi="Times New Roman" w:cs="Times New Roman" w:hint="eastAsia"/>
          <w:color w:val="FF0000"/>
          <w:sz w:val="24"/>
        </w:rPr>
        <w:t>；</w:t>
      </w:r>
    </w:p>
    <w:p w14:paraId="598AE9FE" w14:textId="77777777" w:rsidR="002D1C03" w:rsidRDefault="002D1C03" w:rsidP="002D1C03">
      <w:pPr>
        <w:spacing w:line="360" w:lineRule="auto"/>
        <w:ind w:firstLineChars="200" w:firstLine="480"/>
        <w:rPr>
          <w:rFonts w:ascii="Times New Roman" w:eastAsia="宋体" w:hAnsi="Times New Roman" w:cs="Times New Roman"/>
          <w:color w:val="FF0000"/>
          <w:sz w:val="24"/>
        </w:rPr>
      </w:pPr>
      <w:r>
        <w:rPr>
          <w:rFonts w:ascii="Times New Roman" w:eastAsia="宋体" w:hAnsi="Times New Roman" w:cs="Times New Roman" w:hint="eastAsia"/>
          <w:color w:val="FF0000"/>
          <w:sz w:val="24"/>
        </w:rPr>
        <w:t>（</w:t>
      </w:r>
      <w:r>
        <w:rPr>
          <w:rFonts w:ascii="Times New Roman" w:eastAsia="宋体" w:hAnsi="Times New Roman" w:cs="Times New Roman" w:hint="eastAsia"/>
          <w:color w:val="FF0000"/>
          <w:sz w:val="24"/>
        </w:rPr>
        <w:t>1</w:t>
      </w:r>
      <w:r>
        <w:rPr>
          <w:rFonts w:ascii="Times New Roman" w:eastAsia="宋体" w:hAnsi="Times New Roman" w:cs="Times New Roman"/>
          <w:color w:val="FF0000"/>
          <w:sz w:val="24"/>
        </w:rPr>
        <w:t>9</w:t>
      </w:r>
      <w:r>
        <w:rPr>
          <w:rFonts w:ascii="Times New Roman" w:eastAsia="宋体" w:hAnsi="Times New Roman" w:cs="Times New Roman" w:hint="eastAsia"/>
          <w:color w:val="FF0000"/>
          <w:sz w:val="24"/>
        </w:rPr>
        <w:t>）《</w:t>
      </w:r>
      <w:r w:rsidR="00231F74" w:rsidRPr="002D1C03">
        <w:rPr>
          <w:rFonts w:ascii="Times New Roman" w:eastAsia="宋体" w:hAnsi="Times New Roman" w:cs="Times New Roman" w:hint="eastAsia"/>
          <w:color w:val="FF0000"/>
          <w:sz w:val="24"/>
        </w:rPr>
        <w:t>商洛市人民政府办公室关于印发“十四五”生态环境保护规划的通知》（商政办发〔</w:t>
      </w:r>
      <w:r w:rsidR="00231F74" w:rsidRPr="002D1C03">
        <w:rPr>
          <w:rFonts w:ascii="Times New Roman" w:eastAsia="宋体" w:hAnsi="Times New Roman" w:cs="Times New Roman"/>
          <w:color w:val="FF0000"/>
          <w:sz w:val="24"/>
        </w:rPr>
        <w:t>2021</w:t>
      </w:r>
      <w:r w:rsidR="00231F74" w:rsidRPr="002D1C03">
        <w:rPr>
          <w:rFonts w:ascii="Times New Roman" w:eastAsia="宋体" w:hAnsi="Times New Roman" w:cs="Times New Roman"/>
          <w:color w:val="FF0000"/>
          <w:sz w:val="24"/>
        </w:rPr>
        <w:t>〕</w:t>
      </w:r>
      <w:r w:rsidR="00231F74" w:rsidRPr="002D1C03">
        <w:rPr>
          <w:rFonts w:ascii="Times New Roman" w:eastAsia="宋体" w:hAnsi="Times New Roman" w:cs="Times New Roman"/>
          <w:color w:val="FF0000"/>
          <w:sz w:val="24"/>
        </w:rPr>
        <w:t>34</w:t>
      </w:r>
      <w:r w:rsidR="00231F74" w:rsidRPr="002D1C03">
        <w:rPr>
          <w:rFonts w:ascii="Times New Roman" w:eastAsia="宋体" w:hAnsi="Times New Roman" w:cs="Times New Roman"/>
          <w:color w:val="FF0000"/>
          <w:sz w:val="24"/>
        </w:rPr>
        <w:t>号</w:t>
      </w:r>
      <w:r w:rsidR="00231F74" w:rsidRPr="002D1C03">
        <w:rPr>
          <w:rFonts w:ascii="Times New Roman" w:eastAsia="宋体" w:hAnsi="Times New Roman" w:cs="Times New Roman" w:hint="eastAsia"/>
          <w:color w:val="FF0000"/>
          <w:sz w:val="24"/>
        </w:rPr>
        <w:t>）</w:t>
      </w:r>
      <w:r w:rsidR="00231F74" w:rsidRPr="00231F74">
        <w:rPr>
          <w:rFonts w:ascii="Times New Roman" w:eastAsia="宋体" w:hAnsi="Times New Roman" w:cs="Times New Roman" w:hint="eastAsia"/>
          <w:color w:val="FF0000"/>
          <w:sz w:val="24"/>
        </w:rPr>
        <w:t>，</w:t>
      </w:r>
      <w:r w:rsidR="00231F74" w:rsidRPr="00231F74">
        <w:rPr>
          <w:rFonts w:ascii="Times New Roman" w:eastAsia="宋体" w:hAnsi="Times New Roman" w:cs="Times New Roman"/>
          <w:color w:val="FF0000"/>
          <w:sz w:val="24"/>
        </w:rPr>
        <w:t>2022</w:t>
      </w:r>
      <w:r w:rsidR="00231F74" w:rsidRPr="00231F74">
        <w:rPr>
          <w:rFonts w:ascii="Times New Roman" w:eastAsia="宋体" w:hAnsi="Times New Roman" w:cs="Times New Roman" w:hint="eastAsia"/>
          <w:color w:val="FF0000"/>
          <w:sz w:val="24"/>
        </w:rPr>
        <w:t>年</w:t>
      </w:r>
      <w:r w:rsidR="00231F74">
        <w:rPr>
          <w:rFonts w:ascii="Times New Roman" w:eastAsia="宋体" w:hAnsi="Times New Roman" w:cs="Times New Roman"/>
          <w:color w:val="FF0000"/>
          <w:sz w:val="24"/>
        </w:rPr>
        <w:t>1</w:t>
      </w:r>
      <w:r w:rsidR="00231F74" w:rsidRPr="00231F74">
        <w:rPr>
          <w:rFonts w:ascii="Times New Roman" w:eastAsia="宋体" w:hAnsi="Times New Roman" w:cs="Times New Roman" w:hint="eastAsia"/>
          <w:color w:val="FF0000"/>
          <w:sz w:val="24"/>
        </w:rPr>
        <w:t>月</w:t>
      </w:r>
      <w:r w:rsidR="00231F74">
        <w:rPr>
          <w:rFonts w:ascii="Times New Roman" w:eastAsia="宋体" w:hAnsi="Times New Roman" w:cs="Times New Roman"/>
          <w:color w:val="FF0000"/>
          <w:sz w:val="24"/>
        </w:rPr>
        <w:t>4</w:t>
      </w:r>
      <w:r w:rsidR="00231F74" w:rsidRPr="00231F74">
        <w:rPr>
          <w:rFonts w:ascii="Times New Roman" w:eastAsia="宋体" w:hAnsi="Times New Roman" w:cs="Times New Roman" w:hint="eastAsia"/>
          <w:color w:val="FF0000"/>
          <w:sz w:val="24"/>
        </w:rPr>
        <w:t>日；</w:t>
      </w:r>
    </w:p>
    <w:p w14:paraId="44D5E411" w14:textId="597B83C6" w:rsidR="002D1C03" w:rsidRPr="002D1C03" w:rsidRDefault="002D1C03" w:rsidP="002D1C03">
      <w:pPr>
        <w:spacing w:line="360" w:lineRule="auto"/>
        <w:ind w:firstLineChars="200" w:firstLine="480"/>
        <w:rPr>
          <w:rFonts w:ascii="Times New Roman" w:eastAsia="宋体" w:hAnsi="Times New Roman" w:cs="Times New Roman"/>
          <w:color w:val="FF0000"/>
          <w:sz w:val="24"/>
        </w:rPr>
      </w:pPr>
      <w:r w:rsidRPr="002D1C03">
        <w:rPr>
          <w:rFonts w:ascii="Times New Roman" w:eastAsia="宋体" w:hAnsi="Times New Roman" w:cs="Times New Roman" w:hint="eastAsia"/>
          <w:color w:val="FF0000"/>
          <w:sz w:val="24"/>
        </w:rPr>
        <w:t>（</w:t>
      </w:r>
      <w:r w:rsidRPr="002D1C03">
        <w:rPr>
          <w:rFonts w:ascii="Times New Roman" w:eastAsia="宋体" w:hAnsi="Times New Roman" w:cs="Times New Roman"/>
          <w:color w:val="FF0000"/>
          <w:sz w:val="24"/>
        </w:rPr>
        <w:t>20</w:t>
      </w:r>
      <w:r w:rsidRPr="002D1C03">
        <w:rPr>
          <w:rFonts w:ascii="Times New Roman" w:eastAsia="宋体" w:hAnsi="Times New Roman" w:cs="Times New Roman"/>
          <w:color w:val="FF0000"/>
          <w:sz w:val="24"/>
        </w:rPr>
        <w:t>）《商洛市国民经济和社会发展第十四个五年规划和二〇三五年远景目标纲要》</w:t>
      </w:r>
      <w:r w:rsidRPr="00231F74">
        <w:rPr>
          <w:rFonts w:ascii="Times New Roman" w:eastAsia="宋体" w:hAnsi="Times New Roman" w:cs="Times New Roman" w:hint="eastAsia"/>
          <w:color w:val="FF0000"/>
          <w:sz w:val="24"/>
        </w:rPr>
        <w:t>，</w:t>
      </w:r>
      <w:r w:rsidRPr="00231F74">
        <w:rPr>
          <w:rFonts w:ascii="Times New Roman" w:eastAsia="宋体" w:hAnsi="Times New Roman" w:cs="Times New Roman"/>
          <w:color w:val="FF0000"/>
          <w:sz w:val="24"/>
        </w:rPr>
        <w:t>202</w:t>
      </w:r>
      <w:r>
        <w:rPr>
          <w:rFonts w:ascii="Times New Roman" w:eastAsia="宋体" w:hAnsi="Times New Roman" w:cs="Times New Roman"/>
          <w:color w:val="FF0000"/>
          <w:sz w:val="24"/>
        </w:rPr>
        <w:t>1</w:t>
      </w:r>
      <w:r w:rsidRPr="00231F74">
        <w:rPr>
          <w:rFonts w:ascii="Times New Roman" w:eastAsia="宋体" w:hAnsi="Times New Roman" w:cs="Times New Roman" w:hint="eastAsia"/>
          <w:color w:val="FF0000"/>
          <w:sz w:val="24"/>
        </w:rPr>
        <w:t>年</w:t>
      </w:r>
      <w:r>
        <w:rPr>
          <w:rFonts w:ascii="Times New Roman" w:eastAsia="宋体" w:hAnsi="Times New Roman" w:cs="Times New Roman"/>
          <w:color w:val="FF0000"/>
          <w:sz w:val="24"/>
        </w:rPr>
        <w:t>4</w:t>
      </w:r>
      <w:r w:rsidRPr="00231F74">
        <w:rPr>
          <w:rFonts w:ascii="Times New Roman" w:eastAsia="宋体" w:hAnsi="Times New Roman" w:cs="Times New Roman" w:hint="eastAsia"/>
          <w:color w:val="FF0000"/>
          <w:sz w:val="24"/>
        </w:rPr>
        <w:t>月</w:t>
      </w:r>
      <w:r>
        <w:rPr>
          <w:rFonts w:ascii="Times New Roman" w:eastAsia="宋体" w:hAnsi="Times New Roman" w:cs="Times New Roman"/>
          <w:color w:val="FF0000"/>
          <w:sz w:val="24"/>
        </w:rPr>
        <w:t>26</w:t>
      </w:r>
      <w:r w:rsidRPr="00231F74">
        <w:rPr>
          <w:rFonts w:ascii="Times New Roman" w:eastAsia="宋体" w:hAnsi="Times New Roman" w:cs="Times New Roman" w:hint="eastAsia"/>
          <w:color w:val="FF0000"/>
          <w:sz w:val="24"/>
        </w:rPr>
        <w:t>日；</w:t>
      </w:r>
    </w:p>
    <w:p w14:paraId="1CF0894C" w14:textId="2DFCBA35"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sidR="002D1C03">
        <w:rPr>
          <w:rFonts w:ascii="Times New Roman" w:eastAsia="宋体" w:hAnsi="Times New Roman" w:cs="Times New Roman"/>
          <w:sz w:val="24"/>
        </w:rPr>
        <w:t>21</w:t>
      </w:r>
      <w:r>
        <w:rPr>
          <w:rFonts w:ascii="Times New Roman" w:eastAsia="宋体" w:hAnsi="Times New Roman" w:cs="Times New Roman" w:hint="eastAsia"/>
          <w:sz w:val="24"/>
        </w:rPr>
        <w:t>）《商洛市秦岭生态环境保护规划》（商政办发</w:t>
      </w:r>
      <w:r>
        <w:rPr>
          <w:rFonts w:ascii="Times New Roman" w:eastAsia="宋体" w:hAnsi="Times New Roman" w:cs="Times New Roman"/>
          <w:sz w:val="24"/>
        </w:rPr>
        <w:t>[2020]27</w:t>
      </w:r>
      <w:r>
        <w:rPr>
          <w:rFonts w:ascii="Times New Roman" w:eastAsia="宋体" w:hAnsi="Times New Roman" w:cs="Times New Roman" w:hint="eastAsia"/>
          <w:sz w:val="24"/>
        </w:rPr>
        <w:t>号，</w:t>
      </w:r>
      <w:r>
        <w:rPr>
          <w:rFonts w:ascii="Times New Roman" w:eastAsia="宋体" w:hAnsi="Times New Roman" w:cs="Times New Roman"/>
          <w:sz w:val="24"/>
        </w:rPr>
        <w:t>2020</w:t>
      </w:r>
      <w:r>
        <w:rPr>
          <w:rFonts w:ascii="Times New Roman" w:eastAsia="宋体" w:hAnsi="Times New Roman" w:cs="Times New Roman" w:hint="eastAsia"/>
          <w:sz w:val="24"/>
        </w:rPr>
        <w:t>年</w:t>
      </w:r>
      <w:r>
        <w:rPr>
          <w:rFonts w:ascii="Times New Roman" w:eastAsia="宋体" w:hAnsi="Times New Roman" w:cs="Times New Roman"/>
          <w:sz w:val="24"/>
        </w:rPr>
        <w:t>9</w:t>
      </w:r>
      <w:r>
        <w:rPr>
          <w:rFonts w:ascii="Times New Roman" w:eastAsia="宋体" w:hAnsi="Times New Roman" w:cs="Times New Roman" w:hint="eastAsia"/>
          <w:sz w:val="24"/>
        </w:rPr>
        <w:t>月</w:t>
      </w:r>
      <w:r>
        <w:rPr>
          <w:rFonts w:ascii="Times New Roman" w:eastAsia="宋体" w:hAnsi="Times New Roman" w:cs="Times New Roman"/>
          <w:sz w:val="24"/>
        </w:rPr>
        <w:t>30</w:t>
      </w:r>
      <w:r>
        <w:rPr>
          <w:rFonts w:ascii="Times New Roman" w:eastAsia="宋体" w:hAnsi="Times New Roman" w:cs="Times New Roman" w:hint="eastAsia"/>
          <w:sz w:val="24"/>
        </w:rPr>
        <w:t>日。</w:t>
      </w:r>
    </w:p>
    <w:p w14:paraId="52CFF9AE"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146" w:name="_Toc121411689"/>
      <w:bookmarkStart w:id="147" w:name="_Toc475562458"/>
      <w:bookmarkStart w:id="148" w:name="_Toc10264"/>
      <w:bookmarkStart w:id="149" w:name="_Toc14511"/>
      <w:r>
        <w:rPr>
          <w:rFonts w:ascii="Times New Roman" w:eastAsia="黑体" w:hAnsi="Times New Roman" w:cs="Times New Roman"/>
          <w:b w:val="0"/>
          <w:sz w:val="24"/>
        </w:rPr>
        <w:t>2.1.4</w:t>
      </w:r>
      <w:r>
        <w:rPr>
          <w:rFonts w:ascii="Times New Roman" w:eastAsia="黑体" w:hAnsi="Times New Roman" w:cs="Times New Roman"/>
          <w:b w:val="0"/>
          <w:sz w:val="24"/>
        </w:rPr>
        <w:t>导则及技术规范</w:t>
      </w:r>
      <w:bookmarkEnd w:id="146"/>
      <w:bookmarkEnd w:id="147"/>
      <w:bookmarkEnd w:id="148"/>
      <w:bookmarkEnd w:id="149"/>
    </w:p>
    <w:p w14:paraId="0FAA769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）《建设项目环境影响评价技术导则</w:t>
      </w:r>
      <w:r>
        <w:rPr>
          <w:rFonts w:ascii="Times New Roman" w:eastAsia="宋体" w:hAnsi="Times New Roman" w:cs="Times New Roman"/>
          <w:sz w:val="24"/>
        </w:rPr>
        <w:t>·</w:t>
      </w:r>
      <w:r>
        <w:rPr>
          <w:rFonts w:ascii="Times New Roman" w:eastAsia="宋体" w:hAnsi="Times New Roman" w:cs="Times New Roman"/>
          <w:sz w:val="24"/>
        </w:rPr>
        <w:t>总纲》（</w:t>
      </w:r>
      <w:r>
        <w:rPr>
          <w:rFonts w:ascii="Times New Roman" w:eastAsia="宋体" w:hAnsi="Times New Roman" w:cs="Times New Roman"/>
          <w:sz w:val="24"/>
        </w:rPr>
        <w:t>HJ2.1-2016</w:t>
      </w:r>
      <w:r>
        <w:rPr>
          <w:rFonts w:ascii="Times New Roman" w:eastAsia="宋体" w:hAnsi="Times New Roman" w:cs="Times New Roman"/>
          <w:sz w:val="24"/>
        </w:rPr>
        <w:t>）；</w:t>
      </w:r>
    </w:p>
    <w:p w14:paraId="1993FAF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）《环境影响评价技术导则</w:t>
      </w:r>
      <w:r>
        <w:rPr>
          <w:rFonts w:ascii="Times New Roman" w:eastAsia="宋体" w:hAnsi="Times New Roman" w:cs="Times New Roman"/>
          <w:sz w:val="24"/>
        </w:rPr>
        <w:t>·</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w:t>
      </w:r>
    </w:p>
    <w:p w14:paraId="5D0F781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）《环境影响评价技术导则</w:t>
      </w:r>
      <w:r>
        <w:rPr>
          <w:rFonts w:ascii="Times New Roman" w:eastAsia="宋体" w:hAnsi="Times New Roman" w:cs="Times New Roman"/>
          <w:sz w:val="24"/>
        </w:rPr>
        <w:t>·</w:t>
      </w:r>
      <w:r>
        <w:rPr>
          <w:rFonts w:ascii="Times New Roman" w:eastAsia="宋体" w:hAnsi="Times New Roman" w:cs="Times New Roman"/>
          <w:sz w:val="24"/>
        </w:rPr>
        <w:t>地表水环境》（</w:t>
      </w:r>
      <w:r>
        <w:rPr>
          <w:rFonts w:ascii="Times New Roman" w:eastAsia="宋体" w:hAnsi="Times New Roman" w:cs="Times New Roman"/>
          <w:sz w:val="24"/>
        </w:rPr>
        <w:t>HJ2.3-2018</w:t>
      </w:r>
      <w:r>
        <w:rPr>
          <w:rFonts w:ascii="Times New Roman" w:eastAsia="宋体" w:hAnsi="Times New Roman" w:cs="Times New Roman"/>
          <w:sz w:val="24"/>
        </w:rPr>
        <w:t>）；</w:t>
      </w:r>
    </w:p>
    <w:p w14:paraId="3580256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）《环境影响评价技术导则</w:t>
      </w:r>
      <w:r>
        <w:rPr>
          <w:rFonts w:ascii="Times New Roman" w:eastAsia="宋体" w:hAnsi="Times New Roman" w:cs="Times New Roman"/>
          <w:sz w:val="24"/>
        </w:rPr>
        <w:t>·</w:t>
      </w:r>
      <w:r>
        <w:rPr>
          <w:rFonts w:ascii="Times New Roman" w:eastAsia="宋体" w:hAnsi="Times New Roman" w:cs="Times New Roman"/>
          <w:sz w:val="24"/>
        </w:rPr>
        <w:t>地下水环境》（</w:t>
      </w:r>
      <w:r>
        <w:rPr>
          <w:rFonts w:ascii="Times New Roman" w:eastAsia="宋体" w:hAnsi="Times New Roman" w:cs="Times New Roman"/>
          <w:sz w:val="24"/>
        </w:rPr>
        <w:t>HJ610-2016</w:t>
      </w:r>
      <w:r>
        <w:rPr>
          <w:rFonts w:ascii="Times New Roman" w:eastAsia="宋体" w:hAnsi="Times New Roman" w:cs="Times New Roman"/>
          <w:sz w:val="24"/>
        </w:rPr>
        <w:t>）；</w:t>
      </w:r>
    </w:p>
    <w:p w14:paraId="1028196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）《环境影响评价技术导则</w:t>
      </w:r>
      <w:r>
        <w:rPr>
          <w:rFonts w:ascii="Times New Roman" w:eastAsia="宋体" w:hAnsi="Times New Roman" w:cs="Times New Roman"/>
          <w:sz w:val="24"/>
        </w:rPr>
        <w:t>·</w:t>
      </w:r>
      <w:r>
        <w:rPr>
          <w:rFonts w:ascii="Times New Roman" w:eastAsia="宋体" w:hAnsi="Times New Roman" w:cs="Times New Roman"/>
          <w:sz w:val="24"/>
        </w:rPr>
        <w:t>声环境》（</w:t>
      </w:r>
      <w:r>
        <w:rPr>
          <w:rFonts w:ascii="Times New Roman" w:eastAsia="宋体" w:hAnsi="Times New Roman" w:cs="Times New Roman"/>
          <w:sz w:val="24"/>
        </w:rPr>
        <w:t>HJ2.4-2021</w:t>
      </w:r>
      <w:r>
        <w:rPr>
          <w:rFonts w:ascii="Times New Roman" w:eastAsia="宋体" w:hAnsi="Times New Roman" w:cs="Times New Roman"/>
          <w:sz w:val="24"/>
        </w:rPr>
        <w:t>）；</w:t>
      </w:r>
    </w:p>
    <w:p w14:paraId="6D63E367"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6</w:t>
      </w:r>
      <w:r>
        <w:rPr>
          <w:rFonts w:ascii="Times New Roman" w:eastAsia="宋体" w:hAnsi="Times New Roman" w:cs="Times New Roman"/>
          <w:sz w:val="24"/>
        </w:rPr>
        <w:t>）《环境影响评价技术导则</w:t>
      </w:r>
      <w:r>
        <w:rPr>
          <w:rFonts w:ascii="Times New Roman" w:eastAsia="宋体" w:hAnsi="Times New Roman" w:cs="Times New Roman"/>
          <w:sz w:val="24"/>
        </w:rPr>
        <w:t>·</w:t>
      </w:r>
      <w:r>
        <w:rPr>
          <w:rFonts w:ascii="Times New Roman" w:eastAsia="宋体" w:hAnsi="Times New Roman" w:cs="Times New Roman"/>
          <w:sz w:val="24"/>
        </w:rPr>
        <w:t>生态影响》（</w:t>
      </w:r>
      <w:r>
        <w:rPr>
          <w:rFonts w:ascii="Times New Roman" w:eastAsia="宋体" w:hAnsi="Times New Roman" w:cs="Times New Roman"/>
          <w:sz w:val="24"/>
        </w:rPr>
        <w:t>HJ19-2022</w:t>
      </w:r>
      <w:r>
        <w:rPr>
          <w:rFonts w:ascii="Times New Roman" w:eastAsia="宋体" w:hAnsi="Times New Roman" w:cs="Times New Roman"/>
          <w:sz w:val="24"/>
        </w:rPr>
        <w:t>）；</w:t>
      </w:r>
    </w:p>
    <w:p w14:paraId="2C17D5D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7</w:t>
      </w:r>
      <w:r>
        <w:rPr>
          <w:rFonts w:ascii="Times New Roman" w:eastAsia="宋体" w:hAnsi="Times New Roman" w:cs="Times New Roman"/>
          <w:sz w:val="24"/>
        </w:rPr>
        <w:t>）《建设项目环境风险评价技术导则》</w:t>
      </w:r>
      <w:r>
        <w:rPr>
          <w:rFonts w:ascii="Times New Roman" w:eastAsia="宋体" w:hAnsi="Times New Roman" w:cs="Times New Roman"/>
          <w:sz w:val="24"/>
        </w:rPr>
        <w:t>(HJ169 -2018)</w:t>
      </w:r>
      <w:r>
        <w:rPr>
          <w:rFonts w:ascii="Times New Roman" w:eastAsia="宋体" w:hAnsi="Times New Roman" w:cs="Times New Roman"/>
          <w:sz w:val="24"/>
        </w:rPr>
        <w:t>；</w:t>
      </w:r>
    </w:p>
    <w:p w14:paraId="2973507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8</w:t>
      </w:r>
      <w:r>
        <w:rPr>
          <w:rFonts w:ascii="Times New Roman" w:eastAsia="宋体" w:hAnsi="Times New Roman" w:cs="Times New Roman"/>
          <w:sz w:val="24"/>
        </w:rPr>
        <w:t>）《固体废物处理处置工程技术导则》（</w:t>
      </w:r>
      <w:r>
        <w:rPr>
          <w:rFonts w:ascii="Times New Roman" w:eastAsia="宋体" w:hAnsi="Times New Roman" w:cs="Times New Roman"/>
          <w:sz w:val="24"/>
        </w:rPr>
        <w:t>HJ2035-2013</w:t>
      </w:r>
      <w:r>
        <w:rPr>
          <w:rFonts w:ascii="Times New Roman" w:eastAsia="宋体" w:hAnsi="Times New Roman" w:cs="Times New Roman"/>
          <w:sz w:val="24"/>
        </w:rPr>
        <w:t>）；</w:t>
      </w:r>
    </w:p>
    <w:p w14:paraId="47E33B1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9</w:t>
      </w:r>
      <w:r>
        <w:rPr>
          <w:rFonts w:ascii="Times New Roman" w:eastAsia="宋体" w:hAnsi="Times New Roman" w:cs="Times New Roman" w:hint="eastAsia"/>
          <w:sz w:val="24"/>
        </w:rPr>
        <w:t>）《环境影响评价技术导则土壤环境（试行）》（</w:t>
      </w:r>
      <w:r>
        <w:rPr>
          <w:rFonts w:ascii="Times New Roman" w:eastAsia="宋体" w:hAnsi="Times New Roman" w:cs="Times New Roman"/>
          <w:sz w:val="24"/>
        </w:rPr>
        <w:t>HJ 964-2018</w:t>
      </w:r>
      <w:r>
        <w:rPr>
          <w:rFonts w:ascii="Times New Roman" w:eastAsia="宋体" w:hAnsi="Times New Roman" w:cs="Times New Roman"/>
          <w:sz w:val="24"/>
        </w:rPr>
        <w:t>）</w:t>
      </w:r>
    </w:p>
    <w:p w14:paraId="735E312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sz w:val="24"/>
        </w:rPr>
        <w:t>0</w:t>
      </w:r>
      <w:r>
        <w:rPr>
          <w:rFonts w:ascii="Times New Roman" w:eastAsia="宋体" w:hAnsi="Times New Roman" w:cs="Times New Roman" w:hint="eastAsia"/>
          <w:sz w:val="24"/>
        </w:rPr>
        <w:t>）《排污单位环境管理台账及排污许可证执行报告技术规范总则（试行）》（</w:t>
      </w:r>
      <w:r>
        <w:rPr>
          <w:rFonts w:ascii="Times New Roman" w:eastAsia="宋体" w:hAnsi="Times New Roman" w:cs="Times New Roman"/>
          <w:sz w:val="24"/>
        </w:rPr>
        <w:t>HJ944-2018</w:t>
      </w:r>
      <w:r>
        <w:rPr>
          <w:rFonts w:ascii="Times New Roman" w:eastAsia="宋体" w:hAnsi="Times New Roman" w:cs="Times New Roman" w:hint="eastAsia"/>
          <w:sz w:val="24"/>
        </w:rPr>
        <w:t>）</w:t>
      </w:r>
    </w:p>
    <w:p w14:paraId="7F916D0D"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11</w:t>
      </w:r>
      <w:r>
        <w:rPr>
          <w:rFonts w:ascii="Times New Roman" w:eastAsia="宋体" w:hAnsi="Times New Roman" w:cs="Times New Roman" w:hint="eastAsia"/>
          <w:sz w:val="24"/>
        </w:rPr>
        <w:t>）《排污单位自行监测技术指南总则》（</w:t>
      </w:r>
      <w:r>
        <w:rPr>
          <w:rFonts w:ascii="Times New Roman" w:eastAsia="宋体" w:hAnsi="Times New Roman" w:cs="Times New Roman"/>
          <w:sz w:val="24"/>
        </w:rPr>
        <w:t>HJ819-2017</w:t>
      </w:r>
      <w:r>
        <w:rPr>
          <w:rFonts w:ascii="Times New Roman" w:eastAsia="宋体" w:hAnsi="Times New Roman" w:cs="Times New Roman" w:hint="eastAsia"/>
          <w:sz w:val="24"/>
        </w:rPr>
        <w:t>）；</w:t>
      </w:r>
    </w:p>
    <w:p w14:paraId="0911868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sz w:val="24"/>
        </w:rPr>
        <w:t>2</w:t>
      </w:r>
      <w:r>
        <w:rPr>
          <w:rFonts w:ascii="Times New Roman" w:eastAsia="宋体" w:hAnsi="Times New Roman" w:cs="Times New Roman" w:hint="eastAsia"/>
          <w:sz w:val="24"/>
        </w:rPr>
        <w:t>）《地下水环境监测技术规范》（</w:t>
      </w:r>
      <w:r>
        <w:rPr>
          <w:rFonts w:ascii="Times New Roman" w:eastAsia="宋体" w:hAnsi="Times New Roman" w:cs="Times New Roman"/>
          <w:sz w:val="24"/>
        </w:rPr>
        <w:t>HJ/T164-2004</w:t>
      </w:r>
      <w:r>
        <w:rPr>
          <w:rFonts w:ascii="Times New Roman" w:eastAsia="宋体" w:hAnsi="Times New Roman" w:cs="Times New Roman" w:hint="eastAsia"/>
          <w:sz w:val="24"/>
        </w:rPr>
        <w:t>）；</w:t>
      </w:r>
    </w:p>
    <w:p w14:paraId="0062DE2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sz w:val="24"/>
        </w:rPr>
        <w:t>3</w:t>
      </w:r>
      <w:r>
        <w:rPr>
          <w:rFonts w:ascii="Times New Roman" w:eastAsia="宋体" w:hAnsi="Times New Roman" w:cs="Times New Roman" w:hint="eastAsia"/>
          <w:sz w:val="24"/>
        </w:rPr>
        <w:t>）《地下水监测井建设规范》（</w:t>
      </w:r>
      <w:r>
        <w:rPr>
          <w:rFonts w:ascii="Times New Roman" w:eastAsia="宋体" w:hAnsi="Times New Roman" w:cs="Times New Roman"/>
          <w:sz w:val="24"/>
        </w:rPr>
        <w:t>DZ/T0270-2014</w:t>
      </w:r>
      <w:r>
        <w:rPr>
          <w:rFonts w:ascii="Times New Roman" w:eastAsia="宋体" w:hAnsi="Times New Roman" w:cs="Times New Roman" w:hint="eastAsia"/>
          <w:sz w:val="24"/>
        </w:rPr>
        <w:t>）；</w:t>
      </w:r>
    </w:p>
    <w:p w14:paraId="6BF17AB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14</w:t>
      </w:r>
      <w:r>
        <w:rPr>
          <w:rFonts w:ascii="Times New Roman" w:eastAsia="宋体" w:hAnsi="Times New Roman" w:cs="Times New Roman"/>
          <w:sz w:val="24"/>
        </w:rPr>
        <w:t>）《生活垃圾卫生填埋处理技术规范》（</w:t>
      </w:r>
      <w:r>
        <w:rPr>
          <w:rFonts w:ascii="Times New Roman" w:eastAsia="宋体" w:hAnsi="Times New Roman" w:cs="Times New Roman"/>
          <w:sz w:val="24"/>
        </w:rPr>
        <w:t>GB50869-2013</w:t>
      </w:r>
      <w:r>
        <w:rPr>
          <w:rFonts w:ascii="Times New Roman" w:eastAsia="宋体" w:hAnsi="Times New Roman" w:cs="Times New Roman"/>
          <w:sz w:val="24"/>
        </w:rPr>
        <w:t>）；</w:t>
      </w:r>
    </w:p>
    <w:p w14:paraId="29FCFA86" w14:textId="77777777" w:rsidR="00D12939" w:rsidRPr="002D1C03"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lastRenderedPageBreak/>
        <w:t>（</w:t>
      </w:r>
      <w:r>
        <w:rPr>
          <w:rFonts w:ascii="Times New Roman" w:eastAsia="宋体" w:hAnsi="Times New Roman" w:cs="Times New Roman"/>
          <w:sz w:val="24"/>
        </w:rPr>
        <w:t>15</w:t>
      </w:r>
      <w:r>
        <w:rPr>
          <w:rFonts w:ascii="Times New Roman" w:eastAsia="宋体" w:hAnsi="Times New Roman" w:cs="Times New Roman"/>
          <w:sz w:val="24"/>
        </w:rPr>
        <w:t>）《生活垃圾填埋场污染控制标准</w:t>
      </w:r>
      <w:r w:rsidRPr="002D1C03">
        <w:rPr>
          <w:rFonts w:ascii="Times New Roman" w:eastAsia="宋体" w:hAnsi="Times New Roman" w:cs="Times New Roman"/>
          <w:sz w:val="24"/>
        </w:rPr>
        <w:t>》（</w:t>
      </w:r>
      <w:r w:rsidRPr="002D1C03">
        <w:rPr>
          <w:rFonts w:ascii="Times New Roman" w:eastAsia="宋体" w:hAnsi="Times New Roman" w:cs="Times New Roman"/>
          <w:sz w:val="24"/>
        </w:rPr>
        <w:t>GB16889-2008</w:t>
      </w:r>
      <w:r w:rsidRPr="002D1C03">
        <w:rPr>
          <w:rFonts w:ascii="Times New Roman" w:eastAsia="宋体" w:hAnsi="Times New Roman" w:cs="Times New Roman"/>
          <w:sz w:val="24"/>
        </w:rPr>
        <w:t>）；</w:t>
      </w:r>
    </w:p>
    <w:p w14:paraId="6923B248" w14:textId="77777777" w:rsidR="00D12939" w:rsidRPr="002D1C03" w:rsidRDefault="004F47F5">
      <w:pPr>
        <w:spacing w:line="360" w:lineRule="auto"/>
        <w:ind w:firstLine="462"/>
        <w:rPr>
          <w:rFonts w:ascii="Times New Roman" w:eastAsia="宋体" w:hAnsi="Times New Roman" w:cs="Times New Roman"/>
          <w:kern w:val="0"/>
          <w:sz w:val="24"/>
          <w:szCs w:val="24"/>
        </w:rPr>
      </w:pPr>
      <w:r w:rsidRPr="002D1C03">
        <w:rPr>
          <w:rFonts w:ascii="Times New Roman" w:eastAsia="宋体" w:hAnsi="Times New Roman" w:cs="Times New Roman"/>
          <w:sz w:val="24"/>
        </w:rPr>
        <w:t>（</w:t>
      </w:r>
      <w:r w:rsidRPr="002D1C03">
        <w:rPr>
          <w:rFonts w:ascii="Times New Roman" w:eastAsia="宋体" w:hAnsi="Times New Roman" w:cs="Times New Roman"/>
          <w:sz w:val="24"/>
        </w:rPr>
        <w:t>16</w:t>
      </w:r>
      <w:r w:rsidRPr="002D1C03">
        <w:rPr>
          <w:rFonts w:ascii="Times New Roman" w:eastAsia="宋体" w:hAnsi="Times New Roman" w:cs="Times New Roman"/>
          <w:sz w:val="24"/>
        </w:rPr>
        <w:t>）</w:t>
      </w:r>
      <w:r w:rsidRPr="002D1C03">
        <w:rPr>
          <w:rFonts w:ascii="Times New Roman" w:eastAsia="宋体" w:hAnsi="Times New Roman" w:cs="Times New Roman"/>
          <w:kern w:val="0"/>
          <w:sz w:val="24"/>
          <w:szCs w:val="24"/>
        </w:rPr>
        <w:t>《城市生活垃圾卫生填埋处理工程项目建设标准》（建标</w:t>
      </w:r>
      <w:r w:rsidRPr="002D1C03">
        <w:rPr>
          <w:rFonts w:ascii="Times New Roman" w:eastAsia="宋体" w:hAnsi="Times New Roman" w:cs="Times New Roman"/>
          <w:kern w:val="0"/>
          <w:sz w:val="24"/>
          <w:szCs w:val="24"/>
        </w:rPr>
        <w:t>124-2009</w:t>
      </w:r>
      <w:r w:rsidRPr="002D1C03">
        <w:rPr>
          <w:rFonts w:ascii="Times New Roman" w:eastAsia="宋体" w:hAnsi="Times New Roman" w:cs="Times New Roman"/>
          <w:kern w:val="0"/>
          <w:sz w:val="24"/>
          <w:szCs w:val="24"/>
        </w:rPr>
        <w:t>）；</w:t>
      </w:r>
    </w:p>
    <w:p w14:paraId="197B5890" w14:textId="77777777" w:rsidR="00D12939" w:rsidRPr="002D1C03" w:rsidRDefault="004F47F5">
      <w:pPr>
        <w:spacing w:line="360" w:lineRule="auto"/>
        <w:ind w:firstLine="462"/>
        <w:rPr>
          <w:rFonts w:ascii="Times New Roman" w:eastAsia="宋体" w:hAnsi="Times New Roman" w:cs="Times New Roman"/>
          <w:kern w:val="0"/>
          <w:sz w:val="24"/>
          <w:szCs w:val="24"/>
        </w:rPr>
      </w:pPr>
      <w:r w:rsidRPr="002D1C03">
        <w:rPr>
          <w:rFonts w:ascii="Times New Roman" w:eastAsia="宋体" w:hAnsi="Times New Roman" w:cs="Times New Roman"/>
          <w:kern w:val="0"/>
          <w:sz w:val="24"/>
          <w:szCs w:val="24"/>
        </w:rPr>
        <w:t>（</w:t>
      </w:r>
      <w:r w:rsidRPr="002D1C03">
        <w:rPr>
          <w:rFonts w:ascii="Times New Roman" w:eastAsia="宋体" w:hAnsi="Times New Roman" w:cs="Times New Roman"/>
          <w:kern w:val="0"/>
          <w:sz w:val="24"/>
          <w:szCs w:val="24"/>
        </w:rPr>
        <w:t>17</w:t>
      </w:r>
      <w:r w:rsidRPr="002D1C03">
        <w:rPr>
          <w:rFonts w:ascii="Times New Roman" w:eastAsia="宋体" w:hAnsi="Times New Roman" w:cs="Times New Roman"/>
          <w:kern w:val="0"/>
          <w:sz w:val="24"/>
          <w:szCs w:val="24"/>
        </w:rPr>
        <w:t>）《生活垃圾卫生填埋场环境监测技术要求》（</w:t>
      </w:r>
      <w:r w:rsidRPr="002D1C03">
        <w:rPr>
          <w:rFonts w:ascii="Times New Roman" w:eastAsia="宋体" w:hAnsi="Times New Roman" w:cs="Times New Roman"/>
          <w:kern w:val="0"/>
          <w:sz w:val="24"/>
          <w:szCs w:val="24"/>
        </w:rPr>
        <w:t>GB/T 18772-2017</w:t>
      </w:r>
      <w:r w:rsidRPr="002D1C03">
        <w:rPr>
          <w:rFonts w:ascii="Times New Roman" w:eastAsia="宋体" w:hAnsi="Times New Roman" w:cs="Times New Roman"/>
          <w:kern w:val="0"/>
          <w:sz w:val="24"/>
          <w:szCs w:val="24"/>
        </w:rPr>
        <w:t>）；</w:t>
      </w:r>
    </w:p>
    <w:p w14:paraId="4F255CCC" w14:textId="7123A97B" w:rsidR="002D1C03" w:rsidRPr="002D1C03" w:rsidRDefault="004F47F5">
      <w:pPr>
        <w:spacing w:line="360" w:lineRule="auto"/>
        <w:ind w:firstLine="462"/>
        <w:rPr>
          <w:rFonts w:ascii="Times New Roman" w:eastAsia="宋体" w:hAnsi="Times New Roman" w:cs="Times New Roman"/>
          <w:color w:val="FF0000"/>
          <w:kern w:val="0"/>
          <w:sz w:val="24"/>
          <w:szCs w:val="24"/>
        </w:rPr>
      </w:pPr>
      <w:r w:rsidRPr="002D1C03">
        <w:rPr>
          <w:rFonts w:ascii="Times New Roman" w:eastAsia="宋体" w:hAnsi="Times New Roman" w:cs="Times New Roman"/>
          <w:color w:val="FF0000"/>
          <w:kern w:val="0"/>
          <w:sz w:val="24"/>
          <w:szCs w:val="24"/>
        </w:rPr>
        <w:t>（</w:t>
      </w:r>
      <w:r w:rsidRPr="002D1C03">
        <w:rPr>
          <w:rFonts w:ascii="Times New Roman" w:eastAsia="宋体" w:hAnsi="Times New Roman" w:cs="Times New Roman"/>
          <w:color w:val="FF0000"/>
          <w:kern w:val="0"/>
          <w:sz w:val="24"/>
          <w:szCs w:val="24"/>
        </w:rPr>
        <w:t>18</w:t>
      </w:r>
      <w:r w:rsidRPr="002D1C03">
        <w:rPr>
          <w:rFonts w:ascii="Times New Roman" w:eastAsia="宋体" w:hAnsi="Times New Roman" w:cs="Times New Roman"/>
          <w:color w:val="FF0000"/>
          <w:kern w:val="0"/>
          <w:sz w:val="24"/>
          <w:szCs w:val="24"/>
        </w:rPr>
        <w:t>）《生活垃圾卫生填埋场防渗系统工程技术标准》（</w:t>
      </w:r>
      <w:r w:rsidRPr="002D1C03">
        <w:rPr>
          <w:rFonts w:ascii="Times New Roman" w:eastAsia="宋体" w:hAnsi="Times New Roman" w:cs="Times New Roman"/>
          <w:color w:val="FF0000"/>
          <w:kern w:val="0"/>
          <w:sz w:val="24"/>
          <w:szCs w:val="24"/>
        </w:rPr>
        <w:t>GB/T 51403-2021</w:t>
      </w:r>
      <w:r w:rsidRPr="002D1C03">
        <w:rPr>
          <w:rFonts w:ascii="Times New Roman" w:eastAsia="宋体" w:hAnsi="Times New Roman" w:cs="Times New Roman"/>
          <w:color w:val="FF0000"/>
          <w:kern w:val="0"/>
          <w:sz w:val="24"/>
          <w:szCs w:val="24"/>
        </w:rPr>
        <w:t>）</w:t>
      </w:r>
      <w:r w:rsidR="002D1C03" w:rsidRPr="002D1C03">
        <w:rPr>
          <w:rFonts w:ascii="Times New Roman" w:eastAsia="宋体" w:hAnsi="Times New Roman" w:cs="Times New Roman" w:hint="eastAsia"/>
          <w:color w:val="FF0000"/>
          <w:kern w:val="0"/>
          <w:sz w:val="24"/>
          <w:szCs w:val="24"/>
        </w:rPr>
        <w:t>；</w:t>
      </w:r>
    </w:p>
    <w:p w14:paraId="4AD4B5C5" w14:textId="006C7618" w:rsidR="002D1C03" w:rsidRPr="002D1C03" w:rsidRDefault="002D1C03">
      <w:pPr>
        <w:spacing w:line="360" w:lineRule="auto"/>
        <w:ind w:firstLine="462"/>
        <w:rPr>
          <w:rFonts w:ascii="Times New Roman" w:eastAsia="宋体" w:hAnsi="Times New Roman" w:cs="Times New Roman"/>
          <w:color w:val="FF0000"/>
          <w:sz w:val="24"/>
        </w:rPr>
      </w:pPr>
      <w:r w:rsidRPr="002D1C03">
        <w:rPr>
          <w:rFonts w:ascii="Times New Roman" w:eastAsia="宋体" w:hAnsi="Times New Roman" w:cs="Times New Roman" w:hint="eastAsia"/>
          <w:color w:val="FF0000"/>
          <w:sz w:val="24"/>
        </w:rPr>
        <w:t>（</w:t>
      </w:r>
      <w:r w:rsidRPr="002D1C03">
        <w:rPr>
          <w:rFonts w:ascii="Times New Roman" w:eastAsia="宋体" w:hAnsi="Times New Roman" w:cs="Times New Roman" w:hint="eastAsia"/>
          <w:color w:val="FF0000"/>
          <w:sz w:val="24"/>
        </w:rPr>
        <w:t>1</w:t>
      </w:r>
      <w:r w:rsidRPr="002D1C03">
        <w:rPr>
          <w:rFonts w:ascii="Times New Roman" w:eastAsia="宋体" w:hAnsi="Times New Roman" w:cs="Times New Roman"/>
          <w:color w:val="FF0000"/>
          <w:sz w:val="24"/>
        </w:rPr>
        <w:t>9</w:t>
      </w:r>
      <w:r w:rsidRPr="002D1C03">
        <w:rPr>
          <w:rFonts w:ascii="Times New Roman" w:eastAsia="宋体" w:hAnsi="Times New Roman" w:cs="Times New Roman" w:hint="eastAsia"/>
          <w:color w:val="FF0000"/>
          <w:sz w:val="24"/>
        </w:rPr>
        <w:t>）《生活垃圾处理处置工程项目规范》（</w:t>
      </w:r>
      <w:r w:rsidRPr="002D1C03">
        <w:rPr>
          <w:rFonts w:ascii="Times New Roman" w:eastAsia="宋体" w:hAnsi="Times New Roman" w:cs="Times New Roman"/>
          <w:color w:val="FF0000"/>
          <w:sz w:val="24"/>
        </w:rPr>
        <w:t>GB/T 55012-2021</w:t>
      </w:r>
      <w:r w:rsidRPr="002D1C03">
        <w:rPr>
          <w:rFonts w:ascii="Times New Roman" w:eastAsia="宋体" w:hAnsi="Times New Roman" w:cs="Times New Roman"/>
          <w:color w:val="FF0000"/>
          <w:sz w:val="24"/>
        </w:rPr>
        <w:t>）</w:t>
      </w:r>
      <w:r w:rsidRPr="002D1C03">
        <w:rPr>
          <w:rFonts w:ascii="Times New Roman" w:eastAsia="宋体" w:hAnsi="Times New Roman" w:cs="Times New Roman" w:hint="eastAsia"/>
          <w:color w:val="FF0000"/>
          <w:sz w:val="24"/>
        </w:rPr>
        <w:t>；</w:t>
      </w:r>
    </w:p>
    <w:p w14:paraId="2545F3F4" w14:textId="2E1A0E44" w:rsidR="002D1C03" w:rsidRPr="002D1C03" w:rsidRDefault="002D1C03">
      <w:pPr>
        <w:spacing w:line="360" w:lineRule="auto"/>
        <w:ind w:firstLine="462"/>
        <w:rPr>
          <w:rFonts w:ascii="Times New Roman" w:eastAsia="宋体" w:hAnsi="Times New Roman" w:cs="Times New Roman"/>
          <w:color w:val="FF0000"/>
          <w:sz w:val="24"/>
        </w:rPr>
      </w:pPr>
      <w:r w:rsidRPr="002D1C03">
        <w:rPr>
          <w:rFonts w:ascii="Times New Roman" w:eastAsia="宋体" w:hAnsi="Times New Roman" w:cs="Times New Roman" w:hint="eastAsia"/>
          <w:color w:val="FF0000"/>
          <w:sz w:val="24"/>
        </w:rPr>
        <w:t>（</w:t>
      </w:r>
      <w:r w:rsidRPr="002D1C03">
        <w:rPr>
          <w:rFonts w:ascii="Times New Roman" w:eastAsia="宋体" w:hAnsi="Times New Roman" w:cs="Times New Roman" w:hint="eastAsia"/>
          <w:color w:val="FF0000"/>
          <w:sz w:val="24"/>
        </w:rPr>
        <w:t>2</w:t>
      </w:r>
      <w:r w:rsidRPr="002D1C03">
        <w:rPr>
          <w:rFonts w:ascii="Times New Roman" w:eastAsia="宋体" w:hAnsi="Times New Roman" w:cs="Times New Roman"/>
          <w:color w:val="FF0000"/>
          <w:sz w:val="24"/>
        </w:rPr>
        <w:t>0</w:t>
      </w:r>
      <w:r w:rsidRPr="002D1C03">
        <w:rPr>
          <w:rFonts w:ascii="Times New Roman" w:eastAsia="宋体" w:hAnsi="Times New Roman" w:cs="Times New Roman" w:hint="eastAsia"/>
          <w:color w:val="FF0000"/>
          <w:sz w:val="24"/>
        </w:rPr>
        <w:t>）《生活垃圾填埋场填埋气体收集处理及利用工程技术规范》（</w:t>
      </w:r>
      <w:r w:rsidRPr="002D1C03">
        <w:rPr>
          <w:rFonts w:ascii="Times New Roman" w:eastAsia="宋体" w:hAnsi="Times New Roman" w:cs="Times New Roman"/>
          <w:color w:val="FF0000"/>
          <w:sz w:val="24"/>
        </w:rPr>
        <w:t>CJJ133-2009</w:t>
      </w:r>
      <w:r w:rsidRPr="002D1C03">
        <w:rPr>
          <w:rFonts w:ascii="Times New Roman" w:eastAsia="宋体" w:hAnsi="Times New Roman" w:cs="Times New Roman"/>
          <w:color w:val="FF0000"/>
          <w:sz w:val="24"/>
        </w:rPr>
        <w:t>）</w:t>
      </w:r>
      <w:r w:rsidRPr="002D1C03">
        <w:rPr>
          <w:rFonts w:ascii="Times New Roman" w:eastAsia="宋体" w:hAnsi="Times New Roman" w:cs="Times New Roman" w:hint="eastAsia"/>
          <w:color w:val="FF0000"/>
          <w:sz w:val="24"/>
        </w:rPr>
        <w:t>；</w:t>
      </w:r>
    </w:p>
    <w:p w14:paraId="3894A653" w14:textId="6249D107" w:rsidR="002D1C03" w:rsidRPr="002D1C03" w:rsidRDefault="002D1C03">
      <w:pPr>
        <w:spacing w:line="360" w:lineRule="auto"/>
        <w:ind w:firstLine="462"/>
        <w:rPr>
          <w:rFonts w:ascii="Times New Roman" w:eastAsia="宋体" w:hAnsi="Times New Roman" w:cs="Times New Roman"/>
          <w:color w:val="FF0000"/>
          <w:sz w:val="24"/>
        </w:rPr>
      </w:pPr>
      <w:r w:rsidRPr="002D1C03">
        <w:rPr>
          <w:rFonts w:ascii="Times New Roman" w:eastAsia="宋体" w:hAnsi="Times New Roman" w:cs="Times New Roman" w:hint="eastAsia"/>
          <w:color w:val="FF0000"/>
          <w:sz w:val="24"/>
        </w:rPr>
        <w:t>（</w:t>
      </w:r>
      <w:r w:rsidRPr="002D1C03">
        <w:rPr>
          <w:rFonts w:ascii="Times New Roman" w:eastAsia="宋体" w:hAnsi="Times New Roman" w:cs="Times New Roman" w:hint="eastAsia"/>
          <w:color w:val="FF0000"/>
          <w:sz w:val="24"/>
        </w:rPr>
        <w:t>2</w:t>
      </w:r>
      <w:r w:rsidRPr="002D1C03">
        <w:rPr>
          <w:rFonts w:ascii="Times New Roman" w:eastAsia="宋体" w:hAnsi="Times New Roman" w:cs="Times New Roman"/>
          <w:color w:val="FF0000"/>
          <w:sz w:val="24"/>
        </w:rPr>
        <w:t>1</w:t>
      </w:r>
      <w:r w:rsidRPr="002D1C03">
        <w:rPr>
          <w:rFonts w:ascii="Times New Roman" w:eastAsia="宋体" w:hAnsi="Times New Roman" w:cs="Times New Roman" w:hint="eastAsia"/>
          <w:color w:val="FF0000"/>
          <w:sz w:val="24"/>
        </w:rPr>
        <w:t>）《生活垃圾填埋场渗滤液处理工程技术规范》（试行）（</w:t>
      </w:r>
      <w:r w:rsidRPr="002D1C03">
        <w:rPr>
          <w:rFonts w:ascii="Times New Roman" w:eastAsia="宋体" w:hAnsi="Times New Roman" w:cs="Times New Roman"/>
          <w:color w:val="FF0000"/>
          <w:sz w:val="24"/>
        </w:rPr>
        <w:t>HJ564-2010</w:t>
      </w:r>
      <w:r w:rsidRPr="002D1C03">
        <w:rPr>
          <w:rFonts w:ascii="Times New Roman" w:eastAsia="宋体" w:hAnsi="Times New Roman" w:cs="Times New Roman"/>
          <w:color w:val="FF0000"/>
          <w:sz w:val="24"/>
        </w:rPr>
        <w:t>）</w:t>
      </w:r>
      <w:r w:rsidRPr="002D1C03">
        <w:rPr>
          <w:rFonts w:ascii="Times New Roman" w:eastAsia="宋体" w:hAnsi="Times New Roman" w:cs="Times New Roman" w:hint="eastAsia"/>
          <w:color w:val="FF0000"/>
          <w:sz w:val="24"/>
        </w:rPr>
        <w:t>；</w:t>
      </w:r>
    </w:p>
    <w:p w14:paraId="2C014F13" w14:textId="54A06648" w:rsidR="00D12939" w:rsidRPr="002D1C03" w:rsidRDefault="002D1C03">
      <w:pPr>
        <w:spacing w:line="360" w:lineRule="auto"/>
        <w:ind w:firstLine="462"/>
        <w:rPr>
          <w:rFonts w:ascii="Times New Roman" w:eastAsia="宋体" w:hAnsi="Times New Roman" w:cs="Times New Roman"/>
          <w:color w:val="FF0000"/>
          <w:sz w:val="24"/>
        </w:rPr>
      </w:pPr>
      <w:r w:rsidRPr="002D1C03">
        <w:rPr>
          <w:rFonts w:ascii="Times New Roman" w:eastAsia="宋体" w:hAnsi="Times New Roman" w:cs="Times New Roman" w:hint="eastAsia"/>
          <w:color w:val="FF0000"/>
          <w:sz w:val="24"/>
        </w:rPr>
        <w:t>（</w:t>
      </w:r>
      <w:r w:rsidRPr="002D1C03">
        <w:rPr>
          <w:rFonts w:ascii="Times New Roman" w:eastAsia="宋体" w:hAnsi="Times New Roman" w:cs="Times New Roman" w:hint="eastAsia"/>
          <w:color w:val="FF0000"/>
          <w:sz w:val="24"/>
        </w:rPr>
        <w:t>2</w:t>
      </w:r>
      <w:r w:rsidRPr="002D1C03">
        <w:rPr>
          <w:rFonts w:ascii="Times New Roman" w:eastAsia="宋体" w:hAnsi="Times New Roman" w:cs="Times New Roman"/>
          <w:color w:val="FF0000"/>
          <w:sz w:val="24"/>
        </w:rPr>
        <w:t>2</w:t>
      </w:r>
      <w:r w:rsidRPr="002D1C03">
        <w:rPr>
          <w:rFonts w:ascii="Times New Roman" w:eastAsia="宋体" w:hAnsi="Times New Roman" w:cs="Times New Roman" w:hint="eastAsia"/>
          <w:color w:val="FF0000"/>
          <w:sz w:val="24"/>
        </w:rPr>
        <w:t>）《生活垃圾渗滤液处理技术规范》（</w:t>
      </w:r>
      <w:r w:rsidRPr="002D1C03">
        <w:rPr>
          <w:rFonts w:ascii="Times New Roman" w:eastAsia="宋体" w:hAnsi="Times New Roman" w:cs="Times New Roman"/>
          <w:color w:val="FF0000"/>
          <w:sz w:val="24"/>
        </w:rPr>
        <w:t>CJJ150-2010</w:t>
      </w:r>
      <w:r w:rsidRPr="002D1C03">
        <w:rPr>
          <w:rFonts w:ascii="Times New Roman" w:eastAsia="宋体" w:hAnsi="Times New Roman" w:cs="Times New Roman"/>
          <w:color w:val="FF0000"/>
          <w:sz w:val="24"/>
        </w:rPr>
        <w:t>）</w:t>
      </w:r>
      <w:r w:rsidR="004F47F5" w:rsidRPr="002D1C03">
        <w:rPr>
          <w:rFonts w:ascii="Times New Roman" w:eastAsia="宋体" w:hAnsi="Times New Roman" w:cs="Times New Roman"/>
          <w:color w:val="FF0000"/>
          <w:sz w:val="24"/>
        </w:rPr>
        <w:t>。</w:t>
      </w:r>
    </w:p>
    <w:p w14:paraId="49435FAC"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150" w:name="_Toc25281"/>
      <w:bookmarkStart w:id="151" w:name="_Toc31195"/>
      <w:bookmarkStart w:id="152" w:name="_Toc121411690"/>
      <w:r>
        <w:rPr>
          <w:rFonts w:ascii="Times New Roman" w:eastAsia="黑体" w:hAnsi="Times New Roman" w:cs="Times New Roman"/>
          <w:b w:val="0"/>
          <w:sz w:val="24"/>
        </w:rPr>
        <w:t>2.</w:t>
      </w:r>
      <w:bookmarkEnd w:id="111"/>
      <w:r>
        <w:rPr>
          <w:rFonts w:ascii="Times New Roman" w:eastAsia="黑体" w:hAnsi="Times New Roman" w:cs="Times New Roman"/>
          <w:b w:val="0"/>
          <w:sz w:val="24"/>
        </w:rPr>
        <w:t>1.5</w:t>
      </w:r>
      <w:r>
        <w:rPr>
          <w:rFonts w:ascii="Times New Roman" w:eastAsia="黑体" w:hAnsi="Times New Roman" w:cs="Times New Roman"/>
          <w:b w:val="0"/>
          <w:sz w:val="24"/>
        </w:rPr>
        <w:t>项目依据</w:t>
      </w:r>
      <w:bookmarkEnd w:id="150"/>
      <w:bookmarkEnd w:id="151"/>
      <w:bookmarkEnd w:id="152"/>
    </w:p>
    <w:p w14:paraId="38BA262C" w14:textId="77777777" w:rsidR="00D12939" w:rsidRDefault="004F47F5">
      <w:pPr>
        <w:spacing w:line="360" w:lineRule="auto"/>
        <w:ind w:firstLineChars="200" w:firstLine="480"/>
        <w:rPr>
          <w:rFonts w:ascii="Times New Roman" w:eastAsia="宋体" w:hAnsi="Times New Roman" w:cs="Times New Roman"/>
          <w:kern w:val="0"/>
          <w:sz w:val="24"/>
          <w:szCs w:val="24"/>
        </w:rPr>
      </w:pPr>
      <w:bookmarkStart w:id="153" w:name="_Toc240879413"/>
      <w:bookmarkStart w:id="154" w:name="_Toc476130113"/>
      <w:bookmarkStart w:id="155" w:name="_Toc9428"/>
      <w:bookmarkStart w:id="156" w:name="_Toc480180487"/>
      <w:r>
        <w:rPr>
          <w:rFonts w:ascii="宋体" w:eastAsia="宋体" w:cs="宋体" w:hint="eastAsia"/>
          <w:kern w:val="0"/>
          <w:sz w:val="24"/>
          <w:szCs w:val="24"/>
        </w:rPr>
        <w:t>（1）《</w:t>
      </w:r>
      <w:r>
        <w:rPr>
          <w:rFonts w:ascii="Times New Roman" w:eastAsia="宋体" w:hAnsi="Times New Roman" w:cs="Times New Roman" w:hint="eastAsia"/>
          <w:kern w:val="0"/>
          <w:sz w:val="24"/>
          <w:szCs w:val="24"/>
        </w:rPr>
        <w:t>项目环境影响评价委托书》</w:t>
      </w:r>
      <w:r>
        <w:rPr>
          <w:rFonts w:ascii="Times New Roman" w:eastAsia="宋体" w:hAnsi="Times New Roman" w:cs="Times New Roman"/>
          <w:kern w:val="0"/>
          <w:sz w:val="24"/>
          <w:szCs w:val="24"/>
        </w:rPr>
        <w:t>；</w:t>
      </w:r>
    </w:p>
    <w:p w14:paraId="246F47E4" w14:textId="0F9F8559" w:rsidR="00D12939" w:rsidRDefault="004F47F5">
      <w:pPr>
        <w:spacing w:line="360" w:lineRule="auto"/>
        <w:ind w:firstLineChars="200" w:firstLine="480"/>
        <w:rPr>
          <w:rFonts w:ascii="Times New Roman" w:eastAsia="宋体" w:hAnsi="Times New Roman" w:cs="Times New Roman"/>
          <w:kern w:val="0"/>
          <w:sz w:val="24"/>
          <w:szCs w:val="24"/>
        </w:rPr>
      </w:pPr>
      <w:r>
        <w:rPr>
          <w:rFonts w:ascii="宋体" w:eastAsia="宋体" w:cs="宋体" w:hint="eastAsia"/>
          <w:kern w:val="0"/>
          <w:sz w:val="24"/>
          <w:szCs w:val="24"/>
        </w:rPr>
        <w:t>（</w:t>
      </w:r>
      <w:r>
        <w:rPr>
          <w:rFonts w:ascii="宋体" w:eastAsia="宋体" w:cs="宋体"/>
          <w:kern w:val="0"/>
          <w:sz w:val="24"/>
          <w:szCs w:val="24"/>
        </w:rPr>
        <w:t>2</w:t>
      </w:r>
      <w:r>
        <w:rPr>
          <w:rFonts w:ascii="宋体" w:eastAsia="宋体" w:cs="宋体" w:hint="eastAsia"/>
          <w:kern w:val="0"/>
          <w:sz w:val="24"/>
          <w:szCs w:val="24"/>
        </w:rPr>
        <w:t>）</w:t>
      </w:r>
      <w:r>
        <w:rPr>
          <w:rFonts w:ascii="Times New Roman" w:eastAsia="宋体" w:hAnsi="Times New Roman" w:cs="Times New Roman" w:hint="eastAsia"/>
          <w:kern w:val="0"/>
          <w:sz w:val="24"/>
          <w:szCs w:val="24"/>
        </w:rPr>
        <w:t>《柞水县行政审批服务局关于柞水县固体废弃物综合处置场项目项目建议书的批复》（柞行审许发〔</w:t>
      </w:r>
      <w:r>
        <w:rPr>
          <w:rFonts w:ascii="Times New Roman" w:eastAsia="宋体" w:hAnsi="Times New Roman" w:cs="Times New Roman"/>
          <w:kern w:val="0"/>
          <w:sz w:val="24"/>
          <w:szCs w:val="24"/>
        </w:rPr>
        <w:t>2022</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 xml:space="preserve">196 </w:t>
      </w:r>
      <w:r>
        <w:rPr>
          <w:rFonts w:ascii="Times New Roman" w:eastAsia="宋体" w:hAnsi="Times New Roman" w:cs="Times New Roman"/>
          <w:kern w:val="0"/>
          <w:sz w:val="24"/>
          <w:szCs w:val="24"/>
        </w:rPr>
        <w:t>号）；</w:t>
      </w:r>
      <w:r>
        <w:rPr>
          <w:rFonts w:ascii="Times New Roman" w:eastAsia="宋体" w:hAnsi="Times New Roman" w:cs="Times New Roman"/>
          <w:kern w:val="0"/>
          <w:sz w:val="24"/>
          <w:szCs w:val="24"/>
        </w:rPr>
        <w:t xml:space="preserve"> </w:t>
      </w:r>
    </w:p>
    <w:p w14:paraId="5C25ABED" w14:textId="77777777" w:rsidR="00D12939" w:rsidRDefault="004F47F5">
      <w:pPr>
        <w:spacing w:line="360" w:lineRule="auto"/>
        <w:ind w:firstLineChars="200" w:firstLine="480"/>
        <w:rPr>
          <w:rFonts w:ascii="Times New Roman" w:eastAsia="宋体" w:hAnsi="Times New Roman" w:cs="Times New Roman"/>
          <w:kern w:val="0"/>
          <w:sz w:val="24"/>
          <w:szCs w:val="24"/>
        </w:rPr>
      </w:pPr>
      <w:r>
        <w:rPr>
          <w:rFonts w:ascii="宋体" w:eastAsia="宋体" w:cs="宋体" w:hint="eastAsia"/>
          <w:kern w:val="0"/>
          <w:sz w:val="24"/>
          <w:szCs w:val="24"/>
        </w:rPr>
        <w:t>（</w:t>
      </w:r>
      <w:r>
        <w:rPr>
          <w:rFonts w:ascii="宋体" w:eastAsia="宋体" w:cs="宋体"/>
          <w:kern w:val="0"/>
          <w:sz w:val="24"/>
          <w:szCs w:val="24"/>
        </w:rPr>
        <w:t>3</w:t>
      </w:r>
      <w:r>
        <w:rPr>
          <w:rFonts w:ascii="宋体" w:eastAsia="宋体" w:cs="宋体" w:hint="eastAsia"/>
          <w:kern w:val="0"/>
          <w:sz w:val="24"/>
          <w:szCs w:val="24"/>
        </w:rPr>
        <w:t>）</w:t>
      </w:r>
      <w:r>
        <w:rPr>
          <w:rFonts w:ascii="Times New Roman" w:eastAsia="宋体" w:hAnsi="Times New Roman" w:cs="Times New Roman"/>
          <w:kern w:val="0"/>
          <w:sz w:val="24"/>
          <w:szCs w:val="24"/>
        </w:rPr>
        <w:t>《</w:t>
      </w:r>
      <w:r>
        <w:rPr>
          <w:rFonts w:ascii="Times New Roman" w:eastAsia="宋体" w:hAnsi="Times New Roman" w:cs="Times New Roman" w:hint="eastAsia"/>
          <w:kern w:val="0"/>
          <w:sz w:val="24"/>
          <w:szCs w:val="24"/>
        </w:rPr>
        <w:t>柞水县固体废弃物综合处置场项目</w:t>
      </w:r>
      <w:r>
        <w:rPr>
          <w:rFonts w:ascii="Times New Roman" w:eastAsia="宋体" w:hAnsi="Times New Roman" w:cs="Times New Roman"/>
          <w:kern w:val="0"/>
          <w:sz w:val="24"/>
          <w:szCs w:val="24"/>
        </w:rPr>
        <w:t>可行性研究报告》；</w:t>
      </w:r>
    </w:p>
    <w:p w14:paraId="2C41827C" w14:textId="77777777" w:rsidR="00D12939" w:rsidRDefault="004F47F5">
      <w:pPr>
        <w:spacing w:line="360" w:lineRule="auto"/>
        <w:ind w:firstLineChars="200" w:firstLine="480"/>
        <w:rPr>
          <w:rFonts w:ascii="Times New Roman" w:eastAsia="宋体" w:hAnsi="Times New Roman" w:cs="Times New Roman"/>
          <w:kern w:val="0"/>
          <w:sz w:val="24"/>
          <w:szCs w:val="24"/>
        </w:rPr>
      </w:pPr>
      <w:r>
        <w:rPr>
          <w:rFonts w:ascii="宋体" w:eastAsia="宋体" w:cs="宋体" w:hint="eastAsia"/>
          <w:kern w:val="0"/>
          <w:sz w:val="24"/>
          <w:szCs w:val="24"/>
        </w:rPr>
        <w:t>（</w:t>
      </w:r>
      <w:r>
        <w:rPr>
          <w:rFonts w:ascii="宋体" w:eastAsia="宋体" w:cs="宋体"/>
          <w:kern w:val="0"/>
          <w:sz w:val="24"/>
          <w:szCs w:val="24"/>
        </w:rPr>
        <w:t>4</w:t>
      </w:r>
      <w:r>
        <w:rPr>
          <w:rFonts w:ascii="宋体" w:eastAsia="宋体" w:cs="宋体" w:hint="eastAsia"/>
          <w:kern w:val="0"/>
          <w:sz w:val="24"/>
          <w:szCs w:val="24"/>
        </w:rPr>
        <w:t>）柞水县城市管理局</w:t>
      </w:r>
      <w:r>
        <w:rPr>
          <w:rFonts w:ascii="Times New Roman" w:eastAsia="宋体" w:hAnsi="Times New Roman" w:cs="Times New Roman"/>
          <w:kern w:val="0"/>
          <w:sz w:val="24"/>
          <w:szCs w:val="24"/>
        </w:rPr>
        <w:t>提供的其他资料。</w:t>
      </w:r>
    </w:p>
    <w:p w14:paraId="68378B49" w14:textId="77777777" w:rsidR="00D12939" w:rsidRDefault="004F47F5">
      <w:pPr>
        <w:pStyle w:val="2"/>
        <w:spacing w:line="360" w:lineRule="auto"/>
        <w:ind w:firstLineChars="165" w:firstLine="462"/>
        <w:rPr>
          <w:sz w:val="28"/>
        </w:rPr>
      </w:pPr>
      <w:bookmarkStart w:id="157" w:name="_Toc15472"/>
      <w:bookmarkStart w:id="158" w:name="_Toc12588"/>
      <w:bookmarkStart w:id="159" w:name="_Toc6649"/>
      <w:bookmarkStart w:id="160" w:name="_Toc22744222"/>
      <w:bookmarkStart w:id="161" w:name="_Toc29959"/>
      <w:bookmarkStart w:id="162" w:name="_Toc24941"/>
      <w:bookmarkStart w:id="163" w:name="_Toc26101"/>
      <w:bookmarkStart w:id="164" w:name="_Toc1989"/>
      <w:bookmarkStart w:id="165" w:name="_Toc19473"/>
      <w:bookmarkStart w:id="166" w:name="_Toc18218"/>
      <w:bookmarkStart w:id="167" w:name="_Toc20121"/>
      <w:bookmarkStart w:id="168" w:name="_Toc5291"/>
      <w:bookmarkStart w:id="169" w:name="_Toc19163"/>
      <w:bookmarkStart w:id="170" w:name="_Toc7913"/>
      <w:bookmarkStart w:id="171" w:name="_Toc121411691"/>
      <w:r>
        <w:rPr>
          <w:sz w:val="28"/>
        </w:rPr>
        <w:t>2.2</w:t>
      </w:r>
      <w:bookmarkEnd w:id="112"/>
      <w:bookmarkEnd w:id="113"/>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rPr>
          <w:rFonts w:hint="eastAsia"/>
          <w:sz w:val="28"/>
        </w:rPr>
        <w:t>环境影响识别及评价因子</w:t>
      </w:r>
      <w:bookmarkEnd w:id="171"/>
    </w:p>
    <w:p w14:paraId="35E77139"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172" w:name="_Toc467480052"/>
      <w:bookmarkStart w:id="173" w:name="_Toc467467601"/>
      <w:bookmarkStart w:id="174" w:name="_Toc465846378"/>
      <w:bookmarkStart w:id="175" w:name="_Toc497182423"/>
      <w:bookmarkStart w:id="176" w:name="_Toc467468523"/>
      <w:bookmarkStart w:id="177" w:name="_Toc13812"/>
      <w:bookmarkStart w:id="178" w:name="_Toc15210"/>
      <w:bookmarkStart w:id="179" w:name="_Toc121411692"/>
      <w:r>
        <w:rPr>
          <w:rFonts w:ascii="Times New Roman" w:eastAsia="黑体" w:hAnsi="Times New Roman" w:cs="Times New Roman"/>
          <w:b w:val="0"/>
          <w:sz w:val="24"/>
        </w:rPr>
        <w:t>2.2.1</w:t>
      </w:r>
      <w:bookmarkEnd w:id="172"/>
      <w:bookmarkEnd w:id="173"/>
      <w:bookmarkEnd w:id="174"/>
      <w:bookmarkEnd w:id="175"/>
      <w:bookmarkEnd w:id="176"/>
      <w:r>
        <w:rPr>
          <w:rFonts w:ascii="Times New Roman" w:eastAsia="黑体" w:hAnsi="Times New Roman" w:cs="Times New Roman"/>
          <w:b w:val="0"/>
          <w:sz w:val="24"/>
        </w:rPr>
        <w:t>环境影响识别</w:t>
      </w:r>
      <w:bookmarkEnd w:id="177"/>
      <w:bookmarkEnd w:id="178"/>
      <w:bookmarkEnd w:id="179"/>
    </w:p>
    <w:p w14:paraId="0AEF5B4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项目施工期主要影响为施工过程地表平整、场地建设等对土壤、地表植被的破坏，施工过程的扬尘、噪声、废水排放对环境空气、声环境、水环境产生的影响。</w:t>
      </w:r>
    </w:p>
    <w:p w14:paraId="1B8E1FF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项目运营期主要影响为生活垃圾填埋区产生的</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等大气污染物对环境空气的影响；填埋区渗滤液如果处理不当或发生泄漏会对地表水、地下水环境造成污染影响；运输车辆、设备噪声可能对区域声环境产生一定影响。</w:t>
      </w:r>
    </w:p>
    <w:p w14:paraId="366C364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项目施工期和运营期环境影响识别见表</w:t>
      </w:r>
      <w:r>
        <w:rPr>
          <w:rFonts w:ascii="Times New Roman" w:eastAsia="宋体" w:hAnsi="Times New Roman" w:cs="Times New Roman"/>
          <w:sz w:val="24"/>
        </w:rPr>
        <w:t>2.2-1</w:t>
      </w:r>
      <w:r>
        <w:rPr>
          <w:rFonts w:ascii="Times New Roman" w:eastAsia="宋体" w:hAnsi="Times New Roman" w:cs="Times New Roman"/>
          <w:sz w:val="24"/>
        </w:rPr>
        <w:t>。</w:t>
      </w:r>
    </w:p>
    <w:p w14:paraId="706AC71C" w14:textId="77777777" w:rsidR="00D12939" w:rsidRDefault="004F47F5">
      <w:pPr>
        <w:jc w:val="center"/>
        <w:rPr>
          <w:rFonts w:ascii="黑体" w:eastAsia="黑体" w:hAnsi="黑体"/>
          <w:bCs/>
          <w:sz w:val="24"/>
          <w:lang w:val="zh-CN"/>
        </w:rPr>
      </w:pPr>
      <w:r>
        <w:rPr>
          <w:rFonts w:ascii="黑体" w:eastAsia="黑体" w:hAnsi="黑体"/>
          <w:sz w:val="24"/>
        </w:rPr>
        <w:t xml:space="preserve">表2.2-1    </w:t>
      </w:r>
      <w:r>
        <w:rPr>
          <w:rFonts w:ascii="黑体" w:eastAsia="黑体" w:hAnsi="黑体"/>
          <w:bCs/>
          <w:sz w:val="24"/>
          <w:lang w:val="zh-CN"/>
        </w:rPr>
        <w:t>建设项目环境影响因素识别表</w:t>
      </w:r>
    </w:p>
    <w:p w14:paraId="4B657967" w14:textId="77777777" w:rsidR="00D12939" w:rsidRDefault="00D12939">
      <w:pPr>
        <w:ind w:firstLine="462"/>
        <w:rPr>
          <w:lang w:val="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12"/>
        <w:gridCol w:w="1367"/>
        <w:gridCol w:w="1028"/>
        <w:gridCol w:w="876"/>
        <w:gridCol w:w="876"/>
        <w:gridCol w:w="876"/>
        <w:gridCol w:w="695"/>
        <w:gridCol w:w="876"/>
        <w:gridCol w:w="692"/>
        <w:gridCol w:w="876"/>
        <w:gridCol w:w="704"/>
      </w:tblGrid>
      <w:tr w:rsidR="00D12939" w14:paraId="06ED53ED" w14:textId="77777777">
        <w:trPr>
          <w:cantSplit/>
          <w:trHeight w:val="20"/>
          <w:tblHeader/>
          <w:jc w:val="center"/>
        </w:trPr>
        <w:tc>
          <w:tcPr>
            <w:tcW w:w="712" w:type="dxa"/>
            <w:vMerge w:val="restart"/>
            <w:vAlign w:val="center"/>
          </w:tcPr>
          <w:p w14:paraId="0EEF448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lastRenderedPageBreak/>
              <w:t>时期</w:t>
            </w:r>
          </w:p>
        </w:tc>
        <w:tc>
          <w:tcPr>
            <w:tcW w:w="1367" w:type="dxa"/>
            <w:vMerge w:val="restart"/>
            <w:vAlign w:val="center"/>
          </w:tcPr>
          <w:p w14:paraId="0C25B0C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影响因素</w:t>
            </w:r>
          </w:p>
        </w:tc>
        <w:tc>
          <w:tcPr>
            <w:tcW w:w="7498" w:type="dxa"/>
            <w:gridSpan w:val="9"/>
            <w:vAlign w:val="center"/>
          </w:tcPr>
          <w:p w14:paraId="1CFBE78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环境要素</w:t>
            </w:r>
          </w:p>
        </w:tc>
      </w:tr>
      <w:tr w:rsidR="00D12939" w14:paraId="74F882E7" w14:textId="77777777">
        <w:trPr>
          <w:cantSplit/>
          <w:trHeight w:val="20"/>
          <w:tblHeader/>
          <w:jc w:val="center"/>
        </w:trPr>
        <w:tc>
          <w:tcPr>
            <w:tcW w:w="712" w:type="dxa"/>
            <w:vMerge/>
            <w:vAlign w:val="center"/>
          </w:tcPr>
          <w:p w14:paraId="59B95B93" w14:textId="77777777" w:rsidR="00D12939" w:rsidRDefault="00D12939">
            <w:pPr>
              <w:pStyle w:val="affffd"/>
              <w:spacing w:line="240" w:lineRule="auto"/>
              <w:rPr>
                <w:rFonts w:ascii="Times New Roman" w:eastAsia="宋体" w:hAnsi="Times New Roman" w:cs="Times New Roman"/>
              </w:rPr>
            </w:pPr>
          </w:p>
        </w:tc>
        <w:tc>
          <w:tcPr>
            <w:tcW w:w="1367" w:type="dxa"/>
            <w:vMerge/>
            <w:vAlign w:val="center"/>
          </w:tcPr>
          <w:p w14:paraId="36FB0440" w14:textId="77777777" w:rsidR="00D12939" w:rsidRDefault="00D12939">
            <w:pPr>
              <w:pStyle w:val="affffd"/>
              <w:spacing w:line="240" w:lineRule="auto"/>
              <w:rPr>
                <w:rFonts w:ascii="Times New Roman" w:eastAsia="宋体" w:hAnsi="Times New Roman" w:cs="Times New Roman"/>
              </w:rPr>
            </w:pPr>
          </w:p>
        </w:tc>
        <w:tc>
          <w:tcPr>
            <w:tcW w:w="1028" w:type="dxa"/>
            <w:vAlign w:val="center"/>
          </w:tcPr>
          <w:p w14:paraId="56DEC9A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环境空气</w:t>
            </w:r>
          </w:p>
        </w:tc>
        <w:tc>
          <w:tcPr>
            <w:tcW w:w="876" w:type="dxa"/>
            <w:vAlign w:val="center"/>
          </w:tcPr>
          <w:p w14:paraId="3BEB645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地表水</w:t>
            </w:r>
          </w:p>
        </w:tc>
        <w:tc>
          <w:tcPr>
            <w:tcW w:w="876" w:type="dxa"/>
            <w:vAlign w:val="center"/>
          </w:tcPr>
          <w:p w14:paraId="507602F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地下水</w:t>
            </w:r>
          </w:p>
        </w:tc>
        <w:tc>
          <w:tcPr>
            <w:tcW w:w="876" w:type="dxa"/>
            <w:vAlign w:val="center"/>
          </w:tcPr>
          <w:p w14:paraId="5A5C02D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声环境</w:t>
            </w:r>
          </w:p>
        </w:tc>
        <w:tc>
          <w:tcPr>
            <w:tcW w:w="695" w:type="dxa"/>
            <w:vAlign w:val="center"/>
          </w:tcPr>
          <w:p w14:paraId="16E5AE6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振动</w:t>
            </w:r>
          </w:p>
        </w:tc>
        <w:tc>
          <w:tcPr>
            <w:tcW w:w="876" w:type="dxa"/>
            <w:vAlign w:val="center"/>
          </w:tcPr>
          <w:p w14:paraId="0461478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生物</w:t>
            </w:r>
          </w:p>
        </w:tc>
        <w:tc>
          <w:tcPr>
            <w:tcW w:w="692" w:type="dxa"/>
            <w:vAlign w:val="center"/>
          </w:tcPr>
          <w:p w14:paraId="23025EF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土壤</w:t>
            </w:r>
          </w:p>
        </w:tc>
        <w:tc>
          <w:tcPr>
            <w:tcW w:w="876" w:type="dxa"/>
            <w:vAlign w:val="center"/>
          </w:tcPr>
          <w:p w14:paraId="2D01D77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放射性</w:t>
            </w:r>
          </w:p>
        </w:tc>
        <w:tc>
          <w:tcPr>
            <w:tcW w:w="699" w:type="dxa"/>
            <w:vAlign w:val="center"/>
          </w:tcPr>
          <w:p w14:paraId="3AB2B5E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电磁</w:t>
            </w:r>
          </w:p>
        </w:tc>
      </w:tr>
      <w:tr w:rsidR="00D12939" w14:paraId="10FCF574" w14:textId="77777777">
        <w:trPr>
          <w:cantSplit/>
          <w:trHeight w:val="20"/>
          <w:tblHeader/>
          <w:jc w:val="center"/>
        </w:trPr>
        <w:tc>
          <w:tcPr>
            <w:tcW w:w="712" w:type="dxa"/>
            <w:vMerge w:val="restart"/>
            <w:vAlign w:val="center"/>
          </w:tcPr>
          <w:p w14:paraId="7CC2D60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施工</w:t>
            </w:r>
          </w:p>
          <w:p w14:paraId="599972A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期</w:t>
            </w:r>
          </w:p>
        </w:tc>
        <w:tc>
          <w:tcPr>
            <w:tcW w:w="1367" w:type="dxa"/>
            <w:vAlign w:val="center"/>
          </w:tcPr>
          <w:p w14:paraId="6ECF6B3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占地</w:t>
            </w:r>
          </w:p>
        </w:tc>
        <w:tc>
          <w:tcPr>
            <w:tcW w:w="1028" w:type="dxa"/>
            <w:vAlign w:val="center"/>
          </w:tcPr>
          <w:p w14:paraId="2651304B"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13B664EC"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574A63A3"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5BDD3D01" w14:textId="77777777" w:rsidR="00D12939" w:rsidRDefault="00D12939">
            <w:pPr>
              <w:pStyle w:val="affffd"/>
              <w:spacing w:line="240" w:lineRule="auto"/>
              <w:rPr>
                <w:rFonts w:ascii="Times New Roman" w:eastAsia="宋体" w:hAnsi="Times New Roman" w:cs="Times New Roman"/>
              </w:rPr>
            </w:pPr>
          </w:p>
        </w:tc>
        <w:tc>
          <w:tcPr>
            <w:tcW w:w="695" w:type="dxa"/>
            <w:vAlign w:val="center"/>
          </w:tcPr>
          <w:p w14:paraId="517A3291"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57F2D16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w:t>
            </w:r>
            <w:r>
              <w:rPr>
                <w:rFonts w:ascii="Cambria Math" w:eastAsia="宋体" w:hAnsi="Cambria Math" w:cs="Cambria Math"/>
              </w:rPr>
              <w:t>△</w:t>
            </w:r>
            <w:r>
              <w:rPr>
                <w:rFonts w:ascii="Times New Roman" w:eastAsia="宋体" w:hAnsi="Times New Roman" w:cs="Times New Roman"/>
              </w:rPr>
              <w:t>≠</w:t>
            </w:r>
          </w:p>
        </w:tc>
        <w:tc>
          <w:tcPr>
            <w:tcW w:w="692" w:type="dxa"/>
            <w:vAlign w:val="center"/>
          </w:tcPr>
          <w:p w14:paraId="1957FF0A"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5FDFD2F6"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28AD0747" w14:textId="77777777" w:rsidR="00D12939" w:rsidRDefault="00D12939">
            <w:pPr>
              <w:pStyle w:val="affffd"/>
              <w:spacing w:line="240" w:lineRule="auto"/>
              <w:rPr>
                <w:rFonts w:ascii="Times New Roman" w:eastAsia="宋体" w:hAnsi="Times New Roman" w:cs="Times New Roman"/>
              </w:rPr>
            </w:pPr>
          </w:p>
        </w:tc>
      </w:tr>
      <w:tr w:rsidR="00D12939" w14:paraId="30DD63D4" w14:textId="77777777">
        <w:trPr>
          <w:cantSplit/>
          <w:trHeight w:val="20"/>
          <w:tblHeader/>
          <w:jc w:val="center"/>
        </w:trPr>
        <w:tc>
          <w:tcPr>
            <w:tcW w:w="712" w:type="dxa"/>
            <w:vMerge/>
            <w:vAlign w:val="center"/>
          </w:tcPr>
          <w:p w14:paraId="536121A1" w14:textId="77777777" w:rsidR="00D12939" w:rsidRDefault="00D12939">
            <w:pPr>
              <w:pStyle w:val="affffd"/>
              <w:spacing w:line="240" w:lineRule="auto"/>
              <w:rPr>
                <w:rFonts w:ascii="Times New Roman" w:eastAsia="宋体" w:hAnsi="Times New Roman" w:cs="Times New Roman"/>
              </w:rPr>
            </w:pPr>
          </w:p>
        </w:tc>
        <w:tc>
          <w:tcPr>
            <w:tcW w:w="1367" w:type="dxa"/>
            <w:vAlign w:val="center"/>
          </w:tcPr>
          <w:p w14:paraId="50540A0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地面开挖</w:t>
            </w:r>
          </w:p>
        </w:tc>
        <w:tc>
          <w:tcPr>
            <w:tcW w:w="1028" w:type="dxa"/>
            <w:vAlign w:val="center"/>
          </w:tcPr>
          <w:p w14:paraId="4312C2D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bCs/>
              </w:rPr>
              <w:t>△</w:t>
            </w:r>
            <w:r>
              <w:rPr>
                <w:rFonts w:ascii="Times New Roman" w:eastAsia="宋体" w:hAnsi="Times New Roman" w:cs="Times New Roman"/>
                <w:bCs/>
              </w:rPr>
              <w:t>=</w:t>
            </w:r>
          </w:p>
        </w:tc>
        <w:tc>
          <w:tcPr>
            <w:tcW w:w="876" w:type="dxa"/>
            <w:vAlign w:val="center"/>
          </w:tcPr>
          <w:p w14:paraId="41CA2A7E"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03CD02F0"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6AF6588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rPr>
              <w:t>△</w:t>
            </w:r>
            <w:r>
              <w:rPr>
                <w:rFonts w:ascii="Times New Roman" w:eastAsia="宋体" w:hAnsi="Times New Roman" w:cs="Times New Roman"/>
              </w:rPr>
              <w:t>=</w:t>
            </w:r>
          </w:p>
        </w:tc>
        <w:tc>
          <w:tcPr>
            <w:tcW w:w="695" w:type="dxa"/>
            <w:vAlign w:val="center"/>
          </w:tcPr>
          <w:p w14:paraId="07AEF46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rPr>
              <w:t>△</w:t>
            </w:r>
            <w:r>
              <w:rPr>
                <w:rFonts w:ascii="Times New Roman" w:eastAsia="宋体" w:hAnsi="Times New Roman" w:cs="Times New Roman"/>
              </w:rPr>
              <w:t>=</w:t>
            </w:r>
          </w:p>
        </w:tc>
        <w:tc>
          <w:tcPr>
            <w:tcW w:w="876" w:type="dxa"/>
            <w:vAlign w:val="center"/>
          </w:tcPr>
          <w:p w14:paraId="5DE2161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bCs/>
              </w:rPr>
              <w:t>△</w:t>
            </w:r>
            <w:r>
              <w:rPr>
                <w:rFonts w:ascii="Times New Roman" w:eastAsia="宋体" w:hAnsi="Times New Roman" w:cs="Times New Roman"/>
                <w:bCs/>
              </w:rPr>
              <w:t>=</w:t>
            </w:r>
          </w:p>
        </w:tc>
        <w:tc>
          <w:tcPr>
            <w:tcW w:w="692" w:type="dxa"/>
            <w:vAlign w:val="center"/>
          </w:tcPr>
          <w:p w14:paraId="4575421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w:t>
            </w:r>
            <w:r>
              <w:rPr>
                <w:rFonts w:ascii="Cambria Math" w:eastAsia="宋体" w:hAnsi="Cambria Math" w:cs="Cambria Math"/>
              </w:rPr>
              <w:t>△</w:t>
            </w:r>
            <w:r>
              <w:rPr>
                <w:rFonts w:ascii="Times New Roman" w:eastAsia="宋体" w:hAnsi="Times New Roman" w:cs="Times New Roman"/>
              </w:rPr>
              <w:t>≠</w:t>
            </w:r>
          </w:p>
        </w:tc>
        <w:tc>
          <w:tcPr>
            <w:tcW w:w="876" w:type="dxa"/>
            <w:vAlign w:val="center"/>
          </w:tcPr>
          <w:p w14:paraId="3E7499B6"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1A39A78C" w14:textId="77777777" w:rsidR="00D12939" w:rsidRDefault="00D12939">
            <w:pPr>
              <w:pStyle w:val="affffd"/>
              <w:spacing w:line="240" w:lineRule="auto"/>
              <w:rPr>
                <w:rFonts w:ascii="Times New Roman" w:eastAsia="宋体" w:hAnsi="Times New Roman" w:cs="Times New Roman"/>
              </w:rPr>
            </w:pPr>
          </w:p>
        </w:tc>
      </w:tr>
      <w:tr w:rsidR="00D12939" w14:paraId="025E6CC8" w14:textId="77777777">
        <w:trPr>
          <w:cantSplit/>
          <w:trHeight w:val="20"/>
          <w:tblHeader/>
          <w:jc w:val="center"/>
        </w:trPr>
        <w:tc>
          <w:tcPr>
            <w:tcW w:w="712" w:type="dxa"/>
            <w:vMerge/>
            <w:vAlign w:val="center"/>
          </w:tcPr>
          <w:p w14:paraId="384B77CF" w14:textId="77777777" w:rsidR="00D12939" w:rsidRDefault="00D12939">
            <w:pPr>
              <w:pStyle w:val="affffd"/>
              <w:spacing w:line="240" w:lineRule="auto"/>
              <w:rPr>
                <w:rFonts w:ascii="Times New Roman" w:eastAsia="宋体" w:hAnsi="Times New Roman" w:cs="Times New Roman"/>
              </w:rPr>
            </w:pPr>
          </w:p>
        </w:tc>
        <w:tc>
          <w:tcPr>
            <w:tcW w:w="1367" w:type="dxa"/>
            <w:vAlign w:val="center"/>
          </w:tcPr>
          <w:p w14:paraId="4240181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施工扬尘</w:t>
            </w:r>
          </w:p>
        </w:tc>
        <w:tc>
          <w:tcPr>
            <w:tcW w:w="1028" w:type="dxa"/>
            <w:vAlign w:val="center"/>
          </w:tcPr>
          <w:p w14:paraId="2FE906A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w:t>
            </w:r>
            <w:r>
              <w:rPr>
                <w:rFonts w:ascii="Cambria Math" w:eastAsia="宋体" w:hAnsi="Cambria Math" w:cs="Cambria Math"/>
              </w:rPr>
              <w:t>△</w:t>
            </w:r>
            <w:r>
              <w:rPr>
                <w:rFonts w:ascii="Times New Roman" w:eastAsia="宋体" w:hAnsi="Times New Roman" w:cs="Times New Roman"/>
              </w:rPr>
              <w:t>=</w:t>
            </w:r>
          </w:p>
        </w:tc>
        <w:tc>
          <w:tcPr>
            <w:tcW w:w="876" w:type="dxa"/>
            <w:vAlign w:val="center"/>
          </w:tcPr>
          <w:p w14:paraId="19B19F92"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4E436886"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0B0DB746" w14:textId="77777777" w:rsidR="00D12939" w:rsidRDefault="00D12939">
            <w:pPr>
              <w:pStyle w:val="affffd"/>
              <w:spacing w:line="240" w:lineRule="auto"/>
              <w:rPr>
                <w:rFonts w:ascii="Times New Roman" w:eastAsia="宋体" w:hAnsi="Times New Roman" w:cs="Times New Roman"/>
              </w:rPr>
            </w:pPr>
          </w:p>
        </w:tc>
        <w:tc>
          <w:tcPr>
            <w:tcW w:w="695" w:type="dxa"/>
            <w:vAlign w:val="center"/>
          </w:tcPr>
          <w:p w14:paraId="283C9CB2"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38542F3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rPr>
              <w:t>△</w:t>
            </w:r>
            <w:r>
              <w:rPr>
                <w:rFonts w:ascii="Times New Roman" w:eastAsia="宋体" w:hAnsi="Times New Roman" w:cs="Times New Roman"/>
              </w:rPr>
              <w:t>=</w:t>
            </w:r>
          </w:p>
        </w:tc>
        <w:tc>
          <w:tcPr>
            <w:tcW w:w="692" w:type="dxa"/>
            <w:vAlign w:val="center"/>
          </w:tcPr>
          <w:p w14:paraId="10A3D63B"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785E3DF7"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527C3732" w14:textId="77777777" w:rsidR="00D12939" w:rsidRDefault="00D12939">
            <w:pPr>
              <w:pStyle w:val="affffd"/>
              <w:spacing w:line="240" w:lineRule="auto"/>
              <w:rPr>
                <w:rFonts w:ascii="Times New Roman" w:eastAsia="宋体" w:hAnsi="Times New Roman" w:cs="Times New Roman"/>
              </w:rPr>
            </w:pPr>
          </w:p>
        </w:tc>
      </w:tr>
      <w:tr w:rsidR="00D12939" w14:paraId="1CAA35C8" w14:textId="77777777">
        <w:trPr>
          <w:cantSplit/>
          <w:trHeight w:val="20"/>
          <w:tblHeader/>
          <w:jc w:val="center"/>
        </w:trPr>
        <w:tc>
          <w:tcPr>
            <w:tcW w:w="712" w:type="dxa"/>
            <w:vMerge/>
            <w:vAlign w:val="center"/>
          </w:tcPr>
          <w:p w14:paraId="7B7FF28B" w14:textId="77777777" w:rsidR="00D12939" w:rsidRDefault="00D12939">
            <w:pPr>
              <w:pStyle w:val="affffd"/>
              <w:spacing w:line="240" w:lineRule="auto"/>
              <w:rPr>
                <w:rFonts w:ascii="Times New Roman" w:eastAsia="宋体" w:hAnsi="Times New Roman" w:cs="Times New Roman"/>
              </w:rPr>
            </w:pPr>
          </w:p>
        </w:tc>
        <w:tc>
          <w:tcPr>
            <w:tcW w:w="1367" w:type="dxa"/>
            <w:vAlign w:val="center"/>
          </w:tcPr>
          <w:p w14:paraId="7688C00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施工废水</w:t>
            </w:r>
          </w:p>
        </w:tc>
        <w:tc>
          <w:tcPr>
            <w:tcW w:w="1028" w:type="dxa"/>
            <w:vAlign w:val="center"/>
          </w:tcPr>
          <w:p w14:paraId="773C7F5F"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66EF58D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rPr>
              <w:t>△</w:t>
            </w:r>
            <w:r>
              <w:rPr>
                <w:rFonts w:ascii="Times New Roman" w:eastAsia="宋体" w:hAnsi="Times New Roman" w:cs="Times New Roman"/>
              </w:rPr>
              <w:t>=</w:t>
            </w:r>
          </w:p>
        </w:tc>
        <w:tc>
          <w:tcPr>
            <w:tcW w:w="876" w:type="dxa"/>
            <w:vAlign w:val="center"/>
          </w:tcPr>
          <w:p w14:paraId="072F4D2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rPr>
              <w:t>△</w:t>
            </w:r>
            <w:r>
              <w:rPr>
                <w:rFonts w:ascii="Times New Roman" w:eastAsia="宋体" w:hAnsi="Times New Roman" w:cs="Times New Roman"/>
              </w:rPr>
              <w:t>=</w:t>
            </w:r>
          </w:p>
        </w:tc>
        <w:tc>
          <w:tcPr>
            <w:tcW w:w="876" w:type="dxa"/>
            <w:vAlign w:val="center"/>
          </w:tcPr>
          <w:p w14:paraId="3CAEA07D" w14:textId="77777777" w:rsidR="00D12939" w:rsidRDefault="00D12939">
            <w:pPr>
              <w:pStyle w:val="affffd"/>
              <w:spacing w:line="240" w:lineRule="auto"/>
              <w:rPr>
                <w:rFonts w:ascii="Times New Roman" w:eastAsia="宋体" w:hAnsi="Times New Roman" w:cs="Times New Roman"/>
              </w:rPr>
            </w:pPr>
          </w:p>
        </w:tc>
        <w:tc>
          <w:tcPr>
            <w:tcW w:w="695" w:type="dxa"/>
            <w:vAlign w:val="center"/>
          </w:tcPr>
          <w:p w14:paraId="124FA96A"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1522FE5C" w14:textId="77777777" w:rsidR="00D12939" w:rsidRDefault="00D12939">
            <w:pPr>
              <w:pStyle w:val="affffd"/>
              <w:spacing w:line="240" w:lineRule="auto"/>
              <w:rPr>
                <w:rFonts w:ascii="Times New Roman" w:eastAsia="宋体" w:hAnsi="Times New Roman" w:cs="Times New Roman"/>
              </w:rPr>
            </w:pPr>
          </w:p>
        </w:tc>
        <w:tc>
          <w:tcPr>
            <w:tcW w:w="692" w:type="dxa"/>
            <w:vAlign w:val="center"/>
          </w:tcPr>
          <w:p w14:paraId="7A84C165"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51FC45D0"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560F1BCC" w14:textId="77777777" w:rsidR="00D12939" w:rsidRDefault="00D12939">
            <w:pPr>
              <w:pStyle w:val="affffd"/>
              <w:spacing w:line="240" w:lineRule="auto"/>
              <w:rPr>
                <w:rFonts w:ascii="Times New Roman" w:eastAsia="宋体" w:hAnsi="Times New Roman" w:cs="Times New Roman"/>
              </w:rPr>
            </w:pPr>
          </w:p>
        </w:tc>
      </w:tr>
      <w:tr w:rsidR="00D12939" w14:paraId="3BE5EE1E" w14:textId="77777777">
        <w:trPr>
          <w:cantSplit/>
          <w:trHeight w:val="20"/>
          <w:tblHeader/>
          <w:jc w:val="center"/>
        </w:trPr>
        <w:tc>
          <w:tcPr>
            <w:tcW w:w="712" w:type="dxa"/>
            <w:vMerge/>
            <w:vAlign w:val="center"/>
          </w:tcPr>
          <w:p w14:paraId="48DDF6DF" w14:textId="77777777" w:rsidR="00D12939" w:rsidRDefault="00D12939">
            <w:pPr>
              <w:pStyle w:val="affffd"/>
              <w:spacing w:line="240" w:lineRule="auto"/>
              <w:rPr>
                <w:rFonts w:ascii="Times New Roman" w:eastAsia="宋体" w:hAnsi="Times New Roman" w:cs="Times New Roman"/>
              </w:rPr>
            </w:pPr>
          </w:p>
        </w:tc>
        <w:tc>
          <w:tcPr>
            <w:tcW w:w="1367" w:type="dxa"/>
            <w:vAlign w:val="center"/>
          </w:tcPr>
          <w:p w14:paraId="0654B23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施工噪声</w:t>
            </w:r>
          </w:p>
        </w:tc>
        <w:tc>
          <w:tcPr>
            <w:tcW w:w="1028" w:type="dxa"/>
            <w:vAlign w:val="center"/>
          </w:tcPr>
          <w:p w14:paraId="7A459C5A"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5B8C279F"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2AD8F394"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60052F0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w:t>
            </w:r>
            <w:r>
              <w:rPr>
                <w:rFonts w:ascii="Cambria Math" w:eastAsia="宋体" w:hAnsi="Cambria Math" w:cs="Cambria Math"/>
              </w:rPr>
              <w:t>△</w:t>
            </w:r>
            <w:r>
              <w:rPr>
                <w:rFonts w:ascii="Times New Roman" w:eastAsia="宋体" w:hAnsi="Times New Roman" w:cs="Times New Roman"/>
              </w:rPr>
              <w:t>=</w:t>
            </w:r>
          </w:p>
        </w:tc>
        <w:tc>
          <w:tcPr>
            <w:tcW w:w="695" w:type="dxa"/>
            <w:vAlign w:val="center"/>
          </w:tcPr>
          <w:p w14:paraId="41EB386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rPr>
              <w:t>△</w:t>
            </w:r>
            <w:r>
              <w:rPr>
                <w:rFonts w:ascii="Times New Roman" w:eastAsia="宋体" w:hAnsi="Times New Roman" w:cs="Times New Roman"/>
              </w:rPr>
              <w:t>=</w:t>
            </w:r>
          </w:p>
        </w:tc>
        <w:tc>
          <w:tcPr>
            <w:tcW w:w="876" w:type="dxa"/>
            <w:vAlign w:val="center"/>
          </w:tcPr>
          <w:p w14:paraId="77E08F9A" w14:textId="77777777" w:rsidR="00D12939" w:rsidRDefault="00D12939">
            <w:pPr>
              <w:pStyle w:val="affffd"/>
              <w:spacing w:line="240" w:lineRule="auto"/>
              <w:rPr>
                <w:rFonts w:ascii="Times New Roman" w:eastAsia="宋体" w:hAnsi="Times New Roman" w:cs="Times New Roman"/>
              </w:rPr>
            </w:pPr>
          </w:p>
        </w:tc>
        <w:tc>
          <w:tcPr>
            <w:tcW w:w="692" w:type="dxa"/>
            <w:vAlign w:val="center"/>
          </w:tcPr>
          <w:p w14:paraId="7CF1F742"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69A7A9F7"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603066D5" w14:textId="77777777" w:rsidR="00D12939" w:rsidRDefault="00D12939">
            <w:pPr>
              <w:pStyle w:val="affffd"/>
              <w:spacing w:line="240" w:lineRule="auto"/>
              <w:rPr>
                <w:rFonts w:ascii="Times New Roman" w:eastAsia="宋体" w:hAnsi="Times New Roman" w:cs="Times New Roman"/>
              </w:rPr>
            </w:pPr>
          </w:p>
        </w:tc>
      </w:tr>
      <w:tr w:rsidR="00D12939" w14:paraId="71CFC91B" w14:textId="77777777">
        <w:trPr>
          <w:cantSplit/>
          <w:trHeight w:val="20"/>
          <w:tblHeader/>
          <w:jc w:val="center"/>
        </w:trPr>
        <w:tc>
          <w:tcPr>
            <w:tcW w:w="712" w:type="dxa"/>
            <w:vMerge/>
            <w:vAlign w:val="center"/>
          </w:tcPr>
          <w:p w14:paraId="7EECCE96" w14:textId="77777777" w:rsidR="00D12939" w:rsidRDefault="00D12939">
            <w:pPr>
              <w:pStyle w:val="affffd"/>
              <w:spacing w:line="240" w:lineRule="auto"/>
              <w:rPr>
                <w:rFonts w:ascii="Times New Roman" w:eastAsia="宋体" w:hAnsi="Times New Roman" w:cs="Times New Roman"/>
              </w:rPr>
            </w:pPr>
          </w:p>
        </w:tc>
        <w:tc>
          <w:tcPr>
            <w:tcW w:w="1367" w:type="dxa"/>
            <w:vAlign w:val="center"/>
          </w:tcPr>
          <w:p w14:paraId="5DBE3A9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施工固废</w:t>
            </w:r>
          </w:p>
        </w:tc>
        <w:tc>
          <w:tcPr>
            <w:tcW w:w="1028" w:type="dxa"/>
            <w:vAlign w:val="center"/>
          </w:tcPr>
          <w:p w14:paraId="65DA947C"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0D7F4CE4"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67B5734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rPr>
              <w:t>△</w:t>
            </w:r>
            <w:r>
              <w:rPr>
                <w:rFonts w:ascii="Times New Roman" w:eastAsia="宋体" w:hAnsi="Times New Roman" w:cs="Times New Roman"/>
              </w:rPr>
              <w:t>=</w:t>
            </w:r>
          </w:p>
        </w:tc>
        <w:tc>
          <w:tcPr>
            <w:tcW w:w="876" w:type="dxa"/>
            <w:vAlign w:val="center"/>
          </w:tcPr>
          <w:p w14:paraId="3713A02A" w14:textId="77777777" w:rsidR="00D12939" w:rsidRDefault="00D12939">
            <w:pPr>
              <w:pStyle w:val="affffd"/>
              <w:spacing w:line="240" w:lineRule="auto"/>
              <w:rPr>
                <w:rFonts w:ascii="Times New Roman" w:eastAsia="宋体" w:hAnsi="Times New Roman" w:cs="Times New Roman"/>
              </w:rPr>
            </w:pPr>
          </w:p>
        </w:tc>
        <w:tc>
          <w:tcPr>
            <w:tcW w:w="695" w:type="dxa"/>
            <w:vAlign w:val="center"/>
          </w:tcPr>
          <w:p w14:paraId="06F44866"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648A1C1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r>
              <w:rPr>
                <w:rFonts w:ascii="Cambria Math" w:eastAsia="宋体" w:hAnsi="Cambria Math" w:cs="Cambria Math"/>
              </w:rPr>
              <w:t>△</w:t>
            </w:r>
            <w:r>
              <w:rPr>
                <w:rFonts w:ascii="Times New Roman" w:eastAsia="宋体" w:hAnsi="Times New Roman" w:cs="Times New Roman"/>
              </w:rPr>
              <w:t>=</w:t>
            </w:r>
          </w:p>
        </w:tc>
        <w:tc>
          <w:tcPr>
            <w:tcW w:w="692" w:type="dxa"/>
            <w:vAlign w:val="center"/>
          </w:tcPr>
          <w:p w14:paraId="216375B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w:t>
            </w:r>
            <w:r>
              <w:rPr>
                <w:rFonts w:ascii="Cambria Math" w:eastAsia="宋体" w:hAnsi="Cambria Math" w:cs="Cambria Math"/>
              </w:rPr>
              <w:t>△</w:t>
            </w:r>
            <w:r>
              <w:rPr>
                <w:rFonts w:ascii="Times New Roman" w:eastAsia="宋体" w:hAnsi="Times New Roman" w:cs="Times New Roman"/>
              </w:rPr>
              <w:t>=</w:t>
            </w:r>
          </w:p>
        </w:tc>
        <w:tc>
          <w:tcPr>
            <w:tcW w:w="876" w:type="dxa"/>
            <w:vAlign w:val="center"/>
          </w:tcPr>
          <w:p w14:paraId="7FA6E602"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40D2CB58" w14:textId="77777777" w:rsidR="00D12939" w:rsidRDefault="00D12939">
            <w:pPr>
              <w:pStyle w:val="affffd"/>
              <w:spacing w:line="240" w:lineRule="auto"/>
              <w:rPr>
                <w:rFonts w:ascii="Times New Roman" w:eastAsia="宋体" w:hAnsi="Times New Roman" w:cs="Times New Roman"/>
              </w:rPr>
            </w:pPr>
          </w:p>
        </w:tc>
      </w:tr>
      <w:tr w:rsidR="00D12939" w14:paraId="1B408987" w14:textId="77777777">
        <w:trPr>
          <w:cantSplit/>
          <w:trHeight w:val="20"/>
          <w:tblHeader/>
          <w:jc w:val="center"/>
        </w:trPr>
        <w:tc>
          <w:tcPr>
            <w:tcW w:w="712" w:type="dxa"/>
            <w:vMerge w:val="restart"/>
            <w:vAlign w:val="center"/>
          </w:tcPr>
          <w:p w14:paraId="4B62FE5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营运</w:t>
            </w:r>
          </w:p>
          <w:p w14:paraId="2FC4B21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期</w:t>
            </w:r>
          </w:p>
        </w:tc>
        <w:tc>
          <w:tcPr>
            <w:tcW w:w="1367" w:type="dxa"/>
            <w:vAlign w:val="center"/>
          </w:tcPr>
          <w:p w14:paraId="27F1E03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废气</w:t>
            </w:r>
          </w:p>
        </w:tc>
        <w:tc>
          <w:tcPr>
            <w:tcW w:w="1028" w:type="dxa"/>
            <w:vAlign w:val="center"/>
          </w:tcPr>
          <w:p w14:paraId="0532B9F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p>
        </w:tc>
        <w:tc>
          <w:tcPr>
            <w:tcW w:w="876" w:type="dxa"/>
            <w:vAlign w:val="center"/>
          </w:tcPr>
          <w:p w14:paraId="06148CAD"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5D6583D1"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1A7EC0E5" w14:textId="77777777" w:rsidR="00D12939" w:rsidRDefault="00D12939">
            <w:pPr>
              <w:pStyle w:val="affffd"/>
              <w:spacing w:line="240" w:lineRule="auto"/>
              <w:rPr>
                <w:rFonts w:ascii="Times New Roman" w:eastAsia="宋体" w:hAnsi="Times New Roman" w:cs="Times New Roman"/>
              </w:rPr>
            </w:pPr>
          </w:p>
        </w:tc>
        <w:tc>
          <w:tcPr>
            <w:tcW w:w="695" w:type="dxa"/>
            <w:vAlign w:val="center"/>
          </w:tcPr>
          <w:p w14:paraId="0BBACE1D"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1881D58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p>
        </w:tc>
        <w:tc>
          <w:tcPr>
            <w:tcW w:w="692" w:type="dxa"/>
            <w:vAlign w:val="center"/>
          </w:tcPr>
          <w:p w14:paraId="47E8545C"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36F9247D"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0EF9ABCD" w14:textId="77777777" w:rsidR="00D12939" w:rsidRDefault="00D12939">
            <w:pPr>
              <w:pStyle w:val="affffd"/>
              <w:spacing w:line="240" w:lineRule="auto"/>
              <w:rPr>
                <w:rFonts w:ascii="Times New Roman" w:eastAsia="宋体" w:hAnsi="Times New Roman" w:cs="Times New Roman"/>
              </w:rPr>
            </w:pPr>
          </w:p>
        </w:tc>
      </w:tr>
      <w:tr w:rsidR="00D12939" w14:paraId="21E845FC" w14:textId="77777777">
        <w:trPr>
          <w:cantSplit/>
          <w:trHeight w:val="20"/>
          <w:tblHeader/>
          <w:jc w:val="center"/>
        </w:trPr>
        <w:tc>
          <w:tcPr>
            <w:tcW w:w="712" w:type="dxa"/>
            <w:vMerge/>
            <w:vAlign w:val="center"/>
          </w:tcPr>
          <w:p w14:paraId="15E8C069" w14:textId="77777777" w:rsidR="00D12939" w:rsidRDefault="00D12939">
            <w:pPr>
              <w:pStyle w:val="affffd"/>
              <w:spacing w:line="240" w:lineRule="auto"/>
              <w:rPr>
                <w:rFonts w:ascii="Times New Roman" w:eastAsia="宋体" w:hAnsi="Times New Roman" w:cs="Times New Roman"/>
              </w:rPr>
            </w:pPr>
          </w:p>
        </w:tc>
        <w:tc>
          <w:tcPr>
            <w:tcW w:w="1367" w:type="dxa"/>
            <w:vAlign w:val="center"/>
          </w:tcPr>
          <w:p w14:paraId="1D2A30B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渗滤液</w:t>
            </w:r>
          </w:p>
        </w:tc>
        <w:tc>
          <w:tcPr>
            <w:tcW w:w="1028" w:type="dxa"/>
            <w:vAlign w:val="center"/>
          </w:tcPr>
          <w:p w14:paraId="769CD67E"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79DD881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p>
        </w:tc>
        <w:tc>
          <w:tcPr>
            <w:tcW w:w="876" w:type="dxa"/>
            <w:vAlign w:val="center"/>
          </w:tcPr>
          <w:p w14:paraId="42BA14B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p>
        </w:tc>
        <w:tc>
          <w:tcPr>
            <w:tcW w:w="876" w:type="dxa"/>
            <w:vAlign w:val="center"/>
          </w:tcPr>
          <w:p w14:paraId="77BAC71D" w14:textId="77777777" w:rsidR="00D12939" w:rsidRDefault="00D12939">
            <w:pPr>
              <w:pStyle w:val="affffd"/>
              <w:spacing w:line="240" w:lineRule="auto"/>
              <w:rPr>
                <w:rFonts w:ascii="Times New Roman" w:eastAsia="宋体" w:hAnsi="Times New Roman" w:cs="Times New Roman"/>
              </w:rPr>
            </w:pPr>
          </w:p>
        </w:tc>
        <w:tc>
          <w:tcPr>
            <w:tcW w:w="695" w:type="dxa"/>
            <w:vAlign w:val="center"/>
          </w:tcPr>
          <w:p w14:paraId="53759AAC"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61BB8B21" w14:textId="77777777" w:rsidR="00D12939" w:rsidRDefault="00D12939">
            <w:pPr>
              <w:pStyle w:val="affffd"/>
              <w:spacing w:line="240" w:lineRule="auto"/>
              <w:rPr>
                <w:rFonts w:ascii="Times New Roman" w:eastAsia="宋体" w:hAnsi="Times New Roman" w:cs="Times New Roman"/>
              </w:rPr>
            </w:pPr>
          </w:p>
        </w:tc>
        <w:tc>
          <w:tcPr>
            <w:tcW w:w="692" w:type="dxa"/>
            <w:vAlign w:val="center"/>
          </w:tcPr>
          <w:p w14:paraId="72D5583D"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7DA70189"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0AF2DBD6" w14:textId="77777777" w:rsidR="00D12939" w:rsidRDefault="00D12939">
            <w:pPr>
              <w:pStyle w:val="affffd"/>
              <w:spacing w:line="240" w:lineRule="auto"/>
              <w:rPr>
                <w:rFonts w:ascii="Times New Roman" w:eastAsia="宋体" w:hAnsi="Times New Roman" w:cs="Times New Roman"/>
              </w:rPr>
            </w:pPr>
          </w:p>
        </w:tc>
      </w:tr>
      <w:tr w:rsidR="00D12939" w14:paraId="6E9097F3" w14:textId="77777777">
        <w:trPr>
          <w:cantSplit/>
          <w:trHeight w:val="20"/>
          <w:tblHeader/>
          <w:jc w:val="center"/>
        </w:trPr>
        <w:tc>
          <w:tcPr>
            <w:tcW w:w="712" w:type="dxa"/>
            <w:vMerge/>
            <w:vAlign w:val="center"/>
          </w:tcPr>
          <w:p w14:paraId="66D19296" w14:textId="77777777" w:rsidR="00D12939" w:rsidRDefault="00D12939">
            <w:pPr>
              <w:pStyle w:val="affffd"/>
              <w:spacing w:line="240" w:lineRule="auto"/>
              <w:rPr>
                <w:rFonts w:ascii="Times New Roman" w:eastAsia="宋体" w:hAnsi="Times New Roman" w:cs="Times New Roman"/>
              </w:rPr>
            </w:pPr>
          </w:p>
        </w:tc>
        <w:tc>
          <w:tcPr>
            <w:tcW w:w="1367" w:type="dxa"/>
            <w:vAlign w:val="center"/>
          </w:tcPr>
          <w:p w14:paraId="10F16D9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噪声</w:t>
            </w:r>
          </w:p>
        </w:tc>
        <w:tc>
          <w:tcPr>
            <w:tcW w:w="1028" w:type="dxa"/>
            <w:vAlign w:val="center"/>
          </w:tcPr>
          <w:p w14:paraId="19071A2C"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4083C04F"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197564A1"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47A2245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p>
        </w:tc>
        <w:tc>
          <w:tcPr>
            <w:tcW w:w="695" w:type="dxa"/>
            <w:vAlign w:val="center"/>
          </w:tcPr>
          <w:p w14:paraId="325A069C"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42BC6E0E" w14:textId="77777777" w:rsidR="00D12939" w:rsidRDefault="00D12939">
            <w:pPr>
              <w:pStyle w:val="affffd"/>
              <w:spacing w:line="240" w:lineRule="auto"/>
              <w:rPr>
                <w:rFonts w:ascii="Times New Roman" w:eastAsia="宋体" w:hAnsi="Times New Roman" w:cs="Times New Roman"/>
              </w:rPr>
            </w:pPr>
          </w:p>
        </w:tc>
        <w:tc>
          <w:tcPr>
            <w:tcW w:w="692" w:type="dxa"/>
            <w:vAlign w:val="center"/>
          </w:tcPr>
          <w:p w14:paraId="51D6F1B1" w14:textId="77777777" w:rsidR="00D12939" w:rsidRDefault="00D12939">
            <w:pPr>
              <w:pStyle w:val="affffd"/>
              <w:spacing w:line="240" w:lineRule="auto"/>
              <w:rPr>
                <w:rFonts w:ascii="Times New Roman" w:eastAsia="宋体" w:hAnsi="Times New Roman" w:cs="Times New Roman"/>
              </w:rPr>
            </w:pPr>
          </w:p>
        </w:tc>
        <w:tc>
          <w:tcPr>
            <w:tcW w:w="876" w:type="dxa"/>
            <w:vAlign w:val="center"/>
          </w:tcPr>
          <w:p w14:paraId="3E02EEA4" w14:textId="77777777" w:rsidR="00D12939" w:rsidRDefault="00D12939">
            <w:pPr>
              <w:pStyle w:val="affffd"/>
              <w:spacing w:line="240" w:lineRule="auto"/>
              <w:rPr>
                <w:rFonts w:ascii="Times New Roman" w:eastAsia="宋体" w:hAnsi="Times New Roman" w:cs="Times New Roman"/>
              </w:rPr>
            </w:pPr>
          </w:p>
        </w:tc>
        <w:tc>
          <w:tcPr>
            <w:tcW w:w="699" w:type="dxa"/>
            <w:vAlign w:val="center"/>
          </w:tcPr>
          <w:p w14:paraId="1189CD2B" w14:textId="77777777" w:rsidR="00D12939" w:rsidRDefault="00D12939">
            <w:pPr>
              <w:pStyle w:val="affffd"/>
              <w:spacing w:line="240" w:lineRule="auto"/>
              <w:rPr>
                <w:rFonts w:ascii="Times New Roman" w:eastAsia="宋体" w:hAnsi="Times New Roman" w:cs="Times New Roman"/>
              </w:rPr>
            </w:pPr>
          </w:p>
        </w:tc>
      </w:tr>
      <w:tr w:rsidR="00D12939" w14:paraId="1ABE3C06" w14:textId="77777777">
        <w:trPr>
          <w:cantSplit/>
          <w:trHeight w:val="20"/>
          <w:tblHeader/>
          <w:jc w:val="center"/>
        </w:trPr>
        <w:tc>
          <w:tcPr>
            <w:tcW w:w="712" w:type="dxa"/>
            <w:vAlign w:val="center"/>
          </w:tcPr>
          <w:p w14:paraId="3C22415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备注</w:t>
            </w:r>
          </w:p>
        </w:tc>
        <w:tc>
          <w:tcPr>
            <w:tcW w:w="8866" w:type="dxa"/>
            <w:gridSpan w:val="10"/>
            <w:vAlign w:val="center"/>
          </w:tcPr>
          <w:p w14:paraId="09323879" w14:textId="77777777" w:rsidR="00D12939" w:rsidRDefault="004F47F5">
            <w:pPr>
              <w:pStyle w:val="affffd"/>
              <w:spacing w:line="240" w:lineRule="auto"/>
              <w:ind w:firstLineChars="100" w:firstLine="210"/>
              <w:jc w:val="both"/>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rPr>
              <w:t>重大影响，</w:t>
            </w:r>
            <w:r>
              <w:rPr>
                <w:rFonts w:ascii="Times New Roman" w:eastAsia="宋体" w:hAnsi="Times New Roman" w:cs="Times New Roman"/>
              </w:rPr>
              <w:t>2—</w:t>
            </w:r>
            <w:r>
              <w:rPr>
                <w:rFonts w:ascii="Times New Roman" w:eastAsia="宋体" w:hAnsi="Times New Roman" w:cs="Times New Roman"/>
              </w:rPr>
              <w:t>中等影响，</w:t>
            </w:r>
            <w:r>
              <w:rPr>
                <w:rFonts w:ascii="Times New Roman" w:eastAsia="宋体" w:hAnsi="Times New Roman" w:cs="Times New Roman"/>
              </w:rPr>
              <w:t>1—</w:t>
            </w:r>
            <w:r>
              <w:rPr>
                <w:rFonts w:ascii="Times New Roman" w:eastAsia="宋体" w:hAnsi="Times New Roman" w:cs="Times New Roman"/>
              </w:rPr>
              <w:t>轻微影响；</w:t>
            </w:r>
          </w:p>
          <w:p w14:paraId="66AD2976" w14:textId="77777777" w:rsidR="00D12939" w:rsidRDefault="004F47F5">
            <w:pPr>
              <w:pStyle w:val="affffd"/>
              <w:spacing w:line="240" w:lineRule="auto"/>
              <w:ind w:firstLineChars="100" w:firstLine="210"/>
              <w:jc w:val="both"/>
              <w:rPr>
                <w:rFonts w:ascii="Times New Roman" w:eastAsia="宋体" w:hAnsi="Times New Roman" w:cs="Times New Roman"/>
                <w:lang w:val="zh-CN"/>
              </w:rPr>
            </w:pPr>
            <w:r>
              <w:rPr>
                <w:rFonts w:ascii="Times New Roman" w:eastAsia="宋体" w:hAnsi="Times New Roman" w:cs="Times New Roman"/>
              </w:rPr>
              <w:t xml:space="preserve">+ </w:t>
            </w:r>
            <w:r>
              <w:rPr>
                <w:rFonts w:ascii="Times New Roman" w:eastAsia="宋体" w:hAnsi="Times New Roman" w:cs="Times New Roman"/>
              </w:rPr>
              <w:t>表示有利影响，</w:t>
            </w:r>
            <w:r>
              <w:rPr>
                <w:rFonts w:ascii="Times New Roman" w:eastAsia="宋体" w:hAnsi="Times New Roman" w:cs="Times New Roman"/>
              </w:rPr>
              <w:t xml:space="preserve">- </w:t>
            </w:r>
            <w:r>
              <w:rPr>
                <w:rFonts w:ascii="Times New Roman" w:eastAsia="宋体" w:hAnsi="Times New Roman" w:cs="Times New Roman"/>
              </w:rPr>
              <w:t>表示不利影响；</w:t>
            </w:r>
          </w:p>
          <w:p w14:paraId="1C1C73DA" w14:textId="77777777" w:rsidR="00D12939" w:rsidRDefault="004F47F5">
            <w:pPr>
              <w:pStyle w:val="affffd"/>
              <w:spacing w:line="240" w:lineRule="auto"/>
              <w:ind w:firstLineChars="100" w:firstLine="210"/>
              <w:jc w:val="both"/>
              <w:rPr>
                <w:rFonts w:ascii="Times New Roman" w:eastAsia="宋体" w:hAnsi="Times New Roman" w:cs="Times New Roman"/>
              </w:rPr>
            </w:pPr>
            <w:r>
              <w:rPr>
                <w:rFonts w:ascii="Cambria Math" w:eastAsia="宋体" w:hAnsi="Cambria Math" w:cs="Cambria Math"/>
              </w:rPr>
              <w:t>△</w:t>
            </w:r>
            <w:r>
              <w:rPr>
                <w:rFonts w:ascii="Times New Roman" w:eastAsia="宋体" w:hAnsi="Times New Roman" w:cs="Times New Roman"/>
              </w:rPr>
              <w:t>表示短期影响，</w:t>
            </w:r>
            <w:r>
              <w:rPr>
                <w:rFonts w:ascii="Times New Roman" w:eastAsia="宋体" w:hAnsi="Times New Roman" w:cs="Times New Roman"/>
              </w:rPr>
              <w:t>▲</w:t>
            </w:r>
            <w:r>
              <w:rPr>
                <w:rFonts w:ascii="Times New Roman" w:eastAsia="宋体" w:hAnsi="Times New Roman" w:cs="Times New Roman"/>
              </w:rPr>
              <w:t>表示长期影响；</w:t>
            </w:r>
          </w:p>
          <w:p w14:paraId="0A953FD3" w14:textId="77777777" w:rsidR="00D12939" w:rsidRDefault="004F47F5">
            <w:pPr>
              <w:pStyle w:val="affffd"/>
              <w:spacing w:line="240" w:lineRule="auto"/>
              <w:ind w:firstLineChars="100" w:firstLine="210"/>
              <w:jc w:val="both"/>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表示可逆影响，</w:t>
            </w:r>
            <w:r>
              <w:rPr>
                <w:rFonts w:ascii="Times New Roman" w:eastAsia="宋体" w:hAnsi="Times New Roman" w:cs="Times New Roman"/>
              </w:rPr>
              <w:t>≠</w:t>
            </w:r>
            <w:r>
              <w:rPr>
                <w:rFonts w:ascii="Times New Roman" w:eastAsia="宋体" w:hAnsi="Times New Roman" w:cs="Times New Roman"/>
              </w:rPr>
              <w:t>表示不可逆影响。</w:t>
            </w:r>
          </w:p>
        </w:tc>
      </w:tr>
    </w:tbl>
    <w:p w14:paraId="0F1178C4"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180" w:name="_Toc121411693"/>
      <w:bookmarkStart w:id="181" w:name="_Toc29694"/>
      <w:bookmarkStart w:id="182" w:name="_Toc29398"/>
      <w:r>
        <w:rPr>
          <w:rFonts w:ascii="Times New Roman" w:eastAsia="黑体" w:hAnsi="Times New Roman" w:cs="Times New Roman"/>
          <w:b w:val="0"/>
          <w:sz w:val="24"/>
        </w:rPr>
        <w:t>2.2.2</w:t>
      </w:r>
      <w:r>
        <w:rPr>
          <w:rFonts w:ascii="Times New Roman" w:eastAsia="黑体" w:hAnsi="Times New Roman" w:cs="Times New Roman"/>
          <w:b w:val="0"/>
          <w:sz w:val="24"/>
        </w:rPr>
        <w:t>评价因子筛选</w:t>
      </w:r>
      <w:bookmarkEnd w:id="180"/>
      <w:bookmarkEnd w:id="181"/>
      <w:bookmarkEnd w:id="182"/>
    </w:p>
    <w:p w14:paraId="2C52AEB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根据本项目实施过程及实施后产生的环境污染因素及污染因子的分析，筛选确定出环境影响评价因子。</w:t>
      </w:r>
      <w:bookmarkStart w:id="183" w:name="_Toc187590181"/>
      <w:bookmarkStart w:id="184" w:name="_Toc125148863"/>
      <w:bookmarkStart w:id="185" w:name="_Toc202629953"/>
      <w:bookmarkStart w:id="186" w:name="_Toc85947788"/>
      <w:bookmarkStart w:id="187" w:name="_Toc91558190"/>
      <w:bookmarkStart w:id="188" w:name="_Toc74113549"/>
      <w:bookmarkStart w:id="189" w:name="_Toc200444912"/>
      <w:bookmarkStart w:id="190" w:name="_Toc79657661"/>
      <w:r>
        <w:rPr>
          <w:rFonts w:ascii="Times New Roman" w:eastAsia="宋体" w:hAnsi="Times New Roman" w:cs="Times New Roman"/>
          <w:sz w:val="24"/>
        </w:rPr>
        <w:t>本项目各环境要素的污染因子筛选结果列于表</w:t>
      </w:r>
      <w:r>
        <w:rPr>
          <w:rFonts w:ascii="Times New Roman" w:eastAsia="宋体" w:hAnsi="Times New Roman" w:cs="Times New Roman"/>
          <w:sz w:val="24"/>
        </w:rPr>
        <w:t>2.2-2</w:t>
      </w:r>
      <w:r>
        <w:rPr>
          <w:rFonts w:ascii="Times New Roman" w:eastAsia="宋体" w:hAnsi="Times New Roman" w:cs="Times New Roman"/>
          <w:sz w:val="24"/>
        </w:rPr>
        <w:t>。</w:t>
      </w:r>
    </w:p>
    <w:p w14:paraId="7B05DFE5" w14:textId="77777777" w:rsidR="00D12939" w:rsidRDefault="004F47F5">
      <w:pPr>
        <w:jc w:val="center"/>
        <w:rPr>
          <w:rFonts w:ascii="黑体" w:eastAsia="黑体" w:hAnsi="黑体"/>
          <w:sz w:val="24"/>
        </w:rPr>
      </w:pPr>
      <w:bookmarkStart w:id="191" w:name="_Toc16207"/>
      <w:bookmarkStart w:id="192" w:name="_Toc240879414"/>
      <w:bookmarkStart w:id="193" w:name="_Toc225149542"/>
      <w:bookmarkStart w:id="194" w:name="_Toc492980062"/>
      <w:bookmarkStart w:id="195" w:name="_Toc238032615"/>
      <w:bookmarkStart w:id="196" w:name="_Toc238032613"/>
      <w:bookmarkEnd w:id="183"/>
      <w:bookmarkEnd w:id="184"/>
      <w:bookmarkEnd w:id="185"/>
      <w:bookmarkEnd w:id="186"/>
      <w:bookmarkEnd w:id="187"/>
      <w:bookmarkEnd w:id="188"/>
      <w:bookmarkEnd w:id="189"/>
      <w:bookmarkEnd w:id="190"/>
      <w:r>
        <w:rPr>
          <w:rFonts w:ascii="黑体" w:eastAsia="黑体" w:hAnsi="黑体"/>
          <w:sz w:val="24"/>
        </w:rPr>
        <w:t>表2.2-2     项目评价因子表</w:t>
      </w:r>
    </w:p>
    <w:tbl>
      <w:tblPr>
        <w:tblW w:w="9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134"/>
        <w:gridCol w:w="1276"/>
        <w:gridCol w:w="6570"/>
      </w:tblGrid>
      <w:tr w:rsidR="00D12939" w14:paraId="7F5846ED" w14:textId="77777777">
        <w:trPr>
          <w:trHeight w:val="322"/>
          <w:jc w:val="center"/>
        </w:trPr>
        <w:tc>
          <w:tcPr>
            <w:tcW w:w="704" w:type="dxa"/>
            <w:vAlign w:val="center"/>
          </w:tcPr>
          <w:p w14:paraId="2B6B5B9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序号</w:t>
            </w:r>
          </w:p>
        </w:tc>
        <w:tc>
          <w:tcPr>
            <w:tcW w:w="2410" w:type="dxa"/>
            <w:gridSpan w:val="2"/>
            <w:vAlign w:val="center"/>
          </w:tcPr>
          <w:p w14:paraId="50A56C0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环境要素</w:t>
            </w:r>
          </w:p>
        </w:tc>
        <w:tc>
          <w:tcPr>
            <w:tcW w:w="6570" w:type="dxa"/>
            <w:vAlign w:val="center"/>
          </w:tcPr>
          <w:p w14:paraId="752DF68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评价因子</w:t>
            </w:r>
          </w:p>
        </w:tc>
      </w:tr>
      <w:tr w:rsidR="00D12939" w14:paraId="61D67FFB" w14:textId="77777777">
        <w:trPr>
          <w:trHeight w:val="322"/>
          <w:jc w:val="center"/>
        </w:trPr>
        <w:tc>
          <w:tcPr>
            <w:tcW w:w="704" w:type="dxa"/>
            <w:vMerge w:val="restart"/>
            <w:vAlign w:val="center"/>
          </w:tcPr>
          <w:p w14:paraId="78A5EBD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w:t>
            </w:r>
          </w:p>
        </w:tc>
        <w:tc>
          <w:tcPr>
            <w:tcW w:w="1134" w:type="dxa"/>
            <w:vMerge w:val="restart"/>
            <w:vAlign w:val="center"/>
          </w:tcPr>
          <w:p w14:paraId="105610D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环境空气</w:t>
            </w:r>
          </w:p>
        </w:tc>
        <w:tc>
          <w:tcPr>
            <w:tcW w:w="1276" w:type="dxa"/>
            <w:vAlign w:val="center"/>
          </w:tcPr>
          <w:p w14:paraId="7AD4776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现状评价</w:t>
            </w:r>
          </w:p>
        </w:tc>
        <w:tc>
          <w:tcPr>
            <w:tcW w:w="6570" w:type="dxa"/>
            <w:vAlign w:val="center"/>
          </w:tcPr>
          <w:p w14:paraId="43F67AE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SO</w:t>
            </w:r>
            <w:r>
              <w:rPr>
                <w:rFonts w:ascii="Times New Roman" w:eastAsia="宋体" w:hAnsi="Times New Roman" w:cs="Times New Roman"/>
                <w:vertAlign w:val="subscript"/>
              </w:rPr>
              <w:t>2</w:t>
            </w:r>
            <w:r>
              <w:rPr>
                <w:rFonts w:ascii="Times New Roman" w:eastAsia="宋体" w:hAnsi="Times New Roman" w:cs="Times New Roman"/>
              </w:rPr>
              <w:t>、</w:t>
            </w:r>
            <w:r>
              <w:rPr>
                <w:rFonts w:ascii="Times New Roman" w:eastAsia="宋体" w:hAnsi="Times New Roman" w:cs="Times New Roman"/>
              </w:rPr>
              <w:t>NO</w:t>
            </w:r>
            <w:r>
              <w:rPr>
                <w:rFonts w:ascii="Times New Roman" w:eastAsia="宋体" w:hAnsi="Times New Roman" w:cs="Times New Roman"/>
                <w:vertAlign w:val="subscript"/>
              </w:rPr>
              <w:t>2</w:t>
            </w:r>
            <w:r>
              <w:rPr>
                <w:rFonts w:ascii="Times New Roman" w:eastAsia="宋体" w:hAnsi="Times New Roman" w:cs="Times New Roman"/>
              </w:rPr>
              <w:t>、</w:t>
            </w:r>
            <w:r>
              <w:rPr>
                <w:rFonts w:ascii="Times New Roman" w:eastAsia="宋体" w:hAnsi="Times New Roman" w:cs="Times New Roman"/>
              </w:rPr>
              <w:t>PM</w:t>
            </w:r>
            <w:r>
              <w:rPr>
                <w:rFonts w:ascii="Times New Roman" w:eastAsia="宋体" w:hAnsi="Times New Roman" w:cs="Times New Roman"/>
                <w:vertAlign w:val="subscript"/>
              </w:rPr>
              <w:t>10</w:t>
            </w:r>
            <w:r>
              <w:rPr>
                <w:rFonts w:ascii="Times New Roman" w:eastAsia="宋体" w:hAnsi="Times New Roman" w:cs="Times New Roman"/>
              </w:rPr>
              <w:t>、</w:t>
            </w:r>
            <w:r>
              <w:rPr>
                <w:rFonts w:ascii="Times New Roman" w:eastAsia="宋体" w:hAnsi="Times New Roman" w:cs="Times New Roman"/>
              </w:rPr>
              <w:t>PM</w:t>
            </w:r>
            <w:r>
              <w:rPr>
                <w:rFonts w:ascii="Times New Roman" w:eastAsia="宋体" w:hAnsi="Times New Roman" w:cs="Times New Roman"/>
                <w:vertAlign w:val="subscript"/>
              </w:rPr>
              <w:t>2.5</w:t>
            </w:r>
            <w:r>
              <w:rPr>
                <w:rFonts w:ascii="Times New Roman" w:eastAsia="宋体" w:hAnsi="Times New Roman" w:cs="Times New Roman"/>
              </w:rPr>
              <w:t>、</w:t>
            </w:r>
            <w:r>
              <w:rPr>
                <w:rFonts w:ascii="Times New Roman" w:eastAsia="宋体" w:hAnsi="Times New Roman" w:cs="Times New Roman"/>
              </w:rPr>
              <w:t>CO</w:t>
            </w:r>
            <w:r>
              <w:rPr>
                <w:rFonts w:ascii="Times New Roman" w:eastAsia="宋体" w:hAnsi="Times New Roman" w:cs="Times New Roman"/>
              </w:rPr>
              <w:t>、</w:t>
            </w:r>
            <w:r>
              <w:rPr>
                <w:rFonts w:ascii="Times New Roman" w:eastAsia="宋体" w:hAnsi="Times New Roman" w:cs="Times New Roman"/>
              </w:rPr>
              <w:t>O</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、臭气浓度</w:t>
            </w:r>
          </w:p>
        </w:tc>
      </w:tr>
      <w:tr w:rsidR="00D12939" w14:paraId="0E131BE9" w14:textId="77777777">
        <w:trPr>
          <w:trHeight w:val="322"/>
          <w:jc w:val="center"/>
        </w:trPr>
        <w:tc>
          <w:tcPr>
            <w:tcW w:w="704" w:type="dxa"/>
            <w:vMerge/>
            <w:vAlign w:val="center"/>
          </w:tcPr>
          <w:p w14:paraId="7CF8AEA0" w14:textId="77777777" w:rsidR="00D12939" w:rsidRDefault="00D12939">
            <w:pPr>
              <w:pStyle w:val="affffd"/>
              <w:spacing w:line="240" w:lineRule="auto"/>
              <w:rPr>
                <w:rFonts w:ascii="Times New Roman" w:eastAsia="宋体" w:hAnsi="Times New Roman" w:cs="Times New Roman"/>
              </w:rPr>
            </w:pPr>
          </w:p>
        </w:tc>
        <w:tc>
          <w:tcPr>
            <w:tcW w:w="1134" w:type="dxa"/>
            <w:vMerge/>
            <w:vAlign w:val="center"/>
          </w:tcPr>
          <w:p w14:paraId="6B502649" w14:textId="77777777" w:rsidR="00D12939" w:rsidRDefault="00D12939">
            <w:pPr>
              <w:pStyle w:val="affffd"/>
              <w:spacing w:line="240" w:lineRule="auto"/>
              <w:rPr>
                <w:rFonts w:ascii="Times New Roman" w:eastAsia="宋体" w:hAnsi="Times New Roman" w:cs="Times New Roman"/>
              </w:rPr>
            </w:pPr>
          </w:p>
        </w:tc>
        <w:tc>
          <w:tcPr>
            <w:tcW w:w="1276" w:type="dxa"/>
            <w:vAlign w:val="center"/>
          </w:tcPr>
          <w:p w14:paraId="7CD9A99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预测分析</w:t>
            </w:r>
          </w:p>
        </w:tc>
        <w:tc>
          <w:tcPr>
            <w:tcW w:w="6570" w:type="dxa"/>
            <w:vAlign w:val="center"/>
          </w:tcPr>
          <w:p w14:paraId="454BF56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p>
        </w:tc>
      </w:tr>
      <w:tr w:rsidR="00D12939" w14:paraId="510818DC" w14:textId="77777777">
        <w:trPr>
          <w:trHeight w:val="322"/>
          <w:jc w:val="center"/>
        </w:trPr>
        <w:tc>
          <w:tcPr>
            <w:tcW w:w="704" w:type="dxa"/>
            <w:vMerge w:val="restart"/>
            <w:vAlign w:val="center"/>
          </w:tcPr>
          <w:p w14:paraId="0E226DC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w:t>
            </w:r>
          </w:p>
        </w:tc>
        <w:tc>
          <w:tcPr>
            <w:tcW w:w="1134" w:type="dxa"/>
            <w:vMerge w:val="restart"/>
            <w:vAlign w:val="center"/>
          </w:tcPr>
          <w:p w14:paraId="59DAEEC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地表水环境</w:t>
            </w:r>
          </w:p>
        </w:tc>
        <w:tc>
          <w:tcPr>
            <w:tcW w:w="1276" w:type="dxa"/>
            <w:vAlign w:val="center"/>
          </w:tcPr>
          <w:p w14:paraId="04556709" w14:textId="77777777" w:rsidR="00D12939" w:rsidRPr="00833AEB" w:rsidRDefault="004F47F5">
            <w:pPr>
              <w:pStyle w:val="affffd"/>
              <w:spacing w:line="240" w:lineRule="auto"/>
              <w:rPr>
                <w:rFonts w:ascii="Times New Roman" w:eastAsia="宋体" w:hAnsi="Times New Roman" w:cs="Times New Roman"/>
                <w:color w:val="FF0000"/>
              </w:rPr>
            </w:pPr>
            <w:r w:rsidRPr="00833AEB">
              <w:rPr>
                <w:rFonts w:ascii="Times New Roman" w:eastAsia="宋体" w:hAnsi="Times New Roman" w:cs="Times New Roman"/>
                <w:color w:val="FF0000"/>
              </w:rPr>
              <w:t>现状评价</w:t>
            </w:r>
          </w:p>
        </w:tc>
        <w:tc>
          <w:tcPr>
            <w:tcW w:w="6570" w:type="dxa"/>
            <w:vAlign w:val="center"/>
          </w:tcPr>
          <w:p w14:paraId="5B5E7053" w14:textId="40C40A65" w:rsidR="00D12939" w:rsidRPr="00833AEB" w:rsidRDefault="00833AEB">
            <w:pPr>
              <w:pStyle w:val="affffd"/>
              <w:rPr>
                <w:rFonts w:ascii="Times New Roman" w:eastAsia="宋体" w:hAnsi="Times New Roman" w:cs="Times New Roman"/>
                <w:color w:val="FF0000"/>
              </w:rPr>
            </w:pPr>
            <w:r w:rsidRPr="00833AEB">
              <w:rPr>
                <w:rFonts w:ascii="Times New Roman" w:eastAsia="宋体" w:hAnsi="Times New Roman" w:cs="Times New Roman"/>
                <w:color w:val="FF0000"/>
              </w:rPr>
              <w:t xml:space="preserve">pH </w:t>
            </w:r>
            <w:r w:rsidRPr="00833AEB">
              <w:rPr>
                <w:rFonts w:ascii="Times New Roman" w:eastAsia="宋体" w:hAnsi="Times New Roman" w:cs="Times New Roman"/>
                <w:color w:val="FF0000"/>
              </w:rPr>
              <w:t>值、水温、悬浮物、色度、化学需氧量、五日生化需氧量、氨氮、总磷、氯化物、粪大肠菌群、汞、铅、镉、砷、总铬、六价铬</w:t>
            </w:r>
          </w:p>
        </w:tc>
      </w:tr>
      <w:tr w:rsidR="00D12939" w14:paraId="2A8C9A9C" w14:textId="77777777">
        <w:trPr>
          <w:trHeight w:val="322"/>
          <w:jc w:val="center"/>
        </w:trPr>
        <w:tc>
          <w:tcPr>
            <w:tcW w:w="704" w:type="dxa"/>
            <w:vMerge/>
            <w:vAlign w:val="center"/>
          </w:tcPr>
          <w:p w14:paraId="3EAEA1AA" w14:textId="77777777" w:rsidR="00D12939" w:rsidRDefault="00D12939">
            <w:pPr>
              <w:pStyle w:val="affffd"/>
              <w:spacing w:line="240" w:lineRule="auto"/>
              <w:rPr>
                <w:rFonts w:ascii="Times New Roman" w:eastAsia="宋体" w:hAnsi="Times New Roman" w:cs="Times New Roman"/>
              </w:rPr>
            </w:pPr>
          </w:p>
        </w:tc>
        <w:tc>
          <w:tcPr>
            <w:tcW w:w="1134" w:type="dxa"/>
            <w:vMerge/>
            <w:vAlign w:val="center"/>
          </w:tcPr>
          <w:p w14:paraId="4C7CC642" w14:textId="77777777" w:rsidR="00D12939" w:rsidRDefault="00D12939">
            <w:pPr>
              <w:pStyle w:val="affffd"/>
              <w:spacing w:line="240" w:lineRule="auto"/>
              <w:rPr>
                <w:rFonts w:ascii="Times New Roman" w:eastAsia="宋体" w:hAnsi="Times New Roman" w:cs="Times New Roman"/>
              </w:rPr>
            </w:pPr>
          </w:p>
        </w:tc>
        <w:tc>
          <w:tcPr>
            <w:tcW w:w="1276" w:type="dxa"/>
            <w:vAlign w:val="center"/>
          </w:tcPr>
          <w:p w14:paraId="69CEA119" w14:textId="77777777" w:rsidR="00D12939" w:rsidRPr="00833AEB" w:rsidRDefault="004F47F5">
            <w:pPr>
              <w:pStyle w:val="affffd"/>
              <w:spacing w:line="240" w:lineRule="auto"/>
              <w:rPr>
                <w:rFonts w:ascii="Times New Roman" w:eastAsia="宋体" w:hAnsi="Times New Roman" w:cs="Times New Roman"/>
                <w:color w:val="FF0000"/>
              </w:rPr>
            </w:pPr>
            <w:r w:rsidRPr="00833AEB">
              <w:rPr>
                <w:rFonts w:ascii="Times New Roman" w:eastAsia="宋体" w:hAnsi="Times New Roman" w:cs="Times New Roman"/>
                <w:color w:val="FF0000"/>
              </w:rPr>
              <w:t>影响评价</w:t>
            </w:r>
          </w:p>
        </w:tc>
        <w:tc>
          <w:tcPr>
            <w:tcW w:w="6570" w:type="dxa"/>
            <w:vAlign w:val="center"/>
          </w:tcPr>
          <w:p w14:paraId="37073518" w14:textId="61B15EFB" w:rsidR="00D12939" w:rsidRPr="00833AEB" w:rsidRDefault="00833AEB" w:rsidP="00833AEB">
            <w:pPr>
              <w:pStyle w:val="affffd"/>
              <w:spacing w:line="240" w:lineRule="auto"/>
              <w:rPr>
                <w:rFonts w:ascii="Times New Roman" w:eastAsia="宋体" w:hAnsi="Times New Roman" w:cs="Times New Roman"/>
                <w:color w:val="FF0000"/>
              </w:rPr>
            </w:pPr>
            <w:r w:rsidRPr="00833AEB">
              <w:rPr>
                <w:rFonts w:ascii="Times New Roman" w:eastAsia="宋体" w:hAnsi="Times New Roman" w:cs="Times New Roman" w:hint="eastAsia"/>
                <w:color w:val="FF0000"/>
              </w:rPr>
              <w:t>渗滤液处理措施有效性分析和依托柞水县污水处理厂的可行性评价</w:t>
            </w:r>
          </w:p>
        </w:tc>
      </w:tr>
      <w:tr w:rsidR="00D12939" w14:paraId="42AB0C7E" w14:textId="77777777">
        <w:trPr>
          <w:trHeight w:val="322"/>
          <w:jc w:val="center"/>
        </w:trPr>
        <w:tc>
          <w:tcPr>
            <w:tcW w:w="704" w:type="dxa"/>
            <w:vMerge w:val="restart"/>
            <w:vAlign w:val="center"/>
          </w:tcPr>
          <w:p w14:paraId="6F1411A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3</w:t>
            </w:r>
          </w:p>
        </w:tc>
        <w:tc>
          <w:tcPr>
            <w:tcW w:w="1134" w:type="dxa"/>
            <w:vMerge w:val="restart"/>
            <w:vAlign w:val="center"/>
          </w:tcPr>
          <w:p w14:paraId="6FF75D8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地下水环境</w:t>
            </w:r>
          </w:p>
        </w:tc>
        <w:tc>
          <w:tcPr>
            <w:tcW w:w="1276" w:type="dxa"/>
            <w:vAlign w:val="center"/>
          </w:tcPr>
          <w:p w14:paraId="7FCD21D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现状评价</w:t>
            </w:r>
          </w:p>
        </w:tc>
        <w:tc>
          <w:tcPr>
            <w:tcW w:w="6570" w:type="dxa"/>
            <w:vAlign w:val="center"/>
          </w:tcPr>
          <w:p w14:paraId="7B9949A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spacing w:val="5"/>
              </w:rPr>
              <w:t>pH</w:t>
            </w:r>
            <w:r>
              <w:rPr>
                <w:rFonts w:ascii="Times New Roman" w:eastAsia="宋体" w:hAnsi="Times New Roman" w:cs="Times New Roman"/>
                <w:spacing w:val="5"/>
              </w:rPr>
              <w:t>值、耗氧量、氨氮、亚硝酸盐氮、汞</w:t>
            </w:r>
            <w:r>
              <w:rPr>
                <w:rFonts w:ascii="Times New Roman" w:eastAsia="宋体" w:hAnsi="Times New Roman" w:cs="Times New Roman"/>
              </w:rPr>
              <w:t>、镉、六价铬、铅、砷、铜、锌、总硬度、氰化物、挥发酚、</w:t>
            </w:r>
            <w:r>
              <w:rPr>
                <w:rFonts w:ascii="Times New Roman" w:eastAsia="宋体" w:hAnsi="Times New Roman" w:cs="Times New Roman"/>
                <w:spacing w:val="5"/>
              </w:rPr>
              <w:t>氟化物、总大肠菌群、</w:t>
            </w:r>
            <w:r>
              <w:rPr>
                <w:rFonts w:ascii="Times New Roman" w:eastAsia="宋体" w:hAnsi="Times New Roman" w:cs="Times New Roman"/>
              </w:rPr>
              <w:t>K</w:t>
            </w:r>
            <w:r>
              <w:rPr>
                <w:rFonts w:ascii="Times New Roman" w:eastAsia="宋体" w:hAnsi="Times New Roman" w:cs="Times New Roman"/>
                <w:vertAlign w:val="superscript"/>
              </w:rPr>
              <w:t>+</w:t>
            </w:r>
            <w:r>
              <w:rPr>
                <w:rFonts w:ascii="Times New Roman" w:eastAsia="宋体" w:hAnsi="Times New Roman" w:cs="Times New Roman"/>
              </w:rPr>
              <w:t>、</w:t>
            </w:r>
            <w:r>
              <w:rPr>
                <w:rFonts w:ascii="Times New Roman" w:eastAsia="宋体" w:hAnsi="Times New Roman" w:cs="Times New Roman"/>
              </w:rPr>
              <w:t>Na</w:t>
            </w:r>
            <w:r>
              <w:rPr>
                <w:rFonts w:ascii="Times New Roman" w:eastAsia="宋体" w:hAnsi="Times New Roman" w:cs="Times New Roman"/>
                <w:vertAlign w:val="superscript"/>
              </w:rPr>
              <w:t>+</w:t>
            </w:r>
            <w:r>
              <w:rPr>
                <w:rFonts w:ascii="Times New Roman" w:eastAsia="宋体" w:hAnsi="Times New Roman" w:cs="Times New Roman"/>
              </w:rPr>
              <w:t>、</w:t>
            </w:r>
            <w:r>
              <w:rPr>
                <w:rFonts w:ascii="Times New Roman" w:eastAsia="宋体" w:hAnsi="Times New Roman" w:cs="Times New Roman"/>
              </w:rPr>
              <w:t>Ca</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rPr>
              <w:t>Mg</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rPr>
              <w:t>CO</w:t>
            </w:r>
            <w:r>
              <w:rPr>
                <w:rFonts w:ascii="Times New Roman" w:eastAsia="宋体" w:hAnsi="Times New Roman" w:cs="Times New Roman"/>
                <w:vertAlign w:val="subscript"/>
              </w:rPr>
              <w:t>3</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rPr>
              <w:t>HCO</w:t>
            </w:r>
            <w:r>
              <w:rPr>
                <w:rFonts w:ascii="Times New Roman" w:eastAsia="宋体" w:hAnsi="Times New Roman" w:cs="Times New Roman"/>
                <w:vertAlign w:val="subscript"/>
              </w:rPr>
              <w:t>3</w:t>
            </w:r>
            <w:r>
              <w:rPr>
                <w:rFonts w:ascii="Times New Roman" w:eastAsia="宋体" w:hAnsi="Times New Roman" w:cs="Times New Roman"/>
                <w:vertAlign w:val="superscript"/>
              </w:rPr>
              <w:t>-</w:t>
            </w:r>
            <w:r>
              <w:rPr>
                <w:rFonts w:ascii="Times New Roman" w:eastAsia="宋体" w:hAnsi="Times New Roman" w:cs="Times New Roman"/>
              </w:rPr>
              <w:t>、</w:t>
            </w:r>
            <w:r>
              <w:rPr>
                <w:rFonts w:ascii="Times New Roman" w:eastAsia="宋体" w:hAnsi="Times New Roman" w:cs="Times New Roman"/>
              </w:rPr>
              <w:t>Cl</w:t>
            </w:r>
            <w:r>
              <w:rPr>
                <w:rFonts w:ascii="Times New Roman" w:eastAsia="宋体" w:hAnsi="Times New Roman" w:cs="Times New Roman"/>
                <w:vertAlign w:val="superscript"/>
              </w:rPr>
              <w:t>-</w:t>
            </w:r>
            <w:r>
              <w:rPr>
                <w:rFonts w:ascii="Times New Roman" w:eastAsia="宋体" w:hAnsi="Times New Roman" w:cs="Times New Roman"/>
              </w:rPr>
              <w:t>、</w:t>
            </w:r>
            <w:r>
              <w:rPr>
                <w:rFonts w:ascii="Times New Roman" w:eastAsia="宋体" w:hAnsi="Times New Roman" w:cs="Times New Roman"/>
              </w:rPr>
              <w:t>SO</w:t>
            </w:r>
            <w:r>
              <w:rPr>
                <w:rFonts w:ascii="Times New Roman" w:eastAsia="宋体" w:hAnsi="Times New Roman" w:cs="Times New Roman"/>
                <w:vertAlign w:val="subscript"/>
              </w:rPr>
              <w:t>4</w:t>
            </w:r>
            <w:r>
              <w:rPr>
                <w:rFonts w:ascii="Times New Roman" w:eastAsia="宋体" w:hAnsi="Times New Roman" w:cs="Times New Roman"/>
                <w:vertAlign w:val="superscript"/>
              </w:rPr>
              <w:t>2-</w:t>
            </w:r>
          </w:p>
        </w:tc>
      </w:tr>
      <w:tr w:rsidR="00D12939" w14:paraId="0102C0E1" w14:textId="77777777">
        <w:trPr>
          <w:trHeight w:val="322"/>
          <w:jc w:val="center"/>
        </w:trPr>
        <w:tc>
          <w:tcPr>
            <w:tcW w:w="704" w:type="dxa"/>
            <w:vMerge/>
            <w:vAlign w:val="center"/>
          </w:tcPr>
          <w:p w14:paraId="370B179D" w14:textId="77777777" w:rsidR="00D12939" w:rsidRDefault="00D12939">
            <w:pPr>
              <w:pStyle w:val="affffd"/>
              <w:spacing w:line="240" w:lineRule="auto"/>
              <w:rPr>
                <w:rFonts w:ascii="Times New Roman" w:eastAsia="宋体" w:hAnsi="Times New Roman" w:cs="Times New Roman"/>
              </w:rPr>
            </w:pPr>
          </w:p>
        </w:tc>
        <w:tc>
          <w:tcPr>
            <w:tcW w:w="1134" w:type="dxa"/>
            <w:vMerge/>
            <w:vAlign w:val="center"/>
          </w:tcPr>
          <w:p w14:paraId="3F95B3B5" w14:textId="77777777" w:rsidR="00D12939" w:rsidRDefault="00D12939">
            <w:pPr>
              <w:pStyle w:val="affffd"/>
              <w:spacing w:line="240" w:lineRule="auto"/>
              <w:rPr>
                <w:rFonts w:ascii="Times New Roman" w:eastAsia="宋体" w:hAnsi="Times New Roman" w:cs="Times New Roman"/>
              </w:rPr>
            </w:pPr>
          </w:p>
        </w:tc>
        <w:tc>
          <w:tcPr>
            <w:tcW w:w="1276" w:type="dxa"/>
            <w:vAlign w:val="center"/>
          </w:tcPr>
          <w:p w14:paraId="6D1C002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预测分析</w:t>
            </w:r>
          </w:p>
        </w:tc>
        <w:tc>
          <w:tcPr>
            <w:tcW w:w="6570" w:type="dxa"/>
            <w:vAlign w:val="center"/>
          </w:tcPr>
          <w:p w14:paraId="663E59A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r>
      <w:tr w:rsidR="00D12939" w14:paraId="3B253D7B" w14:textId="77777777">
        <w:trPr>
          <w:trHeight w:val="322"/>
          <w:jc w:val="center"/>
        </w:trPr>
        <w:tc>
          <w:tcPr>
            <w:tcW w:w="704" w:type="dxa"/>
            <w:vMerge w:val="restart"/>
            <w:vAlign w:val="center"/>
          </w:tcPr>
          <w:p w14:paraId="61AE1D5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4</w:t>
            </w:r>
          </w:p>
        </w:tc>
        <w:tc>
          <w:tcPr>
            <w:tcW w:w="1134" w:type="dxa"/>
            <w:vMerge w:val="restart"/>
            <w:vAlign w:val="center"/>
          </w:tcPr>
          <w:p w14:paraId="6FA8E69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声环境</w:t>
            </w:r>
          </w:p>
        </w:tc>
        <w:tc>
          <w:tcPr>
            <w:tcW w:w="1276" w:type="dxa"/>
            <w:vAlign w:val="center"/>
          </w:tcPr>
          <w:p w14:paraId="3DA29BC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现状评价</w:t>
            </w:r>
          </w:p>
        </w:tc>
        <w:tc>
          <w:tcPr>
            <w:tcW w:w="6570" w:type="dxa"/>
            <w:vAlign w:val="center"/>
          </w:tcPr>
          <w:p w14:paraId="223DE27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等效</w:t>
            </w:r>
            <w:r>
              <w:rPr>
                <w:rFonts w:ascii="Times New Roman" w:eastAsia="宋体" w:hAnsi="Times New Roman" w:cs="Times New Roman"/>
              </w:rPr>
              <w:t>A</w:t>
            </w:r>
            <w:r>
              <w:rPr>
                <w:rFonts w:ascii="Times New Roman" w:eastAsia="宋体" w:hAnsi="Times New Roman" w:cs="Times New Roman"/>
              </w:rPr>
              <w:t>声级</w:t>
            </w:r>
          </w:p>
        </w:tc>
      </w:tr>
      <w:tr w:rsidR="00D12939" w14:paraId="3B0B6BF8" w14:textId="77777777">
        <w:trPr>
          <w:trHeight w:val="322"/>
          <w:jc w:val="center"/>
        </w:trPr>
        <w:tc>
          <w:tcPr>
            <w:tcW w:w="704" w:type="dxa"/>
            <w:vMerge/>
            <w:vAlign w:val="center"/>
          </w:tcPr>
          <w:p w14:paraId="1EB45A26" w14:textId="77777777" w:rsidR="00D12939" w:rsidRDefault="00D12939">
            <w:pPr>
              <w:pStyle w:val="affffd"/>
              <w:spacing w:line="240" w:lineRule="auto"/>
              <w:rPr>
                <w:rFonts w:ascii="Times New Roman" w:eastAsia="宋体" w:hAnsi="Times New Roman" w:cs="Times New Roman"/>
              </w:rPr>
            </w:pPr>
          </w:p>
        </w:tc>
        <w:tc>
          <w:tcPr>
            <w:tcW w:w="1134" w:type="dxa"/>
            <w:vMerge/>
            <w:vAlign w:val="center"/>
          </w:tcPr>
          <w:p w14:paraId="07F31BB4" w14:textId="77777777" w:rsidR="00D12939" w:rsidRDefault="00D12939">
            <w:pPr>
              <w:pStyle w:val="affffd"/>
              <w:spacing w:line="240" w:lineRule="auto"/>
              <w:rPr>
                <w:rFonts w:ascii="Times New Roman" w:eastAsia="宋体" w:hAnsi="Times New Roman" w:cs="Times New Roman"/>
              </w:rPr>
            </w:pPr>
          </w:p>
        </w:tc>
        <w:tc>
          <w:tcPr>
            <w:tcW w:w="1276" w:type="dxa"/>
            <w:vAlign w:val="center"/>
          </w:tcPr>
          <w:p w14:paraId="147A8F3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影响评价</w:t>
            </w:r>
          </w:p>
        </w:tc>
        <w:tc>
          <w:tcPr>
            <w:tcW w:w="6570" w:type="dxa"/>
            <w:vAlign w:val="center"/>
          </w:tcPr>
          <w:p w14:paraId="3CD463F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等效</w:t>
            </w:r>
            <w:r>
              <w:rPr>
                <w:rFonts w:ascii="Times New Roman" w:eastAsia="宋体" w:hAnsi="Times New Roman" w:cs="Times New Roman"/>
              </w:rPr>
              <w:t>A</w:t>
            </w:r>
            <w:r>
              <w:rPr>
                <w:rFonts w:ascii="Times New Roman" w:eastAsia="宋体" w:hAnsi="Times New Roman" w:cs="Times New Roman"/>
              </w:rPr>
              <w:t>声级</w:t>
            </w:r>
          </w:p>
        </w:tc>
      </w:tr>
      <w:tr w:rsidR="00D12939" w14:paraId="77021EC6" w14:textId="77777777">
        <w:trPr>
          <w:trHeight w:val="322"/>
          <w:jc w:val="center"/>
        </w:trPr>
        <w:tc>
          <w:tcPr>
            <w:tcW w:w="704" w:type="dxa"/>
            <w:vAlign w:val="center"/>
          </w:tcPr>
          <w:p w14:paraId="4039EB4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5</w:t>
            </w:r>
          </w:p>
        </w:tc>
        <w:tc>
          <w:tcPr>
            <w:tcW w:w="1134" w:type="dxa"/>
            <w:vAlign w:val="center"/>
          </w:tcPr>
          <w:p w14:paraId="0902CE2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生态环境</w:t>
            </w:r>
          </w:p>
        </w:tc>
        <w:tc>
          <w:tcPr>
            <w:tcW w:w="1276" w:type="dxa"/>
            <w:vAlign w:val="center"/>
          </w:tcPr>
          <w:p w14:paraId="4BAB176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分析评价</w:t>
            </w:r>
          </w:p>
        </w:tc>
        <w:tc>
          <w:tcPr>
            <w:tcW w:w="6570" w:type="dxa"/>
            <w:vAlign w:val="center"/>
          </w:tcPr>
          <w:p w14:paraId="7DAD28C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植被、土壤、水土流失等</w:t>
            </w:r>
          </w:p>
        </w:tc>
      </w:tr>
      <w:tr w:rsidR="00D12939" w14:paraId="3080B316" w14:textId="77777777">
        <w:trPr>
          <w:trHeight w:val="322"/>
          <w:jc w:val="center"/>
        </w:trPr>
        <w:tc>
          <w:tcPr>
            <w:tcW w:w="704" w:type="dxa"/>
            <w:vMerge w:val="restart"/>
            <w:vAlign w:val="center"/>
          </w:tcPr>
          <w:p w14:paraId="2763930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6</w:t>
            </w:r>
          </w:p>
        </w:tc>
        <w:tc>
          <w:tcPr>
            <w:tcW w:w="1134" w:type="dxa"/>
            <w:vMerge w:val="restart"/>
            <w:vAlign w:val="center"/>
          </w:tcPr>
          <w:p w14:paraId="320C728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土壤环境</w:t>
            </w:r>
          </w:p>
        </w:tc>
        <w:tc>
          <w:tcPr>
            <w:tcW w:w="1276" w:type="dxa"/>
            <w:vAlign w:val="center"/>
          </w:tcPr>
          <w:p w14:paraId="22933A2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现状评价</w:t>
            </w:r>
          </w:p>
        </w:tc>
        <w:tc>
          <w:tcPr>
            <w:tcW w:w="6570" w:type="dxa"/>
            <w:vAlign w:val="center"/>
          </w:tcPr>
          <w:p w14:paraId="0529D298" w14:textId="77777777" w:rsidR="00D12939" w:rsidRDefault="004F47F5">
            <w:pPr>
              <w:pStyle w:val="affffd"/>
              <w:spacing w:line="240" w:lineRule="auto"/>
              <w:ind w:firstLineChars="200" w:firstLine="420"/>
              <w:rPr>
                <w:rFonts w:ascii="Times New Roman" w:eastAsia="宋体" w:hAnsi="Times New Roman" w:cs="Times New Roman"/>
              </w:rPr>
            </w:pPr>
            <w:r>
              <w:rPr>
                <w:rFonts w:ascii="Times New Roman" w:eastAsia="宋体" w:hAnsi="Times New Roman" w:cs="Times New Roman"/>
              </w:rPr>
              <w:t>砷、镉、铬（六价）、铜、铅、汞、镍，四氯化碳、氯仿、氯甲烷、</w:t>
            </w:r>
            <w:r>
              <w:rPr>
                <w:rFonts w:ascii="Times New Roman" w:eastAsia="宋体" w:hAnsi="Times New Roman" w:cs="Times New Roman"/>
              </w:rPr>
              <w:t>1,1-</w:t>
            </w:r>
            <w:r>
              <w:rPr>
                <w:rFonts w:ascii="Times New Roman" w:eastAsia="宋体" w:hAnsi="Times New Roman" w:cs="Times New Roman"/>
              </w:rPr>
              <w:t>二氯乙烷、</w:t>
            </w:r>
            <w:r>
              <w:rPr>
                <w:rFonts w:ascii="Times New Roman" w:eastAsia="宋体" w:hAnsi="Times New Roman" w:cs="Times New Roman"/>
              </w:rPr>
              <w:t>1,2-</w:t>
            </w:r>
            <w:r>
              <w:rPr>
                <w:rFonts w:ascii="Times New Roman" w:eastAsia="宋体" w:hAnsi="Times New Roman" w:cs="Times New Roman"/>
              </w:rPr>
              <w:t>二氯乙烷、</w:t>
            </w:r>
            <w:r>
              <w:rPr>
                <w:rFonts w:ascii="Times New Roman" w:eastAsia="宋体" w:hAnsi="Times New Roman" w:cs="Times New Roman"/>
              </w:rPr>
              <w:t>1,1-</w:t>
            </w:r>
            <w:r>
              <w:rPr>
                <w:rFonts w:ascii="Times New Roman" w:eastAsia="宋体" w:hAnsi="Times New Roman" w:cs="Times New Roman"/>
              </w:rPr>
              <w:t>二氯乙烯、顺</w:t>
            </w:r>
            <w:r>
              <w:rPr>
                <w:rFonts w:ascii="Times New Roman" w:eastAsia="宋体" w:hAnsi="Times New Roman" w:cs="Times New Roman"/>
              </w:rPr>
              <w:t>-1,2-</w:t>
            </w:r>
            <w:r>
              <w:rPr>
                <w:rFonts w:ascii="Times New Roman" w:eastAsia="宋体" w:hAnsi="Times New Roman" w:cs="Times New Roman"/>
              </w:rPr>
              <w:t>二氯乙烯、反</w:t>
            </w:r>
            <w:r>
              <w:rPr>
                <w:rFonts w:ascii="Times New Roman" w:eastAsia="宋体" w:hAnsi="Times New Roman" w:cs="Times New Roman"/>
              </w:rPr>
              <w:t>-1,2-</w:t>
            </w:r>
            <w:r>
              <w:rPr>
                <w:rFonts w:ascii="Times New Roman" w:eastAsia="宋体" w:hAnsi="Times New Roman" w:cs="Times New Roman"/>
              </w:rPr>
              <w:t>二氯乙烯、二氯甲烷、</w:t>
            </w:r>
            <w:r>
              <w:rPr>
                <w:rFonts w:ascii="Times New Roman" w:eastAsia="宋体" w:hAnsi="Times New Roman" w:cs="Times New Roman"/>
              </w:rPr>
              <w:t>1,2-</w:t>
            </w:r>
            <w:r>
              <w:rPr>
                <w:rFonts w:ascii="Times New Roman" w:eastAsia="宋体" w:hAnsi="Times New Roman" w:cs="Times New Roman"/>
              </w:rPr>
              <w:t>二氯丙烷、</w:t>
            </w:r>
            <w:r>
              <w:rPr>
                <w:rFonts w:ascii="Times New Roman" w:eastAsia="宋体" w:hAnsi="Times New Roman" w:cs="Times New Roman"/>
              </w:rPr>
              <w:t>1,1,1,2-</w:t>
            </w:r>
            <w:r>
              <w:rPr>
                <w:rFonts w:ascii="Times New Roman" w:eastAsia="宋体" w:hAnsi="Times New Roman" w:cs="Times New Roman"/>
              </w:rPr>
              <w:t>四氯乙烷、</w:t>
            </w:r>
            <w:r>
              <w:rPr>
                <w:rFonts w:ascii="Times New Roman" w:eastAsia="宋体" w:hAnsi="Times New Roman" w:cs="Times New Roman"/>
              </w:rPr>
              <w:t>1,1,2,2-</w:t>
            </w:r>
            <w:r>
              <w:rPr>
                <w:rFonts w:ascii="Times New Roman" w:eastAsia="宋体" w:hAnsi="Times New Roman" w:cs="Times New Roman"/>
              </w:rPr>
              <w:t>四氯乙烷、四氯乙烯、</w:t>
            </w:r>
            <w:r>
              <w:rPr>
                <w:rFonts w:ascii="Times New Roman" w:eastAsia="宋体" w:hAnsi="Times New Roman" w:cs="Times New Roman"/>
              </w:rPr>
              <w:t>1,1,1-</w:t>
            </w:r>
            <w:r>
              <w:rPr>
                <w:rFonts w:ascii="Times New Roman" w:eastAsia="宋体" w:hAnsi="Times New Roman" w:cs="Times New Roman"/>
              </w:rPr>
              <w:t>三氯乙烷、</w:t>
            </w:r>
            <w:r>
              <w:rPr>
                <w:rFonts w:ascii="Times New Roman" w:eastAsia="宋体" w:hAnsi="Times New Roman" w:cs="Times New Roman"/>
              </w:rPr>
              <w:t>1,1,2-</w:t>
            </w:r>
            <w:r>
              <w:rPr>
                <w:rFonts w:ascii="Times New Roman" w:eastAsia="宋体" w:hAnsi="Times New Roman" w:cs="Times New Roman"/>
              </w:rPr>
              <w:t>三氯乙烷、三氯乙烯、</w:t>
            </w:r>
            <w:r>
              <w:rPr>
                <w:rFonts w:ascii="Times New Roman" w:eastAsia="宋体" w:hAnsi="Times New Roman" w:cs="Times New Roman"/>
              </w:rPr>
              <w:t>1,2,3-</w:t>
            </w:r>
            <w:r>
              <w:rPr>
                <w:rFonts w:ascii="Times New Roman" w:eastAsia="宋体" w:hAnsi="Times New Roman" w:cs="Times New Roman"/>
              </w:rPr>
              <w:t>三氯丙烷、氯乙烯、苯、氯苯、</w:t>
            </w:r>
            <w:r>
              <w:rPr>
                <w:rFonts w:ascii="Times New Roman" w:eastAsia="宋体" w:hAnsi="Times New Roman" w:cs="Times New Roman"/>
              </w:rPr>
              <w:t>1,2-</w:t>
            </w:r>
            <w:r>
              <w:rPr>
                <w:rFonts w:ascii="Times New Roman" w:eastAsia="宋体" w:hAnsi="Times New Roman" w:cs="Times New Roman"/>
              </w:rPr>
              <w:t>二氯苯、</w:t>
            </w:r>
            <w:r>
              <w:rPr>
                <w:rFonts w:ascii="Times New Roman" w:eastAsia="宋体" w:hAnsi="Times New Roman" w:cs="Times New Roman"/>
              </w:rPr>
              <w:t>1,4-</w:t>
            </w:r>
            <w:r>
              <w:rPr>
                <w:rFonts w:ascii="Times New Roman" w:eastAsia="宋体" w:hAnsi="Times New Roman" w:cs="Times New Roman"/>
              </w:rPr>
              <w:t>二氯苯、乙苯、苯乙烯、甲苯、间二甲苯</w:t>
            </w:r>
            <w:r>
              <w:rPr>
                <w:rFonts w:ascii="Times New Roman" w:eastAsia="宋体" w:hAnsi="Times New Roman" w:cs="Times New Roman"/>
              </w:rPr>
              <w:t>+</w:t>
            </w:r>
            <w:r>
              <w:rPr>
                <w:rFonts w:ascii="Times New Roman" w:eastAsia="宋体" w:hAnsi="Times New Roman" w:cs="Times New Roman"/>
              </w:rPr>
              <w:t>对二甲苯、邻二甲苯、硝基苯、苯胺、</w:t>
            </w:r>
            <w:r>
              <w:rPr>
                <w:rFonts w:ascii="Times New Roman" w:eastAsia="宋体" w:hAnsi="Times New Roman" w:cs="Times New Roman"/>
              </w:rPr>
              <w:t>2-</w:t>
            </w:r>
            <w:r>
              <w:rPr>
                <w:rFonts w:ascii="Times New Roman" w:eastAsia="宋体" w:hAnsi="Times New Roman" w:cs="Times New Roman"/>
              </w:rPr>
              <w:t>氯酚、苯并</w:t>
            </w:r>
            <w:r>
              <w:rPr>
                <w:rFonts w:ascii="Times New Roman" w:eastAsia="宋体" w:hAnsi="Times New Roman" w:cs="Times New Roman"/>
              </w:rPr>
              <w:t>[a]</w:t>
            </w:r>
            <w:r>
              <w:rPr>
                <w:rFonts w:ascii="Times New Roman" w:eastAsia="宋体" w:hAnsi="Times New Roman" w:cs="Times New Roman"/>
              </w:rPr>
              <w:t>蒽、苯并</w:t>
            </w:r>
            <w:r>
              <w:rPr>
                <w:rFonts w:ascii="Times New Roman" w:eastAsia="宋体" w:hAnsi="Times New Roman" w:cs="Times New Roman"/>
              </w:rPr>
              <w:t>[a]</w:t>
            </w:r>
            <w:r>
              <w:rPr>
                <w:rFonts w:ascii="Times New Roman" w:eastAsia="宋体" w:hAnsi="Times New Roman" w:cs="Times New Roman"/>
              </w:rPr>
              <w:t>芘、苯并</w:t>
            </w:r>
            <w:r>
              <w:rPr>
                <w:rFonts w:ascii="Times New Roman" w:eastAsia="宋体" w:hAnsi="Times New Roman" w:cs="Times New Roman"/>
              </w:rPr>
              <w:t>[b]</w:t>
            </w:r>
            <w:r>
              <w:rPr>
                <w:rFonts w:ascii="Times New Roman" w:eastAsia="宋体" w:hAnsi="Times New Roman" w:cs="Times New Roman"/>
              </w:rPr>
              <w:t>荧蒽、苯并</w:t>
            </w:r>
            <w:r>
              <w:rPr>
                <w:rFonts w:ascii="Times New Roman" w:eastAsia="宋体" w:hAnsi="Times New Roman" w:cs="Times New Roman"/>
              </w:rPr>
              <w:t>[k]</w:t>
            </w:r>
            <w:r>
              <w:rPr>
                <w:rFonts w:ascii="Times New Roman" w:eastAsia="宋体" w:hAnsi="Times New Roman" w:cs="Times New Roman"/>
              </w:rPr>
              <w:t>荧蒽、䓛、二苯并</w:t>
            </w:r>
            <w:r>
              <w:rPr>
                <w:rFonts w:ascii="Times New Roman" w:eastAsia="宋体" w:hAnsi="Times New Roman" w:cs="Times New Roman"/>
              </w:rPr>
              <w:t>[a,h]</w:t>
            </w:r>
            <w:r>
              <w:rPr>
                <w:rFonts w:ascii="Times New Roman" w:eastAsia="宋体" w:hAnsi="Times New Roman" w:cs="Times New Roman"/>
              </w:rPr>
              <w:t>蒽、茚并</w:t>
            </w:r>
            <w:r>
              <w:rPr>
                <w:rFonts w:ascii="Times New Roman" w:eastAsia="宋体" w:hAnsi="Times New Roman" w:cs="Times New Roman"/>
              </w:rPr>
              <w:t>[1,2,3-cd]</w:t>
            </w:r>
            <w:r>
              <w:rPr>
                <w:rFonts w:ascii="Times New Roman" w:eastAsia="宋体" w:hAnsi="Times New Roman" w:cs="Times New Roman"/>
              </w:rPr>
              <w:t>芘、萘，共</w:t>
            </w:r>
            <w:r>
              <w:rPr>
                <w:rFonts w:ascii="Times New Roman" w:eastAsia="宋体" w:hAnsi="Times New Roman" w:cs="Times New Roman"/>
              </w:rPr>
              <w:t>45</w:t>
            </w:r>
            <w:r>
              <w:rPr>
                <w:rFonts w:ascii="Times New Roman" w:eastAsia="宋体" w:hAnsi="Times New Roman" w:cs="Times New Roman"/>
              </w:rPr>
              <w:t>项</w:t>
            </w:r>
          </w:p>
        </w:tc>
      </w:tr>
      <w:tr w:rsidR="00D12939" w14:paraId="42243AA7" w14:textId="77777777">
        <w:trPr>
          <w:trHeight w:val="322"/>
          <w:jc w:val="center"/>
        </w:trPr>
        <w:tc>
          <w:tcPr>
            <w:tcW w:w="704" w:type="dxa"/>
            <w:vMerge/>
            <w:vAlign w:val="center"/>
          </w:tcPr>
          <w:p w14:paraId="546330BA" w14:textId="77777777" w:rsidR="00D12939" w:rsidRDefault="00D12939">
            <w:pPr>
              <w:pStyle w:val="affffd"/>
              <w:spacing w:line="240" w:lineRule="auto"/>
              <w:rPr>
                <w:rFonts w:ascii="Times New Roman" w:eastAsia="宋体" w:hAnsi="Times New Roman" w:cs="Times New Roman"/>
              </w:rPr>
            </w:pPr>
          </w:p>
        </w:tc>
        <w:tc>
          <w:tcPr>
            <w:tcW w:w="1134" w:type="dxa"/>
            <w:vMerge/>
            <w:vAlign w:val="center"/>
          </w:tcPr>
          <w:p w14:paraId="7C513253" w14:textId="77777777" w:rsidR="00D12939" w:rsidRDefault="00D12939">
            <w:pPr>
              <w:pStyle w:val="affffd"/>
              <w:spacing w:line="240" w:lineRule="auto"/>
              <w:rPr>
                <w:rFonts w:ascii="Times New Roman" w:eastAsia="宋体" w:hAnsi="Times New Roman" w:cs="Times New Roman"/>
              </w:rPr>
            </w:pPr>
          </w:p>
        </w:tc>
        <w:tc>
          <w:tcPr>
            <w:tcW w:w="1276" w:type="dxa"/>
            <w:vAlign w:val="center"/>
          </w:tcPr>
          <w:p w14:paraId="5204836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影响评价</w:t>
            </w:r>
          </w:p>
        </w:tc>
        <w:tc>
          <w:tcPr>
            <w:tcW w:w="6570" w:type="dxa"/>
            <w:vAlign w:val="center"/>
          </w:tcPr>
          <w:p w14:paraId="1232CE6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项目建设及建成后对所在地土壤环境的影响分析</w:t>
            </w:r>
          </w:p>
        </w:tc>
      </w:tr>
      <w:tr w:rsidR="00D12939" w14:paraId="063D15E2" w14:textId="77777777">
        <w:trPr>
          <w:trHeight w:val="322"/>
          <w:jc w:val="center"/>
        </w:trPr>
        <w:tc>
          <w:tcPr>
            <w:tcW w:w="704" w:type="dxa"/>
            <w:vAlign w:val="center"/>
          </w:tcPr>
          <w:p w14:paraId="02EAE33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7</w:t>
            </w:r>
          </w:p>
        </w:tc>
        <w:tc>
          <w:tcPr>
            <w:tcW w:w="1134" w:type="dxa"/>
            <w:vAlign w:val="center"/>
          </w:tcPr>
          <w:p w14:paraId="081BD14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风险评价</w:t>
            </w:r>
          </w:p>
        </w:tc>
        <w:tc>
          <w:tcPr>
            <w:tcW w:w="1276" w:type="dxa"/>
            <w:vAlign w:val="center"/>
          </w:tcPr>
          <w:p w14:paraId="2E388D4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分析评价</w:t>
            </w:r>
          </w:p>
        </w:tc>
        <w:tc>
          <w:tcPr>
            <w:tcW w:w="6570" w:type="dxa"/>
            <w:vAlign w:val="center"/>
          </w:tcPr>
          <w:p w14:paraId="4A8FB5C5" w14:textId="77777777" w:rsidR="00D12939" w:rsidRDefault="004F47F5">
            <w:pPr>
              <w:pStyle w:val="affffd"/>
              <w:spacing w:line="240" w:lineRule="auto"/>
              <w:rPr>
                <w:rFonts w:ascii="Times New Roman" w:eastAsia="宋体" w:hAnsi="Times New Roman" w:cs="Times New Roman"/>
              </w:rPr>
            </w:pPr>
            <w:r>
              <w:rPr>
                <w:rFonts w:ascii="宋体" w:eastAsia="宋体" w:cs="宋体" w:hint="eastAsia"/>
                <w:kern w:val="0"/>
              </w:rPr>
              <w:t>渗沥液泄漏、火灾或爆炸引发的伴生</w:t>
            </w:r>
            <w:r>
              <w:rPr>
                <w:rFonts w:ascii="TimesNewRomanPSMT" w:eastAsia="TimesNewRomanPSMT" w:cs="TimesNewRomanPSMT"/>
                <w:kern w:val="0"/>
              </w:rPr>
              <w:t>/</w:t>
            </w:r>
            <w:r>
              <w:rPr>
                <w:rFonts w:ascii="宋体" w:eastAsia="宋体" w:cs="宋体" w:hint="eastAsia"/>
                <w:kern w:val="0"/>
              </w:rPr>
              <w:t>次生污染物排放</w:t>
            </w:r>
          </w:p>
        </w:tc>
      </w:tr>
    </w:tbl>
    <w:p w14:paraId="707D29A9" w14:textId="77777777" w:rsidR="00D12939" w:rsidRDefault="004F47F5">
      <w:pPr>
        <w:pStyle w:val="2"/>
        <w:spacing w:line="360" w:lineRule="auto"/>
        <w:ind w:firstLineChars="165" w:firstLine="462"/>
        <w:rPr>
          <w:sz w:val="28"/>
        </w:rPr>
      </w:pPr>
      <w:bookmarkStart w:id="197" w:name="_Toc121411694"/>
      <w:bookmarkStart w:id="198" w:name="_Toc22008"/>
      <w:r>
        <w:rPr>
          <w:sz w:val="28"/>
        </w:rPr>
        <w:lastRenderedPageBreak/>
        <w:t>2.3</w:t>
      </w:r>
      <w:r>
        <w:rPr>
          <w:sz w:val="28"/>
        </w:rPr>
        <w:t>评价标准</w:t>
      </w:r>
      <w:bookmarkEnd w:id="191"/>
      <w:bookmarkEnd w:id="192"/>
      <w:bookmarkEnd w:id="193"/>
      <w:bookmarkEnd w:id="194"/>
      <w:bookmarkEnd w:id="195"/>
      <w:bookmarkEnd w:id="197"/>
      <w:bookmarkEnd w:id="198"/>
    </w:p>
    <w:p w14:paraId="0CB418D5"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199" w:name="_Toc121411695"/>
      <w:r>
        <w:rPr>
          <w:rFonts w:ascii="Times New Roman" w:eastAsia="黑体" w:hAnsi="Times New Roman" w:cs="Times New Roman"/>
          <w:b w:val="0"/>
          <w:sz w:val="24"/>
        </w:rPr>
        <w:t>2.</w:t>
      </w:r>
      <w:r>
        <w:rPr>
          <w:rFonts w:ascii="Times New Roman" w:eastAsia="黑体" w:hAnsi="Times New Roman" w:cs="Times New Roman" w:hint="eastAsia"/>
          <w:b w:val="0"/>
          <w:sz w:val="24"/>
        </w:rPr>
        <w:t>3</w:t>
      </w:r>
      <w:r>
        <w:rPr>
          <w:rFonts w:ascii="Times New Roman" w:eastAsia="黑体" w:hAnsi="Times New Roman" w:cs="Times New Roman"/>
          <w:b w:val="0"/>
          <w:sz w:val="24"/>
        </w:rPr>
        <w:t>.1</w:t>
      </w:r>
      <w:r>
        <w:rPr>
          <w:rFonts w:ascii="Times New Roman" w:eastAsia="黑体" w:hAnsi="Times New Roman" w:cs="Times New Roman"/>
          <w:b w:val="0"/>
          <w:sz w:val="24"/>
        </w:rPr>
        <w:t>环境质量标准</w:t>
      </w:r>
      <w:bookmarkEnd w:id="199"/>
    </w:p>
    <w:p w14:paraId="74294E29"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sz w:val="24"/>
        </w:rPr>
        <w:t xml:space="preserve"> </w:t>
      </w:r>
      <w:r>
        <w:rPr>
          <w:rFonts w:ascii="Times New Roman" w:eastAsia="宋体" w:hAnsi="Times New Roman" w:cs="Times New Roman"/>
          <w:sz w:val="24"/>
        </w:rPr>
        <w:t>环境空气质量执行《环境空气质量标准》（</w:t>
      </w:r>
      <w:r>
        <w:rPr>
          <w:rFonts w:ascii="Times New Roman" w:eastAsia="宋体" w:hAnsi="Times New Roman" w:cs="Times New Roman"/>
          <w:sz w:val="24"/>
        </w:rPr>
        <w:t>GB3095-2012</w:t>
      </w:r>
      <w:r>
        <w:rPr>
          <w:rFonts w:ascii="Times New Roman" w:eastAsia="宋体" w:hAnsi="Times New Roman" w:cs="Times New Roman"/>
          <w:sz w:val="24"/>
        </w:rPr>
        <w:t>）二级标准，</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参照《环境影响评价技术导则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）附录</w:t>
      </w:r>
      <w:r>
        <w:rPr>
          <w:rFonts w:ascii="Times New Roman" w:eastAsia="宋体" w:hAnsi="Times New Roman" w:cs="Times New Roman"/>
          <w:sz w:val="24"/>
        </w:rPr>
        <w:t>D</w:t>
      </w:r>
      <w:r>
        <w:rPr>
          <w:rFonts w:ascii="Times New Roman" w:eastAsia="宋体" w:hAnsi="Times New Roman" w:cs="Times New Roman"/>
          <w:sz w:val="24"/>
        </w:rPr>
        <w:t>中浓度限值，臭气浓度参照《恶臭污染物排放标准》（</w:t>
      </w:r>
      <w:r>
        <w:rPr>
          <w:rFonts w:ascii="Times New Roman" w:eastAsia="宋体" w:hAnsi="Times New Roman" w:cs="Times New Roman"/>
          <w:sz w:val="24"/>
        </w:rPr>
        <w:t>GB14554-93</w:t>
      </w:r>
      <w:r>
        <w:rPr>
          <w:rFonts w:ascii="Times New Roman" w:eastAsia="宋体" w:hAnsi="Times New Roman" w:cs="Times New Roman"/>
          <w:sz w:val="24"/>
        </w:rPr>
        <w:t>）表</w:t>
      </w:r>
      <w:r>
        <w:rPr>
          <w:rFonts w:ascii="Times New Roman" w:eastAsia="宋体" w:hAnsi="Times New Roman" w:cs="Times New Roman"/>
          <w:sz w:val="24"/>
        </w:rPr>
        <w:t>1</w:t>
      </w:r>
      <w:r>
        <w:rPr>
          <w:rFonts w:ascii="Times New Roman" w:eastAsia="宋体" w:hAnsi="Times New Roman" w:cs="Times New Roman"/>
          <w:sz w:val="24"/>
        </w:rPr>
        <w:t>中的二级新扩改建标准值</w:t>
      </w:r>
      <w:r>
        <w:rPr>
          <w:rFonts w:ascii="Times New Roman" w:eastAsia="宋体" w:hAnsi="Times New Roman" w:cs="Times New Roman" w:hint="eastAsia"/>
          <w:sz w:val="24"/>
        </w:rPr>
        <w:t>。</w:t>
      </w:r>
    </w:p>
    <w:p w14:paraId="6FA8703B"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sz w:val="24"/>
        </w:rPr>
        <w:t>（2）</w:t>
      </w:r>
      <w:r>
        <w:rPr>
          <w:rFonts w:ascii="宋体" w:eastAsia="宋体" w:hAnsi="宋体" w:cs="宋体"/>
          <w:sz w:val="24"/>
        </w:rPr>
        <w:t xml:space="preserve"> 地表水环境执行《地表</w:t>
      </w:r>
      <w:r>
        <w:rPr>
          <w:rFonts w:ascii="Times New Roman" w:eastAsia="宋体" w:hAnsi="Times New Roman" w:cs="Times New Roman"/>
          <w:sz w:val="24"/>
        </w:rPr>
        <w:t>水环境质量标准》（</w:t>
      </w:r>
      <w:r>
        <w:rPr>
          <w:rFonts w:ascii="Times New Roman" w:eastAsia="宋体" w:hAnsi="Times New Roman" w:cs="Times New Roman"/>
          <w:sz w:val="24"/>
        </w:rPr>
        <w:t>GB3838-2002</w:t>
      </w:r>
      <w:r>
        <w:rPr>
          <w:rFonts w:ascii="Times New Roman" w:eastAsia="宋体" w:hAnsi="Times New Roman" w:cs="Times New Roman"/>
          <w:sz w:val="24"/>
        </w:rPr>
        <w:t>）</w:t>
      </w:r>
      <w:r>
        <w:rPr>
          <w:rFonts w:ascii="Times New Roman" w:eastAsia="宋体" w:hAnsi="Times New Roman" w:cs="Times New Roman"/>
          <w:sz w:val="24"/>
        </w:rPr>
        <w:t>II</w:t>
      </w:r>
      <w:r>
        <w:rPr>
          <w:rFonts w:ascii="Times New Roman" w:eastAsia="宋体" w:hAnsi="Times New Roman" w:cs="Times New Roman"/>
          <w:sz w:val="24"/>
        </w:rPr>
        <w:t>类标准</w:t>
      </w:r>
      <w:r>
        <w:rPr>
          <w:rFonts w:ascii="Times New Roman" w:eastAsia="宋体" w:hAnsi="Times New Roman" w:cs="Times New Roman" w:hint="eastAsia"/>
          <w:sz w:val="24"/>
        </w:rPr>
        <w:t>。</w:t>
      </w:r>
    </w:p>
    <w:p w14:paraId="2BE672A8"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sz w:val="24"/>
        </w:rPr>
        <w:t xml:space="preserve"> </w:t>
      </w:r>
      <w:r>
        <w:rPr>
          <w:rFonts w:ascii="Times New Roman" w:eastAsia="宋体" w:hAnsi="Times New Roman" w:cs="Times New Roman"/>
          <w:sz w:val="24"/>
        </w:rPr>
        <w:t>地下水环境质量执行《地下水质量标准》（</w:t>
      </w:r>
      <w:r>
        <w:rPr>
          <w:rFonts w:ascii="Times New Roman" w:eastAsia="宋体" w:hAnsi="Times New Roman" w:cs="Times New Roman"/>
          <w:sz w:val="24"/>
        </w:rPr>
        <w:t>GB/T14848-2017</w:t>
      </w:r>
      <w:r>
        <w:rPr>
          <w:rFonts w:ascii="Times New Roman" w:eastAsia="宋体" w:hAnsi="Times New Roman" w:cs="Times New Roman"/>
          <w:sz w:val="24"/>
        </w:rPr>
        <w:t>）</w:t>
      </w:r>
      <w:r>
        <w:rPr>
          <w:rFonts w:ascii="Times New Roman" w:eastAsia="宋体" w:hAnsi="Times New Roman" w:cs="Times New Roman"/>
          <w:sz w:val="24"/>
        </w:rPr>
        <w:t>III</w:t>
      </w:r>
      <w:r>
        <w:rPr>
          <w:rFonts w:ascii="Times New Roman" w:eastAsia="宋体" w:hAnsi="Times New Roman" w:cs="Times New Roman"/>
          <w:sz w:val="24"/>
        </w:rPr>
        <w:t>类标准</w:t>
      </w:r>
      <w:r>
        <w:rPr>
          <w:rFonts w:ascii="Times New Roman" w:eastAsia="宋体" w:hAnsi="Times New Roman" w:cs="Times New Roman" w:hint="eastAsia"/>
          <w:sz w:val="24"/>
        </w:rPr>
        <w:t>。</w:t>
      </w:r>
    </w:p>
    <w:p w14:paraId="42C96E2C"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sz w:val="24"/>
        </w:rPr>
        <w:t>（4）</w:t>
      </w:r>
      <w:r>
        <w:rPr>
          <w:rFonts w:ascii="Times New Roman" w:eastAsia="宋体" w:hAnsi="Times New Roman" w:cs="Times New Roman"/>
          <w:sz w:val="24"/>
        </w:rPr>
        <w:t>声环境质量执行《声环境质量标准》（</w:t>
      </w:r>
      <w:r>
        <w:rPr>
          <w:rFonts w:ascii="Times New Roman" w:eastAsia="宋体" w:hAnsi="Times New Roman" w:cs="Times New Roman"/>
          <w:sz w:val="24"/>
        </w:rPr>
        <w:t>GB3096-2008</w:t>
      </w: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类标准</w:t>
      </w:r>
      <w:r>
        <w:rPr>
          <w:rFonts w:ascii="Times New Roman" w:eastAsia="宋体" w:hAnsi="Times New Roman" w:cs="Times New Roman" w:hint="eastAsia"/>
          <w:sz w:val="24"/>
        </w:rPr>
        <w:t>。</w:t>
      </w:r>
    </w:p>
    <w:p w14:paraId="44947157"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sz w:val="24"/>
        </w:rPr>
        <w:t>（5）</w:t>
      </w:r>
      <w:r>
        <w:rPr>
          <w:rFonts w:ascii="宋体" w:eastAsia="宋体" w:hAnsi="宋体" w:cs="宋体"/>
          <w:sz w:val="24"/>
        </w:rPr>
        <w:t>土壤环境影响评</w:t>
      </w:r>
      <w:r>
        <w:rPr>
          <w:rFonts w:ascii="Times New Roman" w:eastAsia="宋体" w:hAnsi="Times New Roman" w:cs="Times New Roman"/>
          <w:sz w:val="24"/>
        </w:rPr>
        <w:t>价执行《土壤环境质量标准</w:t>
      </w:r>
      <w:r>
        <w:rPr>
          <w:rFonts w:ascii="Times New Roman" w:eastAsia="宋体" w:hAnsi="Times New Roman" w:cs="Times New Roman"/>
          <w:sz w:val="24"/>
        </w:rPr>
        <w:t xml:space="preserve"> </w:t>
      </w:r>
      <w:r>
        <w:rPr>
          <w:rFonts w:ascii="Times New Roman" w:eastAsia="宋体" w:hAnsi="Times New Roman" w:cs="Times New Roman"/>
          <w:sz w:val="24"/>
        </w:rPr>
        <w:t>建设用地土壤污染风险管控标准》（试行）（</w:t>
      </w:r>
      <w:r>
        <w:rPr>
          <w:rFonts w:ascii="Times New Roman" w:eastAsia="宋体" w:hAnsi="Times New Roman" w:cs="Times New Roman"/>
          <w:sz w:val="24"/>
        </w:rPr>
        <w:t>GB36600</w:t>
      </w:r>
      <w:r>
        <w:rPr>
          <w:rFonts w:ascii="Times New Roman" w:eastAsia="宋体" w:hAnsi="Times New Roman" w:cs="Times New Roman"/>
          <w:sz w:val="24"/>
        </w:rPr>
        <w:t>－</w:t>
      </w:r>
      <w:r>
        <w:rPr>
          <w:rFonts w:ascii="Times New Roman" w:eastAsia="宋体" w:hAnsi="Times New Roman" w:cs="Times New Roman"/>
          <w:sz w:val="24"/>
        </w:rPr>
        <w:t>2018</w:t>
      </w:r>
      <w:r>
        <w:rPr>
          <w:rFonts w:ascii="Times New Roman" w:eastAsia="宋体" w:hAnsi="Times New Roman" w:cs="Times New Roman"/>
          <w:sz w:val="24"/>
        </w:rPr>
        <w:t>）表</w:t>
      </w:r>
      <w:r>
        <w:rPr>
          <w:rFonts w:ascii="Times New Roman" w:eastAsia="宋体" w:hAnsi="Times New Roman" w:cs="Times New Roman"/>
          <w:sz w:val="24"/>
        </w:rPr>
        <w:t>1</w:t>
      </w:r>
      <w:r>
        <w:rPr>
          <w:rFonts w:ascii="Times New Roman" w:eastAsia="宋体" w:hAnsi="Times New Roman" w:cs="Times New Roman"/>
          <w:sz w:val="24"/>
        </w:rPr>
        <w:t>中相关标准</w:t>
      </w:r>
      <w:r>
        <w:rPr>
          <w:rFonts w:ascii="Times New Roman" w:eastAsia="宋体" w:hAnsi="Times New Roman" w:cs="Times New Roman" w:hint="eastAsia"/>
          <w:sz w:val="24"/>
        </w:rPr>
        <w:t>。</w:t>
      </w:r>
    </w:p>
    <w:p w14:paraId="0DCCEAE7" w14:textId="77777777" w:rsidR="00D12939" w:rsidRDefault="004F47F5">
      <w:pPr>
        <w:pStyle w:val="-ls"/>
        <w:ind w:firstLine="480"/>
        <w:rPr>
          <w:rFonts w:ascii="Times New Roman" w:eastAsia="宋体" w:hAnsi="Times New Roman" w:cs="Times New Roman"/>
        </w:rPr>
      </w:pPr>
      <w:r>
        <w:rPr>
          <w:rFonts w:ascii="Times New Roman" w:eastAsia="宋体" w:hAnsi="Times New Roman" w:cs="Times New Roman"/>
        </w:rPr>
        <w:t>环境质量标准限值具体见表</w:t>
      </w:r>
      <w:r>
        <w:rPr>
          <w:rFonts w:ascii="Times New Roman" w:eastAsia="宋体" w:hAnsi="Times New Roman" w:cs="Times New Roman"/>
        </w:rPr>
        <w:t>2.3-1</w:t>
      </w:r>
      <w:r>
        <w:rPr>
          <w:rFonts w:ascii="Times New Roman" w:eastAsia="宋体" w:hAnsi="Times New Roman" w:cs="Times New Roman"/>
        </w:rPr>
        <w:t>。</w:t>
      </w:r>
    </w:p>
    <w:p w14:paraId="095C60A9" w14:textId="77777777" w:rsidR="00D12939" w:rsidRDefault="004F47F5">
      <w:pPr>
        <w:pStyle w:val="a5"/>
        <w:ind w:firstLine="480"/>
        <w:rPr>
          <w:rFonts w:ascii="黑体" w:eastAsia="黑体" w:hAnsi="黑体"/>
          <w:sz w:val="24"/>
        </w:rPr>
      </w:pPr>
      <w:r>
        <w:rPr>
          <w:rFonts w:ascii="黑体" w:eastAsia="黑体" w:hAnsi="黑体"/>
          <w:sz w:val="24"/>
          <w:szCs w:val="21"/>
        </w:rPr>
        <w:t xml:space="preserve">表2.3-1   </w:t>
      </w:r>
      <w:r>
        <w:rPr>
          <w:rFonts w:ascii="黑体" w:eastAsia="黑体" w:hAnsi="黑体"/>
          <w:sz w:val="24"/>
        </w:rPr>
        <w:t>环境质量标准</w:t>
      </w:r>
      <w:r>
        <w:rPr>
          <w:rFonts w:ascii="黑体" w:eastAsia="黑体" w:hAnsi="黑体" w:hint="eastAsia"/>
          <w:sz w:val="24"/>
        </w:rPr>
        <w:t>（</w:t>
      </w:r>
      <w:r>
        <w:rPr>
          <w:rFonts w:ascii="黑体" w:eastAsia="黑体" w:hAnsi="黑体"/>
          <w:sz w:val="24"/>
        </w:rPr>
        <w:t>节选</w:t>
      </w:r>
      <w:r>
        <w:rPr>
          <w:rFonts w:ascii="黑体" w:eastAsia="黑体" w:hAnsi="黑体" w:hint="eastAsia"/>
          <w:sz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40"/>
        <w:gridCol w:w="1665"/>
        <w:gridCol w:w="363"/>
        <w:gridCol w:w="681"/>
        <w:gridCol w:w="401"/>
        <w:gridCol w:w="1162"/>
        <w:gridCol w:w="505"/>
        <w:gridCol w:w="1030"/>
        <w:gridCol w:w="1001"/>
        <w:gridCol w:w="1984"/>
      </w:tblGrid>
      <w:tr w:rsidR="00D12939" w14:paraId="6195BF14" w14:textId="77777777">
        <w:trPr>
          <w:trHeight w:val="113"/>
        </w:trPr>
        <w:tc>
          <w:tcPr>
            <w:tcW w:w="704" w:type="dxa"/>
            <w:vMerge w:val="restart"/>
            <w:vAlign w:val="center"/>
          </w:tcPr>
          <w:p w14:paraId="48EDCED2"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标准</w:t>
            </w:r>
          </w:p>
          <w:p w14:paraId="66243876"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类别</w:t>
            </w:r>
          </w:p>
        </w:tc>
        <w:tc>
          <w:tcPr>
            <w:tcW w:w="2268" w:type="dxa"/>
            <w:gridSpan w:val="3"/>
            <w:vMerge w:val="restart"/>
            <w:vAlign w:val="center"/>
          </w:tcPr>
          <w:p w14:paraId="1696EF78"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污染因子</w:t>
            </w:r>
          </w:p>
        </w:tc>
        <w:tc>
          <w:tcPr>
            <w:tcW w:w="3779" w:type="dxa"/>
            <w:gridSpan w:val="5"/>
            <w:vAlign w:val="center"/>
          </w:tcPr>
          <w:p w14:paraId="376D97F3"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标准限值</w:t>
            </w:r>
          </w:p>
        </w:tc>
        <w:tc>
          <w:tcPr>
            <w:tcW w:w="2985" w:type="dxa"/>
            <w:gridSpan w:val="2"/>
            <w:vMerge w:val="restart"/>
            <w:vAlign w:val="center"/>
          </w:tcPr>
          <w:p w14:paraId="026B1874"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标准来源</w:t>
            </w:r>
          </w:p>
        </w:tc>
      </w:tr>
      <w:tr w:rsidR="00D12939" w14:paraId="26BB4EC4" w14:textId="77777777">
        <w:trPr>
          <w:trHeight w:val="113"/>
        </w:trPr>
        <w:tc>
          <w:tcPr>
            <w:tcW w:w="704" w:type="dxa"/>
            <w:vMerge/>
            <w:vAlign w:val="center"/>
          </w:tcPr>
          <w:p w14:paraId="48D05129" w14:textId="77777777" w:rsidR="00D12939" w:rsidRDefault="00D12939">
            <w:pPr>
              <w:jc w:val="center"/>
              <w:rPr>
                <w:rFonts w:ascii="Times New Roman" w:eastAsia="宋体" w:hAnsi="Times New Roman" w:cs="Times New Roman"/>
                <w:szCs w:val="21"/>
              </w:rPr>
            </w:pPr>
          </w:p>
        </w:tc>
        <w:tc>
          <w:tcPr>
            <w:tcW w:w="2268" w:type="dxa"/>
            <w:gridSpan w:val="3"/>
            <w:vMerge/>
            <w:vAlign w:val="center"/>
          </w:tcPr>
          <w:p w14:paraId="7AC67C24" w14:textId="77777777" w:rsidR="00D12939" w:rsidRDefault="00D12939">
            <w:pPr>
              <w:jc w:val="center"/>
              <w:rPr>
                <w:rFonts w:ascii="Times New Roman" w:eastAsia="宋体" w:hAnsi="Times New Roman" w:cs="Times New Roman"/>
                <w:szCs w:val="21"/>
              </w:rPr>
            </w:pPr>
          </w:p>
        </w:tc>
        <w:tc>
          <w:tcPr>
            <w:tcW w:w="1082" w:type="dxa"/>
            <w:gridSpan w:val="2"/>
            <w:vAlign w:val="center"/>
          </w:tcPr>
          <w:p w14:paraId="2B9560A6"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小时值</w:t>
            </w:r>
          </w:p>
        </w:tc>
        <w:tc>
          <w:tcPr>
            <w:tcW w:w="1667" w:type="dxa"/>
            <w:gridSpan w:val="2"/>
            <w:vAlign w:val="center"/>
          </w:tcPr>
          <w:p w14:paraId="1CA9859E"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24</w:t>
            </w:r>
            <w:r>
              <w:rPr>
                <w:rFonts w:ascii="Times New Roman" w:eastAsia="宋体" w:hAnsi="Times New Roman" w:cs="Times New Roman"/>
                <w:spacing w:val="-6"/>
                <w:szCs w:val="21"/>
              </w:rPr>
              <w:t>小时平均值</w:t>
            </w:r>
          </w:p>
        </w:tc>
        <w:tc>
          <w:tcPr>
            <w:tcW w:w="1030" w:type="dxa"/>
            <w:vAlign w:val="center"/>
          </w:tcPr>
          <w:p w14:paraId="2E77B28D"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年均值</w:t>
            </w:r>
          </w:p>
        </w:tc>
        <w:tc>
          <w:tcPr>
            <w:tcW w:w="2985" w:type="dxa"/>
            <w:gridSpan w:val="2"/>
            <w:vMerge/>
            <w:vAlign w:val="center"/>
          </w:tcPr>
          <w:p w14:paraId="41098EE2" w14:textId="77777777" w:rsidR="00D12939" w:rsidRDefault="00D12939">
            <w:pPr>
              <w:jc w:val="center"/>
              <w:rPr>
                <w:rFonts w:ascii="Times New Roman" w:eastAsia="宋体" w:hAnsi="Times New Roman" w:cs="Times New Roman"/>
                <w:szCs w:val="21"/>
              </w:rPr>
            </w:pPr>
          </w:p>
        </w:tc>
      </w:tr>
      <w:tr w:rsidR="00D12939" w14:paraId="1F875F55" w14:textId="77777777">
        <w:trPr>
          <w:trHeight w:val="113"/>
        </w:trPr>
        <w:tc>
          <w:tcPr>
            <w:tcW w:w="704" w:type="dxa"/>
            <w:vMerge w:val="restart"/>
            <w:vAlign w:val="center"/>
          </w:tcPr>
          <w:p w14:paraId="7AC986C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大气环境</w:t>
            </w:r>
          </w:p>
        </w:tc>
        <w:tc>
          <w:tcPr>
            <w:tcW w:w="2268" w:type="dxa"/>
            <w:gridSpan w:val="3"/>
            <w:vAlign w:val="center"/>
          </w:tcPr>
          <w:p w14:paraId="204538E5"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SO</w:t>
            </w:r>
            <w:r>
              <w:rPr>
                <w:rFonts w:ascii="Times New Roman" w:eastAsia="宋体" w:hAnsi="Times New Roman" w:cs="Times New Roman"/>
                <w:spacing w:val="-6"/>
                <w:szCs w:val="21"/>
                <w:vertAlign w:val="subscript"/>
              </w:rPr>
              <w:t>2</w:t>
            </w:r>
            <w:r>
              <w:rPr>
                <w:rFonts w:ascii="Times New Roman" w:eastAsia="宋体" w:hAnsi="Times New Roman" w:cs="Times New Roman"/>
                <w:spacing w:val="-6"/>
                <w:szCs w:val="21"/>
              </w:rPr>
              <w:t>（</w:t>
            </w:r>
            <w:r>
              <w:rPr>
                <w:rFonts w:ascii="Times New Roman" w:eastAsia="宋体" w:hAnsi="Times New Roman" w:cs="Times New Roman"/>
                <w:spacing w:val="-6"/>
                <w:szCs w:val="21"/>
              </w:rPr>
              <w:t>μg/m</w:t>
            </w:r>
            <w:r>
              <w:rPr>
                <w:rFonts w:ascii="Times New Roman" w:eastAsia="宋体" w:hAnsi="Times New Roman" w:cs="Times New Roman"/>
                <w:spacing w:val="-6"/>
                <w:szCs w:val="21"/>
                <w:vertAlign w:val="superscript"/>
              </w:rPr>
              <w:t>3</w:t>
            </w:r>
            <w:r>
              <w:rPr>
                <w:rFonts w:ascii="Times New Roman" w:eastAsia="宋体" w:hAnsi="Times New Roman" w:cs="Times New Roman"/>
                <w:spacing w:val="-6"/>
                <w:szCs w:val="21"/>
              </w:rPr>
              <w:t>）</w:t>
            </w:r>
          </w:p>
        </w:tc>
        <w:tc>
          <w:tcPr>
            <w:tcW w:w="1082" w:type="dxa"/>
            <w:gridSpan w:val="2"/>
            <w:vAlign w:val="center"/>
          </w:tcPr>
          <w:p w14:paraId="1AA47B8A"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500</w:t>
            </w:r>
          </w:p>
        </w:tc>
        <w:tc>
          <w:tcPr>
            <w:tcW w:w="1667" w:type="dxa"/>
            <w:gridSpan w:val="2"/>
            <w:vAlign w:val="center"/>
          </w:tcPr>
          <w:p w14:paraId="33242883"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150</w:t>
            </w:r>
          </w:p>
        </w:tc>
        <w:tc>
          <w:tcPr>
            <w:tcW w:w="1030" w:type="dxa"/>
            <w:vAlign w:val="center"/>
          </w:tcPr>
          <w:p w14:paraId="0D32F918"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60</w:t>
            </w:r>
          </w:p>
        </w:tc>
        <w:tc>
          <w:tcPr>
            <w:tcW w:w="2985" w:type="dxa"/>
            <w:gridSpan w:val="2"/>
            <w:vMerge w:val="restart"/>
            <w:vAlign w:val="center"/>
          </w:tcPr>
          <w:p w14:paraId="778AB67A"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zCs w:val="21"/>
              </w:rPr>
              <w:t>《环境空气质量标准》</w:t>
            </w:r>
            <w:r>
              <w:rPr>
                <w:rFonts w:ascii="Times New Roman" w:eastAsia="宋体" w:hAnsi="Times New Roman" w:cs="Times New Roman"/>
                <w:szCs w:val="21"/>
              </w:rPr>
              <w:t>(GB3095-2012</w:t>
            </w:r>
            <w:r>
              <w:rPr>
                <w:rFonts w:ascii="Times New Roman" w:eastAsia="宋体" w:hAnsi="Times New Roman" w:cs="Times New Roman"/>
                <w:szCs w:val="21"/>
              </w:rPr>
              <w:t>及</w:t>
            </w:r>
            <w:r>
              <w:rPr>
                <w:rFonts w:ascii="Times New Roman" w:eastAsia="宋体" w:hAnsi="Times New Roman" w:cs="Times New Roman"/>
                <w:szCs w:val="21"/>
              </w:rPr>
              <w:t>2018</w:t>
            </w:r>
            <w:r>
              <w:rPr>
                <w:rFonts w:ascii="Times New Roman" w:eastAsia="宋体" w:hAnsi="Times New Roman" w:cs="Times New Roman"/>
                <w:szCs w:val="21"/>
              </w:rPr>
              <w:t>年修改单</w:t>
            </w:r>
            <w:r>
              <w:rPr>
                <w:rFonts w:ascii="Times New Roman" w:eastAsia="宋体" w:hAnsi="Times New Roman" w:cs="Times New Roman"/>
                <w:szCs w:val="21"/>
              </w:rPr>
              <w:t>)</w:t>
            </w:r>
            <w:r>
              <w:rPr>
                <w:rFonts w:ascii="Times New Roman" w:eastAsia="宋体" w:hAnsi="Times New Roman" w:cs="Times New Roman"/>
                <w:szCs w:val="21"/>
              </w:rPr>
              <w:t>中二级标准</w:t>
            </w:r>
          </w:p>
        </w:tc>
      </w:tr>
      <w:tr w:rsidR="00D12939" w14:paraId="46E2EEF0" w14:textId="77777777">
        <w:trPr>
          <w:trHeight w:val="113"/>
        </w:trPr>
        <w:tc>
          <w:tcPr>
            <w:tcW w:w="704" w:type="dxa"/>
            <w:vMerge/>
            <w:vAlign w:val="center"/>
          </w:tcPr>
          <w:p w14:paraId="276100D8" w14:textId="77777777" w:rsidR="00D12939" w:rsidRDefault="00D12939">
            <w:pPr>
              <w:jc w:val="center"/>
              <w:rPr>
                <w:rFonts w:ascii="Times New Roman" w:eastAsia="宋体" w:hAnsi="Times New Roman" w:cs="Times New Roman"/>
                <w:szCs w:val="21"/>
              </w:rPr>
            </w:pPr>
          </w:p>
        </w:tc>
        <w:tc>
          <w:tcPr>
            <w:tcW w:w="2268" w:type="dxa"/>
            <w:gridSpan w:val="3"/>
            <w:vAlign w:val="center"/>
          </w:tcPr>
          <w:p w14:paraId="4F6A2473"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NO</w:t>
            </w:r>
            <w:r>
              <w:rPr>
                <w:rFonts w:ascii="Times New Roman" w:eastAsia="宋体" w:hAnsi="Times New Roman" w:cs="Times New Roman"/>
                <w:spacing w:val="-6"/>
                <w:szCs w:val="21"/>
                <w:vertAlign w:val="subscript"/>
              </w:rPr>
              <w:t>2</w:t>
            </w:r>
            <w:r>
              <w:rPr>
                <w:rFonts w:ascii="Times New Roman" w:eastAsia="宋体" w:hAnsi="Times New Roman" w:cs="Times New Roman"/>
                <w:spacing w:val="-6"/>
                <w:szCs w:val="21"/>
              </w:rPr>
              <w:t>（</w:t>
            </w:r>
            <w:r>
              <w:rPr>
                <w:rFonts w:ascii="Times New Roman" w:eastAsia="宋体" w:hAnsi="Times New Roman" w:cs="Times New Roman"/>
                <w:spacing w:val="-6"/>
                <w:szCs w:val="21"/>
              </w:rPr>
              <w:t>μg/m</w:t>
            </w:r>
            <w:r>
              <w:rPr>
                <w:rFonts w:ascii="Times New Roman" w:eastAsia="宋体" w:hAnsi="Times New Roman" w:cs="Times New Roman"/>
                <w:spacing w:val="-6"/>
                <w:szCs w:val="21"/>
                <w:vertAlign w:val="superscript"/>
              </w:rPr>
              <w:t>3</w:t>
            </w:r>
            <w:r>
              <w:rPr>
                <w:rFonts w:ascii="Times New Roman" w:eastAsia="宋体" w:hAnsi="Times New Roman" w:cs="Times New Roman"/>
                <w:spacing w:val="-6"/>
                <w:szCs w:val="21"/>
              </w:rPr>
              <w:t>）</w:t>
            </w:r>
          </w:p>
        </w:tc>
        <w:tc>
          <w:tcPr>
            <w:tcW w:w="1082" w:type="dxa"/>
            <w:gridSpan w:val="2"/>
            <w:vAlign w:val="center"/>
          </w:tcPr>
          <w:p w14:paraId="360542A5"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200</w:t>
            </w:r>
          </w:p>
        </w:tc>
        <w:tc>
          <w:tcPr>
            <w:tcW w:w="1667" w:type="dxa"/>
            <w:gridSpan w:val="2"/>
            <w:vAlign w:val="center"/>
          </w:tcPr>
          <w:p w14:paraId="02DA78E1"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80</w:t>
            </w:r>
          </w:p>
        </w:tc>
        <w:tc>
          <w:tcPr>
            <w:tcW w:w="1030" w:type="dxa"/>
            <w:vAlign w:val="center"/>
          </w:tcPr>
          <w:p w14:paraId="125C076A"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40</w:t>
            </w:r>
          </w:p>
        </w:tc>
        <w:tc>
          <w:tcPr>
            <w:tcW w:w="2985" w:type="dxa"/>
            <w:gridSpan w:val="2"/>
            <w:vMerge/>
            <w:vAlign w:val="center"/>
          </w:tcPr>
          <w:p w14:paraId="6F951F69" w14:textId="77777777" w:rsidR="00D12939" w:rsidRDefault="00D12939">
            <w:pPr>
              <w:snapToGrid w:val="0"/>
              <w:jc w:val="center"/>
              <w:rPr>
                <w:rFonts w:ascii="Times New Roman" w:eastAsia="宋体" w:hAnsi="Times New Roman" w:cs="Times New Roman"/>
                <w:spacing w:val="-6"/>
                <w:szCs w:val="21"/>
              </w:rPr>
            </w:pPr>
          </w:p>
        </w:tc>
      </w:tr>
      <w:tr w:rsidR="00D12939" w14:paraId="71BEF8BF" w14:textId="77777777">
        <w:trPr>
          <w:trHeight w:val="113"/>
        </w:trPr>
        <w:tc>
          <w:tcPr>
            <w:tcW w:w="704" w:type="dxa"/>
            <w:vMerge/>
            <w:vAlign w:val="center"/>
          </w:tcPr>
          <w:p w14:paraId="0AF54754" w14:textId="77777777" w:rsidR="00D12939" w:rsidRDefault="00D12939">
            <w:pPr>
              <w:jc w:val="center"/>
              <w:rPr>
                <w:rFonts w:ascii="Times New Roman" w:eastAsia="宋体" w:hAnsi="Times New Roman" w:cs="Times New Roman"/>
                <w:szCs w:val="21"/>
              </w:rPr>
            </w:pPr>
          </w:p>
        </w:tc>
        <w:tc>
          <w:tcPr>
            <w:tcW w:w="2268" w:type="dxa"/>
            <w:gridSpan w:val="3"/>
            <w:vAlign w:val="center"/>
          </w:tcPr>
          <w:p w14:paraId="7EBE28B2"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PM</w:t>
            </w:r>
            <w:r>
              <w:rPr>
                <w:rFonts w:ascii="Times New Roman" w:eastAsia="宋体" w:hAnsi="Times New Roman" w:cs="Times New Roman"/>
                <w:spacing w:val="-6"/>
                <w:szCs w:val="21"/>
                <w:vertAlign w:val="subscript"/>
              </w:rPr>
              <w:t>10</w:t>
            </w:r>
            <w:r>
              <w:rPr>
                <w:rFonts w:ascii="Times New Roman" w:eastAsia="宋体" w:hAnsi="Times New Roman" w:cs="Times New Roman"/>
                <w:spacing w:val="-6"/>
                <w:szCs w:val="21"/>
              </w:rPr>
              <w:t>（</w:t>
            </w:r>
            <w:r>
              <w:rPr>
                <w:rFonts w:ascii="Times New Roman" w:eastAsia="宋体" w:hAnsi="Times New Roman" w:cs="Times New Roman"/>
                <w:spacing w:val="-6"/>
                <w:szCs w:val="21"/>
              </w:rPr>
              <w:t>μg/m</w:t>
            </w:r>
            <w:r>
              <w:rPr>
                <w:rFonts w:ascii="Times New Roman" w:eastAsia="宋体" w:hAnsi="Times New Roman" w:cs="Times New Roman"/>
                <w:spacing w:val="-6"/>
                <w:szCs w:val="21"/>
                <w:vertAlign w:val="superscript"/>
              </w:rPr>
              <w:t>3</w:t>
            </w:r>
            <w:r>
              <w:rPr>
                <w:rFonts w:ascii="Times New Roman" w:eastAsia="宋体" w:hAnsi="Times New Roman" w:cs="Times New Roman"/>
                <w:spacing w:val="-6"/>
                <w:szCs w:val="21"/>
              </w:rPr>
              <w:t>）</w:t>
            </w:r>
          </w:p>
        </w:tc>
        <w:tc>
          <w:tcPr>
            <w:tcW w:w="1082" w:type="dxa"/>
            <w:gridSpan w:val="2"/>
            <w:vAlign w:val="center"/>
          </w:tcPr>
          <w:p w14:paraId="602C23EE"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1667" w:type="dxa"/>
            <w:gridSpan w:val="2"/>
            <w:vAlign w:val="center"/>
          </w:tcPr>
          <w:p w14:paraId="186B57A0"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150</w:t>
            </w:r>
          </w:p>
        </w:tc>
        <w:tc>
          <w:tcPr>
            <w:tcW w:w="1030" w:type="dxa"/>
            <w:vAlign w:val="center"/>
          </w:tcPr>
          <w:p w14:paraId="690D59C2"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70</w:t>
            </w:r>
          </w:p>
        </w:tc>
        <w:tc>
          <w:tcPr>
            <w:tcW w:w="2985" w:type="dxa"/>
            <w:gridSpan w:val="2"/>
            <w:vMerge/>
            <w:vAlign w:val="center"/>
          </w:tcPr>
          <w:p w14:paraId="40395000" w14:textId="77777777" w:rsidR="00D12939" w:rsidRDefault="00D12939">
            <w:pPr>
              <w:snapToGrid w:val="0"/>
              <w:jc w:val="center"/>
              <w:rPr>
                <w:rFonts w:ascii="Times New Roman" w:eastAsia="宋体" w:hAnsi="Times New Roman" w:cs="Times New Roman"/>
                <w:spacing w:val="-6"/>
                <w:szCs w:val="21"/>
              </w:rPr>
            </w:pPr>
          </w:p>
        </w:tc>
      </w:tr>
      <w:tr w:rsidR="00D12939" w14:paraId="14D863A6" w14:textId="77777777">
        <w:trPr>
          <w:trHeight w:val="113"/>
        </w:trPr>
        <w:tc>
          <w:tcPr>
            <w:tcW w:w="704" w:type="dxa"/>
            <w:vMerge/>
            <w:vAlign w:val="center"/>
          </w:tcPr>
          <w:p w14:paraId="4659B50B" w14:textId="77777777" w:rsidR="00D12939" w:rsidRDefault="00D12939">
            <w:pPr>
              <w:jc w:val="center"/>
              <w:rPr>
                <w:rFonts w:ascii="Times New Roman" w:eastAsia="宋体" w:hAnsi="Times New Roman" w:cs="Times New Roman"/>
                <w:szCs w:val="21"/>
              </w:rPr>
            </w:pPr>
          </w:p>
        </w:tc>
        <w:tc>
          <w:tcPr>
            <w:tcW w:w="2268" w:type="dxa"/>
            <w:gridSpan w:val="3"/>
            <w:vAlign w:val="center"/>
          </w:tcPr>
          <w:p w14:paraId="7A8331FF"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PM</w:t>
            </w:r>
            <w:r>
              <w:rPr>
                <w:rFonts w:ascii="Times New Roman" w:eastAsia="宋体" w:hAnsi="Times New Roman" w:cs="Times New Roman"/>
                <w:spacing w:val="-6"/>
                <w:szCs w:val="21"/>
                <w:vertAlign w:val="subscript"/>
              </w:rPr>
              <w:t>2.5</w:t>
            </w:r>
            <w:r>
              <w:rPr>
                <w:rFonts w:ascii="Times New Roman" w:eastAsia="宋体" w:hAnsi="Times New Roman" w:cs="Times New Roman"/>
                <w:spacing w:val="-6"/>
                <w:szCs w:val="21"/>
              </w:rPr>
              <w:t>（</w:t>
            </w:r>
            <w:r>
              <w:rPr>
                <w:rFonts w:ascii="Times New Roman" w:eastAsia="宋体" w:hAnsi="Times New Roman" w:cs="Times New Roman"/>
                <w:spacing w:val="-6"/>
                <w:szCs w:val="21"/>
              </w:rPr>
              <w:t>μg/m</w:t>
            </w:r>
            <w:r>
              <w:rPr>
                <w:rFonts w:ascii="Times New Roman" w:eastAsia="宋体" w:hAnsi="Times New Roman" w:cs="Times New Roman"/>
                <w:spacing w:val="-6"/>
                <w:szCs w:val="21"/>
                <w:vertAlign w:val="superscript"/>
              </w:rPr>
              <w:t>3</w:t>
            </w:r>
            <w:r>
              <w:rPr>
                <w:rFonts w:ascii="Times New Roman" w:eastAsia="宋体" w:hAnsi="Times New Roman" w:cs="Times New Roman"/>
                <w:spacing w:val="-6"/>
                <w:szCs w:val="21"/>
              </w:rPr>
              <w:t>）</w:t>
            </w:r>
          </w:p>
        </w:tc>
        <w:tc>
          <w:tcPr>
            <w:tcW w:w="1082" w:type="dxa"/>
            <w:gridSpan w:val="2"/>
            <w:vAlign w:val="center"/>
          </w:tcPr>
          <w:p w14:paraId="1621FD06"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1667" w:type="dxa"/>
            <w:gridSpan w:val="2"/>
            <w:vAlign w:val="center"/>
          </w:tcPr>
          <w:p w14:paraId="30F48C8C"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75</w:t>
            </w:r>
          </w:p>
        </w:tc>
        <w:tc>
          <w:tcPr>
            <w:tcW w:w="1030" w:type="dxa"/>
            <w:vAlign w:val="center"/>
          </w:tcPr>
          <w:p w14:paraId="30C0A7A2"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35</w:t>
            </w:r>
          </w:p>
        </w:tc>
        <w:tc>
          <w:tcPr>
            <w:tcW w:w="2985" w:type="dxa"/>
            <w:gridSpan w:val="2"/>
            <w:vMerge/>
            <w:vAlign w:val="center"/>
          </w:tcPr>
          <w:p w14:paraId="69EBC458" w14:textId="77777777" w:rsidR="00D12939" w:rsidRDefault="00D12939">
            <w:pPr>
              <w:snapToGrid w:val="0"/>
              <w:jc w:val="center"/>
              <w:rPr>
                <w:rFonts w:ascii="Times New Roman" w:eastAsia="宋体" w:hAnsi="Times New Roman" w:cs="Times New Roman"/>
                <w:spacing w:val="-6"/>
                <w:szCs w:val="21"/>
              </w:rPr>
            </w:pPr>
          </w:p>
        </w:tc>
      </w:tr>
      <w:tr w:rsidR="00D12939" w14:paraId="6B2C3E8D" w14:textId="77777777">
        <w:trPr>
          <w:trHeight w:val="113"/>
        </w:trPr>
        <w:tc>
          <w:tcPr>
            <w:tcW w:w="704" w:type="dxa"/>
            <w:vMerge/>
            <w:vAlign w:val="center"/>
          </w:tcPr>
          <w:p w14:paraId="4C739E90" w14:textId="77777777" w:rsidR="00D12939" w:rsidRDefault="00D12939">
            <w:pPr>
              <w:jc w:val="center"/>
              <w:rPr>
                <w:rFonts w:ascii="Times New Roman" w:eastAsia="宋体" w:hAnsi="Times New Roman" w:cs="Times New Roman"/>
                <w:szCs w:val="21"/>
              </w:rPr>
            </w:pPr>
          </w:p>
        </w:tc>
        <w:tc>
          <w:tcPr>
            <w:tcW w:w="2268" w:type="dxa"/>
            <w:gridSpan w:val="3"/>
            <w:vAlign w:val="center"/>
          </w:tcPr>
          <w:p w14:paraId="0A96CA31"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O</w:t>
            </w:r>
            <w:r>
              <w:rPr>
                <w:rFonts w:ascii="Times New Roman" w:eastAsia="宋体" w:hAnsi="Times New Roman" w:cs="Times New Roman"/>
                <w:spacing w:val="-6"/>
                <w:szCs w:val="21"/>
                <w:vertAlign w:val="subscript"/>
              </w:rPr>
              <w:t>3</w:t>
            </w:r>
            <w:r>
              <w:rPr>
                <w:rFonts w:ascii="Times New Roman" w:eastAsia="宋体" w:hAnsi="Times New Roman" w:cs="Times New Roman"/>
                <w:spacing w:val="-6"/>
                <w:szCs w:val="21"/>
              </w:rPr>
              <w:t>（</w:t>
            </w:r>
            <w:r>
              <w:rPr>
                <w:rFonts w:ascii="Times New Roman" w:eastAsia="宋体" w:hAnsi="Times New Roman" w:cs="Times New Roman"/>
                <w:spacing w:val="-6"/>
                <w:szCs w:val="21"/>
              </w:rPr>
              <w:t>μg/m</w:t>
            </w:r>
            <w:r>
              <w:rPr>
                <w:rFonts w:ascii="Times New Roman" w:eastAsia="宋体" w:hAnsi="Times New Roman" w:cs="Times New Roman"/>
                <w:spacing w:val="-6"/>
                <w:szCs w:val="21"/>
                <w:vertAlign w:val="superscript"/>
              </w:rPr>
              <w:t>3</w:t>
            </w:r>
            <w:r>
              <w:rPr>
                <w:rFonts w:ascii="Times New Roman" w:eastAsia="宋体" w:hAnsi="Times New Roman" w:cs="Times New Roman"/>
                <w:spacing w:val="-6"/>
                <w:szCs w:val="21"/>
              </w:rPr>
              <w:t>）</w:t>
            </w:r>
          </w:p>
        </w:tc>
        <w:tc>
          <w:tcPr>
            <w:tcW w:w="1082" w:type="dxa"/>
            <w:gridSpan w:val="2"/>
            <w:vAlign w:val="center"/>
          </w:tcPr>
          <w:p w14:paraId="55D75F0A"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200</w:t>
            </w:r>
          </w:p>
        </w:tc>
        <w:tc>
          <w:tcPr>
            <w:tcW w:w="1667" w:type="dxa"/>
            <w:gridSpan w:val="2"/>
            <w:vAlign w:val="center"/>
          </w:tcPr>
          <w:p w14:paraId="4265E709"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1030" w:type="dxa"/>
            <w:vAlign w:val="center"/>
          </w:tcPr>
          <w:p w14:paraId="5A5D2D65"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2985" w:type="dxa"/>
            <w:gridSpan w:val="2"/>
            <w:vMerge/>
            <w:vAlign w:val="center"/>
          </w:tcPr>
          <w:p w14:paraId="43A34F76" w14:textId="77777777" w:rsidR="00D12939" w:rsidRDefault="00D12939">
            <w:pPr>
              <w:snapToGrid w:val="0"/>
              <w:jc w:val="center"/>
              <w:rPr>
                <w:rFonts w:ascii="Times New Roman" w:eastAsia="宋体" w:hAnsi="Times New Roman" w:cs="Times New Roman"/>
                <w:spacing w:val="-6"/>
                <w:szCs w:val="21"/>
              </w:rPr>
            </w:pPr>
          </w:p>
        </w:tc>
      </w:tr>
      <w:tr w:rsidR="00D12939" w14:paraId="46D19955" w14:textId="77777777">
        <w:trPr>
          <w:trHeight w:val="113"/>
        </w:trPr>
        <w:tc>
          <w:tcPr>
            <w:tcW w:w="704" w:type="dxa"/>
            <w:vMerge/>
            <w:vAlign w:val="center"/>
          </w:tcPr>
          <w:p w14:paraId="1B689B84" w14:textId="77777777" w:rsidR="00D12939" w:rsidRDefault="00D12939">
            <w:pPr>
              <w:jc w:val="center"/>
              <w:rPr>
                <w:rFonts w:ascii="Times New Roman" w:eastAsia="宋体" w:hAnsi="Times New Roman" w:cs="Times New Roman"/>
                <w:szCs w:val="21"/>
              </w:rPr>
            </w:pPr>
          </w:p>
        </w:tc>
        <w:tc>
          <w:tcPr>
            <w:tcW w:w="2268" w:type="dxa"/>
            <w:gridSpan w:val="3"/>
            <w:vAlign w:val="center"/>
          </w:tcPr>
          <w:p w14:paraId="1722C6D6"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CO</w:t>
            </w:r>
            <w:r>
              <w:rPr>
                <w:rFonts w:ascii="Times New Roman" w:eastAsia="宋体" w:hAnsi="Times New Roman" w:cs="Times New Roman"/>
                <w:spacing w:val="-6"/>
                <w:szCs w:val="21"/>
              </w:rPr>
              <w:t>（</w:t>
            </w:r>
            <w:r>
              <w:rPr>
                <w:rFonts w:ascii="Times New Roman" w:eastAsia="宋体" w:hAnsi="Times New Roman" w:cs="Times New Roman"/>
                <w:spacing w:val="-6"/>
                <w:szCs w:val="21"/>
              </w:rPr>
              <w:t>μg/m</w:t>
            </w:r>
            <w:r>
              <w:rPr>
                <w:rFonts w:ascii="Times New Roman" w:eastAsia="宋体" w:hAnsi="Times New Roman" w:cs="Times New Roman"/>
                <w:spacing w:val="-6"/>
                <w:szCs w:val="21"/>
                <w:vertAlign w:val="superscript"/>
              </w:rPr>
              <w:t>3</w:t>
            </w:r>
            <w:r>
              <w:rPr>
                <w:rFonts w:ascii="Times New Roman" w:eastAsia="宋体" w:hAnsi="Times New Roman" w:cs="Times New Roman"/>
                <w:spacing w:val="-6"/>
                <w:szCs w:val="21"/>
              </w:rPr>
              <w:t>）</w:t>
            </w:r>
          </w:p>
        </w:tc>
        <w:tc>
          <w:tcPr>
            <w:tcW w:w="1082" w:type="dxa"/>
            <w:gridSpan w:val="2"/>
            <w:vAlign w:val="center"/>
          </w:tcPr>
          <w:p w14:paraId="2C32B5D8"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10000</w:t>
            </w:r>
          </w:p>
        </w:tc>
        <w:tc>
          <w:tcPr>
            <w:tcW w:w="1667" w:type="dxa"/>
            <w:gridSpan w:val="2"/>
            <w:vAlign w:val="center"/>
          </w:tcPr>
          <w:p w14:paraId="3076D87E"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4000</w:t>
            </w:r>
          </w:p>
        </w:tc>
        <w:tc>
          <w:tcPr>
            <w:tcW w:w="1030" w:type="dxa"/>
            <w:vAlign w:val="center"/>
          </w:tcPr>
          <w:p w14:paraId="5A5C1604"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2985" w:type="dxa"/>
            <w:gridSpan w:val="2"/>
            <w:vMerge/>
            <w:vAlign w:val="center"/>
          </w:tcPr>
          <w:p w14:paraId="19C572CB" w14:textId="77777777" w:rsidR="00D12939" w:rsidRDefault="00D12939">
            <w:pPr>
              <w:snapToGrid w:val="0"/>
              <w:jc w:val="center"/>
              <w:rPr>
                <w:rFonts w:ascii="Times New Roman" w:eastAsia="宋体" w:hAnsi="Times New Roman" w:cs="Times New Roman"/>
                <w:spacing w:val="-6"/>
                <w:szCs w:val="21"/>
              </w:rPr>
            </w:pPr>
          </w:p>
        </w:tc>
      </w:tr>
      <w:tr w:rsidR="00D12939" w14:paraId="76B2F433" w14:textId="77777777">
        <w:trPr>
          <w:trHeight w:val="113"/>
        </w:trPr>
        <w:tc>
          <w:tcPr>
            <w:tcW w:w="704" w:type="dxa"/>
            <w:vMerge/>
            <w:vAlign w:val="center"/>
          </w:tcPr>
          <w:p w14:paraId="71F42592" w14:textId="77777777" w:rsidR="00D12939" w:rsidRDefault="00D12939">
            <w:pPr>
              <w:jc w:val="center"/>
              <w:rPr>
                <w:rFonts w:ascii="Times New Roman" w:eastAsia="宋体" w:hAnsi="Times New Roman" w:cs="Times New Roman"/>
                <w:szCs w:val="21"/>
              </w:rPr>
            </w:pPr>
          </w:p>
        </w:tc>
        <w:tc>
          <w:tcPr>
            <w:tcW w:w="2268" w:type="dxa"/>
            <w:gridSpan w:val="3"/>
            <w:vAlign w:val="center"/>
          </w:tcPr>
          <w:p w14:paraId="3E524E1F"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w:t>
            </w:r>
            <w:r>
              <w:rPr>
                <w:rFonts w:ascii="Times New Roman" w:eastAsia="宋体" w:hAnsi="Times New Roman" w:cs="Times New Roman"/>
                <w:spacing w:val="-6"/>
                <w:szCs w:val="21"/>
              </w:rPr>
              <w:t>（</w:t>
            </w:r>
            <w:r>
              <w:rPr>
                <w:rFonts w:ascii="Times New Roman" w:eastAsia="宋体" w:hAnsi="Times New Roman" w:cs="Times New Roman"/>
                <w:spacing w:val="-6"/>
                <w:szCs w:val="21"/>
              </w:rPr>
              <w:t>μg/m</w:t>
            </w:r>
            <w:r>
              <w:rPr>
                <w:rFonts w:ascii="Times New Roman" w:eastAsia="宋体" w:hAnsi="Times New Roman" w:cs="Times New Roman"/>
                <w:spacing w:val="-6"/>
                <w:szCs w:val="21"/>
                <w:vertAlign w:val="superscript"/>
              </w:rPr>
              <w:t>3</w:t>
            </w:r>
            <w:r>
              <w:rPr>
                <w:rFonts w:ascii="Times New Roman" w:eastAsia="宋体" w:hAnsi="Times New Roman" w:cs="Times New Roman"/>
                <w:spacing w:val="-6"/>
                <w:szCs w:val="21"/>
              </w:rPr>
              <w:t>）</w:t>
            </w:r>
          </w:p>
        </w:tc>
        <w:tc>
          <w:tcPr>
            <w:tcW w:w="1082" w:type="dxa"/>
            <w:gridSpan w:val="2"/>
            <w:vAlign w:val="center"/>
          </w:tcPr>
          <w:p w14:paraId="768BCD4E"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10</w:t>
            </w:r>
          </w:p>
        </w:tc>
        <w:tc>
          <w:tcPr>
            <w:tcW w:w="1667" w:type="dxa"/>
            <w:gridSpan w:val="2"/>
            <w:vAlign w:val="center"/>
          </w:tcPr>
          <w:p w14:paraId="6C502591"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1030" w:type="dxa"/>
            <w:vAlign w:val="center"/>
          </w:tcPr>
          <w:p w14:paraId="59BE0BCF"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2985" w:type="dxa"/>
            <w:gridSpan w:val="2"/>
            <w:vMerge w:val="restart"/>
            <w:vAlign w:val="center"/>
          </w:tcPr>
          <w:p w14:paraId="6AD7DFD6" w14:textId="77777777" w:rsidR="00D12939" w:rsidRDefault="004F47F5">
            <w:pPr>
              <w:snapToGrid w:val="0"/>
              <w:jc w:val="center"/>
              <w:rPr>
                <w:rFonts w:ascii="Times New Roman" w:eastAsia="宋体" w:hAnsi="Times New Roman" w:cs="Times New Roman"/>
                <w:spacing w:val="-6"/>
                <w:szCs w:val="21"/>
                <w:highlight w:val="yellow"/>
              </w:rPr>
            </w:pPr>
            <w:r>
              <w:rPr>
                <w:rFonts w:ascii="Times New Roman" w:eastAsia="宋体" w:hAnsi="Times New Roman" w:cs="Times New Roman"/>
                <w:szCs w:val="21"/>
              </w:rPr>
              <w:t>《环境影响评价技术导则</w:t>
            </w:r>
            <w:r>
              <w:rPr>
                <w:rFonts w:ascii="Times New Roman" w:eastAsia="宋体" w:hAnsi="Times New Roman" w:cs="Times New Roman"/>
                <w:szCs w:val="21"/>
              </w:rPr>
              <w:t xml:space="preserve"> </w:t>
            </w:r>
            <w:r>
              <w:rPr>
                <w:rFonts w:ascii="Times New Roman" w:eastAsia="宋体" w:hAnsi="Times New Roman" w:cs="Times New Roman"/>
                <w:szCs w:val="21"/>
              </w:rPr>
              <w:t>大气环境》</w:t>
            </w:r>
            <w:r>
              <w:rPr>
                <w:rFonts w:ascii="Times New Roman" w:eastAsia="宋体" w:hAnsi="Times New Roman" w:cs="Times New Roman"/>
                <w:szCs w:val="21"/>
              </w:rPr>
              <w:t>(HJ2.2-2018)</w:t>
            </w:r>
            <w:r>
              <w:rPr>
                <w:rFonts w:ascii="Times New Roman" w:eastAsia="宋体" w:hAnsi="Times New Roman" w:cs="Times New Roman"/>
                <w:szCs w:val="21"/>
              </w:rPr>
              <w:t>附录</w:t>
            </w:r>
            <w:r>
              <w:rPr>
                <w:rFonts w:ascii="Times New Roman" w:eastAsia="宋体" w:hAnsi="Times New Roman" w:cs="Times New Roman"/>
                <w:szCs w:val="21"/>
              </w:rPr>
              <w:t>D</w:t>
            </w:r>
          </w:p>
        </w:tc>
      </w:tr>
      <w:tr w:rsidR="00D12939" w14:paraId="31E532B1" w14:textId="77777777">
        <w:trPr>
          <w:trHeight w:val="113"/>
        </w:trPr>
        <w:tc>
          <w:tcPr>
            <w:tcW w:w="704" w:type="dxa"/>
            <w:vMerge/>
            <w:vAlign w:val="center"/>
          </w:tcPr>
          <w:p w14:paraId="4A4F3240" w14:textId="77777777" w:rsidR="00D12939" w:rsidRDefault="00D12939">
            <w:pPr>
              <w:jc w:val="center"/>
              <w:rPr>
                <w:rFonts w:ascii="Times New Roman" w:eastAsia="宋体" w:hAnsi="Times New Roman" w:cs="Times New Roman"/>
                <w:szCs w:val="21"/>
              </w:rPr>
            </w:pPr>
          </w:p>
        </w:tc>
        <w:tc>
          <w:tcPr>
            <w:tcW w:w="2268" w:type="dxa"/>
            <w:gridSpan w:val="3"/>
            <w:vAlign w:val="center"/>
          </w:tcPr>
          <w:p w14:paraId="5B47A67A"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r>
              <w:rPr>
                <w:rFonts w:ascii="Times New Roman" w:eastAsia="宋体" w:hAnsi="Times New Roman" w:cs="Times New Roman"/>
                <w:spacing w:val="-6"/>
                <w:szCs w:val="21"/>
              </w:rPr>
              <w:t>（</w:t>
            </w:r>
            <w:r>
              <w:rPr>
                <w:rFonts w:ascii="Times New Roman" w:eastAsia="宋体" w:hAnsi="Times New Roman" w:cs="Times New Roman"/>
                <w:spacing w:val="-6"/>
                <w:szCs w:val="21"/>
              </w:rPr>
              <w:t>μg/m</w:t>
            </w:r>
            <w:r>
              <w:rPr>
                <w:rFonts w:ascii="Times New Roman" w:eastAsia="宋体" w:hAnsi="Times New Roman" w:cs="Times New Roman"/>
                <w:spacing w:val="-6"/>
                <w:szCs w:val="21"/>
                <w:vertAlign w:val="superscript"/>
              </w:rPr>
              <w:t>3</w:t>
            </w:r>
            <w:r>
              <w:rPr>
                <w:rFonts w:ascii="Times New Roman" w:eastAsia="宋体" w:hAnsi="Times New Roman" w:cs="Times New Roman"/>
                <w:spacing w:val="-6"/>
                <w:szCs w:val="21"/>
              </w:rPr>
              <w:t>）</w:t>
            </w:r>
          </w:p>
        </w:tc>
        <w:tc>
          <w:tcPr>
            <w:tcW w:w="1082" w:type="dxa"/>
            <w:gridSpan w:val="2"/>
            <w:vAlign w:val="center"/>
          </w:tcPr>
          <w:p w14:paraId="66CA7F5E"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200</w:t>
            </w:r>
          </w:p>
        </w:tc>
        <w:tc>
          <w:tcPr>
            <w:tcW w:w="1667" w:type="dxa"/>
            <w:gridSpan w:val="2"/>
            <w:vAlign w:val="center"/>
          </w:tcPr>
          <w:p w14:paraId="01852C51"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1030" w:type="dxa"/>
            <w:vAlign w:val="center"/>
          </w:tcPr>
          <w:p w14:paraId="6D01D9DE"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2985" w:type="dxa"/>
            <w:gridSpan w:val="2"/>
            <w:vMerge/>
            <w:vAlign w:val="center"/>
          </w:tcPr>
          <w:p w14:paraId="7B100D8F" w14:textId="77777777" w:rsidR="00D12939" w:rsidRDefault="00D12939">
            <w:pPr>
              <w:snapToGrid w:val="0"/>
              <w:jc w:val="center"/>
              <w:rPr>
                <w:rFonts w:ascii="Times New Roman" w:eastAsia="宋体" w:hAnsi="Times New Roman" w:cs="Times New Roman"/>
                <w:spacing w:val="-6"/>
                <w:szCs w:val="21"/>
                <w:highlight w:val="yellow"/>
              </w:rPr>
            </w:pPr>
          </w:p>
        </w:tc>
      </w:tr>
      <w:tr w:rsidR="00D12939" w14:paraId="52A39DED" w14:textId="77777777">
        <w:trPr>
          <w:trHeight w:val="113"/>
        </w:trPr>
        <w:tc>
          <w:tcPr>
            <w:tcW w:w="704" w:type="dxa"/>
            <w:vMerge/>
            <w:vAlign w:val="center"/>
          </w:tcPr>
          <w:p w14:paraId="40D68100" w14:textId="77777777" w:rsidR="00D12939" w:rsidRDefault="00D12939">
            <w:pPr>
              <w:jc w:val="center"/>
              <w:rPr>
                <w:rFonts w:ascii="Times New Roman" w:eastAsia="宋体" w:hAnsi="Times New Roman" w:cs="Times New Roman"/>
                <w:szCs w:val="21"/>
              </w:rPr>
            </w:pPr>
          </w:p>
        </w:tc>
        <w:tc>
          <w:tcPr>
            <w:tcW w:w="2268" w:type="dxa"/>
            <w:gridSpan w:val="3"/>
            <w:vAlign w:val="center"/>
          </w:tcPr>
          <w:p w14:paraId="001FA888"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zCs w:val="21"/>
              </w:rPr>
              <w:t>臭气浓度（无量纲）</w:t>
            </w:r>
          </w:p>
        </w:tc>
        <w:tc>
          <w:tcPr>
            <w:tcW w:w="1082" w:type="dxa"/>
            <w:gridSpan w:val="2"/>
            <w:vAlign w:val="center"/>
          </w:tcPr>
          <w:p w14:paraId="5991207A"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1667" w:type="dxa"/>
            <w:gridSpan w:val="2"/>
            <w:vAlign w:val="center"/>
          </w:tcPr>
          <w:p w14:paraId="2F97D592"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20</w:t>
            </w:r>
          </w:p>
        </w:tc>
        <w:tc>
          <w:tcPr>
            <w:tcW w:w="1030" w:type="dxa"/>
            <w:vAlign w:val="center"/>
          </w:tcPr>
          <w:p w14:paraId="6EE8FD74"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w:t>
            </w:r>
          </w:p>
        </w:tc>
        <w:tc>
          <w:tcPr>
            <w:tcW w:w="2985" w:type="dxa"/>
            <w:gridSpan w:val="2"/>
            <w:vAlign w:val="center"/>
          </w:tcPr>
          <w:p w14:paraId="7B504CEA" w14:textId="77777777" w:rsidR="00D12939" w:rsidRDefault="004F47F5">
            <w:pPr>
              <w:snapToGrid w:val="0"/>
              <w:jc w:val="center"/>
              <w:rPr>
                <w:rFonts w:ascii="Times New Roman" w:eastAsia="宋体" w:hAnsi="Times New Roman" w:cs="Times New Roman"/>
                <w:spacing w:val="-6"/>
                <w:szCs w:val="21"/>
                <w:highlight w:val="yellow"/>
              </w:rPr>
            </w:pPr>
            <w:r>
              <w:rPr>
                <w:rFonts w:ascii="Times New Roman" w:eastAsia="宋体" w:hAnsi="Times New Roman" w:cs="Times New Roman"/>
                <w:szCs w:val="21"/>
              </w:rPr>
              <w:t>《恶臭污染物排放标准》（</w:t>
            </w:r>
            <w:r>
              <w:rPr>
                <w:rFonts w:ascii="Times New Roman" w:eastAsia="宋体" w:hAnsi="Times New Roman" w:cs="Times New Roman"/>
                <w:szCs w:val="21"/>
              </w:rPr>
              <w:t>GB14554-93</w:t>
            </w:r>
            <w:r>
              <w:rPr>
                <w:rFonts w:ascii="Times New Roman" w:eastAsia="宋体" w:hAnsi="Times New Roman" w:cs="Times New Roman"/>
                <w:szCs w:val="21"/>
              </w:rPr>
              <w:t>）表</w:t>
            </w:r>
            <w:r>
              <w:rPr>
                <w:rFonts w:ascii="Times New Roman" w:eastAsia="宋体" w:hAnsi="Times New Roman" w:cs="Times New Roman"/>
                <w:szCs w:val="21"/>
              </w:rPr>
              <w:t>1</w:t>
            </w:r>
            <w:r>
              <w:rPr>
                <w:rFonts w:ascii="Times New Roman" w:eastAsia="宋体" w:hAnsi="Times New Roman" w:cs="Times New Roman"/>
                <w:szCs w:val="21"/>
              </w:rPr>
              <w:t>中的二级新扩改建标准值</w:t>
            </w:r>
          </w:p>
        </w:tc>
      </w:tr>
      <w:tr w:rsidR="00D12939" w14:paraId="57F15E65" w14:textId="77777777">
        <w:trPr>
          <w:trHeight w:val="113"/>
        </w:trPr>
        <w:tc>
          <w:tcPr>
            <w:tcW w:w="704" w:type="dxa"/>
            <w:vMerge w:val="restart"/>
            <w:vAlign w:val="center"/>
          </w:tcPr>
          <w:p w14:paraId="69EE5CBF"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地表水环境</w:t>
            </w:r>
          </w:p>
        </w:tc>
        <w:tc>
          <w:tcPr>
            <w:tcW w:w="2268" w:type="dxa"/>
            <w:gridSpan w:val="3"/>
            <w:vAlign w:val="center"/>
          </w:tcPr>
          <w:p w14:paraId="7868E87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pH</w:t>
            </w:r>
            <w:r>
              <w:rPr>
                <w:rFonts w:ascii="Times New Roman" w:eastAsia="宋体" w:hAnsi="Times New Roman" w:cs="Times New Roman"/>
                <w:szCs w:val="21"/>
              </w:rPr>
              <w:t>（无量纲）</w:t>
            </w:r>
          </w:p>
        </w:tc>
        <w:tc>
          <w:tcPr>
            <w:tcW w:w="3779" w:type="dxa"/>
            <w:gridSpan w:val="5"/>
            <w:vAlign w:val="center"/>
          </w:tcPr>
          <w:p w14:paraId="6BAA4E2E" w14:textId="77777777" w:rsidR="00D12939" w:rsidRDefault="004F47F5">
            <w:pPr>
              <w:snapToGrid w:val="0"/>
              <w:jc w:val="center"/>
              <w:rPr>
                <w:rFonts w:ascii="Times New Roman" w:eastAsia="宋体" w:hAnsi="Times New Roman" w:cs="Times New Roman"/>
                <w:spacing w:val="-6"/>
                <w:szCs w:val="21"/>
              </w:rPr>
            </w:pPr>
            <w:r>
              <w:rPr>
                <w:rFonts w:ascii="Times New Roman" w:eastAsia="宋体" w:hAnsi="Times New Roman" w:cs="Times New Roman"/>
                <w:szCs w:val="21"/>
              </w:rPr>
              <w:t>6~9</w:t>
            </w:r>
          </w:p>
        </w:tc>
        <w:tc>
          <w:tcPr>
            <w:tcW w:w="2985" w:type="dxa"/>
            <w:gridSpan w:val="2"/>
            <w:vMerge w:val="restart"/>
            <w:vAlign w:val="center"/>
          </w:tcPr>
          <w:p w14:paraId="7F8622C8" w14:textId="77777777" w:rsidR="00D12939" w:rsidRDefault="004F47F5">
            <w:pPr>
              <w:snapToGrid w:val="0"/>
              <w:jc w:val="center"/>
              <w:rPr>
                <w:rFonts w:ascii="Times New Roman" w:eastAsia="宋体" w:hAnsi="Times New Roman" w:cs="Times New Roman"/>
                <w:spacing w:val="-6"/>
                <w:szCs w:val="21"/>
                <w:highlight w:val="yellow"/>
              </w:rPr>
            </w:pPr>
            <w:r>
              <w:rPr>
                <w:rFonts w:ascii="Times New Roman" w:eastAsia="宋体" w:hAnsi="Times New Roman" w:cs="Times New Roman"/>
                <w:spacing w:val="-6"/>
                <w:szCs w:val="21"/>
              </w:rPr>
              <w:t>《地表水环境质量标准》（</w:t>
            </w:r>
            <w:r>
              <w:rPr>
                <w:rFonts w:ascii="Times New Roman" w:eastAsia="宋体" w:hAnsi="Times New Roman" w:cs="Times New Roman"/>
                <w:spacing w:val="-6"/>
                <w:szCs w:val="21"/>
              </w:rPr>
              <w:t>GB3838-2002</w:t>
            </w:r>
            <w:r>
              <w:rPr>
                <w:rFonts w:ascii="Times New Roman" w:eastAsia="宋体" w:hAnsi="Times New Roman" w:cs="Times New Roman"/>
                <w:spacing w:val="-6"/>
                <w:szCs w:val="21"/>
              </w:rPr>
              <w:t>）</w:t>
            </w:r>
            <w:r>
              <w:rPr>
                <w:rFonts w:ascii="Times New Roman" w:eastAsia="宋体" w:hAnsi="Times New Roman" w:cs="Times New Roman"/>
                <w:szCs w:val="21"/>
              </w:rPr>
              <w:t>II</w:t>
            </w:r>
            <w:r>
              <w:rPr>
                <w:rFonts w:ascii="Times New Roman" w:eastAsia="宋体" w:hAnsi="Times New Roman" w:cs="Times New Roman"/>
                <w:spacing w:val="-6"/>
                <w:szCs w:val="21"/>
              </w:rPr>
              <w:t>中类标准</w:t>
            </w:r>
          </w:p>
        </w:tc>
      </w:tr>
      <w:tr w:rsidR="00833AEB" w14:paraId="424C5D24" w14:textId="77777777">
        <w:trPr>
          <w:trHeight w:val="113"/>
        </w:trPr>
        <w:tc>
          <w:tcPr>
            <w:tcW w:w="704" w:type="dxa"/>
            <w:vMerge/>
            <w:vAlign w:val="center"/>
          </w:tcPr>
          <w:p w14:paraId="61BF3FC0"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0FD9AA5" w14:textId="5D424886"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化学需氧量</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1C226304" w14:textId="52E52F65"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2985" w:type="dxa"/>
            <w:gridSpan w:val="2"/>
            <w:vMerge/>
            <w:vAlign w:val="center"/>
          </w:tcPr>
          <w:p w14:paraId="6E3D5755"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22E9B38F" w14:textId="77777777">
        <w:trPr>
          <w:trHeight w:val="113"/>
        </w:trPr>
        <w:tc>
          <w:tcPr>
            <w:tcW w:w="704" w:type="dxa"/>
            <w:vMerge/>
            <w:vAlign w:val="center"/>
          </w:tcPr>
          <w:p w14:paraId="069DF6B0"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750D71C9" w14:textId="3D58130D"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五日生化需氧量</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1FD32089" w14:textId="76DFBFFF"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2985" w:type="dxa"/>
            <w:gridSpan w:val="2"/>
            <w:vMerge/>
            <w:vAlign w:val="center"/>
          </w:tcPr>
          <w:p w14:paraId="0193ECA2"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0D55114E" w14:textId="77777777">
        <w:trPr>
          <w:trHeight w:val="113"/>
        </w:trPr>
        <w:tc>
          <w:tcPr>
            <w:tcW w:w="704" w:type="dxa"/>
            <w:vMerge/>
            <w:vAlign w:val="center"/>
          </w:tcPr>
          <w:p w14:paraId="7A9A2AF8"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76F7661" w14:textId="00D59785"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氨氮</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5A1D0FEC" w14:textId="1D2282CA"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0.5</w:t>
            </w:r>
          </w:p>
        </w:tc>
        <w:tc>
          <w:tcPr>
            <w:tcW w:w="2985" w:type="dxa"/>
            <w:gridSpan w:val="2"/>
            <w:vMerge/>
            <w:vAlign w:val="center"/>
          </w:tcPr>
          <w:p w14:paraId="27F8C2C7"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2B40927E" w14:textId="77777777">
        <w:trPr>
          <w:trHeight w:val="113"/>
        </w:trPr>
        <w:tc>
          <w:tcPr>
            <w:tcW w:w="704" w:type="dxa"/>
            <w:vMerge/>
            <w:vAlign w:val="center"/>
          </w:tcPr>
          <w:p w14:paraId="13859BFB"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7BD99F8" w14:textId="15857C9F"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总磷</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0FC871E6" w14:textId="3D0A9C4E"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0.1</w:t>
            </w:r>
          </w:p>
        </w:tc>
        <w:tc>
          <w:tcPr>
            <w:tcW w:w="2985" w:type="dxa"/>
            <w:gridSpan w:val="2"/>
            <w:vMerge/>
            <w:vAlign w:val="center"/>
          </w:tcPr>
          <w:p w14:paraId="17C63DE1"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082F8D14" w14:textId="77777777">
        <w:trPr>
          <w:trHeight w:val="113"/>
        </w:trPr>
        <w:tc>
          <w:tcPr>
            <w:tcW w:w="704" w:type="dxa"/>
            <w:vMerge/>
            <w:vAlign w:val="center"/>
          </w:tcPr>
          <w:p w14:paraId="6740B6A0"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38AB0393" w14:textId="5B1B2D2F"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砷</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13B4E404" w14:textId="3CA13D8A"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2985" w:type="dxa"/>
            <w:gridSpan w:val="2"/>
            <w:vMerge/>
            <w:vAlign w:val="center"/>
          </w:tcPr>
          <w:p w14:paraId="1D9C171E"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32DB58E4" w14:textId="77777777">
        <w:trPr>
          <w:trHeight w:val="113"/>
        </w:trPr>
        <w:tc>
          <w:tcPr>
            <w:tcW w:w="704" w:type="dxa"/>
            <w:vMerge/>
            <w:vAlign w:val="center"/>
          </w:tcPr>
          <w:p w14:paraId="2343EE11"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010C5B1" w14:textId="10C2AC54"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汞</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1E7CBDAB" w14:textId="1759DA26"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0.00005</w:t>
            </w:r>
          </w:p>
        </w:tc>
        <w:tc>
          <w:tcPr>
            <w:tcW w:w="2985" w:type="dxa"/>
            <w:gridSpan w:val="2"/>
            <w:vMerge/>
            <w:vAlign w:val="center"/>
          </w:tcPr>
          <w:p w14:paraId="3284FC99"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483F741B" w14:textId="77777777">
        <w:trPr>
          <w:trHeight w:val="113"/>
        </w:trPr>
        <w:tc>
          <w:tcPr>
            <w:tcW w:w="704" w:type="dxa"/>
            <w:vMerge/>
            <w:vAlign w:val="center"/>
          </w:tcPr>
          <w:p w14:paraId="23EDFE78"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7C47FAB0" w14:textId="6D12B02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六价铬</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70691B82" w14:textId="00FCCBE5"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2985" w:type="dxa"/>
            <w:gridSpan w:val="2"/>
            <w:vMerge/>
            <w:vAlign w:val="center"/>
          </w:tcPr>
          <w:p w14:paraId="0B5147E3"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16076AA5" w14:textId="77777777">
        <w:trPr>
          <w:trHeight w:val="113"/>
        </w:trPr>
        <w:tc>
          <w:tcPr>
            <w:tcW w:w="704" w:type="dxa"/>
            <w:vMerge/>
            <w:vAlign w:val="center"/>
          </w:tcPr>
          <w:p w14:paraId="455602D4"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FB762C0" w14:textId="7D26D040"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铅</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09540A2A" w14:textId="55103311"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2985" w:type="dxa"/>
            <w:gridSpan w:val="2"/>
            <w:vMerge/>
            <w:vAlign w:val="center"/>
          </w:tcPr>
          <w:p w14:paraId="78169963"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7C5BEB77" w14:textId="77777777">
        <w:trPr>
          <w:trHeight w:val="113"/>
        </w:trPr>
        <w:tc>
          <w:tcPr>
            <w:tcW w:w="704" w:type="dxa"/>
            <w:vMerge/>
            <w:vAlign w:val="center"/>
          </w:tcPr>
          <w:p w14:paraId="35930333"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3EE8B66" w14:textId="6983F64E"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镉</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5166BA05" w14:textId="068CF418"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0.005</w:t>
            </w:r>
          </w:p>
        </w:tc>
        <w:tc>
          <w:tcPr>
            <w:tcW w:w="2985" w:type="dxa"/>
            <w:gridSpan w:val="2"/>
            <w:vMerge/>
            <w:vAlign w:val="center"/>
          </w:tcPr>
          <w:p w14:paraId="6CFB3638"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34BC32E5" w14:textId="77777777">
        <w:trPr>
          <w:trHeight w:val="113"/>
        </w:trPr>
        <w:tc>
          <w:tcPr>
            <w:tcW w:w="704" w:type="dxa"/>
            <w:vMerge/>
            <w:vAlign w:val="center"/>
          </w:tcPr>
          <w:p w14:paraId="6D652E70"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5DB3626A" w14:textId="6D3B8D98"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粪大肠菌群（个</w:t>
            </w:r>
            <w:r>
              <w:rPr>
                <w:rFonts w:ascii="Times New Roman" w:eastAsia="宋体" w:hAnsi="Times New Roman" w:cs="Times New Roman"/>
                <w:szCs w:val="21"/>
              </w:rPr>
              <w:t>/L</w:t>
            </w:r>
            <w:r>
              <w:rPr>
                <w:rFonts w:ascii="Times New Roman" w:eastAsia="宋体" w:hAnsi="Times New Roman" w:cs="Times New Roman"/>
                <w:szCs w:val="21"/>
              </w:rPr>
              <w:t>）</w:t>
            </w:r>
          </w:p>
        </w:tc>
        <w:tc>
          <w:tcPr>
            <w:tcW w:w="3779" w:type="dxa"/>
            <w:gridSpan w:val="5"/>
            <w:vAlign w:val="center"/>
          </w:tcPr>
          <w:p w14:paraId="45D373B8" w14:textId="20B3EC58"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2000</w:t>
            </w:r>
          </w:p>
        </w:tc>
        <w:tc>
          <w:tcPr>
            <w:tcW w:w="2985" w:type="dxa"/>
            <w:gridSpan w:val="2"/>
            <w:vMerge/>
            <w:vAlign w:val="center"/>
          </w:tcPr>
          <w:p w14:paraId="5C0B334F"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39F94E39" w14:textId="77777777">
        <w:trPr>
          <w:trHeight w:val="113"/>
        </w:trPr>
        <w:tc>
          <w:tcPr>
            <w:tcW w:w="704" w:type="dxa"/>
            <w:vMerge w:val="restart"/>
            <w:vAlign w:val="center"/>
          </w:tcPr>
          <w:p w14:paraId="5655654A"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地下水环</w:t>
            </w:r>
            <w:r>
              <w:rPr>
                <w:rFonts w:ascii="Times New Roman" w:eastAsia="宋体" w:hAnsi="Times New Roman" w:cs="Times New Roman"/>
                <w:spacing w:val="-6"/>
                <w:szCs w:val="21"/>
              </w:rPr>
              <w:lastRenderedPageBreak/>
              <w:t>境</w:t>
            </w:r>
          </w:p>
        </w:tc>
        <w:tc>
          <w:tcPr>
            <w:tcW w:w="2268" w:type="dxa"/>
            <w:gridSpan w:val="3"/>
            <w:vAlign w:val="center"/>
          </w:tcPr>
          <w:p w14:paraId="251B9C8E"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lastRenderedPageBreak/>
              <w:t>pH</w:t>
            </w:r>
            <w:r>
              <w:rPr>
                <w:rFonts w:ascii="Times New Roman" w:eastAsia="宋体" w:hAnsi="Times New Roman" w:cs="Times New Roman"/>
                <w:szCs w:val="21"/>
              </w:rPr>
              <w:t>（无量纲）</w:t>
            </w:r>
          </w:p>
        </w:tc>
        <w:tc>
          <w:tcPr>
            <w:tcW w:w="3779" w:type="dxa"/>
            <w:gridSpan w:val="5"/>
            <w:vAlign w:val="center"/>
          </w:tcPr>
          <w:p w14:paraId="2F51B0CE"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6.5~8.5</w:t>
            </w:r>
          </w:p>
        </w:tc>
        <w:tc>
          <w:tcPr>
            <w:tcW w:w="2985" w:type="dxa"/>
            <w:gridSpan w:val="2"/>
            <w:vMerge w:val="restart"/>
            <w:vAlign w:val="center"/>
          </w:tcPr>
          <w:p w14:paraId="6BF891AB" w14:textId="77777777" w:rsidR="00833AEB" w:rsidRDefault="00833AEB" w:rsidP="00833AEB">
            <w:pPr>
              <w:snapToGrid w:val="0"/>
              <w:jc w:val="center"/>
              <w:rPr>
                <w:rFonts w:ascii="Times New Roman" w:eastAsia="宋体" w:hAnsi="Times New Roman" w:cs="Times New Roman"/>
                <w:spacing w:val="-6"/>
                <w:szCs w:val="21"/>
                <w:highlight w:val="yellow"/>
              </w:rPr>
            </w:pPr>
            <w:r>
              <w:rPr>
                <w:rFonts w:ascii="Times New Roman" w:eastAsia="宋体" w:hAnsi="Times New Roman" w:cs="Times New Roman"/>
                <w:spacing w:val="-6"/>
                <w:szCs w:val="21"/>
              </w:rPr>
              <w:t>《地下水质量标准》（</w:t>
            </w:r>
            <w:r>
              <w:rPr>
                <w:rFonts w:ascii="Times New Roman" w:eastAsia="宋体" w:hAnsi="Times New Roman" w:cs="Times New Roman"/>
                <w:spacing w:val="-6"/>
                <w:szCs w:val="21"/>
              </w:rPr>
              <w:t>GB/T14848-2017</w:t>
            </w:r>
            <w:r>
              <w:rPr>
                <w:rFonts w:ascii="Times New Roman" w:eastAsia="宋体" w:hAnsi="Times New Roman" w:cs="Times New Roman"/>
                <w:spacing w:val="-6"/>
                <w:szCs w:val="21"/>
              </w:rPr>
              <w:t>）中</w:t>
            </w:r>
            <w:r>
              <w:rPr>
                <w:rFonts w:ascii="Times New Roman" w:eastAsia="宋体" w:hAnsi="Times New Roman" w:cs="Times New Roman"/>
                <w:szCs w:val="21"/>
              </w:rPr>
              <w:fldChar w:fldCharType="begin"/>
            </w:r>
            <w:r>
              <w:rPr>
                <w:rFonts w:ascii="Times New Roman" w:eastAsia="宋体" w:hAnsi="Times New Roman" w:cs="Times New Roman"/>
                <w:szCs w:val="21"/>
              </w:rPr>
              <w:instrText xml:space="preserve"> = 3 \* ROMAN </w:instrText>
            </w:r>
            <w:r>
              <w:rPr>
                <w:rFonts w:ascii="Times New Roman" w:eastAsia="宋体" w:hAnsi="Times New Roman" w:cs="Times New Roman"/>
                <w:szCs w:val="21"/>
              </w:rPr>
              <w:fldChar w:fldCharType="separate"/>
            </w:r>
            <w:r>
              <w:rPr>
                <w:rFonts w:ascii="Times New Roman" w:eastAsia="宋体" w:hAnsi="Times New Roman" w:cs="Times New Roman"/>
                <w:szCs w:val="21"/>
              </w:rPr>
              <w:t>III</w:t>
            </w:r>
            <w:r>
              <w:rPr>
                <w:rFonts w:ascii="Times New Roman" w:eastAsia="宋体" w:hAnsi="Times New Roman" w:cs="Times New Roman"/>
                <w:szCs w:val="21"/>
              </w:rPr>
              <w:fldChar w:fldCharType="end"/>
            </w:r>
            <w:r>
              <w:rPr>
                <w:rFonts w:ascii="Times New Roman" w:eastAsia="宋体" w:hAnsi="Times New Roman" w:cs="Times New Roman"/>
                <w:spacing w:val="-6"/>
                <w:szCs w:val="21"/>
              </w:rPr>
              <w:t>类标</w:t>
            </w:r>
            <w:r>
              <w:rPr>
                <w:rFonts w:ascii="Times New Roman" w:eastAsia="宋体" w:hAnsi="Times New Roman" w:cs="Times New Roman"/>
                <w:spacing w:val="-6"/>
                <w:szCs w:val="21"/>
              </w:rPr>
              <w:lastRenderedPageBreak/>
              <w:t>准</w:t>
            </w:r>
          </w:p>
        </w:tc>
      </w:tr>
      <w:tr w:rsidR="00833AEB" w14:paraId="2AC77918" w14:textId="77777777">
        <w:trPr>
          <w:trHeight w:val="113"/>
        </w:trPr>
        <w:tc>
          <w:tcPr>
            <w:tcW w:w="704" w:type="dxa"/>
            <w:vMerge/>
            <w:vAlign w:val="center"/>
          </w:tcPr>
          <w:p w14:paraId="2C3AB95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3E56099"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耗氧量</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71B7C28B"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3.0</w:t>
            </w:r>
          </w:p>
        </w:tc>
        <w:tc>
          <w:tcPr>
            <w:tcW w:w="2985" w:type="dxa"/>
            <w:gridSpan w:val="2"/>
            <w:vMerge/>
            <w:vAlign w:val="center"/>
          </w:tcPr>
          <w:p w14:paraId="31AF3D17"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00D5C36F" w14:textId="77777777">
        <w:trPr>
          <w:trHeight w:val="113"/>
        </w:trPr>
        <w:tc>
          <w:tcPr>
            <w:tcW w:w="704" w:type="dxa"/>
            <w:vMerge/>
            <w:vAlign w:val="center"/>
          </w:tcPr>
          <w:p w14:paraId="417D4A1C"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7E90FD71"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溶解性总固体</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1B57E020"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1000</w:t>
            </w:r>
          </w:p>
        </w:tc>
        <w:tc>
          <w:tcPr>
            <w:tcW w:w="2985" w:type="dxa"/>
            <w:gridSpan w:val="2"/>
            <w:vMerge/>
            <w:vAlign w:val="center"/>
          </w:tcPr>
          <w:p w14:paraId="153DD9B5"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2608D4D1" w14:textId="77777777">
        <w:trPr>
          <w:trHeight w:val="113"/>
        </w:trPr>
        <w:tc>
          <w:tcPr>
            <w:tcW w:w="704" w:type="dxa"/>
            <w:vMerge/>
            <w:vAlign w:val="center"/>
          </w:tcPr>
          <w:p w14:paraId="23B7222A"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3A65883"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硝酸盐氮</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5F9E61DB"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2985" w:type="dxa"/>
            <w:gridSpan w:val="2"/>
            <w:vMerge/>
            <w:vAlign w:val="center"/>
          </w:tcPr>
          <w:p w14:paraId="5A1D02FF"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283D110A" w14:textId="77777777">
        <w:trPr>
          <w:trHeight w:val="113"/>
        </w:trPr>
        <w:tc>
          <w:tcPr>
            <w:tcW w:w="704" w:type="dxa"/>
            <w:vMerge/>
            <w:vAlign w:val="center"/>
          </w:tcPr>
          <w:p w14:paraId="3BD92A25"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1532AD94"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亚硝酸盐氮</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5439BBF7"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0.02</w:t>
            </w:r>
          </w:p>
        </w:tc>
        <w:tc>
          <w:tcPr>
            <w:tcW w:w="2985" w:type="dxa"/>
            <w:gridSpan w:val="2"/>
            <w:vMerge/>
            <w:vAlign w:val="center"/>
          </w:tcPr>
          <w:p w14:paraId="45ECCB39"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5E90FF98" w14:textId="77777777">
        <w:trPr>
          <w:trHeight w:val="113"/>
        </w:trPr>
        <w:tc>
          <w:tcPr>
            <w:tcW w:w="704" w:type="dxa"/>
            <w:vMerge/>
            <w:vAlign w:val="center"/>
          </w:tcPr>
          <w:p w14:paraId="49C3837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C97A6CD"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氨氮</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10E6EB41"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0.2</w:t>
            </w:r>
          </w:p>
        </w:tc>
        <w:tc>
          <w:tcPr>
            <w:tcW w:w="2985" w:type="dxa"/>
            <w:gridSpan w:val="2"/>
            <w:vMerge/>
            <w:vAlign w:val="center"/>
          </w:tcPr>
          <w:p w14:paraId="05DBDBEE" w14:textId="77777777" w:rsidR="00833AEB" w:rsidRDefault="00833AEB" w:rsidP="00833AEB">
            <w:pPr>
              <w:snapToGrid w:val="0"/>
              <w:jc w:val="center"/>
              <w:rPr>
                <w:rFonts w:ascii="Times New Roman" w:eastAsia="宋体" w:hAnsi="Times New Roman" w:cs="Times New Roman"/>
                <w:spacing w:val="-6"/>
                <w:szCs w:val="21"/>
                <w:highlight w:val="yellow"/>
              </w:rPr>
            </w:pPr>
          </w:p>
        </w:tc>
      </w:tr>
      <w:tr w:rsidR="00833AEB" w14:paraId="1AAB76AE" w14:textId="77777777">
        <w:trPr>
          <w:trHeight w:val="113"/>
        </w:trPr>
        <w:tc>
          <w:tcPr>
            <w:tcW w:w="704" w:type="dxa"/>
            <w:vMerge/>
            <w:vAlign w:val="center"/>
          </w:tcPr>
          <w:p w14:paraId="7BAA44A7"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E18C416"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总硬度</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27275EEE"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450</w:t>
            </w:r>
          </w:p>
        </w:tc>
        <w:tc>
          <w:tcPr>
            <w:tcW w:w="2985" w:type="dxa"/>
            <w:gridSpan w:val="2"/>
            <w:vMerge/>
            <w:vAlign w:val="center"/>
          </w:tcPr>
          <w:p w14:paraId="2C718942" w14:textId="77777777" w:rsidR="00833AEB" w:rsidRDefault="00833AEB" w:rsidP="00833AEB">
            <w:pPr>
              <w:snapToGrid w:val="0"/>
              <w:jc w:val="center"/>
              <w:rPr>
                <w:rFonts w:ascii="Times New Roman" w:eastAsia="宋体" w:hAnsi="Times New Roman" w:cs="Times New Roman"/>
                <w:spacing w:val="-6"/>
                <w:szCs w:val="21"/>
              </w:rPr>
            </w:pPr>
          </w:p>
        </w:tc>
      </w:tr>
      <w:tr w:rsidR="00833AEB" w14:paraId="2C8D35A7" w14:textId="77777777">
        <w:trPr>
          <w:trHeight w:val="113"/>
        </w:trPr>
        <w:tc>
          <w:tcPr>
            <w:tcW w:w="704" w:type="dxa"/>
            <w:vMerge/>
            <w:vAlign w:val="center"/>
          </w:tcPr>
          <w:p w14:paraId="3EF4B28C"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C728DAF"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挥发酚</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61B250D5"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0.002</w:t>
            </w:r>
          </w:p>
        </w:tc>
        <w:tc>
          <w:tcPr>
            <w:tcW w:w="2985" w:type="dxa"/>
            <w:gridSpan w:val="2"/>
            <w:vMerge/>
            <w:vAlign w:val="center"/>
          </w:tcPr>
          <w:p w14:paraId="10D3E88D" w14:textId="77777777" w:rsidR="00833AEB" w:rsidRDefault="00833AEB" w:rsidP="00833AEB">
            <w:pPr>
              <w:snapToGrid w:val="0"/>
              <w:jc w:val="center"/>
              <w:rPr>
                <w:rFonts w:ascii="Times New Roman" w:eastAsia="宋体" w:hAnsi="Times New Roman" w:cs="Times New Roman"/>
                <w:spacing w:val="-6"/>
                <w:szCs w:val="21"/>
              </w:rPr>
            </w:pPr>
          </w:p>
        </w:tc>
      </w:tr>
      <w:tr w:rsidR="00833AEB" w14:paraId="5EC20290" w14:textId="77777777">
        <w:trPr>
          <w:trHeight w:val="113"/>
        </w:trPr>
        <w:tc>
          <w:tcPr>
            <w:tcW w:w="704" w:type="dxa"/>
            <w:vMerge/>
            <w:vAlign w:val="center"/>
          </w:tcPr>
          <w:p w14:paraId="405005A2"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58F4FA02"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氟化物</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4927F69E"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2985" w:type="dxa"/>
            <w:gridSpan w:val="2"/>
            <w:vMerge/>
            <w:vAlign w:val="center"/>
          </w:tcPr>
          <w:p w14:paraId="1D2CE7B6" w14:textId="77777777" w:rsidR="00833AEB" w:rsidRDefault="00833AEB" w:rsidP="00833AEB">
            <w:pPr>
              <w:snapToGrid w:val="0"/>
              <w:jc w:val="center"/>
              <w:rPr>
                <w:rFonts w:ascii="Times New Roman" w:eastAsia="宋体" w:hAnsi="Times New Roman" w:cs="Times New Roman"/>
                <w:spacing w:val="-6"/>
                <w:szCs w:val="21"/>
              </w:rPr>
            </w:pPr>
          </w:p>
        </w:tc>
      </w:tr>
      <w:tr w:rsidR="00833AEB" w14:paraId="11D4C04E" w14:textId="77777777">
        <w:trPr>
          <w:trHeight w:val="113"/>
        </w:trPr>
        <w:tc>
          <w:tcPr>
            <w:tcW w:w="704" w:type="dxa"/>
            <w:vMerge/>
            <w:vAlign w:val="center"/>
          </w:tcPr>
          <w:p w14:paraId="53E9392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3542B47C"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氰化物</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5B12C3AD"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2985" w:type="dxa"/>
            <w:gridSpan w:val="2"/>
            <w:vMerge/>
            <w:vAlign w:val="center"/>
          </w:tcPr>
          <w:p w14:paraId="79E99A63" w14:textId="77777777" w:rsidR="00833AEB" w:rsidRDefault="00833AEB" w:rsidP="00833AEB">
            <w:pPr>
              <w:snapToGrid w:val="0"/>
              <w:jc w:val="center"/>
              <w:rPr>
                <w:rFonts w:ascii="Times New Roman" w:eastAsia="宋体" w:hAnsi="Times New Roman" w:cs="Times New Roman"/>
                <w:spacing w:val="-6"/>
                <w:szCs w:val="21"/>
              </w:rPr>
            </w:pPr>
          </w:p>
        </w:tc>
      </w:tr>
      <w:tr w:rsidR="00833AEB" w14:paraId="75E3165F" w14:textId="77777777">
        <w:trPr>
          <w:trHeight w:val="113"/>
        </w:trPr>
        <w:tc>
          <w:tcPr>
            <w:tcW w:w="704" w:type="dxa"/>
            <w:vMerge/>
            <w:vAlign w:val="center"/>
          </w:tcPr>
          <w:p w14:paraId="29E21906"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1E6C6DB"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硫酸盐</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6D67AAEE"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250</w:t>
            </w:r>
          </w:p>
        </w:tc>
        <w:tc>
          <w:tcPr>
            <w:tcW w:w="2985" w:type="dxa"/>
            <w:gridSpan w:val="2"/>
            <w:vMerge/>
            <w:vAlign w:val="center"/>
          </w:tcPr>
          <w:p w14:paraId="3D155177" w14:textId="77777777" w:rsidR="00833AEB" w:rsidRDefault="00833AEB" w:rsidP="00833AEB">
            <w:pPr>
              <w:snapToGrid w:val="0"/>
              <w:jc w:val="center"/>
              <w:rPr>
                <w:rFonts w:ascii="Times New Roman" w:eastAsia="宋体" w:hAnsi="Times New Roman" w:cs="Times New Roman"/>
                <w:spacing w:val="-6"/>
                <w:szCs w:val="21"/>
              </w:rPr>
            </w:pPr>
          </w:p>
        </w:tc>
      </w:tr>
      <w:tr w:rsidR="00833AEB" w14:paraId="77B2ED2F" w14:textId="77777777">
        <w:trPr>
          <w:trHeight w:val="113"/>
        </w:trPr>
        <w:tc>
          <w:tcPr>
            <w:tcW w:w="704" w:type="dxa"/>
            <w:vMerge/>
            <w:vAlign w:val="center"/>
          </w:tcPr>
          <w:p w14:paraId="23DE3A0B"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1F657178"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氯化物</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11BEC849"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250</w:t>
            </w:r>
          </w:p>
        </w:tc>
        <w:tc>
          <w:tcPr>
            <w:tcW w:w="2985" w:type="dxa"/>
            <w:gridSpan w:val="2"/>
            <w:vMerge/>
            <w:vAlign w:val="center"/>
          </w:tcPr>
          <w:p w14:paraId="5F165B21" w14:textId="77777777" w:rsidR="00833AEB" w:rsidRDefault="00833AEB" w:rsidP="00833AEB">
            <w:pPr>
              <w:snapToGrid w:val="0"/>
              <w:jc w:val="center"/>
              <w:rPr>
                <w:rFonts w:ascii="Times New Roman" w:eastAsia="宋体" w:hAnsi="Times New Roman" w:cs="Times New Roman"/>
                <w:spacing w:val="-6"/>
                <w:szCs w:val="21"/>
              </w:rPr>
            </w:pPr>
          </w:p>
        </w:tc>
      </w:tr>
      <w:tr w:rsidR="00833AEB" w14:paraId="63E6938D" w14:textId="77777777">
        <w:trPr>
          <w:trHeight w:val="113"/>
        </w:trPr>
        <w:tc>
          <w:tcPr>
            <w:tcW w:w="704" w:type="dxa"/>
            <w:vMerge/>
            <w:vAlign w:val="center"/>
          </w:tcPr>
          <w:p w14:paraId="26420901"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E60389D"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锰</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5C68C34A"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0.1</w:t>
            </w:r>
          </w:p>
        </w:tc>
        <w:tc>
          <w:tcPr>
            <w:tcW w:w="2985" w:type="dxa"/>
            <w:gridSpan w:val="2"/>
            <w:vMerge/>
            <w:vAlign w:val="center"/>
          </w:tcPr>
          <w:p w14:paraId="3A18C912" w14:textId="77777777" w:rsidR="00833AEB" w:rsidRDefault="00833AEB" w:rsidP="00833AEB">
            <w:pPr>
              <w:snapToGrid w:val="0"/>
              <w:jc w:val="center"/>
              <w:rPr>
                <w:rFonts w:ascii="Times New Roman" w:eastAsia="宋体" w:hAnsi="Times New Roman" w:cs="Times New Roman"/>
                <w:spacing w:val="-6"/>
                <w:szCs w:val="21"/>
              </w:rPr>
            </w:pPr>
          </w:p>
        </w:tc>
      </w:tr>
      <w:tr w:rsidR="00833AEB" w14:paraId="51175C17" w14:textId="77777777">
        <w:trPr>
          <w:trHeight w:val="113"/>
        </w:trPr>
        <w:tc>
          <w:tcPr>
            <w:tcW w:w="704" w:type="dxa"/>
            <w:vMerge/>
            <w:vAlign w:val="center"/>
          </w:tcPr>
          <w:p w14:paraId="1FB7642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598A4DDD"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汞</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29D9F060"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0.001</w:t>
            </w:r>
          </w:p>
        </w:tc>
        <w:tc>
          <w:tcPr>
            <w:tcW w:w="2985" w:type="dxa"/>
            <w:gridSpan w:val="2"/>
            <w:vMerge/>
            <w:vAlign w:val="center"/>
          </w:tcPr>
          <w:p w14:paraId="28E76B98" w14:textId="77777777" w:rsidR="00833AEB" w:rsidRDefault="00833AEB" w:rsidP="00833AEB">
            <w:pPr>
              <w:snapToGrid w:val="0"/>
              <w:jc w:val="center"/>
              <w:rPr>
                <w:rFonts w:ascii="Times New Roman" w:eastAsia="宋体" w:hAnsi="Times New Roman" w:cs="Times New Roman"/>
                <w:spacing w:val="-6"/>
                <w:szCs w:val="21"/>
              </w:rPr>
            </w:pPr>
          </w:p>
        </w:tc>
      </w:tr>
      <w:tr w:rsidR="00833AEB" w14:paraId="4B9D13CD" w14:textId="77777777">
        <w:trPr>
          <w:trHeight w:val="113"/>
        </w:trPr>
        <w:tc>
          <w:tcPr>
            <w:tcW w:w="704" w:type="dxa"/>
            <w:vMerge/>
            <w:vAlign w:val="center"/>
          </w:tcPr>
          <w:p w14:paraId="0834CF34"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CFDA021"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六价铬</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58F51290"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2985" w:type="dxa"/>
            <w:gridSpan w:val="2"/>
            <w:vMerge/>
            <w:vAlign w:val="center"/>
          </w:tcPr>
          <w:p w14:paraId="4CD612D3" w14:textId="77777777" w:rsidR="00833AEB" w:rsidRDefault="00833AEB" w:rsidP="00833AEB">
            <w:pPr>
              <w:snapToGrid w:val="0"/>
              <w:jc w:val="center"/>
              <w:rPr>
                <w:rFonts w:ascii="Times New Roman" w:eastAsia="宋体" w:hAnsi="Times New Roman" w:cs="Times New Roman"/>
                <w:spacing w:val="-6"/>
                <w:szCs w:val="21"/>
              </w:rPr>
            </w:pPr>
          </w:p>
        </w:tc>
      </w:tr>
      <w:tr w:rsidR="00833AEB" w14:paraId="2F790AEA" w14:textId="77777777">
        <w:trPr>
          <w:trHeight w:val="113"/>
        </w:trPr>
        <w:tc>
          <w:tcPr>
            <w:tcW w:w="704" w:type="dxa"/>
            <w:vMerge/>
            <w:vAlign w:val="center"/>
          </w:tcPr>
          <w:p w14:paraId="640D6F92"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727E148B"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镉</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69E716E6"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0.01</w:t>
            </w:r>
          </w:p>
        </w:tc>
        <w:tc>
          <w:tcPr>
            <w:tcW w:w="2985" w:type="dxa"/>
            <w:gridSpan w:val="2"/>
            <w:vMerge/>
            <w:vAlign w:val="center"/>
          </w:tcPr>
          <w:p w14:paraId="61665FE0" w14:textId="77777777" w:rsidR="00833AEB" w:rsidRDefault="00833AEB" w:rsidP="00833AEB">
            <w:pPr>
              <w:snapToGrid w:val="0"/>
              <w:jc w:val="center"/>
              <w:rPr>
                <w:rFonts w:ascii="Times New Roman" w:eastAsia="宋体" w:hAnsi="Times New Roman" w:cs="Times New Roman"/>
                <w:spacing w:val="-6"/>
                <w:szCs w:val="21"/>
              </w:rPr>
            </w:pPr>
          </w:p>
        </w:tc>
      </w:tr>
      <w:tr w:rsidR="00833AEB" w14:paraId="50A0FB17" w14:textId="77777777">
        <w:trPr>
          <w:trHeight w:val="113"/>
        </w:trPr>
        <w:tc>
          <w:tcPr>
            <w:tcW w:w="704" w:type="dxa"/>
            <w:vMerge/>
            <w:vAlign w:val="center"/>
          </w:tcPr>
          <w:p w14:paraId="51A4741F"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2D079D2F"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铁</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1825D856"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0.3</w:t>
            </w:r>
          </w:p>
        </w:tc>
        <w:tc>
          <w:tcPr>
            <w:tcW w:w="2985" w:type="dxa"/>
            <w:gridSpan w:val="2"/>
            <w:vMerge/>
            <w:vAlign w:val="center"/>
          </w:tcPr>
          <w:p w14:paraId="7EE920EC" w14:textId="77777777" w:rsidR="00833AEB" w:rsidRDefault="00833AEB" w:rsidP="00833AEB">
            <w:pPr>
              <w:snapToGrid w:val="0"/>
              <w:jc w:val="center"/>
              <w:rPr>
                <w:rFonts w:ascii="Times New Roman" w:eastAsia="宋体" w:hAnsi="Times New Roman" w:cs="Times New Roman"/>
                <w:spacing w:val="-6"/>
                <w:szCs w:val="21"/>
              </w:rPr>
            </w:pPr>
          </w:p>
        </w:tc>
      </w:tr>
      <w:tr w:rsidR="00833AEB" w14:paraId="0D76351F" w14:textId="77777777">
        <w:trPr>
          <w:trHeight w:val="113"/>
        </w:trPr>
        <w:tc>
          <w:tcPr>
            <w:tcW w:w="704" w:type="dxa"/>
            <w:vMerge/>
            <w:vAlign w:val="center"/>
          </w:tcPr>
          <w:p w14:paraId="4ACD76D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7554656"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砷</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2D78337A"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2985" w:type="dxa"/>
            <w:gridSpan w:val="2"/>
            <w:vMerge/>
            <w:vAlign w:val="center"/>
          </w:tcPr>
          <w:p w14:paraId="775B87D0" w14:textId="77777777" w:rsidR="00833AEB" w:rsidRDefault="00833AEB" w:rsidP="00833AEB">
            <w:pPr>
              <w:snapToGrid w:val="0"/>
              <w:jc w:val="center"/>
              <w:rPr>
                <w:rFonts w:ascii="Times New Roman" w:eastAsia="宋体" w:hAnsi="Times New Roman" w:cs="Times New Roman"/>
                <w:spacing w:val="-6"/>
                <w:szCs w:val="21"/>
              </w:rPr>
            </w:pPr>
          </w:p>
        </w:tc>
      </w:tr>
      <w:tr w:rsidR="00833AEB" w14:paraId="6F13B008" w14:textId="77777777">
        <w:trPr>
          <w:trHeight w:val="113"/>
        </w:trPr>
        <w:tc>
          <w:tcPr>
            <w:tcW w:w="704" w:type="dxa"/>
            <w:vMerge/>
            <w:vAlign w:val="center"/>
          </w:tcPr>
          <w:p w14:paraId="0AE091CC"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446070A"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铅</w:t>
            </w:r>
            <w:r>
              <w:rPr>
                <w:rFonts w:ascii="Times New Roman" w:eastAsia="宋体" w:hAnsi="Times New Roman" w:cs="Times New Roman"/>
                <w:spacing w:val="-6"/>
                <w:szCs w:val="21"/>
              </w:rPr>
              <w:t>（</w:t>
            </w:r>
            <w:r>
              <w:rPr>
                <w:rFonts w:ascii="Times New Roman" w:eastAsia="宋体" w:hAnsi="Times New Roman" w:cs="Times New Roman"/>
                <w:spacing w:val="-6"/>
                <w:szCs w:val="21"/>
              </w:rPr>
              <w:t>mg/L</w:t>
            </w:r>
            <w:r>
              <w:rPr>
                <w:rFonts w:ascii="Times New Roman" w:eastAsia="宋体" w:hAnsi="Times New Roman" w:cs="Times New Roman"/>
                <w:spacing w:val="-6"/>
                <w:szCs w:val="21"/>
              </w:rPr>
              <w:t>）</w:t>
            </w:r>
          </w:p>
        </w:tc>
        <w:tc>
          <w:tcPr>
            <w:tcW w:w="3779" w:type="dxa"/>
            <w:gridSpan w:val="5"/>
            <w:vAlign w:val="center"/>
          </w:tcPr>
          <w:p w14:paraId="6D88F2DB"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0.05</w:t>
            </w:r>
          </w:p>
        </w:tc>
        <w:tc>
          <w:tcPr>
            <w:tcW w:w="2985" w:type="dxa"/>
            <w:gridSpan w:val="2"/>
            <w:vMerge/>
            <w:vAlign w:val="center"/>
          </w:tcPr>
          <w:p w14:paraId="39D9AECD" w14:textId="77777777" w:rsidR="00833AEB" w:rsidRDefault="00833AEB" w:rsidP="00833AEB">
            <w:pPr>
              <w:snapToGrid w:val="0"/>
              <w:jc w:val="center"/>
              <w:rPr>
                <w:rFonts w:ascii="Times New Roman" w:eastAsia="宋体" w:hAnsi="Times New Roman" w:cs="Times New Roman"/>
                <w:spacing w:val="-6"/>
                <w:szCs w:val="21"/>
              </w:rPr>
            </w:pPr>
          </w:p>
        </w:tc>
      </w:tr>
      <w:tr w:rsidR="00833AEB" w14:paraId="155319CA" w14:textId="77777777">
        <w:trPr>
          <w:trHeight w:val="113"/>
        </w:trPr>
        <w:tc>
          <w:tcPr>
            <w:tcW w:w="704" w:type="dxa"/>
            <w:vMerge/>
            <w:vAlign w:val="center"/>
          </w:tcPr>
          <w:p w14:paraId="615520A2"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19D1DF44"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总大肠菌群（</w:t>
            </w:r>
            <w:r>
              <w:rPr>
                <w:rFonts w:ascii="Times New Roman" w:eastAsia="宋体" w:hAnsi="Times New Roman" w:cs="Times New Roman"/>
                <w:szCs w:val="21"/>
              </w:rPr>
              <w:t>CFU/100mL</w:t>
            </w:r>
            <w:r>
              <w:rPr>
                <w:rFonts w:ascii="Times New Roman" w:eastAsia="宋体" w:hAnsi="Times New Roman" w:cs="Times New Roman"/>
                <w:szCs w:val="21"/>
              </w:rPr>
              <w:t>）</w:t>
            </w:r>
          </w:p>
        </w:tc>
        <w:tc>
          <w:tcPr>
            <w:tcW w:w="3779" w:type="dxa"/>
            <w:gridSpan w:val="5"/>
            <w:vAlign w:val="center"/>
          </w:tcPr>
          <w:p w14:paraId="236EE336"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3.0</w:t>
            </w:r>
          </w:p>
        </w:tc>
        <w:tc>
          <w:tcPr>
            <w:tcW w:w="2985" w:type="dxa"/>
            <w:gridSpan w:val="2"/>
            <w:vMerge/>
            <w:vAlign w:val="center"/>
          </w:tcPr>
          <w:p w14:paraId="700F483C" w14:textId="77777777" w:rsidR="00833AEB" w:rsidRDefault="00833AEB" w:rsidP="00833AEB">
            <w:pPr>
              <w:snapToGrid w:val="0"/>
              <w:jc w:val="center"/>
              <w:rPr>
                <w:rFonts w:ascii="Times New Roman" w:eastAsia="宋体" w:hAnsi="Times New Roman" w:cs="Times New Roman"/>
                <w:spacing w:val="-6"/>
                <w:szCs w:val="21"/>
              </w:rPr>
            </w:pPr>
          </w:p>
        </w:tc>
      </w:tr>
      <w:tr w:rsidR="00833AEB" w14:paraId="66218941" w14:textId="77777777">
        <w:trPr>
          <w:trHeight w:val="113"/>
        </w:trPr>
        <w:tc>
          <w:tcPr>
            <w:tcW w:w="704" w:type="dxa"/>
            <w:vMerge/>
            <w:vAlign w:val="center"/>
          </w:tcPr>
          <w:p w14:paraId="301114C1"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1A55F6B3"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细菌总数（</w:t>
            </w:r>
            <w:r>
              <w:rPr>
                <w:rFonts w:ascii="Times New Roman" w:eastAsia="宋体" w:hAnsi="Times New Roman" w:cs="Times New Roman"/>
                <w:szCs w:val="21"/>
              </w:rPr>
              <w:t>CFU/mL</w:t>
            </w:r>
            <w:r>
              <w:rPr>
                <w:rFonts w:ascii="Times New Roman" w:eastAsia="宋体" w:hAnsi="Times New Roman" w:cs="Times New Roman"/>
                <w:szCs w:val="21"/>
              </w:rPr>
              <w:t>）</w:t>
            </w:r>
          </w:p>
        </w:tc>
        <w:tc>
          <w:tcPr>
            <w:tcW w:w="3779" w:type="dxa"/>
            <w:gridSpan w:val="5"/>
            <w:vAlign w:val="center"/>
          </w:tcPr>
          <w:p w14:paraId="6EE5E88C" w14:textId="77777777" w:rsidR="00833AEB" w:rsidRDefault="00833AEB" w:rsidP="00833AEB">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2985" w:type="dxa"/>
            <w:gridSpan w:val="2"/>
            <w:vMerge/>
            <w:vAlign w:val="center"/>
          </w:tcPr>
          <w:p w14:paraId="0517338E" w14:textId="77777777" w:rsidR="00833AEB" w:rsidRDefault="00833AEB" w:rsidP="00833AEB">
            <w:pPr>
              <w:snapToGrid w:val="0"/>
              <w:jc w:val="center"/>
              <w:rPr>
                <w:rFonts w:ascii="Times New Roman" w:eastAsia="宋体" w:hAnsi="Times New Roman" w:cs="Times New Roman"/>
                <w:spacing w:val="-6"/>
                <w:szCs w:val="21"/>
              </w:rPr>
            </w:pPr>
          </w:p>
        </w:tc>
      </w:tr>
      <w:tr w:rsidR="00833AEB" w14:paraId="58DDCAA2" w14:textId="77777777">
        <w:trPr>
          <w:trHeight w:val="113"/>
        </w:trPr>
        <w:tc>
          <w:tcPr>
            <w:tcW w:w="704" w:type="dxa"/>
            <w:vMerge w:val="restart"/>
            <w:vAlign w:val="center"/>
          </w:tcPr>
          <w:p w14:paraId="2F9B6512"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土壤</w:t>
            </w:r>
          </w:p>
          <w:p w14:paraId="778130F0"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环境</w:t>
            </w:r>
          </w:p>
        </w:tc>
        <w:tc>
          <w:tcPr>
            <w:tcW w:w="2268" w:type="dxa"/>
            <w:gridSpan w:val="3"/>
            <w:vAlign w:val="center"/>
          </w:tcPr>
          <w:p w14:paraId="323F596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4354B12F"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60</w:t>
            </w:r>
          </w:p>
        </w:tc>
        <w:tc>
          <w:tcPr>
            <w:tcW w:w="2985" w:type="dxa"/>
            <w:gridSpan w:val="2"/>
            <w:vMerge w:val="restart"/>
            <w:vAlign w:val="center"/>
          </w:tcPr>
          <w:p w14:paraId="231E34D6"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《土壤环境质量建设用地土壤污染风险管控标准（试行）》（</w:t>
            </w:r>
            <w:r>
              <w:rPr>
                <w:rFonts w:ascii="Times New Roman" w:eastAsia="宋体" w:hAnsi="Times New Roman" w:cs="Times New Roman"/>
                <w:spacing w:val="-6"/>
                <w:szCs w:val="21"/>
              </w:rPr>
              <w:t>GB36600-2018</w:t>
            </w:r>
            <w:r>
              <w:rPr>
                <w:rFonts w:ascii="Times New Roman" w:eastAsia="宋体" w:hAnsi="Times New Roman" w:cs="Times New Roman"/>
                <w:spacing w:val="-6"/>
                <w:szCs w:val="21"/>
              </w:rPr>
              <w:t>）筛选值（第二类用地）</w:t>
            </w:r>
          </w:p>
        </w:tc>
      </w:tr>
      <w:tr w:rsidR="00833AEB" w14:paraId="490F4E1F" w14:textId="77777777">
        <w:trPr>
          <w:trHeight w:val="113"/>
        </w:trPr>
        <w:tc>
          <w:tcPr>
            <w:tcW w:w="704" w:type="dxa"/>
            <w:vMerge/>
            <w:vAlign w:val="center"/>
          </w:tcPr>
          <w:p w14:paraId="4FB3A156"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39413D1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镉（</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16D1042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65</w:t>
            </w:r>
          </w:p>
        </w:tc>
        <w:tc>
          <w:tcPr>
            <w:tcW w:w="2985" w:type="dxa"/>
            <w:gridSpan w:val="2"/>
            <w:vMerge/>
            <w:vAlign w:val="center"/>
          </w:tcPr>
          <w:p w14:paraId="6B9833FC" w14:textId="77777777" w:rsidR="00833AEB" w:rsidRDefault="00833AEB" w:rsidP="00833AEB">
            <w:pPr>
              <w:snapToGrid w:val="0"/>
              <w:jc w:val="center"/>
              <w:rPr>
                <w:rFonts w:ascii="Times New Roman" w:eastAsia="宋体" w:hAnsi="Times New Roman" w:cs="Times New Roman"/>
                <w:spacing w:val="-6"/>
                <w:szCs w:val="21"/>
              </w:rPr>
            </w:pPr>
          </w:p>
        </w:tc>
      </w:tr>
      <w:tr w:rsidR="00833AEB" w14:paraId="606FBF53" w14:textId="77777777">
        <w:trPr>
          <w:trHeight w:val="113"/>
        </w:trPr>
        <w:tc>
          <w:tcPr>
            <w:tcW w:w="704" w:type="dxa"/>
            <w:vMerge/>
            <w:vAlign w:val="center"/>
          </w:tcPr>
          <w:p w14:paraId="6B34D39A"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4A69AB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铬（六价）（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6689CA9F"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5.7</w:t>
            </w:r>
          </w:p>
        </w:tc>
        <w:tc>
          <w:tcPr>
            <w:tcW w:w="2985" w:type="dxa"/>
            <w:gridSpan w:val="2"/>
            <w:vMerge/>
            <w:vAlign w:val="center"/>
          </w:tcPr>
          <w:p w14:paraId="4F2F30CB" w14:textId="77777777" w:rsidR="00833AEB" w:rsidRDefault="00833AEB" w:rsidP="00833AEB">
            <w:pPr>
              <w:snapToGrid w:val="0"/>
              <w:jc w:val="center"/>
              <w:rPr>
                <w:rFonts w:ascii="Times New Roman" w:eastAsia="宋体" w:hAnsi="Times New Roman" w:cs="Times New Roman"/>
                <w:spacing w:val="-6"/>
                <w:szCs w:val="21"/>
              </w:rPr>
            </w:pPr>
          </w:p>
        </w:tc>
      </w:tr>
      <w:tr w:rsidR="00833AEB" w14:paraId="7408F273" w14:textId="77777777">
        <w:trPr>
          <w:trHeight w:val="113"/>
        </w:trPr>
        <w:tc>
          <w:tcPr>
            <w:tcW w:w="704" w:type="dxa"/>
            <w:vMerge/>
            <w:vAlign w:val="center"/>
          </w:tcPr>
          <w:p w14:paraId="3A0BBC5A"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F45A36E"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铜（</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5D9BB1E3"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18000</w:t>
            </w:r>
          </w:p>
        </w:tc>
        <w:tc>
          <w:tcPr>
            <w:tcW w:w="2985" w:type="dxa"/>
            <w:gridSpan w:val="2"/>
            <w:vMerge/>
            <w:vAlign w:val="center"/>
          </w:tcPr>
          <w:p w14:paraId="39044647" w14:textId="77777777" w:rsidR="00833AEB" w:rsidRDefault="00833AEB" w:rsidP="00833AEB">
            <w:pPr>
              <w:snapToGrid w:val="0"/>
              <w:jc w:val="center"/>
              <w:rPr>
                <w:rFonts w:ascii="Times New Roman" w:eastAsia="宋体" w:hAnsi="Times New Roman" w:cs="Times New Roman"/>
                <w:spacing w:val="-6"/>
                <w:szCs w:val="21"/>
              </w:rPr>
            </w:pPr>
          </w:p>
        </w:tc>
      </w:tr>
      <w:tr w:rsidR="00833AEB" w14:paraId="606B2AAB" w14:textId="77777777">
        <w:trPr>
          <w:trHeight w:val="113"/>
        </w:trPr>
        <w:tc>
          <w:tcPr>
            <w:tcW w:w="704" w:type="dxa"/>
            <w:vMerge/>
            <w:vAlign w:val="center"/>
          </w:tcPr>
          <w:p w14:paraId="164A0BC2"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31B1CD32"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铅（</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0D19C817"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800</w:t>
            </w:r>
          </w:p>
        </w:tc>
        <w:tc>
          <w:tcPr>
            <w:tcW w:w="2985" w:type="dxa"/>
            <w:gridSpan w:val="2"/>
            <w:vMerge/>
            <w:vAlign w:val="center"/>
          </w:tcPr>
          <w:p w14:paraId="311DD46D" w14:textId="77777777" w:rsidR="00833AEB" w:rsidRDefault="00833AEB" w:rsidP="00833AEB">
            <w:pPr>
              <w:snapToGrid w:val="0"/>
              <w:jc w:val="center"/>
              <w:rPr>
                <w:rFonts w:ascii="Times New Roman" w:eastAsia="宋体" w:hAnsi="Times New Roman" w:cs="Times New Roman"/>
                <w:spacing w:val="-6"/>
                <w:szCs w:val="21"/>
              </w:rPr>
            </w:pPr>
          </w:p>
        </w:tc>
      </w:tr>
      <w:tr w:rsidR="00833AEB" w14:paraId="29C43FA4" w14:textId="77777777">
        <w:trPr>
          <w:trHeight w:val="113"/>
        </w:trPr>
        <w:tc>
          <w:tcPr>
            <w:tcW w:w="704" w:type="dxa"/>
            <w:vMerge/>
            <w:vAlign w:val="center"/>
          </w:tcPr>
          <w:p w14:paraId="0A50D07E"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595B3A9A"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汞（</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1BE4151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38</w:t>
            </w:r>
          </w:p>
        </w:tc>
        <w:tc>
          <w:tcPr>
            <w:tcW w:w="2985" w:type="dxa"/>
            <w:gridSpan w:val="2"/>
            <w:vMerge/>
            <w:vAlign w:val="center"/>
          </w:tcPr>
          <w:p w14:paraId="1808EEF7" w14:textId="77777777" w:rsidR="00833AEB" w:rsidRDefault="00833AEB" w:rsidP="00833AEB">
            <w:pPr>
              <w:snapToGrid w:val="0"/>
              <w:jc w:val="center"/>
              <w:rPr>
                <w:rFonts w:ascii="Times New Roman" w:eastAsia="宋体" w:hAnsi="Times New Roman" w:cs="Times New Roman"/>
                <w:spacing w:val="-6"/>
                <w:szCs w:val="21"/>
              </w:rPr>
            </w:pPr>
          </w:p>
        </w:tc>
      </w:tr>
      <w:tr w:rsidR="00833AEB" w14:paraId="5A77060E" w14:textId="77777777">
        <w:trPr>
          <w:trHeight w:val="113"/>
        </w:trPr>
        <w:tc>
          <w:tcPr>
            <w:tcW w:w="704" w:type="dxa"/>
            <w:vMerge/>
            <w:vAlign w:val="center"/>
          </w:tcPr>
          <w:p w14:paraId="68CA3C1C"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3170ED97"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镍（</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5457978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900</w:t>
            </w:r>
          </w:p>
        </w:tc>
        <w:tc>
          <w:tcPr>
            <w:tcW w:w="2985" w:type="dxa"/>
            <w:gridSpan w:val="2"/>
            <w:vMerge/>
            <w:vAlign w:val="center"/>
          </w:tcPr>
          <w:p w14:paraId="3F5C7EBE" w14:textId="77777777" w:rsidR="00833AEB" w:rsidRDefault="00833AEB" w:rsidP="00833AEB">
            <w:pPr>
              <w:snapToGrid w:val="0"/>
              <w:jc w:val="center"/>
              <w:rPr>
                <w:rFonts w:ascii="Times New Roman" w:eastAsia="宋体" w:hAnsi="Times New Roman" w:cs="Times New Roman"/>
                <w:spacing w:val="-6"/>
                <w:szCs w:val="21"/>
              </w:rPr>
            </w:pPr>
          </w:p>
        </w:tc>
      </w:tr>
      <w:tr w:rsidR="00833AEB" w14:paraId="1AD2AC17" w14:textId="77777777">
        <w:trPr>
          <w:trHeight w:val="113"/>
        </w:trPr>
        <w:tc>
          <w:tcPr>
            <w:tcW w:w="704" w:type="dxa"/>
            <w:vMerge/>
            <w:vAlign w:val="center"/>
          </w:tcPr>
          <w:p w14:paraId="2330286B"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98B68D7"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四氯化碳（</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4441BD06"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2.8</w:t>
            </w:r>
          </w:p>
        </w:tc>
        <w:tc>
          <w:tcPr>
            <w:tcW w:w="2985" w:type="dxa"/>
            <w:gridSpan w:val="2"/>
            <w:vMerge/>
            <w:vAlign w:val="center"/>
          </w:tcPr>
          <w:p w14:paraId="28FD5C82" w14:textId="77777777" w:rsidR="00833AEB" w:rsidRDefault="00833AEB" w:rsidP="00833AEB">
            <w:pPr>
              <w:snapToGrid w:val="0"/>
              <w:jc w:val="center"/>
              <w:rPr>
                <w:rFonts w:ascii="Times New Roman" w:eastAsia="宋体" w:hAnsi="Times New Roman" w:cs="Times New Roman"/>
                <w:spacing w:val="-6"/>
                <w:szCs w:val="21"/>
              </w:rPr>
            </w:pPr>
          </w:p>
        </w:tc>
      </w:tr>
      <w:tr w:rsidR="00833AEB" w14:paraId="52F5FFF0" w14:textId="77777777">
        <w:trPr>
          <w:trHeight w:val="113"/>
        </w:trPr>
        <w:tc>
          <w:tcPr>
            <w:tcW w:w="704" w:type="dxa"/>
            <w:vMerge/>
            <w:vAlign w:val="center"/>
          </w:tcPr>
          <w:p w14:paraId="1F209F10"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182DED6"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氯仿（</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54AB902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0.9</w:t>
            </w:r>
          </w:p>
        </w:tc>
        <w:tc>
          <w:tcPr>
            <w:tcW w:w="2985" w:type="dxa"/>
            <w:gridSpan w:val="2"/>
            <w:vMerge/>
            <w:vAlign w:val="center"/>
          </w:tcPr>
          <w:p w14:paraId="54C63542" w14:textId="77777777" w:rsidR="00833AEB" w:rsidRDefault="00833AEB" w:rsidP="00833AEB">
            <w:pPr>
              <w:snapToGrid w:val="0"/>
              <w:jc w:val="center"/>
              <w:rPr>
                <w:rFonts w:ascii="Times New Roman" w:eastAsia="宋体" w:hAnsi="Times New Roman" w:cs="Times New Roman"/>
                <w:spacing w:val="-6"/>
                <w:szCs w:val="21"/>
              </w:rPr>
            </w:pPr>
          </w:p>
        </w:tc>
      </w:tr>
      <w:tr w:rsidR="00833AEB" w14:paraId="53464417" w14:textId="77777777">
        <w:trPr>
          <w:trHeight w:val="113"/>
        </w:trPr>
        <w:tc>
          <w:tcPr>
            <w:tcW w:w="704" w:type="dxa"/>
            <w:vMerge/>
            <w:vAlign w:val="center"/>
          </w:tcPr>
          <w:p w14:paraId="426887A8"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3F292055"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氯甲烷（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27CA30BA"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37</w:t>
            </w:r>
          </w:p>
        </w:tc>
        <w:tc>
          <w:tcPr>
            <w:tcW w:w="2985" w:type="dxa"/>
            <w:gridSpan w:val="2"/>
            <w:vMerge/>
            <w:vAlign w:val="center"/>
          </w:tcPr>
          <w:p w14:paraId="12BC0CDD" w14:textId="77777777" w:rsidR="00833AEB" w:rsidRDefault="00833AEB" w:rsidP="00833AEB">
            <w:pPr>
              <w:snapToGrid w:val="0"/>
              <w:jc w:val="center"/>
              <w:rPr>
                <w:rFonts w:ascii="Times New Roman" w:eastAsia="宋体" w:hAnsi="Times New Roman" w:cs="Times New Roman"/>
                <w:spacing w:val="-6"/>
                <w:szCs w:val="21"/>
              </w:rPr>
            </w:pPr>
          </w:p>
        </w:tc>
      </w:tr>
      <w:tr w:rsidR="00833AEB" w14:paraId="638368B9" w14:textId="77777777">
        <w:trPr>
          <w:trHeight w:val="113"/>
        </w:trPr>
        <w:tc>
          <w:tcPr>
            <w:tcW w:w="704" w:type="dxa"/>
            <w:vMerge/>
            <w:vAlign w:val="center"/>
          </w:tcPr>
          <w:p w14:paraId="49AEFCF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592BB565"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1,1-</w:t>
            </w:r>
            <w:r>
              <w:rPr>
                <w:rFonts w:ascii="Times New Roman" w:hAnsi="Times New Roman" w:cs="Times New Roman"/>
                <w:color w:val="auto"/>
              </w:rPr>
              <w:t>二氯乙烷（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7CDAD4D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9</w:t>
            </w:r>
          </w:p>
        </w:tc>
        <w:tc>
          <w:tcPr>
            <w:tcW w:w="2985" w:type="dxa"/>
            <w:gridSpan w:val="2"/>
            <w:vMerge/>
            <w:vAlign w:val="center"/>
          </w:tcPr>
          <w:p w14:paraId="7223D3DB" w14:textId="77777777" w:rsidR="00833AEB" w:rsidRDefault="00833AEB" w:rsidP="00833AEB">
            <w:pPr>
              <w:snapToGrid w:val="0"/>
              <w:jc w:val="center"/>
              <w:rPr>
                <w:rFonts w:ascii="Times New Roman" w:eastAsia="宋体" w:hAnsi="Times New Roman" w:cs="Times New Roman"/>
                <w:spacing w:val="-6"/>
                <w:szCs w:val="21"/>
              </w:rPr>
            </w:pPr>
          </w:p>
        </w:tc>
      </w:tr>
      <w:tr w:rsidR="00833AEB" w14:paraId="2370DEED" w14:textId="77777777">
        <w:trPr>
          <w:trHeight w:val="113"/>
        </w:trPr>
        <w:tc>
          <w:tcPr>
            <w:tcW w:w="704" w:type="dxa"/>
            <w:vMerge/>
            <w:vAlign w:val="center"/>
          </w:tcPr>
          <w:p w14:paraId="43557E43"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1D9B040"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1,2-</w:t>
            </w:r>
            <w:r>
              <w:rPr>
                <w:rFonts w:ascii="Times New Roman" w:hAnsi="Times New Roman" w:cs="Times New Roman"/>
                <w:color w:val="auto"/>
              </w:rPr>
              <w:t>二氯乙烷（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574B4DE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5</w:t>
            </w:r>
          </w:p>
        </w:tc>
        <w:tc>
          <w:tcPr>
            <w:tcW w:w="2985" w:type="dxa"/>
            <w:gridSpan w:val="2"/>
            <w:vMerge/>
            <w:vAlign w:val="center"/>
          </w:tcPr>
          <w:p w14:paraId="7EF8A222" w14:textId="77777777" w:rsidR="00833AEB" w:rsidRDefault="00833AEB" w:rsidP="00833AEB">
            <w:pPr>
              <w:snapToGrid w:val="0"/>
              <w:jc w:val="center"/>
              <w:rPr>
                <w:rFonts w:ascii="Times New Roman" w:eastAsia="宋体" w:hAnsi="Times New Roman" w:cs="Times New Roman"/>
                <w:spacing w:val="-6"/>
                <w:szCs w:val="21"/>
              </w:rPr>
            </w:pPr>
          </w:p>
        </w:tc>
      </w:tr>
      <w:tr w:rsidR="00833AEB" w14:paraId="778C0837" w14:textId="77777777">
        <w:trPr>
          <w:trHeight w:val="113"/>
        </w:trPr>
        <w:tc>
          <w:tcPr>
            <w:tcW w:w="704" w:type="dxa"/>
            <w:vMerge/>
            <w:vAlign w:val="center"/>
          </w:tcPr>
          <w:p w14:paraId="3C24E537"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E7A54E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1,1-</w:t>
            </w:r>
            <w:r>
              <w:rPr>
                <w:rFonts w:ascii="Times New Roman" w:hAnsi="Times New Roman" w:cs="Times New Roman"/>
                <w:color w:val="auto"/>
              </w:rPr>
              <w:t>二氯乙烯（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66173D23"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66</w:t>
            </w:r>
          </w:p>
        </w:tc>
        <w:tc>
          <w:tcPr>
            <w:tcW w:w="2985" w:type="dxa"/>
            <w:gridSpan w:val="2"/>
            <w:vMerge/>
            <w:vAlign w:val="center"/>
          </w:tcPr>
          <w:p w14:paraId="24915C3B" w14:textId="77777777" w:rsidR="00833AEB" w:rsidRDefault="00833AEB" w:rsidP="00833AEB">
            <w:pPr>
              <w:snapToGrid w:val="0"/>
              <w:jc w:val="center"/>
              <w:rPr>
                <w:rFonts w:ascii="Times New Roman" w:eastAsia="宋体" w:hAnsi="Times New Roman" w:cs="Times New Roman"/>
                <w:spacing w:val="-6"/>
                <w:szCs w:val="21"/>
              </w:rPr>
            </w:pPr>
          </w:p>
        </w:tc>
      </w:tr>
      <w:tr w:rsidR="00833AEB" w14:paraId="26335661" w14:textId="77777777">
        <w:trPr>
          <w:trHeight w:val="113"/>
        </w:trPr>
        <w:tc>
          <w:tcPr>
            <w:tcW w:w="704" w:type="dxa"/>
            <w:vMerge/>
            <w:vAlign w:val="center"/>
          </w:tcPr>
          <w:p w14:paraId="52241C71"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E63FBA2"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顺</w:t>
            </w:r>
            <w:r>
              <w:rPr>
                <w:rFonts w:ascii="Times New Roman" w:hAnsi="Times New Roman" w:cs="Times New Roman"/>
                <w:color w:val="auto"/>
              </w:rPr>
              <w:t>-1,2-</w:t>
            </w:r>
            <w:r>
              <w:rPr>
                <w:rFonts w:ascii="Times New Roman" w:hAnsi="Times New Roman" w:cs="Times New Roman"/>
                <w:color w:val="auto"/>
              </w:rPr>
              <w:t>二氯乙烯（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6CB954DC"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596</w:t>
            </w:r>
          </w:p>
        </w:tc>
        <w:tc>
          <w:tcPr>
            <w:tcW w:w="2985" w:type="dxa"/>
            <w:gridSpan w:val="2"/>
            <w:vMerge/>
            <w:vAlign w:val="center"/>
          </w:tcPr>
          <w:p w14:paraId="1CF9620D" w14:textId="77777777" w:rsidR="00833AEB" w:rsidRDefault="00833AEB" w:rsidP="00833AEB">
            <w:pPr>
              <w:snapToGrid w:val="0"/>
              <w:jc w:val="center"/>
              <w:rPr>
                <w:rFonts w:ascii="Times New Roman" w:eastAsia="宋体" w:hAnsi="Times New Roman" w:cs="Times New Roman"/>
                <w:spacing w:val="-6"/>
                <w:szCs w:val="21"/>
              </w:rPr>
            </w:pPr>
          </w:p>
        </w:tc>
      </w:tr>
      <w:tr w:rsidR="00833AEB" w14:paraId="29DB3487" w14:textId="77777777">
        <w:trPr>
          <w:trHeight w:val="113"/>
        </w:trPr>
        <w:tc>
          <w:tcPr>
            <w:tcW w:w="704" w:type="dxa"/>
            <w:vMerge/>
            <w:vAlign w:val="center"/>
          </w:tcPr>
          <w:p w14:paraId="1A858FEC"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10EF0B8E"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反</w:t>
            </w:r>
            <w:r>
              <w:rPr>
                <w:rFonts w:ascii="Times New Roman" w:hAnsi="Times New Roman" w:cs="Times New Roman"/>
                <w:color w:val="auto"/>
              </w:rPr>
              <w:t>-1,2-</w:t>
            </w:r>
            <w:r>
              <w:rPr>
                <w:rFonts w:ascii="Times New Roman" w:hAnsi="Times New Roman" w:cs="Times New Roman"/>
                <w:color w:val="auto"/>
              </w:rPr>
              <w:t>二氯乙烯（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3D9B109E"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54</w:t>
            </w:r>
          </w:p>
        </w:tc>
        <w:tc>
          <w:tcPr>
            <w:tcW w:w="2985" w:type="dxa"/>
            <w:gridSpan w:val="2"/>
            <w:vMerge/>
            <w:vAlign w:val="center"/>
          </w:tcPr>
          <w:p w14:paraId="00D94290" w14:textId="77777777" w:rsidR="00833AEB" w:rsidRDefault="00833AEB" w:rsidP="00833AEB">
            <w:pPr>
              <w:snapToGrid w:val="0"/>
              <w:jc w:val="center"/>
              <w:rPr>
                <w:rFonts w:ascii="Times New Roman" w:eastAsia="宋体" w:hAnsi="Times New Roman" w:cs="Times New Roman"/>
                <w:spacing w:val="-6"/>
                <w:szCs w:val="21"/>
              </w:rPr>
            </w:pPr>
          </w:p>
        </w:tc>
      </w:tr>
      <w:tr w:rsidR="00833AEB" w14:paraId="175ED4C1" w14:textId="77777777">
        <w:trPr>
          <w:trHeight w:val="113"/>
        </w:trPr>
        <w:tc>
          <w:tcPr>
            <w:tcW w:w="704" w:type="dxa"/>
            <w:vMerge/>
            <w:vAlign w:val="center"/>
          </w:tcPr>
          <w:p w14:paraId="597AEAF2"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5B942B5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二氯甲烷（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5E4F1CC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616</w:t>
            </w:r>
          </w:p>
        </w:tc>
        <w:tc>
          <w:tcPr>
            <w:tcW w:w="2985" w:type="dxa"/>
            <w:gridSpan w:val="2"/>
            <w:vMerge/>
            <w:vAlign w:val="center"/>
          </w:tcPr>
          <w:p w14:paraId="1C0F7095" w14:textId="77777777" w:rsidR="00833AEB" w:rsidRDefault="00833AEB" w:rsidP="00833AEB">
            <w:pPr>
              <w:snapToGrid w:val="0"/>
              <w:jc w:val="center"/>
              <w:rPr>
                <w:rFonts w:ascii="Times New Roman" w:eastAsia="宋体" w:hAnsi="Times New Roman" w:cs="Times New Roman"/>
                <w:spacing w:val="-6"/>
                <w:szCs w:val="21"/>
              </w:rPr>
            </w:pPr>
          </w:p>
        </w:tc>
      </w:tr>
      <w:tr w:rsidR="00833AEB" w14:paraId="389F6E1B" w14:textId="77777777">
        <w:trPr>
          <w:trHeight w:val="113"/>
        </w:trPr>
        <w:tc>
          <w:tcPr>
            <w:tcW w:w="704" w:type="dxa"/>
            <w:vMerge/>
            <w:vAlign w:val="center"/>
          </w:tcPr>
          <w:p w14:paraId="2C14B4AD"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31640C0B"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1,2-</w:t>
            </w:r>
            <w:r>
              <w:rPr>
                <w:rFonts w:ascii="Times New Roman" w:hAnsi="Times New Roman" w:cs="Times New Roman"/>
                <w:color w:val="auto"/>
              </w:rPr>
              <w:t>二氯丙烷（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662EC880"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5</w:t>
            </w:r>
          </w:p>
        </w:tc>
        <w:tc>
          <w:tcPr>
            <w:tcW w:w="2985" w:type="dxa"/>
            <w:gridSpan w:val="2"/>
            <w:vMerge/>
            <w:vAlign w:val="center"/>
          </w:tcPr>
          <w:p w14:paraId="2BCED3C8" w14:textId="77777777" w:rsidR="00833AEB" w:rsidRDefault="00833AEB" w:rsidP="00833AEB">
            <w:pPr>
              <w:snapToGrid w:val="0"/>
              <w:jc w:val="center"/>
              <w:rPr>
                <w:rFonts w:ascii="Times New Roman" w:eastAsia="宋体" w:hAnsi="Times New Roman" w:cs="Times New Roman"/>
                <w:spacing w:val="-6"/>
                <w:szCs w:val="21"/>
              </w:rPr>
            </w:pPr>
          </w:p>
        </w:tc>
      </w:tr>
      <w:tr w:rsidR="00833AEB" w14:paraId="3CD2F9CD" w14:textId="77777777">
        <w:trPr>
          <w:trHeight w:val="113"/>
        </w:trPr>
        <w:tc>
          <w:tcPr>
            <w:tcW w:w="704" w:type="dxa"/>
            <w:vMerge/>
            <w:vAlign w:val="center"/>
          </w:tcPr>
          <w:p w14:paraId="574FE277"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2EAFD536"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1,1,1,2-</w:t>
            </w:r>
            <w:r>
              <w:rPr>
                <w:rFonts w:ascii="Times New Roman" w:hAnsi="Times New Roman" w:cs="Times New Roman"/>
                <w:color w:val="auto"/>
              </w:rPr>
              <w:t>四氯乙烷（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2A933443"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10</w:t>
            </w:r>
          </w:p>
        </w:tc>
        <w:tc>
          <w:tcPr>
            <w:tcW w:w="2985" w:type="dxa"/>
            <w:gridSpan w:val="2"/>
            <w:vMerge/>
            <w:vAlign w:val="center"/>
          </w:tcPr>
          <w:p w14:paraId="6C48B84B" w14:textId="77777777" w:rsidR="00833AEB" w:rsidRDefault="00833AEB" w:rsidP="00833AEB">
            <w:pPr>
              <w:snapToGrid w:val="0"/>
              <w:jc w:val="center"/>
              <w:rPr>
                <w:rFonts w:ascii="Times New Roman" w:eastAsia="宋体" w:hAnsi="Times New Roman" w:cs="Times New Roman"/>
                <w:spacing w:val="-6"/>
                <w:szCs w:val="21"/>
              </w:rPr>
            </w:pPr>
          </w:p>
        </w:tc>
      </w:tr>
      <w:tr w:rsidR="00833AEB" w14:paraId="298C82BC" w14:textId="77777777">
        <w:trPr>
          <w:trHeight w:val="113"/>
        </w:trPr>
        <w:tc>
          <w:tcPr>
            <w:tcW w:w="704" w:type="dxa"/>
            <w:vMerge/>
            <w:vAlign w:val="center"/>
          </w:tcPr>
          <w:p w14:paraId="04C5FE53"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3ABA694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1,1,2,2-</w:t>
            </w:r>
            <w:r>
              <w:rPr>
                <w:rFonts w:ascii="Times New Roman" w:hAnsi="Times New Roman" w:cs="Times New Roman"/>
                <w:color w:val="auto"/>
              </w:rPr>
              <w:t>四氯乙烷（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1C64B7CF"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6.8</w:t>
            </w:r>
          </w:p>
        </w:tc>
        <w:tc>
          <w:tcPr>
            <w:tcW w:w="2985" w:type="dxa"/>
            <w:gridSpan w:val="2"/>
            <w:vMerge/>
            <w:vAlign w:val="center"/>
          </w:tcPr>
          <w:p w14:paraId="5EEC47D4" w14:textId="77777777" w:rsidR="00833AEB" w:rsidRDefault="00833AEB" w:rsidP="00833AEB">
            <w:pPr>
              <w:snapToGrid w:val="0"/>
              <w:jc w:val="center"/>
              <w:rPr>
                <w:rFonts w:ascii="Times New Roman" w:eastAsia="宋体" w:hAnsi="Times New Roman" w:cs="Times New Roman"/>
                <w:spacing w:val="-6"/>
                <w:szCs w:val="21"/>
              </w:rPr>
            </w:pPr>
          </w:p>
        </w:tc>
      </w:tr>
      <w:tr w:rsidR="00833AEB" w14:paraId="648F8DB0" w14:textId="77777777">
        <w:trPr>
          <w:trHeight w:val="113"/>
        </w:trPr>
        <w:tc>
          <w:tcPr>
            <w:tcW w:w="704" w:type="dxa"/>
            <w:vMerge/>
            <w:vAlign w:val="center"/>
          </w:tcPr>
          <w:p w14:paraId="0E801D4C"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3F0AC85"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四氯乙烯（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23176833"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53</w:t>
            </w:r>
          </w:p>
        </w:tc>
        <w:tc>
          <w:tcPr>
            <w:tcW w:w="2985" w:type="dxa"/>
            <w:gridSpan w:val="2"/>
            <w:vMerge/>
            <w:vAlign w:val="center"/>
          </w:tcPr>
          <w:p w14:paraId="540525FF" w14:textId="77777777" w:rsidR="00833AEB" w:rsidRDefault="00833AEB" w:rsidP="00833AEB">
            <w:pPr>
              <w:snapToGrid w:val="0"/>
              <w:jc w:val="center"/>
              <w:rPr>
                <w:rFonts w:ascii="Times New Roman" w:eastAsia="宋体" w:hAnsi="Times New Roman" w:cs="Times New Roman"/>
                <w:spacing w:val="-6"/>
                <w:szCs w:val="21"/>
              </w:rPr>
            </w:pPr>
          </w:p>
        </w:tc>
      </w:tr>
      <w:tr w:rsidR="00833AEB" w14:paraId="6D57E4A5" w14:textId="77777777">
        <w:trPr>
          <w:trHeight w:val="113"/>
        </w:trPr>
        <w:tc>
          <w:tcPr>
            <w:tcW w:w="704" w:type="dxa"/>
            <w:vMerge/>
            <w:vAlign w:val="center"/>
          </w:tcPr>
          <w:p w14:paraId="723B81E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FF3B3D7"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1,1,1-</w:t>
            </w:r>
            <w:r>
              <w:rPr>
                <w:rFonts w:ascii="Times New Roman" w:hAnsi="Times New Roman" w:cs="Times New Roman"/>
                <w:color w:val="auto"/>
              </w:rPr>
              <w:t>三氯乙烷（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7347240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840</w:t>
            </w:r>
          </w:p>
        </w:tc>
        <w:tc>
          <w:tcPr>
            <w:tcW w:w="2985" w:type="dxa"/>
            <w:gridSpan w:val="2"/>
            <w:vMerge/>
            <w:vAlign w:val="center"/>
          </w:tcPr>
          <w:p w14:paraId="0B3E3A86" w14:textId="77777777" w:rsidR="00833AEB" w:rsidRDefault="00833AEB" w:rsidP="00833AEB">
            <w:pPr>
              <w:snapToGrid w:val="0"/>
              <w:jc w:val="center"/>
              <w:rPr>
                <w:rFonts w:ascii="Times New Roman" w:eastAsia="宋体" w:hAnsi="Times New Roman" w:cs="Times New Roman"/>
                <w:spacing w:val="-6"/>
                <w:szCs w:val="21"/>
              </w:rPr>
            </w:pPr>
          </w:p>
        </w:tc>
      </w:tr>
      <w:tr w:rsidR="00833AEB" w14:paraId="299B8358" w14:textId="77777777">
        <w:trPr>
          <w:trHeight w:val="113"/>
        </w:trPr>
        <w:tc>
          <w:tcPr>
            <w:tcW w:w="704" w:type="dxa"/>
            <w:vMerge/>
            <w:vAlign w:val="center"/>
          </w:tcPr>
          <w:p w14:paraId="5FEB701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638471F"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1,1,2-</w:t>
            </w:r>
            <w:r>
              <w:rPr>
                <w:rFonts w:ascii="Times New Roman" w:hAnsi="Times New Roman" w:cs="Times New Roman"/>
                <w:color w:val="auto"/>
              </w:rPr>
              <w:t>三氯乙烷（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180D5A83"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2.8</w:t>
            </w:r>
          </w:p>
        </w:tc>
        <w:tc>
          <w:tcPr>
            <w:tcW w:w="2985" w:type="dxa"/>
            <w:gridSpan w:val="2"/>
            <w:vMerge/>
            <w:vAlign w:val="center"/>
          </w:tcPr>
          <w:p w14:paraId="53561CCB" w14:textId="77777777" w:rsidR="00833AEB" w:rsidRDefault="00833AEB" w:rsidP="00833AEB">
            <w:pPr>
              <w:snapToGrid w:val="0"/>
              <w:jc w:val="center"/>
              <w:rPr>
                <w:rFonts w:ascii="Times New Roman" w:eastAsia="宋体" w:hAnsi="Times New Roman" w:cs="Times New Roman"/>
                <w:spacing w:val="-6"/>
                <w:szCs w:val="21"/>
              </w:rPr>
            </w:pPr>
          </w:p>
        </w:tc>
      </w:tr>
      <w:tr w:rsidR="00833AEB" w14:paraId="5A4E35B2" w14:textId="77777777">
        <w:trPr>
          <w:trHeight w:val="113"/>
        </w:trPr>
        <w:tc>
          <w:tcPr>
            <w:tcW w:w="704" w:type="dxa"/>
            <w:vMerge/>
            <w:vAlign w:val="center"/>
          </w:tcPr>
          <w:p w14:paraId="4E0A9A83"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7D681BD"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三氯乙烯（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4B3BE396"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2.8</w:t>
            </w:r>
          </w:p>
        </w:tc>
        <w:tc>
          <w:tcPr>
            <w:tcW w:w="2985" w:type="dxa"/>
            <w:gridSpan w:val="2"/>
            <w:vMerge/>
            <w:vAlign w:val="center"/>
          </w:tcPr>
          <w:p w14:paraId="5396C69C" w14:textId="77777777" w:rsidR="00833AEB" w:rsidRDefault="00833AEB" w:rsidP="00833AEB">
            <w:pPr>
              <w:snapToGrid w:val="0"/>
              <w:jc w:val="center"/>
              <w:rPr>
                <w:rFonts w:ascii="Times New Roman" w:eastAsia="宋体" w:hAnsi="Times New Roman" w:cs="Times New Roman"/>
                <w:spacing w:val="-6"/>
                <w:szCs w:val="21"/>
              </w:rPr>
            </w:pPr>
          </w:p>
        </w:tc>
      </w:tr>
      <w:tr w:rsidR="00833AEB" w14:paraId="6FCFA9E3" w14:textId="77777777">
        <w:trPr>
          <w:trHeight w:val="113"/>
        </w:trPr>
        <w:tc>
          <w:tcPr>
            <w:tcW w:w="704" w:type="dxa"/>
            <w:vMerge/>
            <w:vAlign w:val="center"/>
          </w:tcPr>
          <w:p w14:paraId="056EE481"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A40DF7D"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1,2,3-</w:t>
            </w:r>
            <w:r>
              <w:rPr>
                <w:rFonts w:ascii="Times New Roman" w:hAnsi="Times New Roman" w:cs="Times New Roman"/>
                <w:color w:val="auto"/>
              </w:rPr>
              <w:t>三氯丙烷（</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75CA81D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0.5</w:t>
            </w:r>
          </w:p>
        </w:tc>
        <w:tc>
          <w:tcPr>
            <w:tcW w:w="2985" w:type="dxa"/>
            <w:gridSpan w:val="2"/>
            <w:vMerge/>
            <w:vAlign w:val="center"/>
          </w:tcPr>
          <w:p w14:paraId="74E42796" w14:textId="77777777" w:rsidR="00833AEB" w:rsidRDefault="00833AEB" w:rsidP="00833AEB">
            <w:pPr>
              <w:snapToGrid w:val="0"/>
              <w:jc w:val="center"/>
              <w:rPr>
                <w:rFonts w:ascii="Times New Roman" w:eastAsia="宋体" w:hAnsi="Times New Roman" w:cs="Times New Roman"/>
                <w:spacing w:val="-6"/>
                <w:szCs w:val="21"/>
              </w:rPr>
            </w:pPr>
          </w:p>
        </w:tc>
      </w:tr>
      <w:tr w:rsidR="00833AEB" w14:paraId="0F8EDD21" w14:textId="77777777">
        <w:trPr>
          <w:trHeight w:val="113"/>
        </w:trPr>
        <w:tc>
          <w:tcPr>
            <w:tcW w:w="704" w:type="dxa"/>
            <w:vMerge/>
            <w:vAlign w:val="center"/>
          </w:tcPr>
          <w:p w14:paraId="0CB5682C"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266A1975"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氯乙烯（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4F5F5D3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0.43</w:t>
            </w:r>
          </w:p>
        </w:tc>
        <w:tc>
          <w:tcPr>
            <w:tcW w:w="2985" w:type="dxa"/>
            <w:gridSpan w:val="2"/>
            <w:vMerge/>
            <w:vAlign w:val="center"/>
          </w:tcPr>
          <w:p w14:paraId="188709C7" w14:textId="77777777" w:rsidR="00833AEB" w:rsidRDefault="00833AEB" w:rsidP="00833AEB">
            <w:pPr>
              <w:snapToGrid w:val="0"/>
              <w:jc w:val="center"/>
              <w:rPr>
                <w:rFonts w:ascii="Times New Roman" w:eastAsia="宋体" w:hAnsi="Times New Roman" w:cs="Times New Roman"/>
                <w:spacing w:val="-6"/>
                <w:szCs w:val="21"/>
              </w:rPr>
            </w:pPr>
          </w:p>
        </w:tc>
      </w:tr>
      <w:tr w:rsidR="00833AEB" w14:paraId="1EC7353F" w14:textId="77777777">
        <w:trPr>
          <w:trHeight w:val="113"/>
        </w:trPr>
        <w:tc>
          <w:tcPr>
            <w:tcW w:w="704" w:type="dxa"/>
            <w:vMerge/>
            <w:vAlign w:val="center"/>
          </w:tcPr>
          <w:p w14:paraId="76C5F98D"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240389C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36C8DB47"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4</w:t>
            </w:r>
          </w:p>
        </w:tc>
        <w:tc>
          <w:tcPr>
            <w:tcW w:w="2985" w:type="dxa"/>
            <w:gridSpan w:val="2"/>
            <w:vMerge/>
            <w:vAlign w:val="center"/>
          </w:tcPr>
          <w:p w14:paraId="5290F9AD" w14:textId="77777777" w:rsidR="00833AEB" w:rsidRDefault="00833AEB" w:rsidP="00833AEB">
            <w:pPr>
              <w:snapToGrid w:val="0"/>
              <w:jc w:val="center"/>
              <w:rPr>
                <w:rFonts w:ascii="Times New Roman" w:eastAsia="宋体" w:hAnsi="Times New Roman" w:cs="Times New Roman"/>
                <w:spacing w:val="-6"/>
                <w:szCs w:val="21"/>
              </w:rPr>
            </w:pPr>
          </w:p>
        </w:tc>
      </w:tr>
      <w:tr w:rsidR="00833AEB" w14:paraId="1AE8FD11" w14:textId="77777777">
        <w:trPr>
          <w:trHeight w:val="113"/>
        </w:trPr>
        <w:tc>
          <w:tcPr>
            <w:tcW w:w="704" w:type="dxa"/>
            <w:vMerge/>
            <w:vAlign w:val="center"/>
          </w:tcPr>
          <w:p w14:paraId="5B526BBB"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3FBC77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氯苯（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6D1FF499"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270</w:t>
            </w:r>
          </w:p>
        </w:tc>
        <w:tc>
          <w:tcPr>
            <w:tcW w:w="2985" w:type="dxa"/>
            <w:gridSpan w:val="2"/>
            <w:vMerge/>
            <w:vAlign w:val="center"/>
          </w:tcPr>
          <w:p w14:paraId="7DF77FA6" w14:textId="77777777" w:rsidR="00833AEB" w:rsidRDefault="00833AEB" w:rsidP="00833AEB">
            <w:pPr>
              <w:snapToGrid w:val="0"/>
              <w:jc w:val="center"/>
              <w:rPr>
                <w:rFonts w:ascii="Times New Roman" w:eastAsia="宋体" w:hAnsi="Times New Roman" w:cs="Times New Roman"/>
                <w:spacing w:val="-6"/>
                <w:szCs w:val="21"/>
              </w:rPr>
            </w:pPr>
          </w:p>
        </w:tc>
      </w:tr>
      <w:tr w:rsidR="00833AEB" w14:paraId="7E4A09C5" w14:textId="77777777">
        <w:trPr>
          <w:trHeight w:val="113"/>
        </w:trPr>
        <w:tc>
          <w:tcPr>
            <w:tcW w:w="704" w:type="dxa"/>
            <w:vMerge/>
            <w:vAlign w:val="center"/>
          </w:tcPr>
          <w:p w14:paraId="77412F18"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1AB8953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1,2-</w:t>
            </w:r>
            <w:r>
              <w:rPr>
                <w:rFonts w:ascii="Times New Roman" w:hAnsi="Times New Roman" w:cs="Times New Roman"/>
                <w:color w:val="auto"/>
              </w:rPr>
              <w:t>二氯苯（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3641559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560</w:t>
            </w:r>
          </w:p>
        </w:tc>
        <w:tc>
          <w:tcPr>
            <w:tcW w:w="2985" w:type="dxa"/>
            <w:gridSpan w:val="2"/>
            <w:vMerge/>
            <w:vAlign w:val="center"/>
          </w:tcPr>
          <w:p w14:paraId="037D704E" w14:textId="77777777" w:rsidR="00833AEB" w:rsidRDefault="00833AEB" w:rsidP="00833AEB">
            <w:pPr>
              <w:snapToGrid w:val="0"/>
              <w:jc w:val="center"/>
              <w:rPr>
                <w:rFonts w:ascii="Times New Roman" w:eastAsia="宋体" w:hAnsi="Times New Roman" w:cs="Times New Roman"/>
                <w:spacing w:val="-6"/>
                <w:szCs w:val="21"/>
              </w:rPr>
            </w:pPr>
          </w:p>
        </w:tc>
      </w:tr>
      <w:tr w:rsidR="00833AEB" w14:paraId="7E9C70FE" w14:textId="77777777">
        <w:trPr>
          <w:trHeight w:val="113"/>
        </w:trPr>
        <w:tc>
          <w:tcPr>
            <w:tcW w:w="704" w:type="dxa"/>
            <w:vMerge/>
            <w:vAlign w:val="center"/>
          </w:tcPr>
          <w:p w14:paraId="7965B590"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DF33DD6"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1,4-</w:t>
            </w:r>
            <w:r>
              <w:rPr>
                <w:rFonts w:ascii="Times New Roman" w:hAnsi="Times New Roman" w:cs="Times New Roman"/>
                <w:color w:val="auto"/>
              </w:rPr>
              <w:t>二氯苯（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07982392"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20</w:t>
            </w:r>
          </w:p>
        </w:tc>
        <w:tc>
          <w:tcPr>
            <w:tcW w:w="2985" w:type="dxa"/>
            <w:gridSpan w:val="2"/>
            <w:vMerge/>
            <w:vAlign w:val="center"/>
          </w:tcPr>
          <w:p w14:paraId="72994FEF" w14:textId="77777777" w:rsidR="00833AEB" w:rsidRDefault="00833AEB" w:rsidP="00833AEB">
            <w:pPr>
              <w:snapToGrid w:val="0"/>
              <w:jc w:val="center"/>
              <w:rPr>
                <w:rFonts w:ascii="Times New Roman" w:eastAsia="宋体" w:hAnsi="Times New Roman" w:cs="Times New Roman"/>
                <w:spacing w:val="-6"/>
                <w:szCs w:val="21"/>
              </w:rPr>
            </w:pPr>
          </w:p>
        </w:tc>
      </w:tr>
      <w:tr w:rsidR="00833AEB" w14:paraId="3D7018D2" w14:textId="77777777">
        <w:trPr>
          <w:trHeight w:val="113"/>
        </w:trPr>
        <w:tc>
          <w:tcPr>
            <w:tcW w:w="704" w:type="dxa"/>
            <w:vMerge/>
            <w:vAlign w:val="center"/>
          </w:tcPr>
          <w:p w14:paraId="52A7B323"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6903117"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乙苯（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64B7FDFE"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28</w:t>
            </w:r>
          </w:p>
        </w:tc>
        <w:tc>
          <w:tcPr>
            <w:tcW w:w="2985" w:type="dxa"/>
            <w:gridSpan w:val="2"/>
            <w:vMerge/>
            <w:vAlign w:val="center"/>
          </w:tcPr>
          <w:p w14:paraId="0197F3C9" w14:textId="77777777" w:rsidR="00833AEB" w:rsidRDefault="00833AEB" w:rsidP="00833AEB">
            <w:pPr>
              <w:snapToGrid w:val="0"/>
              <w:jc w:val="center"/>
              <w:rPr>
                <w:rFonts w:ascii="Times New Roman" w:eastAsia="宋体" w:hAnsi="Times New Roman" w:cs="Times New Roman"/>
                <w:spacing w:val="-6"/>
                <w:szCs w:val="21"/>
              </w:rPr>
            </w:pPr>
          </w:p>
        </w:tc>
      </w:tr>
      <w:tr w:rsidR="00833AEB" w14:paraId="11326886" w14:textId="77777777">
        <w:trPr>
          <w:trHeight w:val="113"/>
        </w:trPr>
        <w:tc>
          <w:tcPr>
            <w:tcW w:w="704" w:type="dxa"/>
            <w:vMerge/>
            <w:vAlign w:val="center"/>
          </w:tcPr>
          <w:p w14:paraId="10750FFA"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75F2A709"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苯乙烯（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78FEED77"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1290</w:t>
            </w:r>
          </w:p>
        </w:tc>
        <w:tc>
          <w:tcPr>
            <w:tcW w:w="2985" w:type="dxa"/>
            <w:gridSpan w:val="2"/>
            <w:vMerge/>
            <w:vAlign w:val="center"/>
          </w:tcPr>
          <w:p w14:paraId="66E8EF54" w14:textId="77777777" w:rsidR="00833AEB" w:rsidRDefault="00833AEB" w:rsidP="00833AEB">
            <w:pPr>
              <w:snapToGrid w:val="0"/>
              <w:jc w:val="center"/>
              <w:rPr>
                <w:rFonts w:ascii="Times New Roman" w:eastAsia="宋体" w:hAnsi="Times New Roman" w:cs="Times New Roman"/>
                <w:spacing w:val="-6"/>
                <w:szCs w:val="21"/>
              </w:rPr>
            </w:pPr>
          </w:p>
        </w:tc>
      </w:tr>
      <w:tr w:rsidR="00833AEB" w14:paraId="5B56C5D8" w14:textId="77777777">
        <w:trPr>
          <w:trHeight w:val="113"/>
        </w:trPr>
        <w:tc>
          <w:tcPr>
            <w:tcW w:w="704" w:type="dxa"/>
            <w:vMerge/>
            <w:vAlign w:val="center"/>
          </w:tcPr>
          <w:p w14:paraId="55E08B95"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2257C81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甲苯（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1CA408F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1200</w:t>
            </w:r>
          </w:p>
        </w:tc>
        <w:tc>
          <w:tcPr>
            <w:tcW w:w="2985" w:type="dxa"/>
            <w:gridSpan w:val="2"/>
            <w:vMerge/>
            <w:vAlign w:val="center"/>
          </w:tcPr>
          <w:p w14:paraId="5BF83003" w14:textId="77777777" w:rsidR="00833AEB" w:rsidRDefault="00833AEB" w:rsidP="00833AEB">
            <w:pPr>
              <w:snapToGrid w:val="0"/>
              <w:jc w:val="center"/>
              <w:rPr>
                <w:rFonts w:ascii="Times New Roman" w:eastAsia="宋体" w:hAnsi="Times New Roman" w:cs="Times New Roman"/>
                <w:spacing w:val="-6"/>
                <w:szCs w:val="21"/>
              </w:rPr>
            </w:pPr>
          </w:p>
        </w:tc>
      </w:tr>
      <w:tr w:rsidR="00833AEB" w14:paraId="1EB79F14" w14:textId="77777777">
        <w:trPr>
          <w:trHeight w:val="113"/>
        </w:trPr>
        <w:tc>
          <w:tcPr>
            <w:tcW w:w="704" w:type="dxa"/>
            <w:vMerge/>
            <w:vAlign w:val="center"/>
          </w:tcPr>
          <w:p w14:paraId="2AF0D8BF"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74B7D2BA"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间二甲苯</w:t>
            </w:r>
            <w:r>
              <w:rPr>
                <w:rFonts w:ascii="Times New Roman" w:hAnsi="Times New Roman" w:cs="Times New Roman"/>
                <w:color w:val="auto"/>
              </w:rPr>
              <w:t>+</w:t>
            </w:r>
            <w:r>
              <w:rPr>
                <w:rFonts w:ascii="Times New Roman" w:hAnsi="Times New Roman" w:cs="Times New Roman"/>
                <w:color w:val="auto"/>
              </w:rPr>
              <w:t>对二甲苯（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4B1C246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570</w:t>
            </w:r>
          </w:p>
        </w:tc>
        <w:tc>
          <w:tcPr>
            <w:tcW w:w="2985" w:type="dxa"/>
            <w:gridSpan w:val="2"/>
            <w:vMerge/>
            <w:vAlign w:val="center"/>
          </w:tcPr>
          <w:p w14:paraId="11AC6BFE" w14:textId="77777777" w:rsidR="00833AEB" w:rsidRDefault="00833AEB" w:rsidP="00833AEB">
            <w:pPr>
              <w:snapToGrid w:val="0"/>
              <w:jc w:val="center"/>
              <w:rPr>
                <w:rFonts w:ascii="Times New Roman" w:eastAsia="宋体" w:hAnsi="Times New Roman" w:cs="Times New Roman"/>
                <w:spacing w:val="-6"/>
                <w:szCs w:val="21"/>
              </w:rPr>
            </w:pPr>
          </w:p>
        </w:tc>
      </w:tr>
      <w:tr w:rsidR="00833AEB" w14:paraId="2BCFD257" w14:textId="77777777">
        <w:trPr>
          <w:trHeight w:val="113"/>
        </w:trPr>
        <w:tc>
          <w:tcPr>
            <w:tcW w:w="704" w:type="dxa"/>
            <w:vMerge/>
            <w:vAlign w:val="center"/>
          </w:tcPr>
          <w:p w14:paraId="055E97C3"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18F0D0FC"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邻二甲苯（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698E0F6A"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64076</w:t>
            </w:r>
          </w:p>
        </w:tc>
        <w:tc>
          <w:tcPr>
            <w:tcW w:w="2985" w:type="dxa"/>
            <w:gridSpan w:val="2"/>
            <w:vMerge/>
            <w:vAlign w:val="center"/>
          </w:tcPr>
          <w:p w14:paraId="09F2345F" w14:textId="77777777" w:rsidR="00833AEB" w:rsidRDefault="00833AEB" w:rsidP="00833AEB">
            <w:pPr>
              <w:snapToGrid w:val="0"/>
              <w:jc w:val="center"/>
              <w:rPr>
                <w:rFonts w:ascii="Times New Roman" w:eastAsia="宋体" w:hAnsi="Times New Roman" w:cs="Times New Roman"/>
                <w:spacing w:val="-6"/>
                <w:szCs w:val="21"/>
              </w:rPr>
            </w:pPr>
          </w:p>
        </w:tc>
      </w:tr>
      <w:tr w:rsidR="00833AEB" w14:paraId="269D424A" w14:textId="77777777">
        <w:trPr>
          <w:trHeight w:val="113"/>
        </w:trPr>
        <w:tc>
          <w:tcPr>
            <w:tcW w:w="704" w:type="dxa"/>
            <w:vMerge/>
            <w:vAlign w:val="center"/>
          </w:tcPr>
          <w:p w14:paraId="5EC5256D"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C39ADEC"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硝基苯（</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5BD22314"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76</w:t>
            </w:r>
          </w:p>
        </w:tc>
        <w:tc>
          <w:tcPr>
            <w:tcW w:w="2985" w:type="dxa"/>
            <w:gridSpan w:val="2"/>
            <w:vMerge/>
            <w:vAlign w:val="center"/>
          </w:tcPr>
          <w:p w14:paraId="2798A922" w14:textId="77777777" w:rsidR="00833AEB" w:rsidRDefault="00833AEB" w:rsidP="00833AEB">
            <w:pPr>
              <w:snapToGrid w:val="0"/>
              <w:jc w:val="center"/>
              <w:rPr>
                <w:rFonts w:ascii="Times New Roman" w:eastAsia="宋体" w:hAnsi="Times New Roman" w:cs="Times New Roman"/>
                <w:spacing w:val="-6"/>
                <w:szCs w:val="21"/>
              </w:rPr>
            </w:pPr>
          </w:p>
        </w:tc>
      </w:tr>
      <w:tr w:rsidR="00833AEB" w14:paraId="52759240" w14:textId="77777777">
        <w:trPr>
          <w:trHeight w:val="113"/>
        </w:trPr>
        <w:tc>
          <w:tcPr>
            <w:tcW w:w="704" w:type="dxa"/>
            <w:vMerge/>
            <w:vAlign w:val="center"/>
          </w:tcPr>
          <w:p w14:paraId="7A04C88D"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248EC7DA"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苯胺（</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1495CF23"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260</w:t>
            </w:r>
          </w:p>
        </w:tc>
        <w:tc>
          <w:tcPr>
            <w:tcW w:w="2985" w:type="dxa"/>
            <w:gridSpan w:val="2"/>
            <w:vMerge/>
            <w:vAlign w:val="center"/>
          </w:tcPr>
          <w:p w14:paraId="52383C7E" w14:textId="77777777" w:rsidR="00833AEB" w:rsidRDefault="00833AEB" w:rsidP="00833AEB">
            <w:pPr>
              <w:snapToGrid w:val="0"/>
              <w:jc w:val="center"/>
              <w:rPr>
                <w:rFonts w:ascii="Times New Roman" w:eastAsia="宋体" w:hAnsi="Times New Roman" w:cs="Times New Roman"/>
                <w:spacing w:val="-6"/>
                <w:szCs w:val="21"/>
              </w:rPr>
            </w:pPr>
          </w:p>
        </w:tc>
      </w:tr>
      <w:tr w:rsidR="00833AEB" w14:paraId="3630EA11" w14:textId="77777777">
        <w:trPr>
          <w:trHeight w:val="113"/>
        </w:trPr>
        <w:tc>
          <w:tcPr>
            <w:tcW w:w="704" w:type="dxa"/>
            <w:vMerge/>
            <w:vAlign w:val="center"/>
          </w:tcPr>
          <w:p w14:paraId="0378915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36CAC9E"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w:t>
            </w:r>
            <w:r>
              <w:rPr>
                <w:rFonts w:ascii="Times New Roman" w:hAnsi="Times New Roman" w:cs="Times New Roman"/>
                <w:color w:val="auto"/>
              </w:rPr>
              <w:t>氯酚（</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3B270676"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2256</w:t>
            </w:r>
          </w:p>
        </w:tc>
        <w:tc>
          <w:tcPr>
            <w:tcW w:w="2985" w:type="dxa"/>
            <w:gridSpan w:val="2"/>
            <w:vMerge/>
            <w:vAlign w:val="center"/>
          </w:tcPr>
          <w:p w14:paraId="632FA745" w14:textId="77777777" w:rsidR="00833AEB" w:rsidRDefault="00833AEB" w:rsidP="00833AEB">
            <w:pPr>
              <w:snapToGrid w:val="0"/>
              <w:jc w:val="center"/>
              <w:rPr>
                <w:rFonts w:ascii="Times New Roman" w:eastAsia="宋体" w:hAnsi="Times New Roman" w:cs="Times New Roman"/>
                <w:spacing w:val="-6"/>
                <w:szCs w:val="21"/>
              </w:rPr>
            </w:pPr>
          </w:p>
        </w:tc>
      </w:tr>
      <w:tr w:rsidR="00833AEB" w14:paraId="3D482FF9" w14:textId="77777777">
        <w:trPr>
          <w:trHeight w:val="113"/>
        </w:trPr>
        <w:tc>
          <w:tcPr>
            <w:tcW w:w="704" w:type="dxa"/>
            <w:vMerge/>
            <w:vAlign w:val="center"/>
          </w:tcPr>
          <w:p w14:paraId="0D906C84"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789FAB5D"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苯并</w:t>
            </w:r>
            <w:r>
              <w:rPr>
                <w:rFonts w:ascii="Times New Roman" w:hAnsi="Times New Roman" w:cs="Times New Roman"/>
                <w:color w:val="auto"/>
              </w:rPr>
              <w:t>[a]</w:t>
            </w:r>
            <w:r>
              <w:rPr>
                <w:rFonts w:ascii="Times New Roman" w:hAnsi="Times New Roman" w:cs="Times New Roman"/>
                <w:color w:val="auto"/>
              </w:rPr>
              <w:t>蒽（</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207DFD75"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15</w:t>
            </w:r>
          </w:p>
        </w:tc>
        <w:tc>
          <w:tcPr>
            <w:tcW w:w="2985" w:type="dxa"/>
            <w:gridSpan w:val="2"/>
            <w:vMerge/>
            <w:vAlign w:val="center"/>
          </w:tcPr>
          <w:p w14:paraId="1C712FEC" w14:textId="77777777" w:rsidR="00833AEB" w:rsidRDefault="00833AEB" w:rsidP="00833AEB">
            <w:pPr>
              <w:snapToGrid w:val="0"/>
              <w:jc w:val="center"/>
              <w:rPr>
                <w:rFonts w:ascii="Times New Roman" w:eastAsia="宋体" w:hAnsi="Times New Roman" w:cs="Times New Roman"/>
                <w:spacing w:val="-6"/>
                <w:szCs w:val="21"/>
              </w:rPr>
            </w:pPr>
          </w:p>
        </w:tc>
      </w:tr>
      <w:tr w:rsidR="00833AEB" w14:paraId="4D282B4F" w14:textId="77777777">
        <w:trPr>
          <w:trHeight w:val="113"/>
        </w:trPr>
        <w:tc>
          <w:tcPr>
            <w:tcW w:w="704" w:type="dxa"/>
            <w:vMerge/>
            <w:vAlign w:val="center"/>
          </w:tcPr>
          <w:p w14:paraId="156548FD"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9ADCA1B"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苯并</w:t>
            </w:r>
            <w:r>
              <w:rPr>
                <w:rFonts w:ascii="Times New Roman" w:hAnsi="Times New Roman" w:cs="Times New Roman"/>
                <w:color w:val="auto"/>
              </w:rPr>
              <w:t>[a]</w:t>
            </w:r>
            <w:r>
              <w:rPr>
                <w:rFonts w:ascii="Times New Roman" w:hAnsi="Times New Roman" w:cs="Times New Roman"/>
                <w:color w:val="auto"/>
              </w:rPr>
              <w:t>芘（</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4B2F507D"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1.5</w:t>
            </w:r>
          </w:p>
        </w:tc>
        <w:tc>
          <w:tcPr>
            <w:tcW w:w="2985" w:type="dxa"/>
            <w:gridSpan w:val="2"/>
            <w:vMerge/>
            <w:vAlign w:val="center"/>
          </w:tcPr>
          <w:p w14:paraId="712FADB7" w14:textId="77777777" w:rsidR="00833AEB" w:rsidRDefault="00833AEB" w:rsidP="00833AEB">
            <w:pPr>
              <w:snapToGrid w:val="0"/>
              <w:jc w:val="center"/>
              <w:rPr>
                <w:rFonts w:ascii="Times New Roman" w:eastAsia="宋体" w:hAnsi="Times New Roman" w:cs="Times New Roman"/>
                <w:spacing w:val="-6"/>
                <w:szCs w:val="21"/>
              </w:rPr>
            </w:pPr>
          </w:p>
        </w:tc>
      </w:tr>
      <w:tr w:rsidR="00833AEB" w14:paraId="24CAB431" w14:textId="77777777">
        <w:trPr>
          <w:trHeight w:val="113"/>
        </w:trPr>
        <w:tc>
          <w:tcPr>
            <w:tcW w:w="704" w:type="dxa"/>
            <w:vMerge/>
            <w:vAlign w:val="center"/>
          </w:tcPr>
          <w:p w14:paraId="191249D9"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6DA7BCA2"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苯并</w:t>
            </w:r>
            <w:r>
              <w:rPr>
                <w:rFonts w:ascii="Times New Roman" w:hAnsi="Times New Roman" w:cs="Times New Roman"/>
                <w:color w:val="auto"/>
              </w:rPr>
              <w:t>[b]</w:t>
            </w:r>
            <w:r>
              <w:rPr>
                <w:rFonts w:ascii="Times New Roman" w:hAnsi="Times New Roman" w:cs="Times New Roman"/>
                <w:color w:val="auto"/>
              </w:rPr>
              <w:t>荧蒽（</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56FC7289"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15</w:t>
            </w:r>
          </w:p>
        </w:tc>
        <w:tc>
          <w:tcPr>
            <w:tcW w:w="2985" w:type="dxa"/>
            <w:gridSpan w:val="2"/>
            <w:vMerge/>
            <w:vAlign w:val="center"/>
          </w:tcPr>
          <w:p w14:paraId="2DC2C9F6" w14:textId="77777777" w:rsidR="00833AEB" w:rsidRDefault="00833AEB" w:rsidP="00833AEB">
            <w:pPr>
              <w:snapToGrid w:val="0"/>
              <w:jc w:val="center"/>
              <w:rPr>
                <w:rFonts w:ascii="Times New Roman" w:eastAsia="宋体" w:hAnsi="Times New Roman" w:cs="Times New Roman"/>
                <w:spacing w:val="-6"/>
                <w:szCs w:val="21"/>
              </w:rPr>
            </w:pPr>
          </w:p>
        </w:tc>
      </w:tr>
      <w:tr w:rsidR="00833AEB" w14:paraId="6D8B2714" w14:textId="77777777">
        <w:trPr>
          <w:trHeight w:val="113"/>
        </w:trPr>
        <w:tc>
          <w:tcPr>
            <w:tcW w:w="704" w:type="dxa"/>
            <w:vMerge/>
            <w:vAlign w:val="center"/>
          </w:tcPr>
          <w:p w14:paraId="0F6F7CC4"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43123130"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苯并</w:t>
            </w:r>
            <w:r>
              <w:rPr>
                <w:rFonts w:ascii="Times New Roman" w:hAnsi="Times New Roman" w:cs="Times New Roman"/>
                <w:color w:val="auto"/>
              </w:rPr>
              <w:t>[k]</w:t>
            </w:r>
            <w:r>
              <w:rPr>
                <w:rFonts w:ascii="Times New Roman" w:hAnsi="Times New Roman" w:cs="Times New Roman"/>
                <w:color w:val="auto"/>
              </w:rPr>
              <w:t>荧蒽（</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2BF5CAF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151</w:t>
            </w:r>
          </w:p>
        </w:tc>
        <w:tc>
          <w:tcPr>
            <w:tcW w:w="2985" w:type="dxa"/>
            <w:gridSpan w:val="2"/>
            <w:vMerge/>
            <w:vAlign w:val="center"/>
          </w:tcPr>
          <w:p w14:paraId="0F77447D" w14:textId="77777777" w:rsidR="00833AEB" w:rsidRDefault="00833AEB" w:rsidP="00833AEB">
            <w:pPr>
              <w:snapToGrid w:val="0"/>
              <w:jc w:val="center"/>
              <w:rPr>
                <w:rFonts w:ascii="Times New Roman" w:eastAsia="宋体" w:hAnsi="Times New Roman" w:cs="Times New Roman"/>
                <w:spacing w:val="-6"/>
                <w:szCs w:val="21"/>
              </w:rPr>
            </w:pPr>
          </w:p>
        </w:tc>
      </w:tr>
      <w:tr w:rsidR="00833AEB" w14:paraId="2B0B3853" w14:textId="77777777">
        <w:trPr>
          <w:trHeight w:val="113"/>
        </w:trPr>
        <w:tc>
          <w:tcPr>
            <w:tcW w:w="704" w:type="dxa"/>
            <w:vMerge/>
            <w:vAlign w:val="center"/>
          </w:tcPr>
          <w:p w14:paraId="0E6728E6"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2698B222"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䓛（</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4AF68D2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1293</w:t>
            </w:r>
          </w:p>
        </w:tc>
        <w:tc>
          <w:tcPr>
            <w:tcW w:w="2985" w:type="dxa"/>
            <w:gridSpan w:val="2"/>
            <w:vMerge/>
            <w:vAlign w:val="center"/>
          </w:tcPr>
          <w:p w14:paraId="6F910F77" w14:textId="77777777" w:rsidR="00833AEB" w:rsidRDefault="00833AEB" w:rsidP="00833AEB">
            <w:pPr>
              <w:snapToGrid w:val="0"/>
              <w:jc w:val="center"/>
              <w:rPr>
                <w:rFonts w:ascii="Times New Roman" w:eastAsia="宋体" w:hAnsi="Times New Roman" w:cs="Times New Roman"/>
                <w:spacing w:val="-6"/>
                <w:szCs w:val="21"/>
              </w:rPr>
            </w:pPr>
          </w:p>
        </w:tc>
      </w:tr>
      <w:tr w:rsidR="00833AEB" w14:paraId="1C8F56E2" w14:textId="77777777">
        <w:trPr>
          <w:trHeight w:val="113"/>
        </w:trPr>
        <w:tc>
          <w:tcPr>
            <w:tcW w:w="704" w:type="dxa"/>
            <w:vMerge/>
            <w:vAlign w:val="center"/>
          </w:tcPr>
          <w:p w14:paraId="687C97CD"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ED87089"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二苯并</w:t>
            </w:r>
            <w:r>
              <w:rPr>
                <w:rFonts w:ascii="Times New Roman" w:hAnsi="Times New Roman" w:cs="Times New Roman"/>
                <w:color w:val="auto"/>
              </w:rPr>
              <w:t>[a,h]</w:t>
            </w:r>
            <w:r>
              <w:rPr>
                <w:rFonts w:ascii="Times New Roman" w:hAnsi="Times New Roman" w:cs="Times New Roman"/>
                <w:color w:val="auto"/>
              </w:rPr>
              <w:t>蒽（</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2062022D"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1.5</w:t>
            </w:r>
          </w:p>
        </w:tc>
        <w:tc>
          <w:tcPr>
            <w:tcW w:w="2985" w:type="dxa"/>
            <w:gridSpan w:val="2"/>
            <w:vMerge/>
            <w:vAlign w:val="center"/>
          </w:tcPr>
          <w:p w14:paraId="6AFA39FC" w14:textId="77777777" w:rsidR="00833AEB" w:rsidRDefault="00833AEB" w:rsidP="00833AEB">
            <w:pPr>
              <w:snapToGrid w:val="0"/>
              <w:jc w:val="center"/>
              <w:rPr>
                <w:rFonts w:ascii="Times New Roman" w:eastAsia="宋体" w:hAnsi="Times New Roman" w:cs="Times New Roman"/>
                <w:spacing w:val="-6"/>
                <w:szCs w:val="21"/>
              </w:rPr>
            </w:pPr>
          </w:p>
        </w:tc>
      </w:tr>
      <w:tr w:rsidR="00833AEB" w14:paraId="2F6E746A" w14:textId="77777777">
        <w:trPr>
          <w:trHeight w:val="113"/>
        </w:trPr>
        <w:tc>
          <w:tcPr>
            <w:tcW w:w="704" w:type="dxa"/>
            <w:vMerge/>
            <w:vAlign w:val="center"/>
          </w:tcPr>
          <w:p w14:paraId="4204E9F4"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519004EA"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茚并</w:t>
            </w:r>
            <w:r>
              <w:rPr>
                <w:rFonts w:ascii="Times New Roman" w:hAnsi="Times New Roman" w:cs="Times New Roman"/>
                <w:color w:val="auto"/>
              </w:rPr>
              <w:t>[1,2,3-cd]</w:t>
            </w:r>
            <w:r>
              <w:rPr>
                <w:rFonts w:ascii="Times New Roman" w:hAnsi="Times New Roman" w:cs="Times New Roman"/>
                <w:color w:val="auto"/>
              </w:rPr>
              <w:t>芘（</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1D196598"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15</w:t>
            </w:r>
          </w:p>
        </w:tc>
        <w:tc>
          <w:tcPr>
            <w:tcW w:w="2985" w:type="dxa"/>
            <w:gridSpan w:val="2"/>
            <w:vMerge/>
            <w:vAlign w:val="center"/>
          </w:tcPr>
          <w:p w14:paraId="725B30DD" w14:textId="77777777" w:rsidR="00833AEB" w:rsidRDefault="00833AEB" w:rsidP="00833AEB">
            <w:pPr>
              <w:snapToGrid w:val="0"/>
              <w:jc w:val="center"/>
              <w:rPr>
                <w:rFonts w:ascii="Times New Roman" w:eastAsia="宋体" w:hAnsi="Times New Roman" w:cs="Times New Roman"/>
                <w:spacing w:val="-6"/>
                <w:szCs w:val="21"/>
              </w:rPr>
            </w:pPr>
          </w:p>
        </w:tc>
      </w:tr>
      <w:tr w:rsidR="00833AEB" w14:paraId="28ED8EA8" w14:textId="77777777">
        <w:trPr>
          <w:trHeight w:val="113"/>
        </w:trPr>
        <w:tc>
          <w:tcPr>
            <w:tcW w:w="704" w:type="dxa"/>
            <w:vMerge/>
            <w:vAlign w:val="center"/>
          </w:tcPr>
          <w:p w14:paraId="3B74D02A" w14:textId="77777777" w:rsidR="00833AEB" w:rsidRDefault="00833AEB" w:rsidP="00833AEB">
            <w:pPr>
              <w:snapToGrid w:val="0"/>
              <w:jc w:val="center"/>
              <w:rPr>
                <w:rFonts w:ascii="Times New Roman" w:eastAsia="宋体" w:hAnsi="Times New Roman" w:cs="Times New Roman"/>
                <w:spacing w:val="-6"/>
                <w:szCs w:val="21"/>
              </w:rPr>
            </w:pPr>
          </w:p>
        </w:tc>
        <w:tc>
          <w:tcPr>
            <w:tcW w:w="2268" w:type="dxa"/>
            <w:gridSpan w:val="3"/>
            <w:vAlign w:val="center"/>
          </w:tcPr>
          <w:p w14:paraId="0B62A3F1"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萘（</w:t>
            </w:r>
            <w:r>
              <w:rPr>
                <w:rFonts w:ascii="Times New Roman" w:hAnsi="Times New Roman" w:cs="Times New Roman"/>
                <w:color w:val="auto"/>
              </w:rPr>
              <w:t>mg/kg</w:t>
            </w:r>
            <w:r>
              <w:rPr>
                <w:rFonts w:ascii="Times New Roman" w:hAnsi="Times New Roman" w:cs="Times New Roman"/>
                <w:color w:val="auto"/>
              </w:rPr>
              <w:t>）</w:t>
            </w:r>
          </w:p>
        </w:tc>
        <w:tc>
          <w:tcPr>
            <w:tcW w:w="3779" w:type="dxa"/>
            <w:gridSpan w:val="5"/>
            <w:vAlign w:val="center"/>
          </w:tcPr>
          <w:p w14:paraId="62380F5E" w14:textId="77777777" w:rsidR="00833AEB" w:rsidRDefault="00833AEB" w:rsidP="00833AEB">
            <w:pPr>
              <w:pStyle w:val="afffffff"/>
              <w:jc w:val="center"/>
              <w:rPr>
                <w:rFonts w:ascii="Times New Roman" w:hAnsi="Times New Roman" w:cs="Times New Roman"/>
                <w:color w:val="auto"/>
              </w:rPr>
            </w:pPr>
            <w:r>
              <w:rPr>
                <w:rFonts w:ascii="Times New Roman" w:hAnsi="Times New Roman" w:cs="Times New Roman"/>
                <w:color w:val="auto"/>
              </w:rPr>
              <w:t>70</w:t>
            </w:r>
          </w:p>
        </w:tc>
        <w:tc>
          <w:tcPr>
            <w:tcW w:w="2985" w:type="dxa"/>
            <w:gridSpan w:val="2"/>
            <w:vMerge/>
            <w:vAlign w:val="center"/>
          </w:tcPr>
          <w:p w14:paraId="1BB2798B" w14:textId="77777777" w:rsidR="00833AEB" w:rsidRDefault="00833AEB" w:rsidP="00833AEB">
            <w:pPr>
              <w:snapToGrid w:val="0"/>
              <w:jc w:val="center"/>
              <w:rPr>
                <w:rFonts w:ascii="Times New Roman" w:eastAsia="宋体" w:hAnsi="Times New Roman" w:cs="Times New Roman"/>
                <w:spacing w:val="-6"/>
                <w:szCs w:val="21"/>
              </w:rPr>
            </w:pPr>
          </w:p>
        </w:tc>
      </w:tr>
      <w:tr w:rsidR="00833AEB" w14:paraId="1C0D4D50" w14:textId="77777777">
        <w:trPr>
          <w:trHeight w:val="113"/>
        </w:trPr>
        <w:tc>
          <w:tcPr>
            <w:tcW w:w="944" w:type="dxa"/>
            <w:gridSpan w:val="2"/>
            <w:vAlign w:val="center"/>
          </w:tcPr>
          <w:p w14:paraId="3C868F9C"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声环境</w:t>
            </w:r>
          </w:p>
        </w:tc>
        <w:tc>
          <w:tcPr>
            <w:tcW w:w="1665" w:type="dxa"/>
            <w:vAlign w:val="center"/>
          </w:tcPr>
          <w:p w14:paraId="11401F94"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zCs w:val="21"/>
              </w:rPr>
              <w:t>等效连续</w:t>
            </w:r>
            <w:r>
              <w:rPr>
                <w:rFonts w:ascii="Times New Roman" w:eastAsia="宋体" w:hAnsi="Times New Roman" w:cs="Times New Roman"/>
                <w:szCs w:val="21"/>
              </w:rPr>
              <w:t>A</w:t>
            </w:r>
            <w:r>
              <w:rPr>
                <w:rFonts w:ascii="Times New Roman" w:eastAsia="宋体" w:hAnsi="Times New Roman" w:cs="Times New Roman"/>
                <w:szCs w:val="21"/>
              </w:rPr>
              <w:t>声级</w:t>
            </w:r>
          </w:p>
        </w:tc>
        <w:tc>
          <w:tcPr>
            <w:tcW w:w="1044" w:type="dxa"/>
            <w:gridSpan w:val="2"/>
            <w:vAlign w:val="center"/>
          </w:tcPr>
          <w:p w14:paraId="64082450"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昼间</w:t>
            </w:r>
          </w:p>
        </w:tc>
        <w:tc>
          <w:tcPr>
            <w:tcW w:w="1563" w:type="dxa"/>
            <w:gridSpan w:val="2"/>
            <w:vAlign w:val="center"/>
          </w:tcPr>
          <w:p w14:paraId="27661011"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60</w:t>
            </w:r>
            <w:r>
              <w:rPr>
                <w:rFonts w:ascii="Times New Roman" w:eastAsia="宋体" w:hAnsi="Times New Roman" w:cs="Times New Roman"/>
                <w:bCs/>
                <w:szCs w:val="21"/>
              </w:rPr>
              <w:t>dB(A)</w:t>
            </w:r>
          </w:p>
        </w:tc>
        <w:tc>
          <w:tcPr>
            <w:tcW w:w="1535" w:type="dxa"/>
            <w:gridSpan w:val="2"/>
            <w:vAlign w:val="center"/>
          </w:tcPr>
          <w:p w14:paraId="11833173" w14:textId="77777777" w:rsidR="00833AEB" w:rsidRDefault="00833AEB" w:rsidP="00833AEB">
            <w:pPr>
              <w:snapToGrid w:val="0"/>
              <w:jc w:val="center"/>
              <w:rPr>
                <w:rFonts w:ascii="Times New Roman" w:eastAsia="宋体" w:hAnsi="Times New Roman" w:cs="Times New Roman"/>
                <w:spacing w:val="-6"/>
                <w:szCs w:val="21"/>
              </w:rPr>
            </w:pPr>
            <w:r>
              <w:rPr>
                <w:rFonts w:ascii="Times New Roman" w:eastAsia="宋体" w:hAnsi="Times New Roman" w:cs="Times New Roman"/>
                <w:spacing w:val="-6"/>
                <w:szCs w:val="21"/>
              </w:rPr>
              <w:t>夜间</w:t>
            </w:r>
          </w:p>
        </w:tc>
        <w:tc>
          <w:tcPr>
            <w:tcW w:w="1001" w:type="dxa"/>
            <w:vAlign w:val="center"/>
          </w:tcPr>
          <w:p w14:paraId="710CB103" w14:textId="77777777" w:rsidR="00833AEB" w:rsidRDefault="00833AEB" w:rsidP="00833AEB">
            <w:pPr>
              <w:pStyle w:val="affffffffd"/>
              <w:adjustRightInd w:val="0"/>
              <w:snapToGrid w:val="0"/>
              <w:rPr>
                <w:rFonts w:eastAsia="宋体" w:cs="Times New Roman"/>
                <w:highlight w:val="yellow"/>
                <w:lang w:eastAsia="zh-CN"/>
              </w:rPr>
            </w:pPr>
            <w:r>
              <w:rPr>
                <w:rFonts w:eastAsia="宋体" w:cs="Times New Roman"/>
                <w:spacing w:val="-6"/>
              </w:rPr>
              <w:t>50</w:t>
            </w:r>
            <w:r>
              <w:rPr>
                <w:rFonts w:eastAsia="宋体" w:cs="Times New Roman"/>
              </w:rPr>
              <w:t>dB(A)</w:t>
            </w:r>
          </w:p>
        </w:tc>
        <w:tc>
          <w:tcPr>
            <w:tcW w:w="1984" w:type="dxa"/>
            <w:vAlign w:val="center"/>
          </w:tcPr>
          <w:p w14:paraId="0EEFAEB0" w14:textId="77777777" w:rsidR="00833AEB" w:rsidRDefault="00833AEB" w:rsidP="00833AEB">
            <w:pPr>
              <w:snapToGrid w:val="0"/>
              <w:jc w:val="center"/>
              <w:rPr>
                <w:rFonts w:ascii="Times New Roman" w:eastAsia="宋体" w:hAnsi="Times New Roman" w:cs="Times New Roman"/>
                <w:szCs w:val="21"/>
              </w:rPr>
            </w:pPr>
            <w:r>
              <w:rPr>
                <w:rFonts w:ascii="Times New Roman" w:eastAsia="宋体" w:hAnsi="Times New Roman" w:cs="Times New Roman"/>
                <w:spacing w:val="-6"/>
                <w:szCs w:val="21"/>
              </w:rPr>
              <w:t>《声环境质量标准》（</w:t>
            </w:r>
            <w:r>
              <w:rPr>
                <w:rFonts w:ascii="Times New Roman" w:eastAsia="宋体" w:hAnsi="Times New Roman" w:cs="Times New Roman"/>
                <w:spacing w:val="-6"/>
                <w:szCs w:val="21"/>
              </w:rPr>
              <w:t>GB3096-2008</w:t>
            </w:r>
            <w:r>
              <w:rPr>
                <w:rFonts w:ascii="Times New Roman" w:eastAsia="宋体" w:hAnsi="Times New Roman" w:cs="Times New Roman"/>
                <w:spacing w:val="-6"/>
                <w:szCs w:val="21"/>
              </w:rPr>
              <w:t>）</w:t>
            </w:r>
            <w:r>
              <w:rPr>
                <w:rFonts w:ascii="Times New Roman" w:eastAsia="宋体" w:hAnsi="Times New Roman" w:cs="Times New Roman"/>
                <w:spacing w:val="-6"/>
                <w:szCs w:val="21"/>
              </w:rPr>
              <w:t>2</w:t>
            </w:r>
            <w:r>
              <w:rPr>
                <w:rFonts w:ascii="Times New Roman" w:eastAsia="宋体" w:hAnsi="Times New Roman" w:cs="Times New Roman"/>
                <w:spacing w:val="-6"/>
                <w:szCs w:val="21"/>
              </w:rPr>
              <w:t>类功能区</w:t>
            </w:r>
          </w:p>
        </w:tc>
      </w:tr>
    </w:tbl>
    <w:p w14:paraId="455BB274"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200" w:name="_Toc121411696"/>
      <w:r>
        <w:rPr>
          <w:rFonts w:ascii="Times New Roman" w:eastAsia="黑体" w:hAnsi="Times New Roman" w:cs="Times New Roman"/>
          <w:b w:val="0"/>
          <w:sz w:val="24"/>
        </w:rPr>
        <w:t>2.3.2</w:t>
      </w:r>
      <w:r>
        <w:rPr>
          <w:rFonts w:ascii="Times New Roman" w:eastAsia="黑体" w:hAnsi="Times New Roman" w:cs="Times New Roman"/>
          <w:b w:val="0"/>
          <w:sz w:val="24"/>
        </w:rPr>
        <w:t>污染物排放标准</w:t>
      </w:r>
      <w:bookmarkEnd w:id="200"/>
    </w:p>
    <w:p w14:paraId="69D9F56A" w14:textId="77777777" w:rsidR="00D12939" w:rsidRDefault="004F47F5">
      <w:pPr>
        <w:widowControl/>
        <w:spacing w:line="360" w:lineRule="auto"/>
        <w:ind w:firstLine="462"/>
        <w:rPr>
          <w:rFonts w:ascii="Times New Roman" w:eastAsia="宋体" w:hAnsi="Times New Roman" w:cs="Times New Roman"/>
          <w:sz w:val="24"/>
        </w:rPr>
      </w:pPr>
      <w:bookmarkStart w:id="201" w:name="_Toc240879415"/>
      <w:bookmarkStart w:id="202" w:name="_Toc480180488"/>
      <w:bookmarkStart w:id="203" w:name="_Toc32764"/>
      <w:bookmarkStart w:id="204" w:name="_Toc476130114"/>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sz w:val="24"/>
        </w:rPr>
        <w:t>施工扬尘执行《施工场界扬尘排放限值》（</w:t>
      </w:r>
      <w:r>
        <w:rPr>
          <w:rFonts w:ascii="Times New Roman" w:eastAsia="宋体" w:hAnsi="Times New Roman" w:cs="Times New Roman"/>
          <w:sz w:val="24"/>
        </w:rPr>
        <w:t>DB61/1078-2017</w:t>
      </w:r>
      <w:r>
        <w:rPr>
          <w:rFonts w:ascii="Times New Roman" w:eastAsia="宋体" w:hAnsi="Times New Roman" w:cs="Times New Roman"/>
          <w:sz w:val="24"/>
        </w:rPr>
        <w:t>）；大气污染物排放执行《大气污染物综合排放标准》（</w:t>
      </w:r>
      <w:r>
        <w:rPr>
          <w:rFonts w:ascii="Times New Roman" w:eastAsia="宋体" w:hAnsi="Times New Roman" w:cs="Times New Roman"/>
          <w:sz w:val="24"/>
        </w:rPr>
        <w:t>GB16297-1996</w:t>
      </w:r>
      <w:r>
        <w:rPr>
          <w:rFonts w:ascii="Times New Roman" w:eastAsia="宋体" w:hAnsi="Times New Roman" w:cs="Times New Roman"/>
          <w:sz w:val="24"/>
        </w:rPr>
        <w:t>）表</w:t>
      </w:r>
      <w:r>
        <w:rPr>
          <w:rFonts w:ascii="Times New Roman" w:eastAsia="宋体" w:hAnsi="Times New Roman" w:cs="Times New Roman"/>
          <w:sz w:val="24"/>
        </w:rPr>
        <w:t>2</w:t>
      </w:r>
      <w:r>
        <w:rPr>
          <w:rFonts w:ascii="Times New Roman" w:eastAsia="宋体" w:hAnsi="Times New Roman" w:cs="Times New Roman"/>
          <w:sz w:val="24"/>
        </w:rPr>
        <w:t>中颗粒物无组织排放监控浓度限值；恶臭气体场界执行《恶臭污染物排放标准》（</w:t>
      </w:r>
      <w:r>
        <w:rPr>
          <w:rFonts w:ascii="Times New Roman" w:eastAsia="宋体" w:hAnsi="Times New Roman" w:cs="Times New Roman"/>
          <w:sz w:val="24"/>
        </w:rPr>
        <w:t>GB14554-93</w:t>
      </w:r>
      <w:r>
        <w:rPr>
          <w:rFonts w:ascii="Times New Roman" w:eastAsia="宋体" w:hAnsi="Times New Roman" w:cs="Times New Roman"/>
          <w:sz w:val="24"/>
        </w:rPr>
        <w:t>）表</w:t>
      </w:r>
      <w:r>
        <w:rPr>
          <w:rFonts w:ascii="Times New Roman" w:eastAsia="宋体" w:hAnsi="Times New Roman" w:cs="Times New Roman"/>
          <w:sz w:val="24"/>
        </w:rPr>
        <w:t>1</w:t>
      </w:r>
      <w:r>
        <w:rPr>
          <w:rFonts w:ascii="Times New Roman" w:eastAsia="宋体" w:hAnsi="Times New Roman" w:cs="Times New Roman"/>
          <w:sz w:val="24"/>
        </w:rPr>
        <w:t>中的二级新扩改建标准值；运营期</w:t>
      </w:r>
      <w:r>
        <w:rPr>
          <w:rFonts w:ascii="Times New Roman" w:eastAsia="宋体" w:hAnsi="Times New Roman" w:cs="Times New Roman" w:hint="eastAsia"/>
          <w:sz w:val="24"/>
        </w:rPr>
        <w:t>填埋废气火炬燃烧产生的</w:t>
      </w:r>
      <w:r>
        <w:rPr>
          <w:rFonts w:ascii="Times New Roman" w:eastAsia="宋体" w:hAnsi="Times New Roman" w:cs="Times New Roman" w:hint="eastAsia"/>
          <w:sz w:val="24"/>
        </w:rPr>
        <w:t>S</w:t>
      </w:r>
      <w:r>
        <w:rPr>
          <w:rFonts w:ascii="Times New Roman" w:eastAsia="宋体" w:hAnsi="Times New Roman" w:cs="Times New Roman"/>
          <w:sz w:val="24"/>
        </w:rPr>
        <w:t>O</w:t>
      </w:r>
      <w:r>
        <w:rPr>
          <w:rFonts w:ascii="Times New Roman" w:eastAsia="宋体" w:hAnsi="Times New Roman" w:cs="Times New Roman"/>
          <w:sz w:val="24"/>
          <w:vertAlign w:val="subscript"/>
        </w:rPr>
        <w:t>2</w:t>
      </w:r>
      <w:r>
        <w:rPr>
          <w:rFonts w:ascii="Times New Roman" w:eastAsia="宋体" w:hAnsi="Times New Roman" w:cs="Times New Roman" w:hint="eastAsia"/>
          <w:sz w:val="24"/>
        </w:rPr>
        <w:t>和</w:t>
      </w:r>
      <w:r>
        <w:rPr>
          <w:rFonts w:ascii="Times New Roman" w:eastAsia="宋体" w:hAnsi="Times New Roman" w:cs="Times New Roman" w:hint="eastAsia"/>
          <w:sz w:val="24"/>
        </w:rPr>
        <w:t>N</w:t>
      </w:r>
      <w:r>
        <w:rPr>
          <w:rFonts w:ascii="Times New Roman" w:eastAsia="宋体" w:hAnsi="Times New Roman" w:cs="Times New Roman"/>
          <w:sz w:val="24"/>
        </w:rPr>
        <w:t>O</w:t>
      </w:r>
      <w:r>
        <w:rPr>
          <w:rFonts w:ascii="Times New Roman" w:eastAsia="宋体" w:hAnsi="Times New Roman" w:cs="Times New Roman"/>
          <w:sz w:val="24"/>
          <w:vertAlign w:val="subscript"/>
        </w:rPr>
        <w:t>X</w:t>
      </w:r>
      <w:r>
        <w:rPr>
          <w:rFonts w:ascii="Times New Roman" w:eastAsia="宋体" w:hAnsi="Times New Roman" w:cs="Times New Roman" w:hint="eastAsia"/>
          <w:sz w:val="24"/>
        </w:rPr>
        <w:t>执行《大气污染物综合排放标准》（</w:t>
      </w:r>
      <w:r>
        <w:rPr>
          <w:rFonts w:ascii="Times New Roman" w:eastAsia="宋体" w:hAnsi="Times New Roman" w:cs="Times New Roman"/>
          <w:sz w:val="24"/>
        </w:rPr>
        <w:t>GB16297-1996</w:t>
      </w:r>
      <w:r>
        <w:rPr>
          <w:rFonts w:ascii="Times New Roman" w:eastAsia="宋体" w:hAnsi="Times New Roman" w:cs="Times New Roman"/>
          <w:sz w:val="24"/>
        </w:rPr>
        <w:t>）</w:t>
      </w:r>
      <w:r>
        <w:rPr>
          <w:rFonts w:ascii="Times New Roman" w:eastAsia="宋体" w:hAnsi="Times New Roman" w:cs="Times New Roman" w:hint="eastAsia"/>
          <w:sz w:val="24"/>
        </w:rPr>
        <w:t>新污染源大气污染物排放限值，</w:t>
      </w:r>
      <w:r>
        <w:rPr>
          <w:rFonts w:ascii="Times New Roman" w:eastAsia="宋体" w:hAnsi="Times New Roman" w:cs="Times New Roman"/>
          <w:sz w:val="24"/>
        </w:rPr>
        <w:t>甲烷排放执行《生活垃圾填埋场污染控制标准》（</w:t>
      </w:r>
      <w:r>
        <w:rPr>
          <w:rFonts w:ascii="Times New Roman" w:eastAsia="宋体" w:hAnsi="Times New Roman" w:cs="Times New Roman"/>
          <w:sz w:val="24"/>
        </w:rPr>
        <w:t>GB16889-2008</w:t>
      </w:r>
      <w:r>
        <w:rPr>
          <w:rFonts w:ascii="Times New Roman" w:eastAsia="宋体" w:hAnsi="Times New Roman" w:cs="Times New Roman"/>
          <w:sz w:val="24"/>
        </w:rPr>
        <w:t>）中的相关规定。</w:t>
      </w:r>
      <w:r>
        <w:rPr>
          <w:rFonts w:ascii="Times New Roman" w:eastAsia="宋体" w:hAnsi="Times New Roman" w:cs="Times New Roman" w:hint="eastAsia"/>
          <w:sz w:val="24"/>
        </w:rPr>
        <w:t>具体见表</w:t>
      </w:r>
      <w:r>
        <w:rPr>
          <w:rFonts w:ascii="Times New Roman" w:eastAsia="宋体" w:hAnsi="Times New Roman" w:cs="Times New Roman"/>
          <w:sz w:val="24"/>
        </w:rPr>
        <w:t>2.3-2</w:t>
      </w:r>
      <w:r>
        <w:rPr>
          <w:rFonts w:ascii="Times New Roman" w:eastAsia="宋体" w:hAnsi="Times New Roman" w:cs="Times New Roman"/>
          <w:sz w:val="24"/>
        </w:rPr>
        <w:t>。</w:t>
      </w:r>
    </w:p>
    <w:p w14:paraId="69A8C536" w14:textId="77777777" w:rsidR="00D12939" w:rsidRDefault="004F47F5">
      <w:pPr>
        <w:pStyle w:val="a5"/>
        <w:ind w:firstLine="480"/>
        <w:rPr>
          <w:rFonts w:ascii="黑体" w:eastAsia="黑体" w:hAnsi="黑体"/>
          <w:sz w:val="24"/>
          <w:szCs w:val="21"/>
        </w:rPr>
      </w:pPr>
      <w:r>
        <w:rPr>
          <w:rFonts w:ascii="黑体" w:eastAsia="黑体" w:hAnsi="黑体"/>
          <w:sz w:val="24"/>
          <w:szCs w:val="21"/>
        </w:rPr>
        <w:t>表2.3-2    废气污染物排放限值</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172"/>
        <w:gridCol w:w="1306"/>
        <w:gridCol w:w="999"/>
        <w:gridCol w:w="853"/>
        <w:gridCol w:w="1780"/>
        <w:gridCol w:w="2606"/>
      </w:tblGrid>
      <w:tr w:rsidR="00D12939" w14:paraId="59F8322B" w14:textId="77777777">
        <w:trPr>
          <w:cantSplit/>
          <w:trHeight w:val="284"/>
          <w:jc w:val="center"/>
        </w:trPr>
        <w:tc>
          <w:tcPr>
            <w:tcW w:w="1118" w:type="pct"/>
            <w:vMerge w:val="restart"/>
            <w:vAlign w:val="center"/>
          </w:tcPr>
          <w:p w14:paraId="0AA2A36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lastRenderedPageBreak/>
              <w:t>污染物</w:t>
            </w:r>
          </w:p>
        </w:tc>
        <w:tc>
          <w:tcPr>
            <w:tcW w:w="672" w:type="pct"/>
            <w:vMerge w:val="restart"/>
            <w:vAlign w:val="center"/>
          </w:tcPr>
          <w:p w14:paraId="1C645B46" w14:textId="77777777" w:rsidR="00D12939" w:rsidRDefault="004F47F5">
            <w:pPr>
              <w:jc w:val="center"/>
              <w:rPr>
                <w:rFonts w:ascii="Times New Roman" w:eastAsia="宋体" w:hAnsi="Times New Roman" w:cs="Times New Roman"/>
                <w:bCs/>
                <w:szCs w:val="21"/>
                <w:vertAlign w:val="superscript"/>
              </w:rPr>
            </w:pPr>
            <w:r>
              <w:rPr>
                <w:rFonts w:ascii="Times New Roman" w:eastAsia="宋体" w:hAnsi="Times New Roman" w:cs="Times New Roman"/>
                <w:szCs w:val="21"/>
              </w:rPr>
              <w:t>最高允许排放浓度</w:t>
            </w:r>
          </w:p>
          <w:p w14:paraId="510E5BA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(mg/Nm</w:t>
            </w:r>
            <w:r>
              <w:rPr>
                <w:rFonts w:ascii="Times New Roman" w:eastAsia="宋体" w:hAnsi="Times New Roman" w:cs="Times New Roman"/>
                <w:szCs w:val="21"/>
                <w:vertAlign w:val="superscript"/>
              </w:rPr>
              <w:t>3</w:t>
            </w:r>
            <w:r>
              <w:rPr>
                <w:rFonts w:ascii="Times New Roman" w:eastAsia="宋体" w:hAnsi="Times New Roman" w:cs="Times New Roman"/>
                <w:szCs w:val="21"/>
              </w:rPr>
              <w:t>)</w:t>
            </w:r>
          </w:p>
        </w:tc>
        <w:tc>
          <w:tcPr>
            <w:tcW w:w="953" w:type="pct"/>
            <w:gridSpan w:val="2"/>
            <w:vAlign w:val="center"/>
          </w:tcPr>
          <w:p w14:paraId="2EDE091B" w14:textId="77777777" w:rsidR="00D12939" w:rsidRDefault="004F47F5">
            <w:pPr>
              <w:ind w:leftChars="5" w:left="10"/>
              <w:jc w:val="center"/>
              <w:rPr>
                <w:rFonts w:ascii="Times New Roman" w:eastAsia="宋体" w:hAnsi="Times New Roman" w:cs="Times New Roman"/>
                <w:szCs w:val="21"/>
              </w:rPr>
            </w:pPr>
            <w:r>
              <w:rPr>
                <w:rFonts w:ascii="Times New Roman" w:eastAsia="宋体" w:hAnsi="Times New Roman" w:cs="Times New Roman"/>
                <w:szCs w:val="21"/>
              </w:rPr>
              <w:t>最高允许排放</w:t>
            </w:r>
          </w:p>
          <w:p w14:paraId="17100D94" w14:textId="77777777" w:rsidR="00D12939" w:rsidRDefault="004F47F5">
            <w:pPr>
              <w:ind w:leftChars="5" w:left="10"/>
              <w:jc w:val="center"/>
              <w:rPr>
                <w:rFonts w:ascii="Times New Roman" w:eastAsia="宋体" w:hAnsi="Times New Roman" w:cs="Times New Roman"/>
                <w:szCs w:val="21"/>
              </w:rPr>
            </w:pPr>
            <w:r>
              <w:rPr>
                <w:rFonts w:ascii="Times New Roman" w:eastAsia="宋体" w:hAnsi="Times New Roman" w:cs="Times New Roman"/>
                <w:szCs w:val="21"/>
              </w:rPr>
              <w:t>速率（</w:t>
            </w:r>
            <w:r>
              <w:rPr>
                <w:rFonts w:ascii="Times New Roman" w:eastAsia="宋体" w:hAnsi="Times New Roman" w:cs="Times New Roman"/>
                <w:szCs w:val="21"/>
              </w:rPr>
              <w:t>kg/h</w:t>
            </w:r>
            <w:r>
              <w:rPr>
                <w:rFonts w:ascii="Times New Roman" w:eastAsia="宋体" w:hAnsi="Times New Roman" w:cs="Times New Roman"/>
                <w:szCs w:val="21"/>
              </w:rPr>
              <w:t>）</w:t>
            </w:r>
          </w:p>
        </w:tc>
        <w:tc>
          <w:tcPr>
            <w:tcW w:w="916" w:type="pct"/>
            <w:vMerge w:val="restart"/>
            <w:vAlign w:val="center"/>
          </w:tcPr>
          <w:p w14:paraId="5DE5A627" w14:textId="77777777" w:rsidR="00D12939" w:rsidRDefault="004F47F5">
            <w:pPr>
              <w:ind w:leftChars="5" w:left="10"/>
              <w:jc w:val="center"/>
              <w:rPr>
                <w:rFonts w:ascii="Times New Roman" w:eastAsia="宋体" w:hAnsi="Times New Roman" w:cs="Times New Roman"/>
                <w:szCs w:val="21"/>
              </w:rPr>
            </w:pPr>
            <w:r>
              <w:rPr>
                <w:rFonts w:ascii="Times New Roman" w:eastAsia="宋体" w:hAnsi="Times New Roman" w:cs="Times New Roman"/>
                <w:szCs w:val="21"/>
              </w:rPr>
              <w:t>无组织排放监控浓度限值</w:t>
            </w:r>
            <w:r>
              <w:rPr>
                <w:rFonts w:ascii="Times New Roman" w:eastAsia="宋体" w:hAnsi="Times New Roman" w:cs="Times New Roman"/>
                <w:szCs w:val="21"/>
              </w:rPr>
              <w:t xml:space="preserve"> (mg/Nm</w:t>
            </w:r>
            <w:r>
              <w:rPr>
                <w:rFonts w:ascii="Times New Roman" w:eastAsia="宋体" w:hAnsi="Times New Roman" w:cs="Times New Roman"/>
                <w:szCs w:val="21"/>
                <w:vertAlign w:val="superscript"/>
              </w:rPr>
              <w:t>3</w:t>
            </w:r>
            <w:r>
              <w:rPr>
                <w:rFonts w:ascii="Times New Roman" w:eastAsia="宋体" w:hAnsi="Times New Roman" w:cs="Times New Roman"/>
                <w:szCs w:val="21"/>
              </w:rPr>
              <w:t>)</w:t>
            </w:r>
          </w:p>
        </w:tc>
        <w:tc>
          <w:tcPr>
            <w:tcW w:w="1341" w:type="pct"/>
            <w:vMerge w:val="restart"/>
            <w:vAlign w:val="center"/>
          </w:tcPr>
          <w:p w14:paraId="4E2419A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来源</w:t>
            </w:r>
          </w:p>
        </w:tc>
      </w:tr>
      <w:tr w:rsidR="00D12939" w14:paraId="2F102EA2" w14:textId="77777777">
        <w:trPr>
          <w:cantSplit/>
          <w:trHeight w:val="284"/>
          <w:jc w:val="center"/>
        </w:trPr>
        <w:tc>
          <w:tcPr>
            <w:tcW w:w="1118" w:type="pct"/>
            <w:vMerge/>
            <w:vAlign w:val="center"/>
          </w:tcPr>
          <w:p w14:paraId="21A97F0E" w14:textId="77777777" w:rsidR="00D12939" w:rsidRDefault="00D12939">
            <w:pPr>
              <w:jc w:val="center"/>
              <w:rPr>
                <w:rFonts w:ascii="Times New Roman" w:eastAsia="宋体" w:hAnsi="Times New Roman" w:cs="Times New Roman"/>
                <w:szCs w:val="21"/>
              </w:rPr>
            </w:pPr>
          </w:p>
        </w:tc>
        <w:tc>
          <w:tcPr>
            <w:tcW w:w="672" w:type="pct"/>
            <w:vMerge/>
            <w:vAlign w:val="center"/>
          </w:tcPr>
          <w:p w14:paraId="7E7BF0FB" w14:textId="77777777" w:rsidR="00D12939" w:rsidRDefault="00D12939">
            <w:pPr>
              <w:jc w:val="center"/>
              <w:rPr>
                <w:rFonts w:ascii="Times New Roman" w:eastAsia="宋体" w:hAnsi="Times New Roman" w:cs="Times New Roman"/>
                <w:szCs w:val="21"/>
              </w:rPr>
            </w:pPr>
          </w:p>
        </w:tc>
        <w:tc>
          <w:tcPr>
            <w:tcW w:w="514" w:type="pct"/>
            <w:vAlign w:val="center"/>
          </w:tcPr>
          <w:p w14:paraId="73D8D68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排气筒高度（</w:t>
            </w:r>
            <w:r>
              <w:rPr>
                <w:rFonts w:ascii="Times New Roman" w:eastAsia="宋体" w:hAnsi="Times New Roman" w:cs="Times New Roman"/>
                <w:szCs w:val="21"/>
              </w:rPr>
              <w:t>m</w:t>
            </w:r>
            <w:r>
              <w:rPr>
                <w:rFonts w:ascii="Times New Roman" w:eastAsia="宋体" w:hAnsi="Times New Roman" w:cs="Times New Roman"/>
                <w:szCs w:val="21"/>
              </w:rPr>
              <w:t>）</w:t>
            </w:r>
          </w:p>
        </w:tc>
        <w:tc>
          <w:tcPr>
            <w:tcW w:w="439" w:type="pct"/>
            <w:vAlign w:val="center"/>
          </w:tcPr>
          <w:p w14:paraId="60AAD0E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916" w:type="pct"/>
            <w:vMerge/>
            <w:vAlign w:val="center"/>
          </w:tcPr>
          <w:p w14:paraId="141E3D37" w14:textId="77777777" w:rsidR="00D12939" w:rsidRDefault="00D12939">
            <w:pPr>
              <w:jc w:val="center"/>
              <w:rPr>
                <w:rFonts w:ascii="Times New Roman" w:eastAsia="宋体" w:hAnsi="Times New Roman" w:cs="Times New Roman"/>
                <w:szCs w:val="21"/>
              </w:rPr>
            </w:pPr>
          </w:p>
        </w:tc>
        <w:tc>
          <w:tcPr>
            <w:tcW w:w="1341" w:type="pct"/>
            <w:vMerge/>
            <w:vAlign w:val="center"/>
          </w:tcPr>
          <w:p w14:paraId="671F1908" w14:textId="77777777" w:rsidR="00D12939" w:rsidRDefault="00D12939">
            <w:pPr>
              <w:jc w:val="center"/>
              <w:rPr>
                <w:rFonts w:ascii="Times New Roman" w:eastAsia="宋体" w:hAnsi="Times New Roman" w:cs="Times New Roman"/>
                <w:szCs w:val="21"/>
              </w:rPr>
            </w:pPr>
          </w:p>
        </w:tc>
      </w:tr>
      <w:tr w:rsidR="00D12939" w14:paraId="15BAD198" w14:textId="77777777">
        <w:trPr>
          <w:cantSplit/>
          <w:trHeight w:val="284"/>
          <w:jc w:val="center"/>
        </w:trPr>
        <w:tc>
          <w:tcPr>
            <w:tcW w:w="1118" w:type="pct"/>
            <w:vAlign w:val="center"/>
          </w:tcPr>
          <w:p w14:paraId="1AD9D7D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颗粒物</w:t>
            </w:r>
          </w:p>
        </w:tc>
        <w:tc>
          <w:tcPr>
            <w:tcW w:w="672" w:type="pct"/>
            <w:vAlign w:val="center"/>
          </w:tcPr>
          <w:p w14:paraId="3239340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120</w:t>
            </w:r>
          </w:p>
        </w:tc>
        <w:tc>
          <w:tcPr>
            <w:tcW w:w="514" w:type="pct"/>
            <w:vAlign w:val="center"/>
          </w:tcPr>
          <w:p w14:paraId="578DFF3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439" w:type="pct"/>
            <w:vAlign w:val="center"/>
          </w:tcPr>
          <w:p w14:paraId="7D84681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3.5</w:t>
            </w:r>
          </w:p>
        </w:tc>
        <w:tc>
          <w:tcPr>
            <w:tcW w:w="916" w:type="pct"/>
            <w:vAlign w:val="center"/>
          </w:tcPr>
          <w:p w14:paraId="5B9A6AB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1341" w:type="pct"/>
            <w:vMerge w:val="restart"/>
            <w:vAlign w:val="center"/>
          </w:tcPr>
          <w:p w14:paraId="4DFD9E9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《大气污染物综合排放标准》（</w:t>
            </w:r>
            <w:r>
              <w:rPr>
                <w:rFonts w:ascii="Times New Roman" w:eastAsia="宋体" w:hAnsi="Times New Roman" w:cs="Times New Roman"/>
                <w:szCs w:val="21"/>
              </w:rPr>
              <w:t>GB16297-1996</w:t>
            </w:r>
            <w:r>
              <w:rPr>
                <w:rFonts w:ascii="Times New Roman" w:eastAsia="宋体" w:hAnsi="Times New Roman" w:cs="Times New Roman"/>
                <w:szCs w:val="21"/>
              </w:rPr>
              <w:t>）</w:t>
            </w:r>
          </w:p>
        </w:tc>
      </w:tr>
      <w:tr w:rsidR="00D12939" w14:paraId="5FF00990" w14:textId="77777777">
        <w:trPr>
          <w:cantSplit/>
          <w:trHeight w:val="284"/>
          <w:jc w:val="center"/>
        </w:trPr>
        <w:tc>
          <w:tcPr>
            <w:tcW w:w="1118" w:type="pct"/>
            <w:vAlign w:val="center"/>
          </w:tcPr>
          <w:p w14:paraId="3B075E8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S</w:t>
            </w:r>
            <w:r>
              <w:rPr>
                <w:rFonts w:ascii="Times New Roman" w:eastAsia="宋体" w:hAnsi="Times New Roman" w:cs="Times New Roman"/>
                <w:szCs w:val="21"/>
              </w:rPr>
              <w:t>O</w:t>
            </w:r>
            <w:r>
              <w:rPr>
                <w:rFonts w:ascii="Times New Roman" w:eastAsia="宋体" w:hAnsi="Times New Roman" w:cs="Times New Roman"/>
                <w:szCs w:val="21"/>
                <w:vertAlign w:val="subscript"/>
              </w:rPr>
              <w:t>2</w:t>
            </w:r>
          </w:p>
        </w:tc>
        <w:tc>
          <w:tcPr>
            <w:tcW w:w="672" w:type="pct"/>
            <w:vAlign w:val="center"/>
          </w:tcPr>
          <w:p w14:paraId="24C3391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5</w:t>
            </w:r>
            <w:r>
              <w:rPr>
                <w:rFonts w:ascii="Times New Roman" w:eastAsia="宋体" w:hAnsi="Times New Roman" w:cs="Times New Roman"/>
                <w:szCs w:val="21"/>
              </w:rPr>
              <w:t>50</w:t>
            </w:r>
          </w:p>
        </w:tc>
        <w:tc>
          <w:tcPr>
            <w:tcW w:w="514" w:type="pct"/>
            <w:vAlign w:val="center"/>
          </w:tcPr>
          <w:p w14:paraId="7072EAF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w:t>
            </w:r>
          </w:p>
        </w:tc>
        <w:tc>
          <w:tcPr>
            <w:tcW w:w="439" w:type="pct"/>
            <w:vAlign w:val="center"/>
          </w:tcPr>
          <w:p w14:paraId="03AD195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.6</w:t>
            </w:r>
          </w:p>
        </w:tc>
        <w:tc>
          <w:tcPr>
            <w:tcW w:w="916" w:type="pct"/>
            <w:vAlign w:val="center"/>
          </w:tcPr>
          <w:p w14:paraId="22B1F22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1341" w:type="pct"/>
            <w:vMerge/>
            <w:vAlign w:val="center"/>
          </w:tcPr>
          <w:p w14:paraId="1FA389F4" w14:textId="77777777" w:rsidR="00D12939" w:rsidRDefault="00D12939">
            <w:pPr>
              <w:jc w:val="center"/>
              <w:rPr>
                <w:rFonts w:ascii="Times New Roman" w:eastAsia="宋体" w:hAnsi="Times New Roman" w:cs="Times New Roman"/>
                <w:szCs w:val="21"/>
              </w:rPr>
            </w:pPr>
          </w:p>
        </w:tc>
      </w:tr>
      <w:tr w:rsidR="00D12939" w14:paraId="6ACF3C7A" w14:textId="77777777">
        <w:trPr>
          <w:cantSplit/>
          <w:trHeight w:val="284"/>
          <w:jc w:val="center"/>
        </w:trPr>
        <w:tc>
          <w:tcPr>
            <w:tcW w:w="1118" w:type="pct"/>
            <w:vAlign w:val="center"/>
          </w:tcPr>
          <w:p w14:paraId="16ABD4C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N</w:t>
            </w:r>
            <w:r>
              <w:rPr>
                <w:rFonts w:ascii="Times New Roman" w:eastAsia="宋体" w:hAnsi="Times New Roman" w:cs="Times New Roman"/>
                <w:szCs w:val="21"/>
              </w:rPr>
              <w:t>O</w:t>
            </w:r>
            <w:r>
              <w:rPr>
                <w:rFonts w:ascii="Times New Roman" w:eastAsia="宋体" w:hAnsi="Times New Roman" w:cs="Times New Roman"/>
                <w:szCs w:val="21"/>
                <w:vertAlign w:val="subscript"/>
              </w:rPr>
              <w:t>X</w:t>
            </w:r>
          </w:p>
        </w:tc>
        <w:tc>
          <w:tcPr>
            <w:tcW w:w="672" w:type="pct"/>
            <w:vAlign w:val="center"/>
          </w:tcPr>
          <w:p w14:paraId="590F56C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40</w:t>
            </w:r>
          </w:p>
        </w:tc>
        <w:tc>
          <w:tcPr>
            <w:tcW w:w="514" w:type="pct"/>
            <w:vAlign w:val="center"/>
          </w:tcPr>
          <w:p w14:paraId="3C80BA6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w:t>
            </w:r>
          </w:p>
        </w:tc>
        <w:tc>
          <w:tcPr>
            <w:tcW w:w="439" w:type="pct"/>
            <w:vAlign w:val="center"/>
          </w:tcPr>
          <w:p w14:paraId="317BDE6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.77</w:t>
            </w:r>
          </w:p>
        </w:tc>
        <w:tc>
          <w:tcPr>
            <w:tcW w:w="916" w:type="pct"/>
            <w:vAlign w:val="center"/>
          </w:tcPr>
          <w:p w14:paraId="780FFF3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1341" w:type="pct"/>
            <w:vMerge/>
            <w:vAlign w:val="center"/>
          </w:tcPr>
          <w:p w14:paraId="18BECD1B" w14:textId="77777777" w:rsidR="00D12939" w:rsidRDefault="00D12939">
            <w:pPr>
              <w:jc w:val="center"/>
              <w:rPr>
                <w:rFonts w:ascii="Times New Roman" w:eastAsia="宋体" w:hAnsi="Times New Roman" w:cs="Times New Roman"/>
                <w:szCs w:val="21"/>
              </w:rPr>
            </w:pPr>
          </w:p>
        </w:tc>
      </w:tr>
      <w:tr w:rsidR="00D12939" w14:paraId="6108ABE6" w14:textId="77777777">
        <w:trPr>
          <w:cantSplit/>
          <w:trHeight w:val="284"/>
          <w:jc w:val="center"/>
        </w:trPr>
        <w:tc>
          <w:tcPr>
            <w:tcW w:w="1118" w:type="pct"/>
            <w:vAlign w:val="center"/>
          </w:tcPr>
          <w:p w14:paraId="2B5012F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p>
        </w:tc>
        <w:tc>
          <w:tcPr>
            <w:tcW w:w="672" w:type="pct"/>
            <w:vAlign w:val="center"/>
          </w:tcPr>
          <w:p w14:paraId="39F3CD3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514" w:type="pct"/>
            <w:vAlign w:val="center"/>
          </w:tcPr>
          <w:p w14:paraId="5914A81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439" w:type="pct"/>
            <w:vAlign w:val="center"/>
          </w:tcPr>
          <w:p w14:paraId="088291B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4.9</w:t>
            </w:r>
          </w:p>
        </w:tc>
        <w:tc>
          <w:tcPr>
            <w:tcW w:w="916" w:type="pct"/>
            <w:vAlign w:val="center"/>
          </w:tcPr>
          <w:p w14:paraId="141DEFC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1341" w:type="pct"/>
            <w:vMerge w:val="restart"/>
            <w:vAlign w:val="center"/>
          </w:tcPr>
          <w:p w14:paraId="5B838EC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《恶臭污染物排放标准》（</w:t>
            </w:r>
            <w:r>
              <w:rPr>
                <w:rFonts w:ascii="Times New Roman" w:eastAsia="宋体" w:hAnsi="Times New Roman" w:cs="Times New Roman"/>
                <w:szCs w:val="21"/>
              </w:rPr>
              <w:t>GB14554-93</w:t>
            </w:r>
            <w:r>
              <w:rPr>
                <w:rFonts w:ascii="Times New Roman" w:eastAsia="宋体" w:hAnsi="Times New Roman" w:cs="Times New Roman"/>
                <w:szCs w:val="21"/>
              </w:rPr>
              <w:t>）</w:t>
            </w:r>
          </w:p>
        </w:tc>
      </w:tr>
      <w:tr w:rsidR="00D12939" w14:paraId="4C55C15F" w14:textId="77777777">
        <w:trPr>
          <w:cantSplit/>
          <w:trHeight w:val="284"/>
          <w:jc w:val="center"/>
        </w:trPr>
        <w:tc>
          <w:tcPr>
            <w:tcW w:w="1118" w:type="pct"/>
            <w:vAlign w:val="center"/>
          </w:tcPr>
          <w:p w14:paraId="24B7875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w:t>
            </w:r>
          </w:p>
        </w:tc>
        <w:tc>
          <w:tcPr>
            <w:tcW w:w="672" w:type="pct"/>
            <w:vAlign w:val="center"/>
          </w:tcPr>
          <w:p w14:paraId="2FCF3CC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514" w:type="pct"/>
            <w:vAlign w:val="center"/>
          </w:tcPr>
          <w:p w14:paraId="3C5BEFB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439" w:type="pct"/>
            <w:vAlign w:val="center"/>
          </w:tcPr>
          <w:p w14:paraId="2E08339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0.33</w:t>
            </w:r>
          </w:p>
        </w:tc>
        <w:tc>
          <w:tcPr>
            <w:tcW w:w="916" w:type="pct"/>
            <w:vAlign w:val="center"/>
          </w:tcPr>
          <w:p w14:paraId="0BB1231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0.06</w:t>
            </w:r>
          </w:p>
        </w:tc>
        <w:tc>
          <w:tcPr>
            <w:tcW w:w="1341" w:type="pct"/>
            <w:vMerge/>
            <w:vAlign w:val="center"/>
          </w:tcPr>
          <w:p w14:paraId="259B27E2" w14:textId="77777777" w:rsidR="00D12939" w:rsidRDefault="00D12939">
            <w:pPr>
              <w:jc w:val="center"/>
              <w:rPr>
                <w:rFonts w:ascii="Times New Roman" w:eastAsia="宋体" w:hAnsi="Times New Roman" w:cs="Times New Roman"/>
                <w:szCs w:val="21"/>
              </w:rPr>
            </w:pPr>
          </w:p>
        </w:tc>
      </w:tr>
      <w:tr w:rsidR="00D12939" w14:paraId="563D73CB" w14:textId="77777777">
        <w:trPr>
          <w:cantSplit/>
          <w:trHeight w:val="284"/>
          <w:jc w:val="center"/>
        </w:trPr>
        <w:tc>
          <w:tcPr>
            <w:tcW w:w="1118" w:type="pct"/>
            <w:vAlign w:val="center"/>
          </w:tcPr>
          <w:p w14:paraId="10E8432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臭气浓度（无量纲）</w:t>
            </w:r>
          </w:p>
        </w:tc>
        <w:tc>
          <w:tcPr>
            <w:tcW w:w="672" w:type="pct"/>
            <w:vAlign w:val="center"/>
          </w:tcPr>
          <w:p w14:paraId="39655A1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514" w:type="pct"/>
            <w:vAlign w:val="center"/>
          </w:tcPr>
          <w:p w14:paraId="003D977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439" w:type="pct"/>
            <w:vAlign w:val="center"/>
          </w:tcPr>
          <w:p w14:paraId="55E8A72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2000</w:t>
            </w:r>
          </w:p>
        </w:tc>
        <w:tc>
          <w:tcPr>
            <w:tcW w:w="916" w:type="pct"/>
            <w:vAlign w:val="center"/>
          </w:tcPr>
          <w:p w14:paraId="5960F40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1341" w:type="pct"/>
            <w:vMerge/>
            <w:vAlign w:val="center"/>
          </w:tcPr>
          <w:p w14:paraId="777ECAF8" w14:textId="77777777" w:rsidR="00D12939" w:rsidRDefault="00D12939">
            <w:pPr>
              <w:jc w:val="center"/>
              <w:rPr>
                <w:rFonts w:ascii="Times New Roman" w:eastAsia="宋体" w:hAnsi="Times New Roman" w:cs="Times New Roman"/>
                <w:szCs w:val="21"/>
              </w:rPr>
            </w:pPr>
          </w:p>
        </w:tc>
      </w:tr>
      <w:tr w:rsidR="00D12939" w14:paraId="146730F6" w14:textId="77777777">
        <w:trPr>
          <w:cantSplit/>
          <w:trHeight w:val="284"/>
          <w:jc w:val="center"/>
        </w:trPr>
        <w:tc>
          <w:tcPr>
            <w:tcW w:w="1118" w:type="pct"/>
            <w:vMerge w:val="restart"/>
            <w:vAlign w:val="center"/>
          </w:tcPr>
          <w:p w14:paraId="0E901B9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甲烷</w:t>
            </w:r>
          </w:p>
        </w:tc>
        <w:tc>
          <w:tcPr>
            <w:tcW w:w="1625" w:type="pct"/>
            <w:gridSpan w:val="3"/>
            <w:vAlign w:val="center"/>
          </w:tcPr>
          <w:p w14:paraId="497E8E4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工作面</w:t>
            </w:r>
            <w:r>
              <w:rPr>
                <w:rFonts w:ascii="Times New Roman" w:eastAsia="宋体" w:hAnsi="Times New Roman" w:cs="Times New Roman"/>
                <w:szCs w:val="21"/>
              </w:rPr>
              <w:t>2m</w:t>
            </w:r>
            <w:r>
              <w:rPr>
                <w:rFonts w:ascii="Times New Roman" w:eastAsia="宋体" w:hAnsi="Times New Roman" w:cs="Times New Roman"/>
                <w:szCs w:val="21"/>
              </w:rPr>
              <w:t>以下高度</w:t>
            </w:r>
          </w:p>
        </w:tc>
        <w:tc>
          <w:tcPr>
            <w:tcW w:w="916" w:type="pct"/>
            <w:vAlign w:val="center"/>
          </w:tcPr>
          <w:p w14:paraId="1725E6C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0.1%</w:t>
            </w:r>
          </w:p>
        </w:tc>
        <w:tc>
          <w:tcPr>
            <w:tcW w:w="1341" w:type="pct"/>
            <w:vMerge w:val="restart"/>
            <w:vAlign w:val="center"/>
          </w:tcPr>
          <w:p w14:paraId="2413531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生活垃圾填埋场污染控制标准》（</w:t>
            </w:r>
            <w:r>
              <w:rPr>
                <w:rFonts w:ascii="Times New Roman" w:eastAsia="宋体" w:hAnsi="Times New Roman" w:cs="Times New Roman"/>
                <w:szCs w:val="21"/>
              </w:rPr>
              <w:t>GB16889-2008</w:t>
            </w:r>
            <w:r>
              <w:rPr>
                <w:rFonts w:ascii="Times New Roman" w:eastAsia="宋体" w:hAnsi="Times New Roman" w:cs="Times New Roman"/>
                <w:szCs w:val="21"/>
              </w:rPr>
              <w:t>）</w:t>
            </w:r>
          </w:p>
        </w:tc>
      </w:tr>
      <w:tr w:rsidR="00D12939" w14:paraId="36974913" w14:textId="77777777">
        <w:trPr>
          <w:cantSplit/>
          <w:trHeight w:val="284"/>
          <w:jc w:val="center"/>
        </w:trPr>
        <w:tc>
          <w:tcPr>
            <w:tcW w:w="1118" w:type="pct"/>
            <w:vMerge/>
            <w:vAlign w:val="center"/>
          </w:tcPr>
          <w:p w14:paraId="55CE0929" w14:textId="77777777" w:rsidR="00D12939" w:rsidRDefault="00D12939">
            <w:pPr>
              <w:pStyle w:val="affffd"/>
              <w:rPr>
                <w:rFonts w:ascii="Times New Roman" w:eastAsia="宋体" w:hAnsi="Times New Roman" w:cs="Times New Roman"/>
              </w:rPr>
            </w:pPr>
          </w:p>
        </w:tc>
        <w:tc>
          <w:tcPr>
            <w:tcW w:w="1625" w:type="pct"/>
            <w:gridSpan w:val="3"/>
            <w:vAlign w:val="center"/>
          </w:tcPr>
          <w:p w14:paraId="5C4241C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导气管排放口</w:t>
            </w:r>
          </w:p>
        </w:tc>
        <w:tc>
          <w:tcPr>
            <w:tcW w:w="916" w:type="pct"/>
            <w:vAlign w:val="center"/>
          </w:tcPr>
          <w:p w14:paraId="74E2985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5%</w:t>
            </w:r>
          </w:p>
        </w:tc>
        <w:tc>
          <w:tcPr>
            <w:tcW w:w="1341" w:type="pct"/>
            <w:vMerge/>
            <w:vAlign w:val="center"/>
          </w:tcPr>
          <w:p w14:paraId="33FAC654" w14:textId="77777777" w:rsidR="00D12939" w:rsidRDefault="00D12939">
            <w:pPr>
              <w:jc w:val="center"/>
              <w:rPr>
                <w:rFonts w:ascii="Times New Roman" w:eastAsia="宋体" w:hAnsi="Times New Roman" w:cs="Times New Roman"/>
                <w:szCs w:val="21"/>
              </w:rPr>
            </w:pPr>
          </w:p>
        </w:tc>
      </w:tr>
      <w:tr w:rsidR="00D12939" w14:paraId="7C30E9D1" w14:textId="77777777">
        <w:trPr>
          <w:cantSplit/>
          <w:trHeight w:val="284"/>
          <w:jc w:val="center"/>
        </w:trPr>
        <w:tc>
          <w:tcPr>
            <w:tcW w:w="1118" w:type="pct"/>
            <w:vMerge w:val="restart"/>
            <w:vAlign w:val="center"/>
          </w:tcPr>
          <w:p w14:paraId="64DB3F7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TSP</w:t>
            </w:r>
            <w:r>
              <w:rPr>
                <w:rFonts w:ascii="Times New Roman" w:eastAsia="宋体" w:hAnsi="Times New Roman" w:cs="Times New Roman"/>
                <w:szCs w:val="21"/>
              </w:rPr>
              <w:t>（施工扬尘）</w:t>
            </w:r>
          </w:p>
        </w:tc>
        <w:tc>
          <w:tcPr>
            <w:tcW w:w="1625" w:type="pct"/>
            <w:gridSpan w:val="3"/>
            <w:vAlign w:val="center"/>
          </w:tcPr>
          <w:p w14:paraId="4A1E586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拆除、土方及地基处理工程</w:t>
            </w:r>
          </w:p>
        </w:tc>
        <w:tc>
          <w:tcPr>
            <w:tcW w:w="916" w:type="pct"/>
            <w:vAlign w:val="center"/>
          </w:tcPr>
          <w:p w14:paraId="093131C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≤0.8</w:t>
            </w:r>
          </w:p>
        </w:tc>
        <w:tc>
          <w:tcPr>
            <w:tcW w:w="1341" w:type="pct"/>
            <w:vMerge w:val="restart"/>
            <w:vAlign w:val="center"/>
          </w:tcPr>
          <w:p w14:paraId="3F50073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《施工场界扬尘排放限值》（</w:t>
            </w:r>
            <w:r>
              <w:rPr>
                <w:rFonts w:ascii="Times New Roman" w:eastAsia="宋体" w:hAnsi="Times New Roman" w:cs="Times New Roman"/>
                <w:szCs w:val="21"/>
              </w:rPr>
              <w:t>DB61/1078-2017</w:t>
            </w:r>
            <w:r>
              <w:rPr>
                <w:rFonts w:ascii="Times New Roman" w:eastAsia="宋体" w:hAnsi="Times New Roman" w:cs="Times New Roman"/>
                <w:szCs w:val="21"/>
              </w:rPr>
              <w:t>）</w:t>
            </w:r>
          </w:p>
        </w:tc>
      </w:tr>
      <w:tr w:rsidR="00D12939" w14:paraId="76ED5B82" w14:textId="77777777">
        <w:trPr>
          <w:cantSplit/>
          <w:trHeight w:val="284"/>
          <w:jc w:val="center"/>
        </w:trPr>
        <w:tc>
          <w:tcPr>
            <w:tcW w:w="1118" w:type="pct"/>
            <w:vMerge/>
            <w:vAlign w:val="center"/>
          </w:tcPr>
          <w:p w14:paraId="7B870343" w14:textId="77777777" w:rsidR="00D12939" w:rsidRDefault="00D12939">
            <w:pPr>
              <w:jc w:val="center"/>
              <w:rPr>
                <w:rFonts w:ascii="Times New Roman" w:eastAsia="宋体" w:hAnsi="Times New Roman" w:cs="Times New Roman"/>
                <w:szCs w:val="21"/>
              </w:rPr>
            </w:pPr>
          </w:p>
        </w:tc>
        <w:tc>
          <w:tcPr>
            <w:tcW w:w="1625" w:type="pct"/>
            <w:gridSpan w:val="3"/>
            <w:vAlign w:val="center"/>
          </w:tcPr>
          <w:p w14:paraId="059529C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基础、主体结构及装饰工程</w:t>
            </w:r>
          </w:p>
        </w:tc>
        <w:tc>
          <w:tcPr>
            <w:tcW w:w="916" w:type="pct"/>
            <w:vAlign w:val="center"/>
          </w:tcPr>
          <w:p w14:paraId="4670D5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≤0.7</w:t>
            </w:r>
          </w:p>
        </w:tc>
        <w:tc>
          <w:tcPr>
            <w:tcW w:w="1341" w:type="pct"/>
            <w:vMerge/>
            <w:vAlign w:val="center"/>
          </w:tcPr>
          <w:p w14:paraId="71A8E1DA" w14:textId="77777777" w:rsidR="00D12939" w:rsidRDefault="00D12939">
            <w:pPr>
              <w:jc w:val="center"/>
              <w:rPr>
                <w:rFonts w:ascii="Times New Roman" w:eastAsia="宋体" w:hAnsi="Times New Roman" w:cs="Times New Roman"/>
                <w:szCs w:val="21"/>
              </w:rPr>
            </w:pPr>
          </w:p>
        </w:tc>
      </w:tr>
    </w:tbl>
    <w:p w14:paraId="0ADC790D" w14:textId="0C59BBE0"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）填埋场渗沥液经收集处理达标后，采用槽罐车运输方式，运至柞水县污水处理厂，出水执行《生活垃圾填埋场污染控制标准》（</w:t>
      </w:r>
      <w:r>
        <w:rPr>
          <w:rFonts w:ascii="Times New Roman" w:eastAsia="宋体" w:hAnsi="Times New Roman" w:cs="Times New Roman"/>
          <w:sz w:val="24"/>
        </w:rPr>
        <w:t>GB16889-2008</w:t>
      </w:r>
      <w:r>
        <w:rPr>
          <w:rFonts w:ascii="Times New Roman" w:eastAsia="宋体" w:hAnsi="Times New Roman" w:cs="Times New Roman"/>
          <w:sz w:val="24"/>
        </w:rPr>
        <w:t>）表</w:t>
      </w:r>
      <w:r>
        <w:rPr>
          <w:rFonts w:ascii="Times New Roman" w:eastAsia="宋体" w:hAnsi="Times New Roman" w:cs="Times New Roman"/>
          <w:sz w:val="24"/>
        </w:rPr>
        <w:t>2</w:t>
      </w:r>
      <w:r>
        <w:rPr>
          <w:rFonts w:ascii="Times New Roman" w:eastAsia="宋体" w:hAnsi="Times New Roman" w:cs="Times New Roman"/>
          <w:sz w:val="24"/>
        </w:rPr>
        <w:t>标准</w:t>
      </w:r>
      <w:r>
        <w:rPr>
          <w:rFonts w:ascii="Times New Roman" w:eastAsia="宋体" w:hAnsi="Times New Roman" w:cs="Times New Roman" w:hint="eastAsia"/>
          <w:sz w:val="24"/>
        </w:rPr>
        <w:t>，同时应满足柞水县污水处理厂收水水质标准</w:t>
      </w:r>
      <w:r w:rsidR="00DA291F" w:rsidRPr="00DA291F">
        <w:rPr>
          <w:rFonts w:ascii="Times New Roman" w:eastAsia="宋体" w:hAnsi="Times New Roman" w:cs="Times New Roman" w:hint="eastAsia"/>
          <w:sz w:val="24"/>
        </w:rPr>
        <w:t>，浓缩液经石笼回灌井回灌至填埋场</w:t>
      </w:r>
      <w:r>
        <w:rPr>
          <w:rFonts w:ascii="Times New Roman" w:eastAsia="宋体" w:hAnsi="Times New Roman" w:cs="Times New Roman"/>
          <w:sz w:val="24"/>
        </w:rPr>
        <w:t>。</w:t>
      </w:r>
      <w:r>
        <w:rPr>
          <w:rFonts w:ascii="Times New Roman" w:eastAsia="宋体" w:hAnsi="Times New Roman" w:cs="Times New Roman" w:hint="eastAsia"/>
          <w:sz w:val="24"/>
        </w:rPr>
        <w:t>具体见表</w:t>
      </w:r>
      <w:r>
        <w:rPr>
          <w:rFonts w:ascii="Times New Roman" w:eastAsia="宋体" w:hAnsi="Times New Roman" w:cs="Times New Roman"/>
          <w:sz w:val="24"/>
        </w:rPr>
        <w:t>2.3-3</w:t>
      </w:r>
      <w:r>
        <w:rPr>
          <w:rFonts w:ascii="Times New Roman" w:eastAsia="宋体" w:hAnsi="Times New Roman" w:cs="Times New Roman"/>
          <w:sz w:val="24"/>
        </w:rPr>
        <w:t>。</w:t>
      </w:r>
    </w:p>
    <w:p w14:paraId="2D755C7B" w14:textId="77777777" w:rsidR="00D12939" w:rsidRDefault="004F47F5">
      <w:pPr>
        <w:pStyle w:val="a5"/>
        <w:ind w:firstLine="480"/>
        <w:jc w:val="right"/>
        <w:rPr>
          <w:rFonts w:ascii="黑体" w:eastAsia="黑体" w:hAnsi="黑体"/>
          <w:sz w:val="24"/>
          <w:szCs w:val="21"/>
        </w:rPr>
      </w:pPr>
      <w:r>
        <w:rPr>
          <w:rFonts w:ascii="黑体" w:eastAsia="黑体" w:hAnsi="黑体"/>
          <w:sz w:val="24"/>
          <w:szCs w:val="21"/>
        </w:rPr>
        <w:t>表2.3-3    废水污染物排放标准                 单位：mg/L</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86"/>
        <w:gridCol w:w="3199"/>
        <w:gridCol w:w="2307"/>
        <w:gridCol w:w="3424"/>
      </w:tblGrid>
      <w:tr w:rsidR="00D12939" w14:paraId="169F846D" w14:textId="77777777">
        <w:trPr>
          <w:trHeight w:val="227"/>
        </w:trPr>
        <w:tc>
          <w:tcPr>
            <w:tcW w:w="404" w:type="pct"/>
            <w:vAlign w:val="center"/>
          </w:tcPr>
          <w:p w14:paraId="0A699A9A"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序号</w:t>
            </w:r>
          </w:p>
        </w:tc>
        <w:tc>
          <w:tcPr>
            <w:tcW w:w="1646" w:type="pct"/>
            <w:vAlign w:val="center"/>
          </w:tcPr>
          <w:p w14:paraId="105CB71A"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项目</w:t>
            </w:r>
          </w:p>
        </w:tc>
        <w:tc>
          <w:tcPr>
            <w:tcW w:w="1187" w:type="pct"/>
            <w:vAlign w:val="center"/>
          </w:tcPr>
          <w:p w14:paraId="4FE919EA"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标准值</w:t>
            </w:r>
          </w:p>
        </w:tc>
        <w:tc>
          <w:tcPr>
            <w:tcW w:w="1762" w:type="pct"/>
            <w:vAlign w:val="center"/>
          </w:tcPr>
          <w:p w14:paraId="3C940C10"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来源</w:t>
            </w:r>
          </w:p>
        </w:tc>
      </w:tr>
      <w:tr w:rsidR="00D12939" w14:paraId="0DD279D4" w14:textId="77777777">
        <w:trPr>
          <w:trHeight w:val="312"/>
        </w:trPr>
        <w:tc>
          <w:tcPr>
            <w:tcW w:w="405" w:type="pct"/>
            <w:vAlign w:val="center"/>
          </w:tcPr>
          <w:p w14:paraId="00A80F6F"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1646" w:type="pct"/>
            <w:vAlign w:val="center"/>
          </w:tcPr>
          <w:p w14:paraId="4A64D3E4"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色度（稀释倍数）</w:t>
            </w:r>
          </w:p>
        </w:tc>
        <w:tc>
          <w:tcPr>
            <w:tcW w:w="1187" w:type="pct"/>
            <w:vAlign w:val="center"/>
          </w:tcPr>
          <w:p w14:paraId="19219F02"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40</w:t>
            </w:r>
          </w:p>
        </w:tc>
        <w:tc>
          <w:tcPr>
            <w:tcW w:w="1762" w:type="pct"/>
            <w:vMerge w:val="restart"/>
            <w:vAlign w:val="center"/>
          </w:tcPr>
          <w:p w14:paraId="39DDD21D" w14:textId="77777777" w:rsidR="00D12939" w:rsidRDefault="004F47F5">
            <w:pPr>
              <w:pStyle w:val="-ls"/>
              <w:snapToGrid w:val="0"/>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《生活垃圾填埋场污染控制标准》（</w:t>
            </w:r>
            <w:r>
              <w:rPr>
                <w:rFonts w:ascii="Times New Roman" w:eastAsia="宋体" w:hAnsi="Times New Roman" w:cs="Times New Roman"/>
                <w:sz w:val="21"/>
                <w:szCs w:val="21"/>
              </w:rPr>
              <w:t>GB16889-2008</w:t>
            </w:r>
            <w:r>
              <w:rPr>
                <w:rFonts w:ascii="Times New Roman" w:eastAsia="宋体" w:hAnsi="Times New Roman" w:cs="Times New Roman"/>
                <w:sz w:val="21"/>
                <w:szCs w:val="21"/>
              </w:rPr>
              <w:t>）</w:t>
            </w:r>
          </w:p>
        </w:tc>
      </w:tr>
      <w:tr w:rsidR="00D12939" w14:paraId="083AB710" w14:textId="77777777">
        <w:trPr>
          <w:trHeight w:val="312"/>
        </w:trPr>
        <w:tc>
          <w:tcPr>
            <w:tcW w:w="404" w:type="pct"/>
            <w:vAlign w:val="center"/>
          </w:tcPr>
          <w:p w14:paraId="5E9884F1"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2</w:t>
            </w:r>
          </w:p>
        </w:tc>
        <w:tc>
          <w:tcPr>
            <w:tcW w:w="1646" w:type="pct"/>
            <w:vAlign w:val="center"/>
          </w:tcPr>
          <w:p w14:paraId="1C3103F8"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COD</w:t>
            </w:r>
          </w:p>
        </w:tc>
        <w:tc>
          <w:tcPr>
            <w:tcW w:w="1187" w:type="pct"/>
            <w:vAlign w:val="center"/>
          </w:tcPr>
          <w:p w14:paraId="1F720295"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100</w:t>
            </w:r>
          </w:p>
        </w:tc>
        <w:tc>
          <w:tcPr>
            <w:tcW w:w="1762" w:type="pct"/>
            <w:vMerge/>
            <w:vAlign w:val="center"/>
          </w:tcPr>
          <w:p w14:paraId="73D9DE86"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18359C01" w14:textId="77777777">
        <w:trPr>
          <w:trHeight w:val="312"/>
        </w:trPr>
        <w:tc>
          <w:tcPr>
            <w:tcW w:w="404" w:type="pct"/>
            <w:vAlign w:val="center"/>
          </w:tcPr>
          <w:p w14:paraId="4F8DA85E"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3</w:t>
            </w:r>
          </w:p>
        </w:tc>
        <w:tc>
          <w:tcPr>
            <w:tcW w:w="1646" w:type="pct"/>
            <w:vAlign w:val="center"/>
          </w:tcPr>
          <w:p w14:paraId="088109E6"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BOD</w:t>
            </w:r>
            <w:r>
              <w:rPr>
                <w:rFonts w:ascii="Times New Roman" w:eastAsia="宋体" w:hAnsi="Times New Roman" w:cs="Times New Roman"/>
                <w:szCs w:val="21"/>
                <w:vertAlign w:val="subscript"/>
              </w:rPr>
              <w:t>5</w:t>
            </w:r>
          </w:p>
        </w:tc>
        <w:tc>
          <w:tcPr>
            <w:tcW w:w="1187" w:type="pct"/>
            <w:vAlign w:val="center"/>
          </w:tcPr>
          <w:p w14:paraId="596577AC"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30</w:t>
            </w:r>
          </w:p>
        </w:tc>
        <w:tc>
          <w:tcPr>
            <w:tcW w:w="1762" w:type="pct"/>
            <w:vMerge/>
            <w:vAlign w:val="center"/>
          </w:tcPr>
          <w:p w14:paraId="24ACE764"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3113BC38" w14:textId="77777777">
        <w:trPr>
          <w:trHeight w:val="312"/>
        </w:trPr>
        <w:tc>
          <w:tcPr>
            <w:tcW w:w="404" w:type="pct"/>
            <w:vAlign w:val="center"/>
          </w:tcPr>
          <w:p w14:paraId="5BAEA070"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4</w:t>
            </w:r>
          </w:p>
        </w:tc>
        <w:tc>
          <w:tcPr>
            <w:tcW w:w="1646" w:type="pct"/>
            <w:vAlign w:val="center"/>
          </w:tcPr>
          <w:p w14:paraId="554DCCDE"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SS</w:t>
            </w:r>
          </w:p>
        </w:tc>
        <w:tc>
          <w:tcPr>
            <w:tcW w:w="1187" w:type="pct"/>
            <w:vAlign w:val="center"/>
          </w:tcPr>
          <w:p w14:paraId="24B934DF"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30</w:t>
            </w:r>
          </w:p>
        </w:tc>
        <w:tc>
          <w:tcPr>
            <w:tcW w:w="1762" w:type="pct"/>
            <w:vMerge/>
            <w:vAlign w:val="center"/>
          </w:tcPr>
          <w:p w14:paraId="702E08C7"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595B7209" w14:textId="77777777">
        <w:trPr>
          <w:trHeight w:val="312"/>
        </w:trPr>
        <w:tc>
          <w:tcPr>
            <w:tcW w:w="404" w:type="pct"/>
            <w:vAlign w:val="center"/>
          </w:tcPr>
          <w:p w14:paraId="5D2888FC"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5</w:t>
            </w:r>
          </w:p>
        </w:tc>
        <w:tc>
          <w:tcPr>
            <w:tcW w:w="1646" w:type="pct"/>
            <w:vAlign w:val="center"/>
          </w:tcPr>
          <w:p w14:paraId="771C00D0"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总氮</w:t>
            </w:r>
          </w:p>
        </w:tc>
        <w:tc>
          <w:tcPr>
            <w:tcW w:w="1187" w:type="pct"/>
            <w:vAlign w:val="center"/>
          </w:tcPr>
          <w:p w14:paraId="08582087"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40</w:t>
            </w:r>
          </w:p>
        </w:tc>
        <w:tc>
          <w:tcPr>
            <w:tcW w:w="1762" w:type="pct"/>
            <w:vMerge/>
            <w:vAlign w:val="center"/>
          </w:tcPr>
          <w:p w14:paraId="37E4A359"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0492AE2D" w14:textId="77777777">
        <w:trPr>
          <w:trHeight w:val="312"/>
        </w:trPr>
        <w:tc>
          <w:tcPr>
            <w:tcW w:w="404" w:type="pct"/>
            <w:vAlign w:val="center"/>
          </w:tcPr>
          <w:p w14:paraId="2432A1E8"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6</w:t>
            </w:r>
          </w:p>
        </w:tc>
        <w:tc>
          <w:tcPr>
            <w:tcW w:w="1646" w:type="pct"/>
            <w:vAlign w:val="center"/>
          </w:tcPr>
          <w:p w14:paraId="457A0491"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氨氮</w:t>
            </w:r>
          </w:p>
        </w:tc>
        <w:tc>
          <w:tcPr>
            <w:tcW w:w="1187" w:type="pct"/>
            <w:vAlign w:val="center"/>
          </w:tcPr>
          <w:p w14:paraId="750E0CDC"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25</w:t>
            </w:r>
          </w:p>
        </w:tc>
        <w:tc>
          <w:tcPr>
            <w:tcW w:w="1762" w:type="pct"/>
            <w:vMerge/>
            <w:vAlign w:val="center"/>
          </w:tcPr>
          <w:p w14:paraId="37103A20"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3044C9C6" w14:textId="77777777">
        <w:trPr>
          <w:trHeight w:val="312"/>
        </w:trPr>
        <w:tc>
          <w:tcPr>
            <w:tcW w:w="404" w:type="pct"/>
            <w:vAlign w:val="center"/>
          </w:tcPr>
          <w:p w14:paraId="0A30B1F1"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7</w:t>
            </w:r>
          </w:p>
        </w:tc>
        <w:tc>
          <w:tcPr>
            <w:tcW w:w="1646" w:type="pct"/>
            <w:vAlign w:val="center"/>
          </w:tcPr>
          <w:p w14:paraId="092729DE"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总磷</w:t>
            </w:r>
          </w:p>
        </w:tc>
        <w:tc>
          <w:tcPr>
            <w:tcW w:w="1187" w:type="pct"/>
            <w:vAlign w:val="center"/>
          </w:tcPr>
          <w:p w14:paraId="3E7DEFC8"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w:t>
            </w:r>
          </w:p>
        </w:tc>
        <w:tc>
          <w:tcPr>
            <w:tcW w:w="1762" w:type="pct"/>
            <w:vMerge/>
            <w:vAlign w:val="center"/>
          </w:tcPr>
          <w:p w14:paraId="0064A619"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7CFE69C2" w14:textId="77777777">
        <w:trPr>
          <w:trHeight w:val="312"/>
        </w:trPr>
        <w:tc>
          <w:tcPr>
            <w:tcW w:w="404" w:type="pct"/>
            <w:vAlign w:val="center"/>
          </w:tcPr>
          <w:p w14:paraId="59FD8FB7"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8</w:t>
            </w:r>
          </w:p>
        </w:tc>
        <w:tc>
          <w:tcPr>
            <w:tcW w:w="1646" w:type="pct"/>
            <w:vAlign w:val="center"/>
          </w:tcPr>
          <w:p w14:paraId="6F7F3F16"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粪大肠菌群数（个</w:t>
            </w:r>
            <w:r>
              <w:rPr>
                <w:rFonts w:ascii="Times New Roman" w:eastAsia="宋体" w:hAnsi="Times New Roman" w:cs="Times New Roman"/>
                <w:szCs w:val="21"/>
              </w:rPr>
              <w:t>/L</w:t>
            </w:r>
            <w:r>
              <w:rPr>
                <w:rFonts w:ascii="Times New Roman" w:eastAsia="宋体" w:hAnsi="Times New Roman" w:cs="Times New Roman"/>
                <w:szCs w:val="21"/>
              </w:rPr>
              <w:t>）</w:t>
            </w:r>
          </w:p>
        </w:tc>
        <w:tc>
          <w:tcPr>
            <w:tcW w:w="1187" w:type="pct"/>
            <w:vAlign w:val="center"/>
          </w:tcPr>
          <w:p w14:paraId="7FA42680"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10000</w:t>
            </w:r>
          </w:p>
        </w:tc>
        <w:tc>
          <w:tcPr>
            <w:tcW w:w="1762" w:type="pct"/>
            <w:vMerge/>
            <w:vAlign w:val="center"/>
          </w:tcPr>
          <w:p w14:paraId="5765F1E9"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5EF1C2E4" w14:textId="77777777">
        <w:trPr>
          <w:trHeight w:val="312"/>
        </w:trPr>
        <w:tc>
          <w:tcPr>
            <w:tcW w:w="404" w:type="pct"/>
            <w:vAlign w:val="center"/>
          </w:tcPr>
          <w:p w14:paraId="472C29D1"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9</w:t>
            </w:r>
          </w:p>
        </w:tc>
        <w:tc>
          <w:tcPr>
            <w:tcW w:w="1646" w:type="pct"/>
            <w:vAlign w:val="center"/>
          </w:tcPr>
          <w:p w14:paraId="044D17F6"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总汞</w:t>
            </w:r>
          </w:p>
        </w:tc>
        <w:tc>
          <w:tcPr>
            <w:tcW w:w="1187" w:type="pct"/>
            <w:vAlign w:val="center"/>
          </w:tcPr>
          <w:p w14:paraId="1C9CF476"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0.001</w:t>
            </w:r>
          </w:p>
        </w:tc>
        <w:tc>
          <w:tcPr>
            <w:tcW w:w="1762" w:type="pct"/>
            <w:vMerge/>
            <w:vAlign w:val="center"/>
          </w:tcPr>
          <w:p w14:paraId="4C5B2045"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382EB010" w14:textId="77777777">
        <w:trPr>
          <w:trHeight w:val="312"/>
        </w:trPr>
        <w:tc>
          <w:tcPr>
            <w:tcW w:w="404" w:type="pct"/>
            <w:vAlign w:val="center"/>
          </w:tcPr>
          <w:p w14:paraId="7BCE9E22"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10</w:t>
            </w:r>
          </w:p>
        </w:tc>
        <w:tc>
          <w:tcPr>
            <w:tcW w:w="1646" w:type="pct"/>
            <w:vAlign w:val="center"/>
          </w:tcPr>
          <w:p w14:paraId="4095817A"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总铬</w:t>
            </w:r>
          </w:p>
        </w:tc>
        <w:tc>
          <w:tcPr>
            <w:tcW w:w="1187" w:type="pct"/>
            <w:vAlign w:val="center"/>
          </w:tcPr>
          <w:p w14:paraId="4294FA5D"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0.1</w:t>
            </w:r>
          </w:p>
        </w:tc>
        <w:tc>
          <w:tcPr>
            <w:tcW w:w="1762" w:type="pct"/>
            <w:vMerge/>
            <w:vAlign w:val="center"/>
          </w:tcPr>
          <w:p w14:paraId="6855A1D7"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1AC1F195" w14:textId="77777777">
        <w:trPr>
          <w:trHeight w:val="312"/>
        </w:trPr>
        <w:tc>
          <w:tcPr>
            <w:tcW w:w="404" w:type="pct"/>
            <w:vAlign w:val="center"/>
          </w:tcPr>
          <w:p w14:paraId="7225326C"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11</w:t>
            </w:r>
          </w:p>
        </w:tc>
        <w:tc>
          <w:tcPr>
            <w:tcW w:w="1646" w:type="pct"/>
            <w:vAlign w:val="center"/>
          </w:tcPr>
          <w:p w14:paraId="180C468F"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六价铬</w:t>
            </w:r>
          </w:p>
        </w:tc>
        <w:tc>
          <w:tcPr>
            <w:tcW w:w="1187" w:type="pct"/>
            <w:vAlign w:val="center"/>
          </w:tcPr>
          <w:p w14:paraId="29FB9007"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0.05</w:t>
            </w:r>
          </w:p>
        </w:tc>
        <w:tc>
          <w:tcPr>
            <w:tcW w:w="1762" w:type="pct"/>
            <w:vMerge/>
            <w:vAlign w:val="center"/>
          </w:tcPr>
          <w:p w14:paraId="32D1193C"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70D2FBBB" w14:textId="77777777">
        <w:trPr>
          <w:trHeight w:val="312"/>
        </w:trPr>
        <w:tc>
          <w:tcPr>
            <w:tcW w:w="404" w:type="pct"/>
            <w:vAlign w:val="center"/>
          </w:tcPr>
          <w:p w14:paraId="1D5DB25B"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12</w:t>
            </w:r>
          </w:p>
        </w:tc>
        <w:tc>
          <w:tcPr>
            <w:tcW w:w="1646" w:type="pct"/>
            <w:vAlign w:val="center"/>
          </w:tcPr>
          <w:p w14:paraId="2E8FFCA4"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总砷</w:t>
            </w:r>
          </w:p>
        </w:tc>
        <w:tc>
          <w:tcPr>
            <w:tcW w:w="1187" w:type="pct"/>
            <w:vAlign w:val="center"/>
          </w:tcPr>
          <w:p w14:paraId="64DBE02A"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0.1</w:t>
            </w:r>
          </w:p>
        </w:tc>
        <w:tc>
          <w:tcPr>
            <w:tcW w:w="1762" w:type="pct"/>
            <w:vMerge/>
            <w:vAlign w:val="center"/>
          </w:tcPr>
          <w:p w14:paraId="62339B20"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0E1D554E" w14:textId="77777777">
        <w:trPr>
          <w:trHeight w:val="312"/>
        </w:trPr>
        <w:tc>
          <w:tcPr>
            <w:tcW w:w="404" w:type="pct"/>
            <w:vAlign w:val="center"/>
          </w:tcPr>
          <w:p w14:paraId="69101E5B"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13</w:t>
            </w:r>
          </w:p>
        </w:tc>
        <w:tc>
          <w:tcPr>
            <w:tcW w:w="1646" w:type="pct"/>
            <w:vAlign w:val="center"/>
          </w:tcPr>
          <w:p w14:paraId="2A6978C7"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总镉</w:t>
            </w:r>
          </w:p>
        </w:tc>
        <w:tc>
          <w:tcPr>
            <w:tcW w:w="1187" w:type="pct"/>
            <w:vAlign w:val="center"/>
          </w:tcPr>
          <w:p w14:paraId="2B4B3D77"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0.01</w:t>
            </w:r>
          </w:p>
        </w:tc>
        <w:tc>
          <w:tcPr>
            <w:tcW w:w="1762" w:type="pct"/>
            <w:vMerge/>
            <w:vAlign w:val="center"/>
          </w:tcPr>
          <w:p w14:paraId="0081C98A"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r w:rsidR="00D12939" w14:paraId="45F3AB40" w14:textId="77777777">
        <w:trPr>
          <w:trHeight w:val="312"/>
        </w:trPr>
        <w:tc>
          <w:tcPr>
            <w:tcW w:w="404" w:type="pct"/>
            <w:vAlign w:val="center"/>
          </w:tcPr>
          <w:p w14:paraId="165E3E39"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14</w:t>
            </w:r>
          </w:p>
        </w:tc>
        <w:tc>
          <w:tcPr>
            <w:tcW w:w="1646" w:type="pct"/>
            <w:vAlign w:val="center"/>
          </w:tcPr>
          <w:p w14:paraId="3885C81E"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总铅</w:t>
            </w:r>
          </w:p>
        </w:tc>
        <w:tc>
          <w:tcPr>
            <w:tcW w:w="1187" w:type="pct"/>
            <w:vAlign w:val="center"/>
          </w:tcPr>
          <w:p w14:paraId="7F5AF9F4" w14:textId="77777777" w:rsidR="00D12939" w:rsidRDefault="004F47F5">
            <w:pPr>
              <w:pStyle w:val="-ls"/>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0.1</w:t>
            </w:r>
          </w:p>
        </w:tc>
        <w:tc>
          <w:tcPr>
            <w:tcW w:w="1762" w:type="pct"/>
            <w:vMerge/>
            <w:vAlign w:val="center"/>
          </w:tcPr>
          <w:p w14:paraId="60340012" w14:textId="77777777" w:rsidR="00D12939" w:rsidRDefault="00D12939">
            <w:pPr>
              <w:pStyle w:val="-ls"/>
              <w:snapToGrid w:val="0"/>
              <w:spacing w:line="240" w:lineRule="auto"/>
              <w:ind w:firstLineChars="0" w:firstLine="0"/>
              <w:jc w:val="center"/>
              <w:rPr>
                <w:rFonts w:ascii="Times New Roman" w:eastAsia="宋体" w:hAnsi="Times New Roman" w:cs="Times New Roman"/>
                <w:sz w:val="21"/>
                <w:szCs w:val="21"/>
              </w:rPr>
            </w:pPr>
          </w:p>
        </w:tc>
      </w:tr>
    </w:tbl>
    <w:p w14:paraId="2FFD81A1"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sz w:val="24"/>
        </w:rPr>
        <w:t xml:space="preserve"> </w:t>
      </w:r>
      <w:r>
        <w:rPr>
          <w:rFonts w:ascii="Times New Roman" w:eastAsia="宋体" w:hAnsi="Times New Roman" w:cs="Times New Roman"/>
          <w:sz w:val="24"/>
        </w:rPr>
        <w:t>施工噪声排放执行《建筑施工场界环境噪声排放标准》（</w:t>
      </w:r>
      <w:r>
        <w:rPr>
          <w:rFonts w:ascii="Times New Roman" w:eastAsia="宋体" w:hAnsi="Times New Roman" w:cs="Times New Roman"/>
          <w:sz w:val="24"/>
        </w:rPr>
        <w:t>GB12523-2011</w:t>
      </w:r>
      <w:r>
        <w:rPr>
          <w:rFonts w:ascii="Times New Roman" w:eastAsia="宋体" w:hAnsi="Times New Roman" w:cs="Times New Roman"/>
          <w:sz w:val="24"/>
        </w:rPr>
        <w:t>）；厂界噪声执行《工业企业厂界环境噪声排放标准》（</w:t>
      </w:r>
      <w:r>
        <w:rPr>
          <w:rFonts w:ascii="Times New Roman" w:eastAsia="宋体" w:hAnsi="Times New Roman" w:cs="Times New Roman"/>
          <w:sz w:val="24"/>
        </w:rPr>
        <w:t>GB12348-2008</w:t>
      </w: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类标准。</w:t>
      </w:r>
    </w:p>
    <w:p w14:paraId="2B62CCFD" w14:textId="77777777" w:rsidR="00D12939" w:rsidRDefault="004F47F5">
      <w:pPr>
        <w:pStyle w:val="a5"/>
        <w:ind w:firstLine="480"/>
        <w:jc w:val="right"/>
        <w:rPr>
          <w:rFonts w:ascii="黑体" w:eastAsia="黑体" w:hAnsi="黑体"/>
          <w:sz w:val="24"/>
          <w:szCs w:val="21"/>
        </w:rPr>
      </w:pPr>
      <w:r>
        <w:rPr>
          <w:rFonts w:ascii="黑体" w:eastAsia="黑体" w:hAnsi="黑体"/>
          <w:sz w:val="24"/>
          <w:szCs w:val="21"/>
        </w:rPr>
        <w:t>表2.3-4    噪声限值标准</w:t>
      </w:r>
      <w:r>
        <w:rPr>
          <w:rFonts w:ascii="黑体" w:eastAsia="黑体" w:hAnsi="黑体" w:hint="eastAsia"/>
          <w:sz w:val="24"/>
          <w:szCs w:val="21"/>
        </w:rPr>
        <w:t xml:space="preserve"> </w:t>
      </w:r>
      <w:r>
        <w:rPr>
          <w:rFonts w:ascii="黑体" w:eastAsia="黑体" w:hAnsi="黑体"/>
          <w:sz w:val="24"/>
          <w:szCs w:val="21"/>
        </w:rPr>
        <w:t xml:space="preserve">              单位：dB（A）</w:t>
      </w:r>
    </w:p>
    <w:tbl>
      <w:tblPr>
        <w:tblW w:w="5000"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firstRow="1" w:lastRow="0" w:firstColumn="1" w:lastColumn="0" w:noHBand="0" w:noVBand="1"/>
      </w:tblPr>
      <w:tblGrid>
        <w:gridCol w:w="1942"/>
        <w:gridCol w:w="1943"/>
        <w:gridCol w:w="1943"/>
        <w:gridCol w:w="1944"/>
        <w:gridCol w:w="1944"/>
      </w:tblGrid>
      <w:tr w:rsidR="00D12939" w14:paraId="2CE2BA23" w14:textId="77777777">
        <w:trPr>
          <w:trHeight w:val="312"/>
          <w:jc w:val="center"/>
        </w:trPr>
        <w:tc>
          <w:tcPr>
            <w:tcW w:w="1685" w:type="dxa"/>
            <w:tcBorders>
              <w:top w:val="single" w:sz="12" w:space="0" w:color="auto"/>
              <w:bottom w:val="single" w:sz="2" w:space="0" w:color="auto"/>
              <w:right w:val="single" w:sz="4" w:space="0" w:color="auto"/>
            </w:tcBorders>
            <w:shd w:val="clear" w:color="auto" w:fill="auto"/>
            <w:tcMar>
              <w:left w:w="0" w:type="dxa"/>
              <w:right w:w="0" w:type="dxa"/>
            </w:tcMar>
            <w:vAlign w:val="center"/>
          </w:tcPr>
          <w:p w14:paraId="085ED50A" w14:textId="77777777" w:rsidR="00D12939" w:rsidRDefault="004F47F5">
            <w:pPr>
              <w:adjustRightInd w:val="0"/>
              <w:spacing w:line="360" w:lineRule="exact"/>
              <w:jc w:val="center"/>
              <w:textAlignment w:val="center"/>
              <w:rPr>
                <w:rFonts w:ascii="Times New Roman" w:eastAsia="宋体" w:hAnsi="Times New Roman" w:cs="Times New Roman"/>
                <w:bCs/>
              </w:rPr>
            </w:pPr>
            <w:r>
              <w:rPr>
                <w:rFonts w:ascii="Times New Roman" w:eastAsia="宋体" w:hAnsi="Times New Roman" w:cs="Times New Roman"/>
                <w:bCs/>
              </w:rPr>
              <w:t>时段</w:t>
            </w:r>
          </w:p>
        </w:tc>
        <w:tc>
          <w:tcPr>
            <w:tcW w:w="1687" w:type="dxa"/>
            <w:tcBorders>
              <w:top w:val="single" w:sz="12" w:space="0" w:color="auto"/>
              <w:bottom w:val="single" w:sz="2" w:space="0" w:color="auto"/>
            </w:tcBorders>
            <w:shd w:val="clear" w:color="auto" w:fill="auto"/>
            <w:vAlign w:val="center"/>
          </w:tcPr>
          <w:p w14:paraId="391F8CEB" w14:textId="77777777" w:rsidR="00D12939" w:rsidRDefault="004F47F5">
            <w:pPr>
              <w:adjustRightInd w:val="0"/>
              <w:spacing w:line="360" w:lineRule="exact"/>
              <w:jc w:val="center"/>
              <w:textAlignment w:val="center"/>
              <w:rPr>
                <w:rFonts w:ascii="Times New Roman" w:eastAsia="宋体" w:hAnsi="Times New Roman" w:cs="Times New Roman"/>
                <w:bCs/>
              </w:rPr>
            </w:pPr>
            <w:r>
              <w:rPr>
                <w:rFonts w:ascii="Times New Roman" w:eastAsia="宋体" w:hAnsi="Times New Roman" w:cs="Times New Roman"/>
                <w:bCs/>
              </w:rPr>
              <w:t>类别</w:t>
            </w:r>
          </w:p>
        </w:tc>
        <w:tc>
          <w:tcPr>
            <w:tcW w:w="1687" w:type="dxa"/>
            <w:tcBorders>
              <w:top w:val="single" w:sz="12" w:space="0" w:color="auto"/>
              <w:bottom w:val="single" w:sz="2" w:space="0" w:color="auto"/>
            </w:tcBorders>
            <w:shd w:val="clear" w:color="auto" w:fill="auto"/>
            <w:vAlign w:val="center"/>
          </w:tcPr>
          <w:p w14:paraId="0A6DD443" w14:textId="77777777" w:rsidR="00D12939" w:rsidRDefault="004F47F5">
            <w:pPr>
              <w:adjustRightInd w:val="0"/>
              <w:spacing w:line="360" w:lineRule="exact"/>
              <w:jc w:val="center"/>
              <w:textAlignment w:val="center"/>
              <w:rPr>
                <w:rFonts w:ascii="Times New Roman" w:eastAsia="宋体" w:hAnsi="Times New Roman" w:cs="Times New Roman"/>
                <w:bCs/>
              </w:rPr>
            </w:pPr>
            <w:r>
              <w:rPr>
                <w:rFonts w:ascii="Times New Roman" w:eastAsia="宋体" w:hAnsi="Times New Roman" w:cs="Times New Roman"/>
                <w:bCs/>
              </w:rPr>
              <w:t>昼间</w:t>
            </w:r>
          </w:p>
        </w:tc>
        <w:tc>
          <w:tcPr>
            <w:tcW w:w="1688" w:type="dxa"/>
            <w:tcBorders>
              <w:top w:val="single" w:sz="12" w:space="0" w:color="auto"/>
              <w:bottom w:val="single" w:sz="2" w:space="0" w:color="auto"/>
            </w:tcBorders>
            <w:shd w:val="clear" w:color="auto" w:fill="auto"/>
            <w:vAlign w:val="center"/>
          </w:tcPr>
          <w:p w14:paraId="3274CD5B" w14:textId="77777777" w:rsidR="00D12939" w:rsidRDefault="004F47F5">
            <w:pPr>
              <w:adjustRightInd w:val="0"/>
              <w:spacing w:line="360" w:lineRule="exact"/>
              <w:jc w:val="center"/>
              <w:textAlignment w:val="center"/>
              <w:rPr>
                <w:rFonts w:ascii="Times New Roman" w:eastAsia="宋体" w:hAnsi="Times New Roman" w:cs="Times New Roman"/>
                <w:bCs/>
              </w:rPr>
            </w:pPr>
            <w:r>
              <w:rPr>
                <w:rFonts w:ascii="Times New Roman" w:eastAsia="宋体" w:hAnsi="Times New Roman" w:cs="Times New Roman"/>
                <w:bCs/>
              </w:rPr>
              <w:t>夜间</w:t>
            </w:r>
          </w:p>
        </w:tc>
        <w:tc>
          <w:tcPr>
            <w:tcW w:w="1688" w:type="dxa"/>
            <w:tcBorders>
              <w:top w:val="single" w:sz="12" w:space="0" w:color="auto"/>
              <w:bottom w:val="single" w:sz="2" w:space="0" w:color="auto"/>
            </w:tcBorders>
            <w:shd w:val="clear" w:color="auto" w:fill="auto"/>
            <w:vAlign w:val="center"/>
          </w:tcPr>
          <w:p w14:paraId="45F6ECAE" w14:textId="77777777" w:rsidR="00D12939" w:rsidRDefault="004F47F5">
            <w:pPr>
              <w:adjustRightInd w:val="0"/>
              <w:spacing w:line="360" w:lineRule="exact"/>
              <w:ind w:rightChars="-14" w:right="-29"/>
              <w:jc w:val="center"/>
              <w:textAlignment w:val="center"/>
              <w:rPr>
                <w:rFonts w:ascii="Times New Roman" w:eastAsia="宋体" w:hAnsi="Times New Roman" w:cs="Times New Roman"/>
                <w:bCs/>
              </w:rPr>
            </w:pPr>
            <w:r>
              <w:rPr>
                <w:rFonts w:ascii="Times New Roman" w:eastAsia="宋体" w:hAnsi="Times New Roman" w:cs="Times New Roman"/>
                <w:bCs/>
              </w:rPr>
              <w:t>标准来源</w:t>
            </w:r>
          </w:p>
        </w:tc>
      </w:tr>
      <w:tr w:rsidR="00D12939" w14:paraId="08FEB608" w14:textId="77777777">
        <w:trPr>
          <w:trHeight w:val="312"/>
          <w:jc w:val="center"/>
        </w:trPr>
        <w:tc>
          <w:tcPr>
            <w:tcW w:w="1685" w:type="dxa"/>
            <w:tcBorders>
              <w:top w:val="single" w:sz="2" w:space="0" w:color="auto"/>
              <w:bottom w:val="single" w:sz="2" w:space="0" w:color="auto"/>
              <w:right w:val="single" w:sz="4" w:space="0" w:color="auto"/>
            </w:tcBorders>
            <w:shd w:val="clear" w:color="auto" w:fill="auto"/>
            <w:tcMar>
              <w:left w:w="0" w:type="dxa"/>
              <w:right w:w="0" w:type="dxa"/>
            </w:tcMar>
            <w:vAlign w:val="center"/>
          </w:tcPr>
          <w:p w14:paraId="110B8BE9"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施工期</w:t>
            </w:r>
          </w:p>
        </w:tc>
        <w:tc>
          <w:tcPr>
            <w:tcW w:w="1687" w:type="dxa"/>
            <w:tcBorders>
              <w:top w:val="single" w:sz="2" w:space="0" w:color="auto"/>
              <w:bottom w:val="single" w:sz="2" w:space="0" w:color="auto"/>
            </w:tcBorders>
            <w:shd w:val="clear" w:color="auto" w:fill="auto"/>
            <w:vAlign w:val="center"/>
          </w:tcPr>
          <w:p w14:paraId="03033028"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施工阶段</w:t>
            </w:r>
          </w:p>
        </w:tc>
        <w:tc>
          <w:tcPr>
            <w:tcW w:w="1687" w:type="dxa"/>
            <w:tcBorders>
              <w:top w:val="single" w:sz="2" w:space="0" w:color="auto"/>
              <w:bottom w:val="single" w:sz="2" w:space="0" w:color="auto"/>
            </w:tcBorders>
            <w:shd w:val="clear" w:color="auto" w:fill="auto"/>
            <w:vAlign w:val="center"/>
          </w:tcPr>
          <w:p w14:paraId="2C5B1F16"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70</w:t>
            </w:r>
          </w:p>
        </w:tc>
        <w:tc>
          <w:tcPr>
            <w:tcW w:w="1688" w:type="dxa"/>
            <w:tcBorders>
              <w:top w:val="single" w:sz="2" w:space="0" w:color="auto"/>
              <w:bottom w:val="single" w:sz="2" w:space="0" w:color="auto"/>
            </w:tcBorders>
            <w:shd w:val="clear" w:color="auto" w:fill="auto"/>
            <w:vAlign w:val="center"/>
          </w:tcPr>
          <w:p w14:paraId="3EC45D72"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55</w:t>
            </w:r>
          </w:p>
        </w:tc>
        <w:tc>
          <w:tcPr>
            <w:tcW w:w="1688" w:type="dxa"/>
            <w:tcBorders>
              <w:top w:val="single" w:sz="2" w:space="0" w:color="auto"/>
              <w:bottom w:val="single" w:sz="2" w:space="0" w:color="auto"/>
            </w:tcBorders>
            <w:shd w:val="clear" w:color="auto" w:fill="auto"/>
            <w:vAlign w:val="center"/>
          </w:tcPr>
          <w:p w14:paraId="0E41AFB7"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GB12523-2011</w:t>
            </w:r>
          </w:p>
        </w:tc>
      </w:tr>
      <w:tr w:rsidR="00D12939" w14:paraId="69B56F81" w14:textId="77777777">
        <w:trPr>
          <w:trHeight w:val="312"/>
          <w:jc w:val="center"/>
        </w:trPr>
        <w:tc>
          <w:tcPr>
            <w:tcW w:w="1685" w:type="dxa"/>
            <w:tcBorders>
              <w:top w:val="single" w:sz="2" w:space="0" w:color="auto"/>
              <w:right w:val="single" w:sz="4" w:space="0" w:color="auto"/>
            </w:tcBorders>
            <w:shd w:val="clear" w:color="auto" w:fill="auto"/>
            <w:tcMar>
              <w:left w:w="0" w:type="dxa"/>
              <w:right w:w="0" w:type="dxa"/>
            </w:tcMar>
            <w:vAlign w:val="center"/>
          </w:tcPr>
          <w:p w14:paraId="2E9A0D60"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运营期</w:t>
            </w:r>
          </w:p>
        </w:tc>
        <w:tc>
          <w:tcPr>
            <w:tcW w:w="1687" w:type="dxa"/>
            <w:tcBorders>
              <w:top w:val="single" w:sz="2" w:space="0" w:color="auto"/>
            </w:tcBorders>
            <w:shd w:val="clear" w:color="auto" w:fill="auto"/>
            <w:vAlign w:val="center"/>
          </w:tcPr>
          <w:p w14:paraId="66FFE5C1"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rPr>
              <w:t>类</w:t>
            </w:r>
          </w:p>
        </w:tc>
        <w:tc>
          <w:tcPr>
            <w:tcW w:w="1687" w:type="dxa"/>
            <w:tcBorders>
              <w:top w:val="single" w:sz="2" w:space="0" w:color="auto"/>
            </w:tcBorders>
            <w:shd w:val="clear" w:color="auto" w:fill="auto"/>
            <w:vAlign w:val="center"/>
          </w:tcPr>
          <w:p w14:paraId="021DFAB4"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60</w:t>
            </w:r>
          </w:p>
        </w:tc>
        <w:tc>
          <w:tcPr>
            <w:tcW w:w="1688" w:type="dxa"/>
            <w:tcBorders>
              <w:top w:val="single" w:sz="2" w:space="0" w:color="auto"/>
            </w:tcBorders>
            <w:shd w:val="clear" w:color="auto" w:fill="auto"/>
            <w:vAlign w:val="center"/>
          </w:tcPr>
          <w:p w14:paraId="532779D8"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50</w:t>
            </w:r>
          </w:p>
        </w:tc>
        <w:tc>
          <w:tcPr>
            <w:tcW w:w="1688" w:type="dxa"/>
            <w:tcBorders>
              <w:top w:val="single" w:sz="2" w:space="0" w:color="auto"/>
            </w:tcBorders>
            <w:shd w:val="clear" w:color="auto" w:fill="auto"/>
            <w:vAlign w:val="center"/>
          </w:tcPr>
          <w:p w14:paraId="2C7A44FD" w14:textId="77777777" w:rsidR="00D12939" w:rsidRDefault="004F47F5">
            <w:pPr>
              <w:adjustRightInd w:val="0"/>
              <w:spacing w:line="360" w:lineRule="exact"/>
              <w:jc w:val="center"/>
              <w:textAlignment w:val="center"/>
              <w:rPr>
                <w:rFonts w:ascii="Times New Roman" w:eastAsia="宋体" w:hAnsi="Times New Roman" w:cs="Times New Roman"/>
              </w:rPr>
            </w:pPr>
            <w:r>
              <w:rPr>
                <w:rFonts w:ascii="Times New Roman" w:eastAsia="宋体" w:hAnsi="Times New Roman" w:cs="Times New Roman"/>
              </w:rPr>
              <w:t>GB12348-2008</w:t>
            </w:r>
          </w:p>
        </w:tc>
      </w:tr>
    </w:tbl>
    <w:p w14:paraId="7083A0A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sz w:val="24"/>
        </w:rPr>
        <w:t>一般固废执行《一般工业固体废物贮存和填埋污染控制标准》（</w:t>
      </w:r>
      <w:r>
        <w:rPr>
          <w:rFonts w:ascii="Times New Roman" w:eastAsia="宋体" w:hAnsi="Times New Roman" w:cs="Times New Roman"/>
          <w:sz w:val="24"/>
        </w:rPr>
        <w:t>GB18599-2020</w:t>
      </w:r>
      <w:r>
        <w:rPr>
          <w:rFonts w:ascii="Times New Roman" w:eastAsia="宋体" w:hAnsi="Times New Roman" w:cs="Times New Roman"/>
          <w:sz w:val="24"/>
        </w:rPr>
        <w:t>）中</w:t>
      </w:r>
      <w:r>
        <w:rPr>
          <w:rFonts w:ascii="Times New Roman" w:eastAsia="宋体" w:hAnsi="Times New Roman" w:cs="Times New Roman"/>
          <w:sz w:val="24"/>
        </w:rPr>
        <w:lastRenderedPageBreak/>
        <w:t>相关要求；生活垃圾排放执行《生活垃圾填埋场污染控制标准》（</w:t>
      </w:r>
      <w:r>
        <w:rPr>
          <w:rFonts w:ascii="Times New Roman" w:eastAsia="宋体" w:hAnsi="Times New Roman" w:cs="Times New Roman"/>
          <w:sz w:val="24"/>
        </w:rPr>
        <w:t>GB16889-2008</w:t>
      </w:r>
      <w:r>
        <w:rPr>
          <w:rFonts w:ascii="Times New Roman" w:eastAsia="宋体" w:hAnsi="Times New Roman" w:cs="Times New Roman"/>
          <w:sz w:val="24"/>
        </w:rPr>
        <w:t>）中的相关规定；危险废物贮存执行《危险废物贮存污染控制标准》（</w:t>
      </w:r>
      <w:r>
        <w:rPr>
          <w:rFonts w:ascii="Times New Roman" w:eastAsia="宋体" w:hAnsi="Times New Roman" w:cs="Times New Roman"/>
          <w:sz w:val="24"/>
        </w:rPr>
        <w:t>GB18597-2001</w:t>
      </w:r>
      <w:r>
        <w:rPr>
          <w:rFonts w:ascii="Times New Roman" w:eastAsia="宋体" w:hAnsi="Times New Roman" w:cs="Times New Roman"/>
          <w:sz w:val="24"/>
        </w:rPr>
        <w:t>）及修改单（环保部</w:t>
      </w:r>
      <w:r>
        <w:rPr>
          <w:rFonts w:ascii="Times New Roman" w:eastAsia="宋体" w:hAnsi="Times New Roman" w:cs="Times New Roman"/>
          <w:sz w:val="24"/>
        </w:rPr>
        <w:t xml:space="preserve">2013 </w:t>
      </w:r>
      <w:r>
        <w:rPr>
          <w:rFonts w:ascii="Times New Roman" w:eastAsia="宋体" w:hAnsi="Times New Roman" w:cs="Times New Roman"/>
          <w:sz w:val="24"/>
        </w:rPr>
        <w:t>年第</w:t>
      </w:r>
      <w:r>
        <w:rPr>
          <w:rFonts w:ascii="Times New Roman" w:eastAsia="宋体" w:hAnsi="Times New Roman" w:cs="Times New Roman"/>
          <w:sz w:val="24"/>
        </w:rPr>
        <w:t xml:space="preserve">36 </w:t>
      </w:r>
      <w:r>
        <w:rPr>
          <w:rFonts w:ascii="Times New Roman" w:eastAsia="宋体" w:hAnsi="Times New Roman" w:cs="Times New Roman"/>
          <w:sz w:val="24"/>
        </w:rPr>
        <w:t>号）中相关要求。</w:t>
      </w:r>
    </w:p>
    <w:p w14:paraId="04B6D2A8" w14:textId="77777777" w:rsidR="00D12939" w:rsidRDefault="004F47F5">
      <w:pPr>
        <w:pStyle w:val="2"/>
        <w:spacing w:line="360" w:lineRule="auto"/>
        <w:ind w:firstLineChars="165" w:firstLine="462"/>
        <w:rPr>
          <w:sz w:val="28"/>
        </w:rPr>
      </w:pPr>
      <w:bookmarkStart w:id="205" w:name="_Toc7116"/>
      <w:bookmarkStart w:id="206" w:name="_Toc3934"/>
      <w:bookmarkStart w:id="207" w:name="_Toc18811"/>
      <w:bookmarkStart w:id="208" w:name="_Toc7468"/>
      <w:bookmarkStart w:id="209" w:name="_Toc8174"/>
      <w:bookmarkStart w:id="210" w:name="_Toc22744223"/>
      <w:bookmarkStart w:id="211" w:name="_Toc19151"/>
      <w:bookmarkStart w:id="212" w:name="_Toc7878"/>
      <w:bookmarkStart w:id="213" w:name="_Toc26207"/>
      <w:bookmarkStart w:id="214" w:name="_Toc3462"/>
      <w:bookmarkStart w:id="215" w:name="_Toc121411697"/>
      <w:bookmarkStart w:id="216" w:name="_Toc24864"/>
      <w:bookmarkStart w:id="217" w:name="_Toc16337"/>
      <w:bookmarkStart w:id="218" w:name="_Toc6973"/>
      <w:bookmarkStart w:id="219" w:name="_Toc22014"/>
      <w:r>
        <w:rPr>
          <w:sz w:val="28"/>
        </w:rPr>
        <w:t>2.4</w:t>
      </w:r>
      <w:r>
        <w:rPr>
          <w:sz w:val="28"/>
        </w:rPr>
        <w:t>评价工作等级</w:t>
      </w:r>
      <w:bookmarkEnd w:id="196"/>
      <w:bookmarkEnd w:id="201"/>
      <w:r>
        <w:rPr>
          <w:sz w:val="28"/>
        </w:rPr>
        <w:t>和评价范围</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74BC1C1E"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220" w:name="_Toc32070"/>
      <w:bookmarkStart w:id="221" w:name="_Toc31285"/>
      <w:bookmarkStart w:id="222" w:name="_Toc121411698"/>
      <w:r>
        <w:rPr>
          <w:rFonts w:ascii="Times New Roman" w:eastAsia="黑体" w:hAnsi="Times New Roman" w:cs="Times New Roman"/>
          <w:b w:val="0"/>
          <w:sz w:val="24"/>
        </w:rPr>
        <w:t>2.3.6</w:t>
      </w:r>
      <w:r>
        <w:rPr>
          <w:rFonts w:ascii="Times New Roman" w:eastAsia="黑体" w:hAnsi="Times New Roman" w:cs="Times New Roman"/>
          <w:b w:val="0"/>
          <w:sz w:val="24"/>
        </w:rPr>
        <w:t>环境空气</w:t>
      </w:r>
      <w:bookmarkEnd w:id="220"/>
      <w:bookmarkEnd w:id="221"/>
      <w:bookmarkEnd w:id="222"/>
    </w:p>
    <w:p w14:paraId="6F8FA7BA" w14:textId="77777777" w:rsidR="00D12939" w:rsidRDefault="004F47F5">
      <w:pPr>
        <w:spacing w:line="360" w:lineRule="auto"/>
        <w:ind w:firstLineChars="200" w:firstLine="480"/>
        <w:rPr>
          <w:rFonts w:ascii="Times New Roman" w:eastAsia="宋体" w:hAnsi="Times New Roman" w:cs="Times New Roman"/>
          <w:sz w:val="24"/>
        </w:rPr>
      </w:pPr>
      <w:bookmarkStart w:id="223" w:name="_Toc475562466"/>
      <w:bookmarkStart w:id="224" w:name="_Toc3632"/>
      <w:bookmarkStart w:id="225" w:name="_Toc4583"/>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）环境影响识别与评价因子筛选</w:t>
      </w:r>
    </w:p>
    <w:p w14:paraId="75227C1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按</w:t>
      </w:r>
      <w:r>
        <w:rPr>
          <w:rFonts w:ascii="Times New Roman" w:eastAsia="宋体" w:hAnsi="Times New Roman" w:cs="Times New Roman"/>
          <w:sz w:val="24"/>
        </w:rPr>
        <w:t>HJ 2.1</w:t>
      </w:r>
      <w:r>
        <w:rPr>
          <w:rFonts w:ascii="Times New Roman" w:eastAsia="宋体" w:hAnsi="Times New Roman" w:cs="Times New Roman"/>
          <w:sz w:val="24"/>
        </w:rPr>
        <w:t>的要求，根据工程分析识别大气环境影响因素，本项目大气污染物主要为颗粒物、</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等。</w:t>
      </w:r>
    </w:p>
    <w:p w14:paraId="46FF390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）评价工作等级</w:t>
      </w:r>
    </w:p>
    <w:p w14:paraId="483B7DB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评价工作等级按照《环境影响评价技术导则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）中表</w:t>
      </w:r>
      <w:r>
        <w:rPr>
          <w:rFonts w:ascii="Times New Roman" w:eastAsia="宋体" w:hAnsi="Times New Roman" w:cs="Times New Roman"/>
          <w:sz w:val="24"/>
        </w:rPr>
        <w:t>1</w:t>
      </w:r>
      <w:r>
        <w:rPr>
          <w:rFonts w:ascii="Times New Roman" w:eastAsia="宋体" w:hAnsi="Times New Roman" w:cs="Times New Roman"/>
          <w:sz w:val="24"/>
        </w:rPr>
        <w:t>的分级判据进行划分，具体划分要求见表</w:t>
      </w:r>
      <w:r>
        <w:rPr>
          <w:rFonts w:ascii="Times New Roman" w:eastAsia="宋体" w:hAnsi="Times New Roman" w:cs="Times New Roman"/>
          <w:sz w:val="24"/>
        </w:rPr>
        <w:t>2.4-1</w:t>
      </w:r>
      <w:r>
        <w:rPr>
          <w:rFonts w:ascii="Times New Roman" w:eastAsia="宋体" w:hAnsi="Times New Roman" w:cs="Times New Roman"/>
          <w:sz w:val="24"/>
        </w:rPr>
        <w:t>。</w:t>
      </w:r>
    </w:p>
    <w:p w14:paraId="2D52837D" w14:textId="77777777" w:rsidR="00D12939" w:rsidRDefault="004F47F5">
      <w:pPr>
        <w:pStyle w:val="a5"/>
        <w:ind w:firstLine="480"/>
        <w:rPr>
          <w:rFonts w:ascii="黑体" w:eastAsia="黑体" w:hAnsi="黑体"/>
          <w:sz w:val="24"/>
          <w:szCs w:val="21"/>
        </w:rPr>
      </w:pPr>
      <w:r>
        <w:rPr>
          <w:rFonts w:ascii="黑体" w:eastAsia="黑体" w:hAnsi="黑体"/>
          <w:sz w:val="24"/>
          <w:szCs w:val="21"/>
        </w:rPr>
        <w:t>表2.4-1    评价工作等级判据表</w:t>
      </w:r>
    </w:p>
    <w:tbl>
      <w:tblPr>
        <w:tblW w:w="93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923"/>
        <w:gridCol w:w="6427"/>
      </w:tblGrid>
      <w:tr w:rsidR="00D12939" w14:paraId="20F57196" w14:textId="77777777">
        <w:trPr>
          <w:trHeight w:val="328"/>
          <w:jc w:val="center"/>
        </w:trPr>
        <w:tc>
          <w:tcPr>
            <w:tcW w:w="2923" w:type="dxa"/>
            <w:tcBorders>
              <w:top w:val="single" w:sz="12" w:space="0" w:color="auto"/>
              <w:bottom w:val="single" w:sz="6" w:space="0" w:color="auto"/>
            </w:tcBorders>
            <w:shd w:val="clear" w:color="auto" w:fill="auto"/>
            <w:vAlign w:val="center"/>
          </w:tcPr>
          <w:p w14:paraId="518B1A1E" w14:textId="77777777" w:rsidR="00D12939" w:rsidRDefault="004F47F5">
            <w:pPr>
              <w:snapToGrid w:val="0"/>
              <w:spacing w:line="240" w:lineRule="exact"/>
              <w:jc w:val="center"/>
              <w:rPr>
                <w:rFonts w:ascii="Times New Roman" w:eastAsia="宋体" w:hAnsi="Times New Roman" w:cs="Times New Roman"/>
                <w:szCs w:val="21"/>
              </w:rPr>
            </w:pPr>
            <w:r>
              <w:rPr>
                <w:rFonts w:ascii="Times New Roman" w:eastAsia="宋体" w:hAnsi="Times New Roman" w:cs="Times New Roman"/>
                <w:szCs w:val="21"/>
              </w:rPr>
              <w:t>评价工作等级</w:t>
            </w:r>
          </w:p>
        </w:tc>
        <w:tc>
          <w:tcPr>
            <w:tcW w:w="6427" w:type="dxa"/>
            <w:tcBorders>
              <w:top w:val="single" w:sz="12" w:space="0" w:color="auto"/>
              <w:bottom w:val="single" w:sz="6" w:space="0" w:color="auto"/>
            </w:tcBorders>
            <w:shd w:val="clear" w:color="auto" w:fill="auto"/>
            <w:vAlign w:val="center"/>
          </w:tcPr>
          <w:p w14:paraId="6075C438" w14:textId="77777777" w:rsidR="00D12939" w:rsidRDefault="004F47F5">
            <w:pPr>
              <w:snapToGrid w:val="0"/>
              <w:spacing w:line="240" w:lineRule="exact"/>
              <w:jc w:val="center"/>
              <w:rPr>
                <w:rFonts w:ascii="Times New Roman" w:eastAsia="宋体" w:hAnsi="Times New Roman" w:cs="Times New Roman"/>
                <w:szCs w:val="21"/>
              </w:rPr>
            </w:pPr>
            <w:r>
              <w:rPr>
                <w:rFonts w:ascii="Times New Roman" w:eastAsia="宋体" w:hAnsi="Times New Roman" w:cs="Times New Roman"/>
                <w:szCs w:val="21"/>
              </w:rPr>
              <w:t>评价工作分级判据</w:t>
            </w:r>
          </w:p>
        </w:tc>
      </w:tr>
      <w:tr w:rsidR="00D12939" w14:paraId="7287ACE5" w14:textId="77777777">
        <w:trPr>
          <w:trHeight w:val="361"/>
          <w:jc w:val="center"/>
        </w:trPr>
        <w:tc>
          <w:tcPr>
            <w:tcW w:w="2923" w:type="dxa"/>
            <w:tcBorders>
              <w:top w:val="single" w:sz="6" w:space="0" w:color="auto"/>
            </w:tcBorders>
            <w:shd w:val="clear" w:color="auto" w:fill="auto"/>
            <w:vAlign w:val="center"/>
          </w:tcPr>
          <w:p w14:paraId="031347C9" w14:textId="77777777" w:rsidR="00D12939" w:rsidRDefault="004F47F5">
            <w:pPr>
              <w:snapToGrid w:val="0"/>
              <w:spacing w:line="240" w:lineRule="exact"/>
              <w:jc w:val="center"/>
              <w:rPr>
                <w:rFonts w:ascii="Times New Roman" w:eastAsia="宋体" w:hAnsi="Times New Roman" w:cs="Times New Roman"/>
                <w:szCs w:val="21"/>
              </w:rPr>
            </w:pPr>
            <w:r>
              <w:rPr>
                <w:rFonts w:ascii="Times New Roman" w:eastAsia="宋体" w:hAnsi="Times New Roman" w:cs="Times New Roman"/>
                <w:szCs w:val="21"/>
              </w:rPr>
              <w:t>一级评价</w:t>
            </w:r>
          </w:p>
        </w:tc>
        <w:tc>
          <w:tcPr>
            <w:tcW w:w="6427" w:type="dxa"/>
            <w:tcBorders>
              <w:top w:val="single" w:sz="6" w:space="0" w:color="auto"/>
            </w:tcBorders>
            <w:shd w:val="clear" w:color="auto" w:fill="auto"/>
            <w:vAlign w:val="center"/>
          </w:tcPr>
          <w:p w14:paraId="15B597A7" w14:textId="77777777" w:rsidR="00D12939" w:rsidRDefault="004F47F5">
            <w:pPr>
              <w:snapToGrid w:val="0"/>
              <w:spacing w:line="240" w:lineRule="exact"/>
              <w:jc w:val="center"/>
              <w:rPr>
                <w:rFonts w:ascii="Times New Roman" w:eastAsia="宋体" w:hAnsi="Times New Roman" w:cs="Times New Roman"/>
                <w:szCs w:val="21"/>
              </w:rPr>
            </w:pPr>
            <w:r>
              <w:rPr>
                <w:rFonts w:ascii="Times New Roman" w:eastAsia="宋体" w:hAnsi="Times New Roman" w:cs="Times New Roman"/>
                <w:szCs w:val="21"/>
              </w:rPr>
              <w:t>Pmax≥10%</w:t>
            </w:r>
          </w:p>
        </w:tc>
      </w:tr>
      <w:tr w:rsidR="00D12939" w14:paraId="7CCD19C5" w14:textId="77777777">
        <w:trPr>
          <w:trHeight w:val="345"/>
          <w:jc w:val="center"/>
        </w:trPr>
        <w:tc>
          <w:tcPr>
            <w:tcW w:w="2923" w:type="dxa"/>
            <w:shd w:val="clear" w:color="auto" w:fill="auto"/>
            <w:vAlign w:val="center"/>
          </w:tcPr>
          <w:p w14:paraId="5A00CC1E" w14:textId="77777777" w:rsidR="00D12939" w:rsidRDefault="004F47F5">
            <w:pPr>
              <w:snapToGrid w:val="0"/>
              <w:spacing w:line="240" w:lineRule="exact"/>
              <w:jc w:val="center"/>
              <w:rPr>
                <w:rFonts w:ascii="Times New Roman" w:eastAsia="宋体" w:hAnsi="Times New Roman" w:cs="Times New Roman"/>
                <w:szCs w:val="21"/>
              </w:rPr>
            </w:pPr>
            <w:r>
              <w:rPr>
                <w:rFonts w:ascii="Times New Roman" w:eastAsia="宋体" w:hAnsi="Times New Roman" w:cs="Times New Roman"/>
                <w:szCs w:val="21"/>
              </w:rPr>
              <w:t>二级评价</w:t>
            </w:r>
          </w:p>
        </w:tc>
        <w:tc>
          <w:tcPr>
            <w:tcW w:w="6427" w:type="dxa"/>
            <w:shd w:val="clear" w:color="auto" w:fill="auto"/>
            <w:vAlign w:val="center"/>
          </w:tcPr>
          <w:p w14:paraId="6BA38FB6" w14:textId="77777777" w:rsidR="00D12939" w:rsidRDefault="004F47F5">
            <w:pPr>
              <w:snapToGrid w:val="0"/>
              <w:spacing w:line="240" w:lineRule="exact"/>
              <w:jc w:val="center"/>
              <w:rPr>
                <w:rFonts w:ascii="Times New Roman" w:eastAsia="宋体" w:hAnsi="Times New Roman" w:cs="Times New Roman"/>
                <w:szCs w:val="21"/>
              </w:rPr>
            </w:pPr>
            <w:r>
              <w:rPr>
                <w:rFonts w:ascii="Times New Roman" w:eastAsia="宋体" w:hAnsi="Times New Roman" w:cs="Times New Roman"/>
                <w:szCs w:val="21"/>
              </w:rPr>
              <w:t>1%≤Pmax</w:t>
            </w:r>
            <w:r>
              <w:rPr>
                <w:rFonts w:ascii="Times New Roman" w:eastAsia="宋体" w:hAnsi="Times New Roman" w:cs="Times New Roman"/>
                <w:szCs w:val="21"/>
              </w:rPr>
              <w:t>＜</w:t>
            </w:r>
            <w:r>
              <w:rPr>
                <w:rFonts w:ascii="Times New Roman" w:eastAsia="宋体" w:hAnsi="Times New Roman" w:cs="Times New Roman"/>
                <w:szCs w:val="21"/>
              </w:rPr>
              <w:t>10%</w:t>
            </w:r>
          </w:p>
        </w:tc>
      </w:tr>
      <w:tr w:rsidR="00D12939" w14:paraId="219D387E" w14:textId="77777777">
        <w:trPr>
          <w:trHeight w:val="328"/>
          <w:jc w:val="center"/>
        </w:trPr>
        <w:tc>
          <w:tcPr>
            <w:tcW w:w="2923" w:type="dxa"/>
            <w:shd w:val="clear" w:color="auto" w:fill="auto"/>
            <w:vAlign w:val="center"/>
          </w:tcPr>
          <w:p w14:paraId="6362A70E" w14:textId="77777777" w:rsidR="00D12939" w:rsidRDefault="004F47F5">
            <w:pPr>
              <w:snapToGrid w:val="0"/>
              <w:spacing w:line="240" w:lineRule="exact"/>
              <w:jc w:val="center"/>
              <w:rPr>
                <w:rFonts w:ascii="Times New Roman" w:eastAsia="宋体" w:hAnsi="Times New Roman" w:cs="Times New Roman"/>
                <w:szCs w:val="21"/>
              </w:rPr>
            </w:pPr>
            <w:r>
              <w:rPr>
                <w:rFonts w:ascii="Times New Roman" w:eastAsia="宋体" w:hAnsi="Times New Roman" w:cs="Times New Roman"/>
                <w:szCs w:val="21"/>
              </w:rPr>
              <w:t>三级评价</w:t>
            </w:r>
          </w:p>
        </w:tc>
        <w:tc>
          <w:tcPr>
            <w:tcW w:w="6427" w:type="dxa"/>
            <w:shd w:val="clear" w:color="auto" w:fill="auto"/>
            <w:vAlign w:val="center"/>
          </w:tcPr>
          <w:p w14:paraId="5AAFB41A" w14:textId="77777777" w:rsidR="00D12939" w:rsidRDefault="004F47F5">
            <w:pPr>
              <w:snapToGrid w:val="0"/>
              <w:spacing w:line="240" w:lineRule="exact"/>
              <w:jc w:val="center"/>
              <w:rPr>
                <w:rFonts w:ascii="Times New Roman" w:eastAsia="宋体" w:hAnsi="Times New Roman" w:cs="Times New Roman"/>
                <w:szCs w:val="21"/>
              </w:rPr>
            </w:pPr>
            <w:r>
              <w:rPr>
                <w:rFonts w:ascii="Times New Roman" w:eastAsia="宋体" w:hAnsi="Times New Roman" w:cs="Times New Roman"/>
                <w:szCs w:val="21"/>
              </w:rPr>
              <w:t>Pmax</w:t>
            </w:r>
            <w:r>
              <w:rPr>
                <w:rFonts w:ascii="Times New Roman" w:eastAsia="宋体" w:hAnsi="Times New Roman" w:cs="Times New Roman"/>
                <w:szCs w:val="21"/>
              </w:rPr>
              <w:t>＜</w:t>
            </w:r>
            <w:r>
              <w:rPr>
                <w:rFonts w:ascii="Times New Roman" w:eastAsia="宋体" w:hAnsi="Times New Roman" w:cs="Times New Roman"/>
                <w:szCs w:val="21"/>
              </w:rPr>
              <w:t>1%</w:t>
            </w:r>
          </w:p>
        </w:tc>
      </w:tr>
    </w:tbl>
    <w:p w14:paraId="278CF498"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根据导则规定，选取推荐模式中</w:t>
      </w:r>
      <w:r>
        <w:rPr>
          <w:rFonts w:ascii="Times New Roman" w:eastAsia="宋体" w:hAnsi="Times New Roman" w:cs="Times New Roman"/>
          <w:sz w:val="24"/>
        </w:rPr>
        <w:t>AERSCREEN</w:t>
      </w:r>
      <w:r>
        <w:rPr>
          <w:rFonts w:ascii="Times New Roman" w:eastAsia="宋体" w:hAnsi="Times New Roman" w:cs="Times New Roman"/>
          <w:sz w:val="24"/>
        </w:rPr>
        <w:t>模型对项目的大气环境评价工作进行分级。</w:t>
      </w:r>
    </w:p>
    <w:p w14:paraId="6590353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按照污染源情况，分别计算各主要污染物最大地面浓度占标率</w:t>
      </w:r>
      <w:r>
        <w:rPr>
          <w:rFonts w:ascii="Times New Roman" w:eastAsia="宋体" w:hAnsi="Times New Roman" w:cs="Times New Roman"/>
          <w:sz w:val="24"/>
        </w:rPr>
        <w:t>Pi</w:t>
      </w:r>
      <w:r>
        <w:rPr>
          <w:rFonts w:ascii="Times New Roman" w:eastAsia="宋体" w:hAnsi="Times New Roman" w:cs="Times New Roman"/>
          <w:sz w:val="24"/>
        </w:rPr>
        <w:t>及其地面浓度达标准限值</w:t>
      </w:r>
      <w:r>
        <w:rPr>
          <w:rFonts w:ascii="Times New Roman" w:eastAsia="宋体" w:hAnsi="Times New Roman" w:cs="Times New Roman"/>
          <w:sz w:val="24"/>
        </w:rPr>
        <w:t>10%</w:t>
      </w:r>
      <w:r>
        <w:rPr>
          <w:rFonts w:ascii="Times New Roman" w:eastAsia="宋体" w:hAnsi="Times New Roman" w:cs="Times New Roman"/>
          <w:sz w:val="24"/>
        </w:rPr>
        <w:t>时所对应的最远距离</w:t>
      </w:r>
      <w:r>
        <w:rPr>
          <w:rFonts w:ascii="Times New Roman" w:eastAsia="宋体" w:hAnsi="Times New Roman" w:cs="Times New Roman"/>
          <w:sz w:val="24"/>
        </w:rPr>
        <w:t>D10%</w:t>
      </w:r>
      <w:r>
        <w:rPr>
          <w:rFonts w:ascii="Times New Roman" w:eastAsia="宋体" w:hAnsi="Times New Roman" w:cs="Times New Roman"/>
          <w:sz w:val="24"/>
        </w:rPr>
        <w:t>。</w:t>
      </w:r>
    </w:p>
    <w:p w14:paraId="68579D68" w14:textId="77777777" w:rsidR="00D12939" w:rsidRDefault="004F47F5">
      <w:pPr>
        <w:spacing w:line="360" w:lineRule="auto"/>
        <w:ind w:firstLineChars="1450" w:firstLine="3480"/>
        <w:rPr>
          <w:rFonts w:ascii="Times New Roman" w:hAnsi="Times New Roman"/>
          <w:sz w:val="24"/>
        </w:rPr>
      </w:pPr>
      <w:r>
        <w:rPr>
          <w:rFonts w:ascii="Times New Roman" w:hAnsi="Times New Roman"/>
          <w:sz w:val="24"/>
        </w:rPr>
        <w:t>P</w:t>
      </w:r>
      <w:r>
        <w:rPr>
          <w:rFonts w:ascii="Times New Roman" w:hAnsi="Times New Roman"/>
          <w:sz w:val="24"/>
          <w:vertAlign w:val="subscript"/>
        </w:rPr>
        <w:t>i</w:t>
      </w:r>
      <w:r>
        <w:rPr>
          <w:rFonts w:ascii="Times New Roman" w:hAnsi="Times New Roman"/>
          <w:sz w:val="24"/>
        </w:rPr>
        <w:t>=C</w:t>
      </w:r>
      <w:r>
        <w:rPr>
          <w:rFonts w:ascii="Times New Roman" w:hAnsi="Times New Roman"/>
          <w:sz w:val="24"/>
          <w:vertAlign w:val="subscript"/>
        </w:rPr>
        <w:t>i</w:t>
      </w:r>
      <w:r>
        <w:rPr>
          <w:rFonts w:ascii="Times New Roman" w:hAnsi="Times New Roman"/>
          <w:sz w:val="24"/>
        </w:rPr>
        <w:t>/C</w:t>
      </w:r>
      <w:r>
        <w:rPr>
          <w:rFonts w:ascii="Times New Roman" w:hAnsi="Times New Roman"/>
          <w:sz w:val="24"/>
          <w:vertAlign w:val="subscript"/>
        </w:rPr>
        <w:t>0i</w:t>
      </w:r>
      <w:r>
        <w:rPr>
          <w:rFonts w:ascii="Times New Roman" w:hAnsi="Times New Roman"/>
          <w:sz w:val="24"/>
        </w:rPr>
        <w:t>×100%</w:t>
      </w:r>
    </w:p>
    <w:p w14:paraId="043E91B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其中：</w:t>
      </w:r>
      <w:r>
        <w:rPr>
          <w:rFonts w:ascii="Times New Roman" w:eastAsia="宋体" w:hAnsi="Times New Roman" w:cs="Times New Roman"/>
          <w:sz w:val="24"/>
        </w:rPr>
        <w:t>P</w:t>
      </w:r>
      <w:r>
        <w:rPr>
          <w:rFonts w:ascii="Times New Roman" w:eastAsia="宋体" w:hAnsi="Times New Roman" w:cs="Times New Roman"/>
          <w:sz w:val="24"/>
          <w:vertAlign w:val="subscript"/>
        </w:rPr>
        <w:t>i</w:t>
      </w:r>
      <w:r>
        <w:rPr>
          <w:rFonts w:ascii="Times New Roman" w:eastAsia="宋体" w:hAnsi="Times New Roman" w:cs="Times New Roman"/>
          <w:sz w:val="24"/>
        </w:rPr>
        <w:t>—</w:t>
      </w:r>
      <w:r>
        <w:rPr>
          <w:rFonts w:ascii="Times New Roman" w:eastAsia="宋体" w:hAnsi="Times New Roman" w:cs="Times New Roman"/>
          <w:sz w:val="24"/>
        </w:rPr>
        <w:t>第</w:t>
      </w:r>
      <w:r>
        <w:rPr>
          <w:rFonts w:ascii="Times New Roman" w:eastAsia="宋体" w:hAnsi="Times New Roman" w:cs="Times New Roman"/>
          <w:sz w:val="24"/>
        </w:rPr>
        <w:t>i</w:t>
      </w:r>
      <w:r>
        <w:rPr>
          <w:rFonts w:ascii="Times New Roman" w:eastAsia="宋体" w:hAnsi="Times New Roman" w:cs="Times New Roman"/>
          <w:sz w:val="24"/>
        </w:rPr>
        <w:t>个污染物的最大地面浓度占标率，</w:t>
      </w:r>
      <w:r>
        <w:rPr>
          <w:rFonts w:ascii="Times New Roman" w:eastAsia="宋体" w:hAnsi="Times New Roman" w:cs="Times New Roman"/>
          <w:sz w:val="24"/>
        </w:rPr>
        <w:t>%</w:t>
      </w:r>
      <w:r>
        <w:rPr>
          <w:rFonts w:ascii="Times New Roman" w:eastAsia="宋体" w:hAnsi="Times New Roman" w:cs="Times New Roman"/>
          <w:sz w:val="24"/>
        </w:rPr>
        <w:t>；</w:t>
      </w:r>
    </w:p>
    <w:p w14:paraId="6F69321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C</w:t>
      </w:r>
      <w:r>
        <w:rPr>
          <w:rFonts w:ascii="Times New Roman" w:eastAsia="宋体" w:hAnsi="Times New Roman" w:cs="Times New Roman"/>
          <w:sz w:val="24"/>
          <w:vertAlign w:val="subscript"/>
        </w:rPr>
        <w:t>i</w:t>
      </w:r>
      <w:r>
        <w:rPr>
          <w:rFonts w:ascii="Times New Roman" w:eastAsia="宋体" w:hAnsi="Times New Roman" w:cs="Times New Roman"/>
          <w:sz w:val="24"/>
        </w:rPr>
        <w:t>—</w:t>
      </w:r>
      <w:r>
        <w:rPr>
          <w:rFonts w:ascii="Times New Roman" w:eastAsia="宋体" w:hAnsi="Times New Roman" w:cs="Times New Roman"/>
          <w:sz w:val="24"/>
        </w:rPr>
        <w:t>采用估算模式（</w:t>
      </w:r>
      <w:r>
        <w:rPr>
          <w:rFonts w:ascii="Times New Roman" w:eastAsia="宋体" w:hAnsi="Times New Roman" w:cs="Times New Roman"/>
          <w:sz w:val="24"/>
        </w:rPr>
        <w:t>AERSCREEN</w:t>
      </w:r>
      <w:r>
        <w:rPr>
          <w:rFonts w:ascii="Times New Roman" w:eastAsia="宋体" w:hAnsi="Times New Roman" w:cs="Times New Roman"/>
          <w:sz w:val="24"/>
        </w:rPr>
        <w:t>模型）计算出的第</w:t>
      </w:r>
      <w:r>
        <w:rPr>
          <w:rFonts w:ascii="Times New Roman" w:eastAsia="宋体" w:hAnsi="Times New Roman" w:cs="Times New Roman"/>
          <w:sz w:val="24"/>
        </w:rPr>
        <w:t>i</w:t>
      </w:r>
      <w:r>
        <w:rPr>
          <w:rFonts w:ascii="Times New Roman" w:eastAsia="宋体" w:hAnsi="Times New Roman" w:cs="Times New Roman"/>
          <w:sz w:val="24"/>
        </w:rPr>
        <w:t>个污染物的最大地面浓度，</w:t>
      </w:r>
      <w:r>
        <w:rPr>
          <w:rFonts w:ascii="Times New Roman" w:eastAsia="宋体" w:hAnsi="Times New Roman" w:cs="Times New Roman"/>
          <w:sz w:val="24"/>
        </w:rPr>
        <w:t>μg/m3</w:t>
      </w:r>
      <w:r>
        <w:rPr>
          <w:rFonts w:ascii="Times New Roman" w:eastAsia="宋体" w:hAnsi="Times New Roman" w:cs="Times New Roman"/>
          <w:sz w:val="24"/>
        </w:rPr>
        <w:t>；</w:t>
      </w:r>
    </w:p>
    <w:p w14:paraId="31B43616" w14:textId="77777777" w:rsidR="00D12939" w:rsidRDefault="004F47F5">
      <w:pPr>
        <w:spacing w:line="360" w:lineRule="auto"/>
        <w:ind w:firstLineChars="200" w:firstLine="480"/>
        <w:rPr>
          <w:rFonts w:ascii="Times New Roman" w:hAnsi="Times New Roman"/>
          <w:sz w:val="24"/>
        </w:rPr>
      </w:pPr>
      <w:r>
        <w:rPr>
          <w:rFonts w:ascii="Times New Roman" w:eastAsia="宋体" w:hAnsi="Times New Roman" w:cs="Times New Roman"/>
          <w:sz w:val="24"/>
        </w:rPr>
        <w:t>C</w:t>
      </w:r>
      <w:r>
        <w:rPr>
          <w:rFonts w:ascii="Times New Roman" w:eastAsia="宋体" w:hAnsi="Times New Roman" w:cs="Times New Roman"/>
          <w:sz w:val="24"/>
          <w:vertAlign w:val="subscript"/>
        </w:rPr>
        <w:t>0i</w:t>
      </w:r>
      <w:r>
        <w:rPr>
          <w:rFonts w:ascii="Times New Roman" w:eastAsia="宋体" w:hAnsi="Times New Roman" w:cs="Times New Roman"/>
          <w:sz w:val="24"/>
        </w:rPr>
        <w:t>—</w:t>
      </w:r>
      <w:r>
        <w:rPr>
          <w:rFonts w:ascii="Times New Roman" w:eastAsia="宋体" w:hAnsi="Times New Roman" w:cs="Times New Roman"/>
          <w:sz w:val="24"/>
        </w:rPr>
        <w:t>第</w:t>
      </w:r>
      <w:r>
        <w:rPr>
          <w:rFonts w:ascii="Times New Roman" w:eastAsia="宋体" w:hAnsi="Times New Roman" w:cs="Times New Roman"/>
          <w:sz w:val="24"/>
        </w:rPr>
        <w:t>i</w:t>
      </w:r>
      <w:r>
        <w:rPr>
          <w:rFonts w:ascii="Times New Roman" w:eastAsia="宋体" w:hAnsi="Times New Roman" w:cs="Times New Roman"/>
          <w:sz w:val="24"/>
        </w:rPr>
        <w:t>个污染物的环境空气质量标准值，</w:t>
      </w:r>
      <w:r>
        <w:rPr>
          <w:rFonts w:ascii="Times New Roman" w:eastAsia="宋体" w:hAnsi="Times New Roman" w:cs="Times New Roman"/>
          <w:sz w:val="24"/>
        </w:rPr>
        <w:t>μg/m3</w:t>
      </w:r>
      <w:r>
        <w:rPr>
          <w:rFonts w:ascii="Times New Roman" w:eastAsia="宋体" w:hAnsi="Times New Roman" w:cs="Times New Roman"/>
          <w:sz w:val="24"/>
        </w:rPr>
        <w:t>。</w:t>
      </w:r>
      <w:r>
        <w:rPr>
          <w:rFonts w:ascii="Times New Roman" w:eastAsia="宋体" w:hAnsi="Times New Roman" w:cs="Times New Roman"/>
          <w:sz w:val="24"/>
        </w:rPr>
        <w:t>C</w:t>
      </w:r>
      <w:r>
        <w:rPr>
          <w:rFonts w:ascii="Times New Roman" w:eastAsia="宋体" w:hAnsi="Times New Roman" w:cs="Times New Roman"/>
          <w:sz w:val="24"/>
          <w:vertAlign w:val="subscript"/>
        </w:rPr>
        <w:t>0i</w:t>
      </w:r>
      <w:r>
        <w:rPr>
          <w:rFonts w:ascii="Times New Roman" w:eastAsia="宋体" w:hAnsi="Times New Roman" w:cs="Times New Roman"/>
          <w:sz w:val="24"/>
        </w:rPr>
        <w:t>一般选取</w:t>
      </w:r>
      <w:r>
        <w:rPr>
          <w:rFonts w:ascii="Times New Roman" w:eastAsia="宋体" w:hAnsi="Times New Roman" w:cs="Times New Roman"/>
          <w:sz w:val="24"/>
        </w:rPr>
        <w:t>GB3095</w:t>
      </w:r>
      <w:r>
        <w:rPr>
          <w:rFonts w:ascii="Times New Roman" w:eastAsia="宋体" w:hAnsi="Times New Roman" w:cs="Times New Roman"/>
          <w:sz w:val="24"/>
        </w:rPr>
        <w:t>中</w:t>
      </w:r>
      <w:r>
        <w:rPr>
          <w:rFonts w:ascii="Times New Roman" w:eastAsia="宋体" w:hAnsi="Times New Roman" w:cs="Times New Roman"/>
          <w:sz w:val="24"/>
        </w:rPr>
        <w:t>1</w:t>
      </w:r>
      <w:r>
        <w:rPr>
          <w:rFonts w:ascii="Times New Roman" w:eastAsia="宋体" w:hAnsi="Times New Roman" w:cs="Times New Roman"/>
          <w:sz w:val="24"/>
        </w:rPr>
        <w:t>小时二级浓度限值。本项目大气污染物标准值选取《环境空气质量标准》（</w:t>
      </w:r>
      <w:r>
        <w:rPr>
          <w:rFonts w:ascii="Times New Roman" w:eastAsia="宋体" w:hAnsi="Times New Roman" w:cs="Times New Roman"/>
          <w:sz w:val="24"/>
        </w:rPr>
        <w:t>GB3095-1996</w:t>
      </w:r>
      <w:r>
        <w:rPr>
          <w:rFonts w:ascii="Times New Roman" w:eastAsia="宋体" w:hAnsi="Times New Roman" w:cs="Times New Roman"/>
          <w:sz w:val="24"/>
        </w:rPr>
        <w:t>）中</w:t>
      </w:r>
      <w:r>
        <w:rPr>
          <w:rFonts w:ascii="Times New Roman" w:eastAsia="宋体" w:hAnsi="Times New Roman" w:cs="Times New Roman"/>
          <w:sz w:val="24"/>
        </w:rPr>
        <w:t>1</w:t>
      </w:r>
      <w:r>
        <w:rPr>
          <w:rFonts w:ascii="Times New Roman" w:eastAsia="宋体" w:hAnsi="Times New Roman" w:cs="Times New Roman"/>
          <w:sz w:val="24"/>
        </w:rPr>
        <w:t>小时二级浓度限值和《环境影响评价技术导则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）附录</w:t>
      </w:r>
      <w:r>
        <w:rPr>
          <w:rFonts w:ascii="Times New Roman" w:eastAsia="宋体" w:hAnsi="Times New Roman" w:cs="Times New Roman"/>
          <w:sz w:val="24"/>
        </w:rPr>
        <w:t>D</w:t>
      </w:r>
      <w:r>
        <w:rPr>
          <w:rFonts w:ascii="Times New Roman" w:eastAsia="宋体" w:hAnsi="Times New Roman" w:cs="Times New Roman"/>
          <w:sz w:val="24"/>
        </w:rPr>
        <w:t>等标准限值。</w:t>
      </w:r>
    </w:p>
    <w:p w14:paraId="698BC2A1"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）估算模式参数选取</w:t>
      </w:r>
    </w:p>
    <w:p w14:paraId="31B6961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本项目估算模式参数选取见表</w:t>
      </w:r>
      <w:r>
        <w:rPr>
          <w:rFonts w:ascii="Times New Roman" w:eastAsia="宋体" w:hAnsi="Times New Roman" w:cs="Times New Roman"/>
          <w:sz w:val="24"/>
        </w:rPr>
        <w:t>2.4-2</w:t>
      </w:r>
      <w:r>
        <w:rPr>
          <w:rFonts w:ascii="Times New Roman" w:eastAsia="宋体" w:hAnsi="Times New Roman" w:cs="Times New Roman"/>
          <w:sz w:val="24"/>
        </w:rPr>
        <w:t>。</w:t>
      </w:r>
    </w:p>
    <w:p w14:paraId="44A9F1DD" w14:textId="77777777" w:rsidR="00D12939" w:rsidRDefault="004F47F5">
      <w:pPr>
        <w:pStyle w:val="a5"/>
        <w:ind w:firstLine="480"/>
        <w:rPr>
          <w:rFonts w:ascii="黑体" w:eastAsia="黑体" w:hAnsi="黑体"/>
          <w:sz w:val="24"/>
          <w:szCs w:val="21"/>
        </w:rPr>
      </w:pPr>
      <w:r>
        <w:rPr>
          <w:rFonts w:ascii="黑体" w:eastAsia="黑体" w:hAnsi="黑体"/>
          <w:sz w:val="24"/>
          <w:szCs w:val="21"/>
        </w:rPr>
        <w:t>表2.4-2    估算模式所需参数选取表</w:t>
      </w:r>
    </w:p>
    <w:tbl>
      <w:tblPr>
        <w:tblW w:w="499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27"/>
        <w:gridCol w:w="4073"/>
        <w:gridCol w:w="3414"/>
      </w:tblGrid>
      <w:tr w:rsidR="00D12939" w14:paraId="51F335B9" w14:textId="77777777">
        <w:trPr>
          <w:trHeight w:val="296"/>
          <w:jc w:val="center"/>
        </w:trPr>
        <w:tc>
          <w:tcPr>
            <w:tcW w:w="1146" w:type="pct"/>
            <w:vAlign w:val="center"/>
          </w:tcPr>
          <w:p w14:paraId="46B07384"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2095" w:type="pct"/>
            <w:vAlign w:val="center"/>
          </w:tcPr>
          <w:p w14:paraId="7A4C6CAF"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参数</w:t>
            </w:r>
          </w:p>
        </w:tc>
        <w:tc>
          <w:tcPr>
            <w:tcW w:w="1757" w:type="pct"/>
            <w:vAlign w:val="center"/>
          </w:tcPr>
          <w:p w14:paraId="60F27EB1"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取值</w:t>
            </w:r>
          </w:p>
        </w:tc>
      </w:tr>
      <w:tr w:rsidR="00D12939" w14:paraId="7560CAC8" w14:textId="77777777">
        <w:trPr>
          <w:trHeight w:val="296"/>
          <w:jc w:val="center"/>
        </w:trPr>
        <w:tc>
          <w:tcPr>
            <w:tcW w:w="1146" w:type="pct"/>
            <w:vMerge w:val="restart"/>
            <w:vAlign w:val="center"/>
          </w:tcPr>
          <w:p w14:paraId="7A60E9D9"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城市</w:t>
            </w:r>
            <w:r>
              <w:rPr>
                <w:rFonts w:ascii="Times New Roman" w:eastAsia="宋体" w:hAnsi="Times New Roman" w:cs="Times New Roman"/>
                <w:szCs w:val="21"/>
              </w:rPr>
              <w:t>/</w:t>
            </w:r>
            <w:r>
              <w:rPr>
                <w:rFonts w:ascii="Times New Roman" w:eastAsia="宋体" w:hAnsi="Times New Roman" w:cs="Times New Roman"/>
                <w:szCs w:val="21"/>
              </w:rPr>
              <w:t>农村选项</w:t>
            </w:r>
          </w:p>
        </w:tc>
        <w:tc>
          <w:tcPr>
            <w:tcW w:w="2095" w:type="pct"/>
            <w:vAlign w:val="center"/>
          </w:tcPr>
          <w:p w14:paraId="72F81C65"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城市</w:t>
            </w:r>
            <w:r>
              <w:rPr>
                <w:rFonts w:ascii="Times New Roman" w:eastAsia="宋体" w:hAnsi="Times New Roman" w:cs="Times New Roman"/>
                <w:szCs w:val="21"/>
              </w:rPr>
              <w:t>/</w:t>
            </w:r>
            <w:r>
              <w:rPr>
                <w:rFonts w:ascii="Times New Roman" w:eastAsia="宋体" w:hAnsi="Times New Roman" w:cs="Times New Roman"/>
                <w:szCs w:val="21"/>
              </w:rPr>
              <w:t>农村</w:t>
            </w:r>
          </w:p>
        </w:tc>
        <w:tc>
          <w:tcPr>
            <w:tcW w:w="1757" w:type="pct"/>
            <w:vAlign w:val="center"/>
          </w:tcPr>
          <w:p w14:paraId="3366448E"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农村</w:t>
            </w:r>
          </w:p>
        </w:tc>
      </w:tr>
      <w:tr w:rsidR="00D12939" w14:paraId="5929F14A" w14:textId="77777777">
        <w:trPr>
          <w:trHeight w:val="296"/>
          <w:jc w:val="center"/>
        </w:trPr>
        <w:tc>
          <w:tcPr>
            <w:tcW w:w="1146" w:type="pct"/>
            <w:vMerge/>
            <w:vAlign w:val="center"/>
          </w:tcPr>
          <w:p w14:paraId="1D505AA3" w14:textId="77777777" w:rsidR="00D12939" w:rsidRDefault="00D12939">
            <w:pPr>
              <w:spacing w:line="240" w:lineRule="exact"/>
              <w:jc w:val="center"/>
              <w:rPr>
                <w:rFonts w:ascii="Times New Roman" w:eastAsia="宋体" w:hAnsi="Times New Roman" w:cs="Times New Roman"/>
                <w:szCs w:val="21"/>
              </w:rPr>
            </w:pPr>
          </w:p>
        </w:tc>
        <w:tc>
          <w:tcPr>
            <w:tcW w:w="2095" w:type="pct"/>
            <w:vAlign w:val="center"/>
          </w:tcPr>
          <w:p w14:paraId="2EB1DBFC"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人口数（城市选项时）</w:t>
            </w:r>
          </w:p>
        </w:tc>
        <w:tc>
          <w:tcPr>
            <w:tcW w:w="1757" w:type="pct"/>
            <w:vAlign w:val="center"/>
          </w:tcPr>
          <w:p w14:paraId="785111EF"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53D2D128" w14:textId="77777777">
        <w:trPr>
          <w:trHeight w:val="296"/>
          <w:jc w:val="center"/>
        </w:trPr>
        <w:tc>
          <w:tcPr>
            <w:tcW w:w="3242" w:type="pct"/>
            <w:gridSpan w:val="2"/>
            <w:vAlign w:val="center"/>
          </w:tcPr>
          <w:p w14:paraId="391A7A47"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最高环境温度</w:t>
            </w:r>
            <w:r>
              <w:rPr>
                <w:rFonts w:ascii="Times New Roman" w:eastAsia="宋体" w:hAnsi="Times New Roman" w:cs="Times New Roman"/>
                <w:szCs w:val="21"/>
              </w:rPr>
              <w:t>/℃</w:t>
            </w:r>
          </w:p>
        </w:tc>
        <w:tc>
          <w:tcPr>
            <w:tcW w:w="1757" w:type="pct"/>
            <w:vAlign w:val="center"/>
          </w:tcPr>
          <w:p w14:paraId="47D1B9D4"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40.7</w:t>
            </w:r>
          </w:p>
        </w:tc>
      </w:tr>
      <w:tr w:rsidR="00D12939" w14:paraId="19942F95" w14:textId="77777777">
        <w:trPr>
          <w:trHeight w:val="296"/>
          <w:jc w:val="center"/>
        </w:trPr>
        <w:tc>
          <w:tcPr>
            <w:tcW w:w="3242" w:type="pct"/>
            <w:gridSpan w:val="2"/>
            <w:vAlign w:val="center"/>
          </w:tcPr>
          <w:p w14:paraId="59AECEE3"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lastRenderedPageBreak/>
              <w:t>最低环境温度</w:t>
            </w:r>
            <w:r>
              <w:rPr>
                <w:rFonts w:ascii="Times New Roman" w:eastAsia="宋体" w:hAnsi="Times New Roman" w:cs="Times New Roman"/>
                <w:szCs w:val="21"/>
              </w:rPr>
              <w:t>/℃</w:t>
            </w:r>
          </w:p>
        </w:tc>
        <w:tc>
          <w:tcPr>
            <w:tcW w:w="1757" w:type="pct"/>
            <w:vAlign w:val="center"/>
          </w:tcPr>
          <w:p w14:paraId="2243AEC3"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-13.8</w:t>
            </w:r>
          </w:p>
        </w:tc>
      </w:tr>
      <w:tr w:rsidR="00D12939" w14:paraId="6D67A312" w14:textId="77777777">
        <w:trPr>
          <w:trHeight w:val="296"/>
          <w:jc w:val="center"/>
        </w:trPr>
        <w:tc>
          <w:tcPr>
            <w:tcW w:w="3242" w:type="pct"/>
            <w:gridSpan w:val="2"/>
            <w:vAlign w:val="center"/>
          </w:tcPr>
          <w:p w14:paraId="64F21834"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土地利用类型</w:t>
            </w:r>
          </w:p>
        </w:tc>
        <w:tc>
          <w:tcPr>
            <w:tcW w:w="1757" w:type="pct"/>
            <w:vAlign w:val="center"/>
          </w:tcPr>
          <w:p w14:paraId="3697821F"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农作地</w:t>
            </w:r>
          </w:p>
        </w:tc>
      </w:tr>
      <w:tr w:rsidR="00D12939" w14:paraId="009A0D80" w14:textId="77777777">
        <w:trPr>
          <w:trHeight w:val="296"/>
          <w:jc w:val="center"/>
        </w:trPr>
        <w:tc>
          <w:tcPr>
            <w:tcW w:w="3242" w:type="pct"/>
            <w:gridSpan w:val="2"/>
            <w:vAlign w:val="center"/>
          </w:tcPr>
          <w:p w14:paraId="3BE7D224"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区域湿度条件</w:t>
            </w:r>
          </w:p>
        </w:tc>
        <w:tc>
          <w:tcPr>
            <w:tcW w:w="1757" w:type="pct"/>
            <w:vAlign w:val="center"/>
          </w:tcPr>
          <w:p w14:paraId="4775786F"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中等湿度气候</w:t>
            </w:r>
          </w:p>
        </w:tc>
      </w:tr>
      <w:tr w:rsidR="00D12939" w14:paraId="5A4A074B" w14:textId="77777777">
        <w:trPr>
          <w:trHeight w:val="296"/>
          <w:jc w:val="center"/>
        </w:trPr>
        <w:tc>
          <w:tcPr>
            <w:tcW w:w="1146" w:type="pct"/>
            <w:vMerge w:val="restart"/>
            <w:vAlign w:val="center"/>
          </w:tcPr>
          <w:p w14:paraId="31048C71"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是否考虑地形</w:t>
            </w:r>
          </w:p>
        </w:tc>
        <w:tc>
          <w:tcPr>
            <w:tcW w:w="2095" w:type="pct"/>
            <w:vAlign w:val="center"/>
          </w:tcPr>
          <w:p w14:paraId="168C9396"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考虑地形</w:t>
            </w:r>
          </w:p>
        </w:tc>
        <w:tc>
          <w:tcPr>
            <w:tcW w:w="1757" w:type="pct"/>
            <w:vAlign w:val="center"/>
          </w:tcPr>
          <w:p w14:paraId="2A0699E1"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是</w:t>
            </w:r>
          </w:p>
        </w:tc>
      </w:tr>
      <w:tr w:rsidR="00D12939" w14:paraId="10B751EB" w14:textId="77777777">
        <w:trPr>
          <w:trHeight w:val="296"/>
          <w:jc w:val="center"/>
        </w:trPr>
        <w:tc>
          <w:tcPr>
            <w:tcW w:w="1146" w:type="pct"/>
            <w:vMerge/>
            <w:vAlign w:val="center"/>
          </w:tcPr>
          <w:p w14:paraId="6506B36E" w14:textId="77777777" w:rsidR="00D12939" w:rsidRDefault="00D12939">
            <w:pPr>
              <w:spacing w:line="240" w:lineRule="exact"/>
              <w:jc w:val="center"/>
              <w:rPr>
                <w:rFonts w:ascii="Times New Roman" w:eastAsia="宋体" w:hAnsi="Times New Roman" w:cs="Times New Roman"/>
                <w:szCs w:val="21"/>
              </w:rPr>
            </w:pPr>
          </w:p>
        </w:tc>
        <w:tc>
          <w:tcPr>
            <w:tcW w:w="2095" w:type="pct"/>
            <w:vAlign w:val="center"/>
          </w:tcPr>
          <w:p w14:paraId="4D1E69C3"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地形数据分辨率</w:t>
            </w:r>
            <w:r>
              <w:rPr>
                <w:rFonts w:ascii="Times New Roman" w:eastAsia="宋体" w:hAnsi="Times New Roman" w:cs="Times New Roman"/>
                <w:szCs w:val="21"/>
              </w:rPr>
              <w:t>/m</w:t>
            </w:r>
          </w:p>
        </w:tc>
        <w:tc>
          <w:tcPr>
            <w:tcW w:w="1757" w:type="pct"/>
            <w:vAlign w:val="center"/>
          </w:tcPr>
          <w:p w14:paraId="22CC3FC6"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90</w:t>
            </w:r>
          </w:p>
        </w:tc>
      </w:tr>
      <w:tr w:rsidR="00D12939" w14:paraId="1EB782FD" w14:textId="77777777">
        <w:trPr>
          <w:trHeight w:val="296"/>
          <w:jc w:val="center"/>
        </w:trPr>
        <w:tc>
          <w:tcPr>
            <w:tcW w:w="1146" w:type="pct"/>
            <w:vMerge w:val="restart"/>
            <w:vAlign w:val="center"/>
          </w:tcPr>
          <w:p w14:paraId="63CE66AE"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是否考虑岸线熏烟</w:t>
            </w:r>
          </w:p>
        </w:tc>
        <w:tc>
          <w:tcPr>
            <w:tcW w:w="2095" w:type="pct"/>
            <w:vAlign w:val="center"/>
          </w:tcPr>
          <w:p w14:paraId="004617E7"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考虑岸线熏烟</w:t>
            </w:r>
          </w:p>
        </w:tc>
        <w:tc>
          <w:tcPr>
            <w:tcW w:w="1757" w:type="pct"/>
            <w:vAlign w:val="center"/>
          </w:tcPr>
          <w:p w14:paraId="1C0FA19B"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否</w:t>
            </w:r>
          </w:p>
        </w:tc>
      </w:tr>
      <w:tr w:rsidR="00D12939" w14:paraId="6BD54A69" w14:textId="77777777">
        <w:trPr>
          <w:trHeight w:val="284"/>
          <w:jc w:val="center"/>
        </w:trPr>
        <w:tc>
          <w:tcPr>
            <w:tcW w:w="1146" w:type="pct"/>
            <w:vMerge/>
            <w:vAlign w:val="center"/>
          </w:tcPr>
          <w:p w14:paraId="0128F74F" w14:textId="77777777" w:rsidR="00D12939" w:rsidRDefault="00D12939">
            <w:pPr>
              <w:spacing w:line="240" w:lineRule="exact"/>
              <w:jc w:val="center"/>
              <w:rPr>
                <w:rFonts w:ascii="Times New Roman" w:eastAsia="宋体" w:hAnsi="Times New Roman" w:cs="Times New Roman"/>
                <w:szCs w:val="21"/>
              </w:rPr>
            </w:pPr>
          </w:p>
        </w:tc>
        <w:tc>
          <w:tcPr>
            <w:tcW w:w="2095" w:type="pct"/>
            <w:vAlign w:val="center"/>
          </w:tcPr>
          <w:p w14:paraId="1BA44B8C"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岸线距离</w:t>
            </w:r>
            <w:r>
              <w:rPr>
                <w:rFonts w:ascii="Times New Roman" w:eastAsia="宋体" w:hAnsi="Times New Roman" w:cs="Times New Roman"/>
                <w:szCs w:val="21"/>
              </w:rPr>
              <w:t>/m</w:t>
            </w:r>
          </w:p>
        </w:tc>
        <w:tc>
          <w:tcPr>
            <w:tcW w:w="1757" w:type="pct"/>
            <w:vAlign w:val="center"/>
          </w:tcPr>
          <w:p w14:paraId="08F2F608"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2034C89E" w14:textId="77777777">
        <w:trPr>
          <w:trHeight w:val="296"/>
          <w:jc w:val="center"/>
        </w:trPr>
        <w:tc>
          <w:tcPr>
            <w:tcW w:w="1146" w:type="pct"/>
            <w:vMerge/>
            <w:vAlign w:val="center"/>
          </w:tcPr>
          <w:p w14:paraId="70949ADC" w14:textId="77777777" w:rsidR="00D12939" w:rsidRDefault="00D12939">
            <w:pPr>
              <w:spacing w:line="240" w:lineRule="exact"/>
              <w:jc w:val="center"/>
              <w:rPr>
                <w:rFonts w:ascii="Times New Roman" w:eastAsia="宋体" w:hAnsi="Times New Roman" w:cs="Times New Roman"/>
                <w:szCs w:val="21"/>
              </w:rPr>
            </w:pPr>
          </w:p>
        </w:tc>
        <w:tc>
          <w:tcPr>
            <w:tcW w:w="2095" w:type="pct"/>
            <w:vAlign w:val="center"/>
          </w:tcPr>
          <w:p w14:paraId="1005E422"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岸线方向</w:t>
            </w:r>
            <w:r>
              <w:rPr>
                <w:rFonts w:ascii="Times New Roman" w:eastAsia="宋体" w:hAnsi="Times New Roman" w:cs="Times New Roman"/>
                <w:szCs w:val="21"/>
              </w:rPr>
              <w:t>/°</w:t>
            </w:r>
          </w:p>
        </w:tc>
        <w:tc>
          <w:tcPr>
            <w:tcW w:w="1757" w:type="pct"/>
            <w:vAlign w:val="center"/>
          </w:tcPr>
          <w:p w14:paraId="4D0DA9B8"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bl>
    <w:p w14:paraId="240127E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）估算结果</w:t>
      </w:r>
    </w:p>
    <w:p w14:paraId="5B645581"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w:t>
      </w:r>
      <w:r>
        <w:rPr>
          <w:rFonts w:ascii="Times New Roman" w:eastAsia="宋体" w:hAnsi="Times New Roman" w:cs="Times New Roman"/>
          <w:sz w:val="24"/>
        </w:rPr>
        <w:t>AERSCREEN</w:t>
      </w:r>
      <w:r>
        <w:rPr>
          <w:rFonts w:ascii="Times New Roman" w:eastAsia="宋体" w:hAnsi="Times New Roman" w:cs="Times New Roman"/>
          <w:sz w:val="24"/>
        </w:rPr>
        <w:t>估算模型，对项目各污染源污染物估算结果见表</w:t>
      </w:r>
      <w:r>
        <w:rPr>
          <w:rFonts w:ascii="Times New Roman" w:eastAsia="宋体" w:hAnsi="Times New Roman" w:cs="Times New Roman"/>
          <w:sz w:val="24"/>
        </w:rPr>
        <w:t>2.4-3</w:t>
      </w:r>
      <w:r>
        <w:rPr>
          <w:rFonts w:ascii="Times New Roman" w:eastAsia="宋体" w:hAnsi="Times New Roman" w:cs="Times New Roman"/>
          <w:sz w:val="24"/>
        </w:rPr>
        <w:t>。</w:t>
      </w:r>
    </w:p>
    <w:p w14:paraId="3331237C" w14:textId="77777777" w:rsidR="00D12939" w:rsidRDefault="004F47F5">
      <w:pPr>
        <w:pStyle w:val="a5"/>
        <w:ind w:firstLine="480"/>
        <w:rPr>
          <w:rFonts w:ascii="黑体" w:eastAsia="黑体" w:hAnsi="黑体"/>
          <w:sz w:val="24"/>
          <w:szCs w:val="21"/>
        </w:rPr>
      </w:pPr>
      <w:r>
        <w:rPr>
          <w:rFonts w:ascii="黑体" w:eastAsia="黑体" w:hAnsi="黑体"/>
          <w:sz w:val="24"/>
          <w:szCs w:val="21"/>
        </w:rPr>
        <w:t>表2.4-3    项目环境空气评价等级确定估算结果</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1999"/>
        <w:gridCol w:w="1485"/>
        <w:gridCol w:w="1982"/>
        <w:gridCol w:w="1652"/>
        <w:gridCol w:w="1459"/>
        <w:gridCol w:w="1139"/>
      </w:tblGrid>
      <w:tr w:rsidR="00D12939" w14:paraId="2F1485F0" w14:textId="77777777">
        <w:trPr>
          <w:jc w:val="center"/>
        </w:trPr>
        <w:tc>
          <w:tcPr>
            <w:tcW w:w="1029" w:type="pct"/>
            <w:vMerge w:val="restart"/>
            <w:vAlign w:val="center"/>
          </w:tcPr>
          <w:p w14:paraId="7F2B1BEB"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污染源</w:t>
            </w:r>
          </w:p>
        </w:tc>
        <w:tc>
          <w:tcPr>
            <w:tcW w:w="764" w:type="pct"/>
            <w:vMerge w:val="restart"/>
            <w:vAlign w:val="center"/>
          </w:tcPr>
          <w:p w14:paraId="33DAF857"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污染物</w:t>
            </w:r>
          </w:p>
        </w:tc>
        <w:tc>
          <w:tcPr>
            <w:tcW w:w="3207" w:type="pct"/>
            <w:gridSpan w:val="4"/>
            <w:vAlign w:val="center"/>
          </w:tcPr>
          <w:p w14:paraId="7275DFB8"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kern w:val="0"/>
                <w:szCs w:val="21"/>
              </w:rPr>
            </w:pPr>
            <w:r>
              <w:rPr>
                <w:rFonts w:ascii="Times New Roman" w:eastAsia="宋体" w:hAnsi="Times New Roman" w:cs="Times New Roman"/>
                <w:bCs/>
                <w:kern w:val="0"/>
                <w:position w:val="-1"/>
                <w:szCs w:val="21"/>
              </w:rPr>
              <w:t>估算</w:t>
            </w:r>
            <w:r>
              <w:rPr>
                <w:rFonts w:ascii="Times New Roman" w:eastAsia="宋体" w:hAnsi="Times New Roman" w:cs="Times New Roman"/>
                <w:bCs/>
                <w:spacing w:val="-2"/>
                <w:kern w:val="0"/>
                <w:position w:val="-1"/>
                <w:szCs w:val="21"/>
              </w:rPr>
              <w:t>结</w:t>
            </w:r>
            <w:r>
              <w:rPr>
                <w:rFonts w:ascii="Times New Roman" w:eastAsia="宋体" w:hAnsi="Times New Roman" w:cs="Times New Roman"/>
                <w:bCs/>
                <w:kern w:val="0"/>
                <w:position w:val="-1"/>
                <w:szCs w:val="21"/>
              </w:rPr>
              <w:t>果</w:t>
            </w:r>
          </w:p>
        </w:tc>
      </w:tr>
      <w:tr w:rsidR="00D12939" w14:paraId="78C3F5EB" w14:textId="77777777">
        <w:trPr>
          <w:jc w:val="center"/>
        </w:trPr>
        <w:tc>
          <w:tcPr>
            <w:tcW w:w="1029" w:type="pct"/>
            <w:vMerge/>
            <w:vAlign w:val="center"/>
          </w:tcPr>
          <w:p w14:paraId="416317D6" w14:textId="77777777" w:rsidR="00D12939" w:rsidRDefault="00D12939">
            <w:pPr>
              <w:widowControl/>
              <w:jc w:val="center"/>
              <w:rPr>
                <w:rFonts w:ascii="Times New Roman" w:eastAsia="宋体" w:hAnsi="Times New Roman" w:cs="Times New Roman"/>
                <w:bCs/>
                <w:kern w:val="0"/>
                <w:szCs w:val="21"/>
              </w:rPr>
            </w:pPr>
          </w:p>
        </w:tc>
        <w:tc>
          <w:tcPr>
            <w:tcW w:w="764" w:type="pct"/>
            <w:vMerge/>
            <w:vAlign w:val="center"/>
          </w:tcPr>
          <w:p w14:paraId="119649CE" w14:textId="77777777" w:rsidR="00D12939" w:rsidRDefault="00D12939">
            <w:pPr>
              <w:widowControl/>
              <w:jc w:val="center"/>
              <w:rPr>
                <w:rFonts w:ascii="Times New Roman" w:eastAsia="宋体" w:hAnsi="Times New Roman" w:cs="Times New Roman"/>
                <w:bCs/>
                <w:kern w:val="0"/>
                <w:szCs w:val="21"/>
              </w:rPr>
            </w:pPr>
          </w:p>
        </w:tc>
        <w:tc>
          <w:tcPr>
            <w:tcW w:w="1020" w:type="pct"/>
            <w:vAlign w:val="center"/>
          </w:tcPr>
          <w:p w14:paraId="4D9A2E3D"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kern w:val="0"/>
                <w:szCs w:val="21"/>
              </w:rPr>
            </w:pPr>
            <w:r>
              <w:rPr>
                <w:rFonts w:ascii="Times New Roman" w:eastAsia="宋体" w:hAnsi="Times New Roman" w:cs="Times New Roman"/>
                <w:bCs/>
                <w:iCs/>
                <w:spacing w:val="3"/>
                <w:kern w:val="0"/>
                <w:szCs w:val="21"/>
              </w:rPr>
              <w:t>C</w:t>
            </w:r>
            <w:r>
              <w:rPr>
                <w:rFonts w:ascii="Times New Roman" w:eastAsia="宋体" w:hAnsi="Times New Roman" w:cs="Times New Roman"/>
                <w:bCs/>
                <w:spacing w:val="-5"/>
                <w:kern w:val="0"/>
                <w:position w:val="-3"/>
                <w:szCs w:val="21"/>
              </w:rPr>
              <w:t>m</w:t>
            </w:r>
            <w:r>
              <w:rPr>
                <w:rFonts w:ascii="Times New Roman" w:eastAsia="宋体" w:hAnsi="Times New Roman" w:cs="Times New Roman"/>
                <w:bCs/>
                <w:spacing w:val="3"/>
                <w:kern w:val="0"/>
                <w:position w:val="-3"/>
                <w:szCs w:val="21"/>
              </w:rPr>
              <w:t>a</w:t>
            </w:r>
            <w:r>
              <w:rPr>
                <w:rFonts w:ascii="Times New Roman" w:eastAsia="宋体" w:hAnsi="Times New Roman" w:cs="Times New Roman"/>
                <w:bCs/>
                <w:kern w:val="0"/>
                <w:position w:val="-3"/>
                <w:szCs w:val="21"/>
              </w:rPr>
              <w:t>x</w:t>
            </w:r>
            <w:r>
              <w:rPr>
                <w:rFonts w:ascii="Times New Roman" w:eastAsia="宋体" w:hAnsi="Times New Roman" w:cs="Times New Roman"/>
                <w:bCs/>
                <w:spacing w:val="-1"/>
                <w:kern w:val="0"/>
                <w:szCs w:val="21"/>
              </w:rPr>
              <w:t>(</w:t>
            </w:r>
            <w:r>
              <w:rPr>
                <w:rFonts w:ascii="Times New Roman" w:eastAsia="宋体" w:hAnsi="Times New Roman" w:cs="Times New Roman"/>
                <w:bCs/>
                <w:spacing w:val="-4"/>
                <w:kern w:val="0"/>
                <w:szCs w:val="21"/>
              </w:rPr>
              <w:t>m</w:t>
            </w:r>
            <w:r>
              <w:rPr>
                <w:rFonts w:ascii="Times New Roman" w:eastAsia="宋体" w:hAnsi="Times New Roman" w:cs="Times New Roman"/>
                <w:bCs/>
                <w:kern w:val="0"/>
                <w:szCs w:val="21"/>
              </w:rPr>
              <w:t>g</w:t>
            </w:r>
            <w:r>
              <w:rPr>
                <w:rFonts w:ascii="Times New Roman" w:eastAsia="宋体" w:hAnsi="Times New Roman" w:cs="Times New Roman"/>
                <w:bCs/>
                <w:spacing w:val="1"/>
                <w:kern w:val="0"/>
                <w:szCs w:val="21"/>
              </w:rPr>
              <w:t>/</w:t>
            </w:r>
            <w:r>
              <w:rPr>
                <w:rFonts w:ascii="Times New Roman" w:eastAsia="宋体" w:hAnsi="Times New Roman" w:cs="Times New Roman"/>
                <w:bCs/>
                <w:spacing w:val="-1"/>
                <w:kern w:val="0"/>
                <w:szCs w:val="21"/>
              </w:rPr>
              <w:t>m</w:t>
            </w:r>
            <w:r>
              <w:rPr>
                <w:rFonts w:ascii="Times New Roman" w:eastAsia="宋体" w:hAnsi="Times New Roman" w:cs="Times New Roman"/>
                <w:bCs/>
                <w:kern w:val="0"/>
                <w:szCs w:val="21"/>
                <w:vertAlign w:val="superscript"/>
              </w:rPr>
              <w:t>3</w:t>
            </w:r>
            <w:r>
              <w:rPr>
                <w:rFonts w:ascii="Times New Roman" w:eastAsia="宋体" w:hAnsi="Times New Roman" w:cs="Times New Roman"/>
                <w:bCs/>
                <w:kern w:val="0"/>
                <w:szCs w:val="21"/>
              </w:rPr>
              <w:t>)</w:t>
            </w:r>
          </w:p>
        </w:tc>
        <w:tc>
          <w:tcPr>
            <w:tcW w:w="850" w:type="pct"/>
            <w:vAlign w:val="center"/>
          </w:tcPr>
          <w:p w14:paraId="2EECC229"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kern w:val="0"/>
                <w:szCs w:val="21"/>
              </w:rPr>
            </w:pPr>
            <w:r>
              <w:rPr>
                <w:rFonts w:ascii="Times New Roman" w:eastAsia="宋体" w:hAnsi="Times New Roman" w:cs="Times New Roman"/>
                <w:bCs/>
                <w:iCs/>
                <w:spacing w:val="1"/>
                <w:kern w:val="0"/>
                <w:szCs w:val="21"/>
              </w:rPr>
              <w:t>C</w:t>
            </w:r>
            <w:r>
              <w:rPr>
                <w:rFonts w:ascii="Times New Roman" w:eastAsia="宋体" w:hAnsi="Times New Roman" w:cs="Times New Roman"/>
                <w:bCs/>
                <w:kern w:val="0"/>
                <w:position w:val="-3"/>
                <w:szCs w:val="21"/>
              </w:rPr>
              <w:t>0i</w:t>
            </w:r>
            <w:r>
              <w:rPr>
                <w:rFonts w:ascii="Times New Roman" w:eastAsia="宋体" w:hAnsi="Times New Roman" w:cs="Times New Roman"/>
                <w:bCs/>
                <w:spacing w:val="-1"/>
                <w:kern w:val="0"/>
                <w:szCs w:val="21"/>
              </w:rPr>
              <w:t>(</w:t>
            </w:r>
            <w:r>
              <w:rPr>
                <w:rFonts w:ascii="Times New Roman" w:eastAsia="宋体" w:hAnsi="Times New Roman" w:cs="Times New Roman"/>
                <w:bCs/>
                <w:spacing w:val="-4"/>
                <w:kern w:val="0"/>
                <w:szCs w:val="21"/>
              </w:rPr>
              <w:t>m</w:t>
            </w:r>
            <w:r>
              <w:rPr>
                <w:rFonts w:ascii="Times New Roman" w:eastAsia="宋体" w:hAnsi="Times New Roman" w:cs="Times New Roman"/>
                <w:bCs/>
                <w:kern w:val="0"/>
                <w:szCs w:val="21"/>
              </w:rPr>
              <w:t>g</w:t>
            </w:r>
            <w:r>
              <w:rPr>
                <w:rFonts w:ascii="Times New Roman" w:eastAsia="宋体" w:hAnsi="Times New Roman" w:cs="Times New Roman"/>
                <w:bCs/>
                <w:spacing w:val="1"/>
                <w:kern w:val="0"/>
                <w:szCs w:val="21"/>
              </w:rPr>
              <w:t>/</w:t>
            </w:r>
            <w:r>
              <w:rPr>
                <w:rFonts w:ascii="Times New Roman" w:eastAsia="宋体" w:hAnsi="Times New Roman" w:cs="Times New Roman"/>
                <w:bCs/>
                <w:spacing w:val="-1"/>
                <w:kern w:val="0"/>
                <w:szCs w:val="21"/>
              </w:rPr>
              <w:t>m</w:t>
            </w:r>
            <w:r>
              <w:rPr>
                <w:rFonts w:ascii="Times New Roman" w:eastAsia="宋体" w:hAnsi="Times New Roman" w:cs="Times New Roman"/>
                <w:bCs/>
                <w:kern w:val="0"/>
                <w:szCs w:val="21"/>
                <w:vertAlign w:val="superscript"/>
              </w:rPr>
              <w:t>3</w:t>
            </w:r>
            <w:r>
              <w:rPr>
                <w:rFonts w:ascii="Times New Roman" w:eastAsia="宋体" w:hAnsi="Times New Roman" w:cs="Times New Roman"/>
                <w:bCs/>
                <w:kern w:val="0"/>
                <w:szCs w:val="21"/>
              </w:rPr>
              <w:t>)</w:t>
            </w:r>
          </w:p>
        </w:tc>
        <w:tc>
          <w:tcPr>
            <w:tcW w:w="751" w:type="pct"/>
            <w:vAlign w:val="center"/>
          </w:tcPr>
          <w:p w14:paraId="4BE17D3B"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kern w:val="0"/>
                <w:szCs w:val="21"/>
              </w:rPr>
            </w:pPr>
            <w:r>
              <w:rPr>
                <w:rFonts w:ascii="Times New Roman" w:eastAsia="宋体" w:hAnsi="Times New Roman" w:cs="Times New Roman"/>
                <w:bCs/>
                <w:iCs/>
                <w:spacing w:val="1"/>
                <w:kern w:val="0"/>
                <w:szCs w:val="21"/>
              </w:rPr>
              <w:t>P</w:t>
            </w:r>
            <w:r>
              <w:rPr>
                <w:rFonts w:ascii="Times New Roman" w:eastAsia="宋体" w:hAnsi="Times New Roman" w:cs="Times New Roman"/>
                <w:bCs/>
                <w:kern w:val="0"/>
                <w:position w:val="-3"/>
                <w:szCs w:val="21"/>
              </w:rPr>
              <w:t>i</w:t>
            </w:r>
            <w:r>
              <w:rPr>
                <w:rFonts w:ascii="Times New Roman" w:eastAsia="宋体" w:hAnsi="Times New Roman" w:cs="Times New Roman"/>
                <w:bCs/>
                <w:spacing w:val="-1"/>
                <w:kern w:val="0"/>
                <w:szCs w:val="21"/>
              </w:rPr>
              <w:t>(%</w:t>
            </w:r>
            <w:r>
              <w:rPr>
                <w:rFonts w:ascii="Times New Roman" w:eastAsia="宋体" w:hAnsi="Times New Roman" w:cs="Times New Roman"/>
                <w:bCs/>
                <w:kern w:val="0"/>
                <w:szCs w:val="21"/>
              </w:rPr>
              <w:t>)</w:t>
            </w:r>
          </w:p>
        </w:tc>
        <w:tc>
          <w:tcPr>
            <w:tcW w:w="586" w:type="pct"/>
            <w:vAlign w:val="center"/>
          </w:tcPr>
          <w:p w14:paraId="248E0E36"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kern w:val="0"/>
                <w:szCs w:val="21"/>
              </w:rPr>
            </w:pPr>
            <w:r>
              <w:rPr>
                <w:rFonts w:ascii="Times New Roman" w:eastAsia="宋体" w:hAnsi="Times New Roman" w:cs="Times New Roman"/>
                <w:bCs/>
                <w:iCs/>
                <w:spacing w:val="1"/>
                <w:kern w:val="0"/>
                <w:szCs w:val="21"/>
              </w:rPr>
              <w:t>D</w:t>
            </w:r>
            <w:r>
              <w:rPr>
                <w:rFonts w:ascii="Times New Roman" w:eastAsia="宋体" w:hAnsi="Times New Roman" w:cs="Times New Roman"/>
                <w:bCs/>
                <w:kern w:val="0"/>
                <w:position w:val="-3"/>
                <w:szCs w:val="21"/>
              </w:rPr>
              <w:t>10</w:t>
            </w:r>
            <w:r>
              <w:rPr>
                <w:rFonts w:ascii="Times New Roman" w:eastAsia="宋体" w:hAnsi="Times New Roman" w:cs="Times New Roman"/>
                <w:bCs/>
                <w:kern w:val="0"/>
                <w:szCs w:val="21"/>
              </w:rPr>
              <w:t xml:space="preserve">% </w:t>
            </w:r>
            <w:r>
              <w:rPr>
                <w:rFonts w:ascii="Times New Roman" w:eastAsia="宋体" w:hAnsi="Times New Roman" w:cs="Times New Roman"/>
                <w:bCs/>
                <w:spacing w:val="-1"/>
                <w:kern w:val="0"/>
                <w:szCs w:val="21"/>
              </w:rPr>
              <w:t>(</w:t>
            </w:r>
            <w:r>
              <w:rPr>
                <w:rFonts w:ascii="Times New Roman" w:eastAsia="宋体" w:hAnsi="Times New Roman" w:cs="Times New Roman"/>
                <w:bCs/>
                <w:spacing w:val="-4"/>
                <w:kern w:val="0"/>
                <w:szCs w:val="21"/>
              </w:rPr>
              <w:t>m</w:t>
            </w:r>
            <w:r>
              <w:rPr>
                <w:rFonts w:ascii="Times New Roman" w:eastAsia="宋体" w:hAnsi="Times New Roman" w:cs="Times New Roman"/>
                <w:bCs/>
                <w:kern w:val="0"/>
                <w:szCs w:val="21"/>
              </w:rPr>
              <w:t>)</w:t>
            </w:r>
          </w:p>
        </w:tc>
      </w:tr>
      <w:tr w:rsidR="00D12939" w14:paraId="105CDF4C" w14:textId="77777777">
        <w:trPr>
          <w:jc w:val="center"/>
        </w:trPr>
        <w:tc>
          <w:tcPr>
            <w:tcW w:w="1029" w:type="pct"/>
            <w:vMerge w:val="restart"/>
            <w:vAlign w:val="center"/>
          </w:tcPr>
          <w:p w14:paraId="10BE4371"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污水处理区</w:t>
            </w:r>
            <w:r>
              <w:rPr>
                <w:rFonts w:ascii="Times New Roman" w:eastAsia="宋体" w:hAnsi="Times New Roman" w:cs="Times New Roman"/>
                <w:bCs/>
                <w:kern w:val="0"/>
                <w:szCs w:val="21"/>
              </w:rPr>
              <w:t>P1</w:t>
            </w:r>
          </w:p>
        </w:tc>
        <w:tc>
          <w:tcPr>
            <w:tcW w:w="764" w:type="pct"/>
            <w:vAlign w:val="center"/>
          </w:tcPr>
          <w:p w14:paraId="6E2DFE52"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SO</w:t>
            </w:r>
            <w:r>
              <w:rPr>
                <w:rFonts w:ascii="Times New Roman" w:eastAsia="宋体" w:hAnsi="Times New Roman" w:cs="Times New Roman"/>
                <w:bCs/>
                <w:kern w:val="0"/>
                <w:szCs w:val="21"/>
                <w:vertAlign w:val="subscript"/>
              </w:rPr>
              <w:t>2</w:t>
            </w:r>
          </w:p>
        </w:tc>
        <w:tc>
          <w:tcPr>
            <w:tcW w:w="1020" w:type="pct"/>
            <w:vAlign w:val="center"/>
          </w:tcPr>
          <w:p w14:paraId="7582796F"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4</w:t>
            </w:r>
            <w:r>
              <w:rPr>
                <w:rFonts w:ascii="Times New Roman" w:eastAsia="宋体" w:hAnsi="Times New Roman" w:cs="Times New Roman"/>
                <w:bCs/>
                <w:iCs/>
                <w:spacing w:val="3"/>
                <w:kern w:val="0"/>
                <w:szCs w:val="21"/>
              </w:rPr>
              <w:t>.81E-04</w:t>
            </w:r>
          </w:p>
        </w:tc>
        <w:tc>
          <w:tcPr>
            <w:tcW w:w="850" w:type="pct"/>
            <w:vAlign w:val="center"/>
          </w:tcPr>
          <w:p w14:paraId="29799C06"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bCs/>
                <w:iCs/>
                <w:spacing w:val="1"/>
                <w:kern w:val="0"/>
                <w:szCs w:val="21"/>
              </w:rPr>
              <w:t>0.5</w:t>
            </w:r>
          </w:p>
        </w:tc>
        <w:tc>
          <w:tcPr>
            <w:tcW w:w="751" w:type="pct"/>
            <w:vAlign w:val="center"/>
          </w:tcPr>
          <w:p w14:paraId="39636008"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.1</w:t>
            </w:r>
          </w:p>
        </w:tc>
        <w:tc>
          <w:tcPr>
            <w:tcW w:w="586" w:type="pct"/>
            <w:vAlign w:val="center"/>
          </w:tcPr>
          <w:p w14:paraId="3467E22E"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05AAA8F2" w14:textId="77777777">
        <w:trPr>
          <w:jc w:val="center"/>
        </w:trPr>
        <w:tc>
          <w:tcPr>
            <w:tcW w:w="1029" w:type="pct"/>
            <w:vMerge/>
            <w:vAlign w:val="center"/>
          </w:tcPr>
          <w:p w14:paraId="55EF1F41" w14:textId="77777777" w:rsidR="00D12939" w:rsidRDefault="00D12939">
            <w:pPr>
              <w:widowControl/>
              <w:jc w:val="center"/>
              <w:rPr>
                <w:rFonts w:ascii="Times New Roman" w:eastAsia="宋体" w:hAnsi="Times New Roman" w:cs="Times New Roman"/>
                <w:bCs/>
                <w:kern w:val="0"/>
                <w:szCs w:val="21"/>
              </w:rPr>
            </w:pPr>
          </w:p>
        </w:tc>
        <w:tc>
          <w:tcPr>
            <w:tcW w:w="764" w:type="pct"/>
            <w:vAlign w:val="center"/>
          </w:tcPr>
          <w:p w14:paraId="518EE6BD"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hint="eastAsia"/>
                <w:bCs/>
                <w:kern w:val="0"/>
                <w:szCs w:val="21"/>
              </w:rPr>
              <w:t>N</w:t>
            </w:r>
            <w:r>
              <w:rPr>
                <w:rFonts w:ascii="Times New Roman" w:eastAsia="宋体" w:hAnsi="Times New Roman" w:cs="Times New Roman"/>
                <w:bCs/>
                <w:kern w:val="0"/>
                <w:szCs w:val="21"/>
              </w:rPr>
              <w:t>O</w:t>
            </w:r>
            <w:r>
              <w:rPr>
                <w:rFonts w:ascii="Times New Roman" w:eastAsia="宋体" w:hAnsi="Times New Roman" w:cs="Times New Roman"/>
                <w:bCs/>
                <w:kern w:val="0"/>
                <w:szCs w:val="21"/>
                <w:vertAlign w:val="subscript"/>
              </w:rPr>
              <w:t>X</w:t>
            </w:r>
          </w:p>
        </w:tc>
        <w:tc>
          <w:tcPr>
            <w:tcW w:w="1020" w:type="pct"/>
            <w:vAlign w:val="center"/>
          </w:tcPr>
          <w:p w14:paraId="7236D09A"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2</w:t>
            </w:r>
            <w:r>
              <w:rPr>
                <w:rFonts w:ascii="Times New Roman" w:eastAsia="宋体" w:hAnsi="Times New Roman" w:cs="Times New Roman"/>
                <w:bCs/>
                <w:iCs/>
                <w:spacing w:val="3"/>
                <w:kern w:val="0"/>
                <w:szCs w:val="21"/>
              </w:rPr>
              <w:t>.57E-03</w:t>
            </w:r>
          </w:p>
        </w:tc>
        <w:tc>
          <w:tcPr>
            <w:tcW w:w="850" w:type="pct"/>
            <w:vAlign w:val="center"/>
          </w:tcPr>
          <w:p w14:paraId="3BED8C05"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.2</w:t>
            </w:r>
          </w:p>
        </w:tc>
        <w:tc>
          <w:tcPr>
            <w:tcW w:w="751" w:type="pct"/>
            <w:vAlign w:val="center"/>
          </w:tcPr>
          <w:p w14:paraId="23218132"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1</w:t>
            </w:r>
            <w:r>
              <w:rPr>
                <w:rFonts w:ascii="Times New Roman" w:eastAsia="宋体" w:hAnsi="Times New Roman" w:cs="Times New Roman"/>
                <w:bCs/>
                <w:iCs/>
                <w:spacing w:val="1"/>
                <w:kern w:val="0"/>
                <w:szCs w:val="21"/>
              </w:rPr>
              <w:t>.28</w:t>
            </w:r>
          </w:p>
        </w:tc>
        <w:tc>
          <w:tcPr>
            <w:tcW w:w="586" w:type="pct"/>
            <w:vAlign w:val="center"/>
          </w:tcPr>
          <w:p w14:paraId="57662BC9"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0062604B" w14:textId="77777777">
        <w:trPr>
          <w:trHeight w:val="59"/>
          <w:jc w:val="center"/>
        </w:trPr>
        <w:tc>
          <w:tcPr>
            <w:tcW w:w="1029" w:type="pct"/>
            <w:vMerge/>
            <w:vAlign w:val="center"/>
          </w:tcPr>
          <w:p w14:paraId="7F20071B" w14:textId="77777777" w:rsidR="00D12939" w:rsidRDefault="00D12939">
            <w:pPr>
              <w:widowControl/>
              <w:jc w:val="center"/>
              <w:rPr>
                <w:rFonts w:ascii="Times New Roman" w:eastAsia="宋体" w:hAnsi="Times New Roman" w:cs="Times New Roman"/>
                <w:bCs/>
                <w:kern w:val="0"/>
                <w:szCs w:val="21"/>
              </w:rPr>
            </w:pPr>
          </w:p>
        </w:tc>
        <w:tc>
          <w:tcPr>
            <w:tcW w:w="764" w:type="pct"/>
            <w:vAlign w:val="center"/>
          </w:tcPr>
          <w:p w14:paraId="0ABD83AF"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NH</w:t>
            </w:r>
            <w:r>
              <w:rPr>
                <w:rFonts w:ascii="Times New Roman" w:eastAsia="宋体" w:hAnsi="Times New Roman" w:cs="Times New Roman"/>
                <w:bCs/>
                <w:kern w:val="0"/>
                <w:szCs w:val="21"/>
                <w:vertAlign w:val="subscript"/>
              </w:rPr>
              <w:t>3</w:t>
            </w:r>
          </w:p>
        </w:tc>
        <w:tc>
          <w:tcPr>
            <w:tcW w:w="1020" w:type="pct"/>
            <w:vAlign w:val="center"/>
          </w:tcPr>
          <w:p w14:paraId="23718134"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4</w:t>
            </w:r>
            <w:r>
              <w:rPr>
                <w:rFonts w:ascii="Times New Roman" w:eastAsia="宋体" w:hAnsi="Times New Roman" w:cs="Times New Roman"/>
                <w:bCs/>
                <w:iCs/>
                <w:spacing w:val="3"/>
                <w:kern w:val="0"/>
                <w:szCs w:val="21"/>
              </w:rPr>
              <w:t>.28E-03</w:t>
            </w:r>
          </w:p>
        </w:tc>
        <w:tc>
          <w:tcPr>
            <w:tcW w:w="850" w:type="pct"/>
            <w:vAlign w:val="center"/>
          </w:tcPr>
          <w:p w14:paraId="54767D4F"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.2</w:t>
            </w:r>
          </w:p>
        </w:tc>
        <w:tc>
          <w:tcPr>
            <w:tcW w:w="751" w:type="pct"/>
            <w:vAlign w:val="center"/>
          </w:tcPr>
          <w:p w14:paraId="60B21C3C"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2</w:t>
            </w:r>
            <w:r>
              <w:rPr>
                <w:rFonts w:ascii="Times New Roman" w:eastAsia="宋体" w:hAnsi="Times New Roman" w:cs="Times New Roman"/>
                <w:bCs/>
                <w:iCs/>
                <w:spacing w:val="1"/>
                <w:kern w:val="0"/>
                <w:szCs w:val="21"/>
              </w:rPr>
              <w:t>.14</w:t>
            </w:r>
          </w:p>
        </w:tc>
        <w:tc>
          <w:tcPr>
            <w:tcW w:w="586" w:type="pct"/>
            <w:vAlign w:val="center"/>
          </w:tcPr>
          <w:p w14:paraId="2BF21027"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22370506" w14:textId="77777777">
        <w:trPr>
          <w:jc w:val="center"/>
        </w:trPr>
        <w:tc>
          <w:tcPr>
            <w:tcW w:w="1029" w:type="pct"/>
            <w:vMerge w:val="restart"/>
            <w:vAlign w:val="center"/>
          </w:tcPr>
          <w:p w14:paraId="5914D298"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hint="eastAsia"/>
                <w:bCs/>
                <w:kern w:val="0"/>
                <w:szCs w:val="21"/>
              </w:rPr>
              <w:t>除臭系统</w:t>
            </w:r>
            <w:r>
              <w:rPr>
                <w:rFonts w:ascii="Times New Roman" w:eastAsia="宋体" w:hAnsi="Times New Roman" w:cs="Times New Roman"/>
                <w:bCs/>
                <w:kern w:val="0"/>
                <w:szCs w:val="21"/>
              </w:rPr>
              <w:t>P2</w:t>
            </w:r>
          </w:p>
        </w:tc>
        <w:tc>
          <w:tcPr>
            <w:tcW w:w="764" w:type="pct"/>
            <w:vAlign w:val="center"/>
          </w:tcPr>
          <w:p w14:paraId="0EDFF7A7"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NH</w:t>
            </w:r>
            <w:r>
              <w:rPr>
                <w:rFonts w:ascii="Times New Roman" w:eastAsia="宋体" w:hAnsi="Times New Roman" w:cs="Times New Roman"/>
                <w:bCs/>
                <w:kern w:val="0"/>
                <w:szCs w:val="21"/>
                <w:vertAlign w:val="subscript"/>
              </w:rPr>
              <w:t>3</w:t>
            </w:r>
          </w:p>
        </w:tc>
        <w:tc>
          <w:tcPr>
            <w:tcW w:w="1020" w:type="pct"/>
            <w:vAlign w:val="center"/>
          </w:tcPr>
          <w:p w14:paraId="412C68C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5</w:t>
            </w:r>
            <w:r>
              <w:rPr>
                <w:rFonts w:ascii="Times New Roman" w:eastAsia="宋体" w:hAnsi="Times New Roman" w:cs="Times New Roman"/>
                <w:szCs w:val="21"/>
              </w:rPr>
              <w:t>.50E-04</w:t>
            </w:r>
          </w:p>
        </w:tc>
        <w:tc>
          <w:tcPr>
            <w:tcW w:w="850" w:type="pct"/>
            <w:vAlign w:val="center"/>
          </w:tcPr>
          <w:p w14:paraId="5FBC9373"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.2</w:t>
            </w:r>
          </w:p>
        </w:tc>
        <w:tc>
          <w:tcPr>
            <w:tcW w:w="751" w:type="pct"/>
            <w:vAlign w:val="center"/>
          </w:tcPr>
          <w:p w14:paraId="607197F7"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0</w:t>
            </w:r>
            <w:r>
              <w:rPr>
                <w:rFonts w:ascii="Times New Roman" w:eastAsia="宋体" w:hAnsi="Times New Roman" w:cs="Times New Roman"/>
                <w:bCs/>
                <w:iCs/>
                <w:spacing w:val="3"/>
                <w:kern w:val="0"/>
                <w:szCs w:val="21"/>
              </w:rPr>
              <w:t>.28</w:t>
            </w:r>
          </w:p>
        </w:tc>
        <w:tc>
          <w:tcPr>
            <w:tcW w:w="586" w:type="pct"/>
            <w:vAlign w:val="center"/>
          </w:tcPr>
          <w:p w14:paraId="00DFBBDF"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3083A57D" w14:textId="77777777">
        <w:trPr>
          <w:jc w:val="center"/>
        </w:trPr>
        <w:tc>
          <w:tcPr>
            <w:tcW w:w="1029" w:type="pct"/>
            <w:vMerge/>
            <w:vAlign w:val="center"/>
          </w:tcPr>
          <w:p w14:paraId="33C874B3" w14:textId="77777777" w:rsidR="00D12939" w:rsidRDefault="00D12939">
            <w:pPr>
              <w:widowControl/>
              <w:jc w:val="center"/>
              <w:rPr>
                <w:rFonts w:ascii="Times New Roman" w:eastAsia="宋体" w:hAnsi="Times New Roman" w:cs="Times New Roman"/>
                <w:bCs/>
                <w:kern w:val="0"/>
                <w:szCs w:val="21"/>
              </w:rPr>
            </w:pPr>
          </w:p>
        </w:tc>
        <w:tc>
          <w:tcPr>
            <w:tcW w:w="764" w:type="pct"/>
            <w:vAlign w:val="center"/>
          </w:tcPr>
          <w:p w14:paraId="2C31BAE0"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H</w:t>
            </w:r>
            <w:r>
              <w:rPr>
                <w:rFonts w:ascii="Times New Roman" w:eastAsia="宋体" w:hAnsi="Times New Roman" w:cs="Times New Roman"/>
                <w:bCs/>
                <w:kern w:val="0"/>
                <w:szCs w:val="21"/>
                <w:vertAlign w:val="subscript"/>
              </w:rPr>
              <w:t>2</w:t>
            </w:r>
            <w:r>
              <w:rPr>
                <w:rFonts w:ascii="Times New Roman" w:eastAsia="宋体" w:hAnsi="Times New Roman" w:cs="Times New Roman"/>
                <w:bCs/>
                <w:kern w:val="0"/>
                <w:szCs w:val="21"/>
              </w:rPr>
              <w:t>S</w:t>
            </w:r>
          </w:p>
        </w:tc>
        <w:tc>
          <w:tcPr>
            <w:tcW w:w="1020" w:type="pct"/>
            <w:vAlign w:val="center"/>
          </w:tcPr>
          <w:p w14:paraId="0ADAFC48"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7</w:t>
            </w:r>
            <w:r>
              <w:rPr>
                <w:rFonts w:ascii="Times New Roman" w:eastAsia="宋体" w:hAnsi="Times New Roman" w:cs="Times New Roman"/>
                <w:bCs/>
                <w:iCs/>
                <w:spacing w:val="3"/>
                <w:kern w:val="0"/>
                <w:szCs w:val="21"/>
              </w:rPr>
              <w:t>.86E-06</w:t>
            </w:r>
          </w:p>
        </w:tc>
        <w:tc>
          <w:tcPr>
            <w:tcW w:w="850" w:type="pct"/>
            <w:vAlign w:val="center"/>
          </w:tcPr>
          <w:p w14:paraId="0E0D0A46"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.01</w:t>
            </w:r>
          </w:p>
        </w:tc>
        <w:tc>
          <w:tcPr>
            <w:tcW w:w="751" w:type="pct"/>
            <w:vAlign w:val="center"/>
          </w:tcPr>
          <w:p w14:paraId="254FCC6D"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0</w:t>
            </w:r>
            <w:r>
              <w:rPr>
                <w:rFonts w:ascii="Times New Roman" w:eastAsia="宋体" w:hAnsi="Times New Roman" w:cs="Times New Roman"/>
                <w:bCs/>
                <w:iCs/>
                <w:spacing w:val="3"/>
                <w:kern w:val="0"/>
                <w:szCs w:val="21"/>
              </w:rPr>
              <w:t>.08</w:t>
            </w:r>
          </w:p>
        </w:tc>
        <w:tc>
          <w:tcPr>
            <w:tcW w:w="586" w:type="pct"/>
            <w:vAlign w:val="center"/>
          </w:tcPr>
          <w:p w14:paraId="01623B25"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3CD696F9" w14:textId="77777777">
        <w:trPr>
          <w:jc w:val="center"/>
        </w:trPr>
        <w:tc>
          <w:tcPr>
            <w:tcW w:w="1029" w:type="pct"/>
            <w:vMerge w:val="restart"/>
            <w:vAlign w:val="center"/>
          </w:tcPr>
          <w:p w14:paraId="45708098"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hint="eastAsia"/>
                <w:bCs/>
                <w:kern w:val="0"/>
                <w:szCs w:val="21"/>
              </w:rPr>
              <w:t>填埋废气（非点燃状态）</w:t>
            </w:r>
            <w:r>
              <w:rPr>
                <w:rFonts w:ascii="Times New Roman" w:eastAsia="宋体" w:hAnsi="Times New Roman" w:cs="Times New Roman" w:hint="eastAsia"/>
                <w:bCs/>
                <w:kern w:val="0"/>
                <w:szCs w:val="21"/>
              </w:rPr>
              <w:t>N</w:t>
            </w:r>
            <w:r>
              <w:rPr>
                <w:rFonts w:ascii="Times New Roman" w:eastAsia="宋体" w:hAnsi="Times New Roman" w:cs="Times New Roman"/>
                <w:bCs/>
                <w:kern w:val="0"/>
                <w:szCs w:val="21"/>
              </w:rPr>
              <w:t>1</w:t>
            </w:r>
          </w:p>
        </w:tc>
        <w:tc>
          <w:tcPr>
            <w:tcW w:w="764" w:type="pct"/>
            <w:vAlign w:val="center"/>
          </w:tcPr>
          <w:p w14:paraId="08021C31"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NH</w:t>
            </w:r>
            <w:r>
              <w:rPr>
                <w:rFonts w:ascii="Times New Roman" w:eastAsia="宋体" w:hAnsi="Times New Roman" w:cs="Times New Roman"/>
                <w:bCs/>
                <w:kern w:val="0"/>
                <w:szCs w:val="21"/>
                <w:vertAlign w:val="subscript"/>
              </w:rPr>
              <w:t>3</w:t>
            </w:r>
          </w:p>
        </w:tc>
        <w:tc>
          <w:tcPr>
            <w:tcW w:w="1020" w:type="pct"/>
            <w:vAlign w:val="center"/>
          </w:tcPr>
          <w:p w14:paraId="54003687"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.24E-02</w:t>
            </w:r>
          </w:p>
        </w:tc>
        <w:tc>
          <w:tcPr>
            <w:tcW w:w="850" w:type="pct"/>
            <w:vAlign w:val="center"/>
          </w:tcPr>
          <w:p w14:paraId="2738B1C3"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.2</w:t>
            </w:r>
          </w:p>
        </w:tc>
        <w:tc>
          <w:tcPr>
            <w:tcW w:w="751" w:type="pct"/>
            <w:vAlign w:val="center"/>
          </w:tcPr>
          <w:p w14:paraId="45083BB7"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6</w:t>
            </w:r>
            <w:r>
              <w:rPr>
                <w:rFonts w:ascii="Times New Roman" w:eastAsia="宋体" w:hAnsi="Times New Roman" w:cs="Times New Roman"/>
                <w:bCs/>
                <w:iCs/>
                <w:spacing w:val="3"/>
                <w:kern w:val="0"/>
                <w:szCs w:val="21"/>
              </w:rPr>
              <w:t>.2</w:t>
            </w:r>
          </w:p>
        </w:tc>
        <w:tc>
          <w:tcPr>
            <w:tcW w:w="586" w:type="pct"/>
            <w:vAlign w:val="center"/>
          </w:tcPr>
          <w:p w14:paraId="67E7A5F5"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3CDEF871" w14:textId="77777777">
        <w:trPr>
          <w:jc w:val="center"/>
        </w:trPr>
        <w:tc>
          <w:tcPr>
            <w:tcW w:w="1029" w:type="pct"/>
            <w:vMerge/>
            <w:vAlign w:val="center"/>
          </w:tcPr>
          <w:p w14:paraId="0F6AA8AD" w14:textId="77777777" w:rsidR="00D12939" w:rsidRDefault="00D12939">
            <w:pPr>
              <w:widowControl/>
              <w:jc w:val="center"/>
              <w:rPr>
                <w:rFonts w:ascii="Times New Roman" w:eastAsia="宋体" w:hAnsi="Times New Roman" w:cs="Times New Roman"/>
                <w:bCs/>
                <w:kern w:val="0"/>
                <w:szCs w:val="21"/>
              </w:rPr>
            </w:pPr>
          </w:p>
        </w:tc>
        <w:tc>
          <w:tcPr>
            <w:tcW w:w="764" w:type="pct"/>
            <w:vAlign w:val="center"/>
          </w:tcPr>
          <w:p w14:paraId="09D59CA3"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H</w:t>
            </w:r>
            <w:r>
              <w:rPr>
                <w:rFonts w:ascii="Times New Roman" w:eastAsia="宋体" w:hAnsi="Times New Roman" w:cs="Times New Roman"/>
                <w:bCs/>
                <w:kern w:val="0"/>
                <w:szCs w:val="21"/>
                <w:vertAlign w:val="subscript"/>
              </w:rPr>
              <w:t>2</w:t>
            </w:r>
            <w:r>
              <w:rPr>
                <w:rFonts w:ascii="Times New Roman" w:eastAsia="宋体" w:hAnsi="Times New Roman" w:cs="Times New Roman"/>
                <w:bCs/>
                <w:kern w:val="0"/>
                <w:szCs w:val="21"/>
              </w:rPr>
              <w:t>S</w:t>
            </w:r>
          </w:p>
        </w:tc>
        <w:tc>
          <w:tcPr>
            <w:tcW w:w="1020" w:type="pct"/>
            <w:vAlign w:val="center"/>
          </w:tcPr>
          <w:p w14:paraId="62E6DDFF"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7</w:t>
            </w:r>
            <w:r>
              <w:rPr>
                <w:rFonts w:ascii="Times New Roman" w:eastAsia="宋体" w:hAnsi="Times New Roman" w:cs="Times New Roman"/>
                <w:bCs/>
                <w:iCs/>
                <w:spacing w:val="3"/>
                <w:kern w:val="0"/>
                <w:szCs w:val="21"/>
              </w:rPr>
              <w:t>.44E-04</w:t>
            </w:r>
          </w:p>
        </w:tc>
        <w:tc>
          <w:tcPr>
            <w:tcW w:w="850" w:type="pct"/>
            <w:vAlign w:val="center"/>
          </w:tcPr>
          <w:p w14:paraId="4DDF7619"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.01</w:t>
            </w:r>
          </w:p>
        </w:tc>
        <w:tc>
          <w:tcPr>
            <w:tcW w:w="751" w:type="pct"/>
            <w:vAlign w:val="center"/>
          </w:tcPr>
          <w:p w14:paraId="10C27D98"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
                <w:bCs/>
                <w:iCs/>
                <w:spacing w:val="3"/>
                <w:kern w:val="0"/>
                <w:szCs w:val="21"/>
              </w:rPr>
            </w:pPr>
            <w:r>
              <w:rPr>
                <w:rFonts w:ascii="Times New Roman" w:eastAsia="宋体" w:hAnsi="Times New Roman" w:cs="Times New Roman" w:hint="eastAsia"/>
                <w:b/>
                <w:bCs/>
                <w:iCs/>
                <w:spacing w:val="3"/>
                <w:kern w:val="0"/>
                <w:szCs w:val="21"/>
              </w:rPr>
              <w:t>7</w:t>
            </w:r>
            <w:r>
              <w:rPr>
                <w:rFonts w:ascii="Times New Roman" w:eastAsia="宋体" w:hAnsi="Times New Roman" w:cs="Times New Roman"/>
                <w:b/>
                <w:bCs/>
                <w:iCs/>
                <w:spacing w:val="3"/>
                <w:kern w:val="0"/>
                <w:szCs w:val="21"/>
              </w:rPr>
              <w:t>.44</w:t>
            </w:r>
          </w:p>
        </w:tc>
        <w:tc>
          <w:tcPr>
            <w:tcW w:w="586" w:type="pct"/>
            <w:vAlign w:val="center"/>
          </w:tcPr>
          <w:p w14:paraId="1058E1E6"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243F7C18" w14:textId="77777777">
        <w:trPr>
          <w:jc w:val="center"/>
        </w:trPr>
        <w:tc>
          <w:tcPr>
            <w:tcW w:w="1029" w:type="pct"/>
            <w:vMerge w:val="restart"/>
            <w:vAlign w:val="center"/>
          </w:tcPr>
          <w:p w14:paraId="50EDD041"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hint="eastAsia"/>
                <w:bCs/>
                <w:kern w:val="0"/>
                <w:szCs w:val="21"/>
              </w:rPr>
              <w:t>填埋废气（点燃状态）</w:t>
            </w:r>
            <w:r>
              <w:rPr>
                <w:rFonts w:ascii="Times New Roman" w:eastAsia="宋体" w:hAnsi="Times New Roman" w:cs="Times New Roman" w:hint="eastAsia"/>
                <w:bCs/>
                <w:kern w:val="0"/>
                <w:szCs w:val="21"/>
              </w:rPr>
              <w:t>N</w:t>
            </w:r>
            <w:r>
              <w:rPr>
                <w:rFonts w:ascii="Times New Roman" w:eastAsia="宋体" w:hAnsi="Times New Roman" w:cs="Times New Roman"/>
                <w:bCs/>
                <w:kern w:val="0"/>
                <w:szCs w:val="21"/>
              </w:rPr>
              <w:t>2</w:t>
            </w:r>
          </w:p>
        </w:tc>
        <w:tc>
          <w:tcPr>
            <w:tcW w:w="764" w:type="pct"/>
            <w:vAlign w:val="center"/>
          </w:tcPr>
          <w:p w14:paraId="4E5B3936"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NH</w:t>
            </w:r>
            <w:r>
              <w:rPr>
                <w:rFonts w:ascii="Times New Roman" w:eastAsia="宋体" w:hAnsi="Times New Roman" w:cs="Times New Roman"/>
                <w:bCs/>
                <w:kern w:val="0"/>
                <w:szCs w:val="21"/>
                <w:vertAlign w:val="subscript"/>
              </w:rPr>
              <w:t>3</w:t>
            </w:r>
          </w:p>
        </w:tc>
        <w:tc>
          <w:tcPr>
            <w:tcW w:w="1020" w:type="pct"/>
            <w:vAlign w:val="center"/>
          </w:tcPr>
          <w:p w14:paraId="1CAEA02A"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2</w:t>
            </w:r>
            <w:r>
              <w:rPr>
                <w:rFonts w:ascii="Times New Roman" w:eastAsia="宋体" w:hAnsi="Times New Roman" w:cs="Times New Roman"/>
                <w:bCs/>
                <w:iCs/>
                <w:spacing w:val="3"/>
                <w:kern w:val="0"/>
                <w:szCs w:val="21"/>
              </w:rPr>
              <w:t>.79E-03</w:t>
            </w:r>
          </w:p>
        </w:tc>
        <w:tc>
          <w:tcPr>
            <w:tcW w:w="850" w:type="pct"/>
            <w:vAlign w:val="center"/>
          </w:tcPr>
          <w:p w14:paraId="72433309"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.2</w:t>
            </w:r>
          </w:p>
        </w:tc>
        <w:tc>
          <w:tcPr>
            <w:tcW w:w="751" w:type="pct"/>
            <w:vAlign w:val="center"/>
          </w:tcPr>
          <w:p w14:paraId="1709E0ED"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.39</w:t>
            </w:r>
          </w:p>
        </w:tc>
        <w:tc>
          <w:tcPr>
            <w:tcW w:w="586" w:type="pct"/>
            <w:vAlign w:val="center"/>
          </w:tcPr>
          <w:p w14:paraId="710692ED"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2BAF7869" w14:textId="77777777">
        <w:trPr>
          <w:jc w:val="center"/>
        </w:trPr>
        <w:tc>
          <w:tcPr>
            <w:tcW w:w="1029" w:type="pct"/>
            <w:vMerge/>
            <w:vAlign w:val="center"/>
          </w:tcPr>
          <w:p w14:paraId="32887112" w14:textId="77777777" w:rsidR="00D12939" w:rsidRDefault="00D12939">
            <w:pPr>
              <w:widowControl/>
              <w:jc w:val="center"/>
              <w:rPr>
                <w:rFonts w:ascii="Times New Roman" w:eastAsia="宋体" w:hAnsi="Times New Roman" w:cs="Times New Roman"/>
                <w:bCs/>
                <w:kern w:val="0"/>
                <w:szCs w:val="21"/>
              </w:rPr>
            </w:pPr>
          </w:p>
        </w:tc>
        <w:tc>
          <w:tcPr>
            <w:tcW w:w="764" w:type="pct"/>
            <w:vAlign w:val="center"/>
          </w:tcPr>
          <w:p w14:paraId="37669CE7"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H</w:t>
            </w:r>
            <w:r>
              <w:rPr>
                <w:rFonts w:ascii="Times New Roman" w:eastAsia="宋体" w:hAnsi="Times New Roman" w:cs="Times New Roman"/>
                <w:bCs/>
                <w:kern w:val="0"/>
                <w:szCs w:val="21"/>
                <w:vertAlign w:val="subscript"/>
              </w:rPr>
              <w:t>2</w:t>
            </w:r>
            <w:r>
              <w:rPr>
                <w:rFonts w:ascii="Times New Roman" w:eastAsia="宋体" w:hAnsi="Times New Roman" w:cs="Times New Roman"/>
                <w:bCs/>
                <w:kern w:val="0"/>
                <w:szCs w:val="21"/>
              </w:rPr>
              <w:t>S</w:t>
            </w:r>
          </w:p>
        </w:tc>
        <w:tc>
          <w:tcPr>
            <w:tcW w:w="1020" w:type="pct"/>
            <w:vAlign w:val="center"/>
          </w:tcPr>
          <w:p w14:paraId="769E09D4"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.67E-04</w:t>
            </w:r>
          </w:p>
        </w:tc>
        <w:tc>
          <w:tcPr>
            <w:tcW w:w="850" w:type="pct"/>
            <w:vAlign w:val="center"/>
          </w:tcPr>
          <w:p w14:paraId="27EC07E6"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.01</w:t>
            </w:r>
          </w:p>
        </w:tc>
        <w:tc>
          <w:tcPr>
            <w:tcW w:w="751" w:type="pct"/>
            <w:vAlign w:val="center"/>
          </w:tcPr>
          <w:p w14:paraId="24F7BC07"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.67</w:t>
            </w:r>
          </w:p>
        </w:tc>
        <w:tc>
          <w:tcPr>
            <w:tcW w:w="586" w:type="pct"/>
            <w:vAlign w:val="center"/>
          </w:tcPr>
          <w:p w14:paraId="4EF5183B"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242EDC9E" w14:textId="77777777">
        <w:trPr>
          <w:jc w:val="center"/>
        </w:trPr>
        <w:tc>
          <w:tcPr>
            <w:tcW w:w="1029" w:type="pct"/>
            <w:vMerge w:val="restart"/>
            <w:vAlign w:val="center"/>
          </w:tcPr>
          <w:p w14:paraId="05AB19FB"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hint="eastAsia"/>
                <w:bCs/>
                <w:kern w:val="0"/>
                <w:szCs w:val="21"/>
              </w:rPr>
              <w:t>调节池恶臭</w:t>
            </w:r>
          </w:p>
        </w:tc>
        <w:tc>
          <w:tcPr>
            <w:tcW w:w="764" w:type="pct"/>
            <w:vAlign w:val="center"/>
          </w:tcPr>
          <w:p w14:paraId="101070C1"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NH</w:t>
            </w:r>
            <w:r>
              <w:rPr>
                <w:rFonts w:ascii="Times New Roman" w:eastAsia="宋体" w:hAnsi="Times New Roman" w:cs="Times New Roman"/>
                <w:bCs/>
                <w:kern w:val="0"/>
                <w:szCs w:val="21"/>
                <w:vertAlign w:val="subscript"/>
              </w:rPr>
              <w:t>3</w:t>
            </w:r>
          </w:p>
        </w:tc>
        <w:tc>
          <w:tcPr>
            <w:tcW w:w="1020" w:type="pct"/>
            <w:vAlign w:val="center"/>
          </w:tcPr>
          <w:p w14:paraId="61C242ED"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7</w:t>
            </w:r>
            <w:r>
              <w:rPr>
                <w:rFonts w:ascii="Times New Roman" w:eastAsia="宋体" w:hAnsi="Times New Roman" w:cs="Times New Roman"/>
                <w:bCs/>
                <w:iCs/>
                <w:spacing w:val="3"/>
                <w:kern w:val="0"/>
                <w:szCs w:val="21"/>
              </w:rPr>
              <w:t>.29E-03</w:t>
            </w:r>
          </w:p>
        </w:tc>
        <w:tc>
          <w:tcPr>
            <w:tcW w:w="850" w:type="pct"/>
            <w:vAlign w:val="center"/>
          </w:tcPr>
          <w:p w14:paraId="748E5B61"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.2</w:t>
            </w:r>
          </w:p>
        </w:tc>
        <w:tc>
          <w:tcPr>
            <w:tcW w:w="751" w:type="pct"/>
            <w:vAlign w:val="center"/>
          </w:tcPr>
          <w:p w14:paraId="14549DEA"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3</w:t>
            </w:r>
            <w:r>
              <w:rPr>
                <w:rFonts w:ascii="Times New Roman" w:eastAsia="宋体" w:hAnsi="Times New Roman" w:cs="Times New Roman"/>
                <w:bCs/>
                <w:iCs/>
                <w:spacing w:val="3"/>
                <w:kern w:val="0"/>
                <w:szCs w:val="21"/>
              </w:rPr>
              <w:t>.65</w:t>
            </w:r>
          </w:p>
        </w:tc>
        <w:tc>
          <w:tcPr>
            <w:tcW w:w="586" w:type="pct"/>
            <w:vAlign w:val="center"/>
          </w:tcPr>
          <w:p w14:paraId="0D3ACF49"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1A382A8F" w14:textId="77777777">
        <w:trPr>
          <w:jc w:val="center"/>
        </w:trPr>
        <w:tc>
          <w:tcPr>
            <w:tcW w:w="1029" w:type="pct"/>
            <w:vMerge/>
            <w:vAlign w:val="center"/>
          </w:tcPr>
          <w:p w14:paraId="34D25C9C" w14:textId="77777777" w:rsidR="00D12939" w:rsidRDefault="00D12939">
            <w:pPr>
              <w:widowControl/>
              <w:jc w:val="center"/>
              <w:rPr>
                <w:rFonts w:ascii="Times New Roman" w:eastAsia="宋体" w:hAnsi="Times New Roman" w:cs="Times New Roman"/>
                <w:bCs/>
                <w:kern w:val="0"/>
                <w:szCs w:val="21"/>
              </w:rPr>
            </w:pPr>
          </w:p>
        </w:tc>
        <w:tc>
          <w:tcPr>
            <w:tcW w:w="764" w:type="pct"/>
            <w:vAlign w:val="center"/>
          </w:tcPr>
          <w:p w14:paraId="0537A3E4"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H</w:t>
            </w:r>
            <w:r>
              <w:rPr>
                <w:rFonts w:ascii="Times New Roman" w:eastAsia="宋体" w:hAnsi="Times New Roman" w:cs="Times New Roman"/>
                <w:bCs/>
                <w:kern w:val="0"/>
                <w:szCs w:val="21"/>
                <w:vertAlign w:val="subscript"/>
              </w:rPr>
              <w:t>2</w:t>
            </w:r>
            <w:r>
              <w:rPr>
                <w:rFonts w:ascii="Times New Roman" w:eastAsia="宋体" w:hAnsi="Times New Roman" w:cs="Times New Roman"/>
                <w:bCs/>
                <w:kern w:val="0"/>
                <w:szCs w:val="21"/>
              </w:rPr>
              <w:t>S</w:t>
            </w:r>
          </w:p>
        </w:tc>
        <w:tc>
          <w:tcPr>
            <w:tcW w:w="1020" w:type="pct"/>
            <w:vAlign w:val="center"/>
          </w:tcPr>
          <w:p w14:paraId="429725CA"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.01E-04</w:t>
            </w:r>
          </w:p>
        </w:tc>
        <w:tc>
          <w:tcPr>
            <w:tcW w:w="850" w:type="pct"/>
            <w:vAlign w:val="center"/>
          </w:tcPr>
          <w:p w14:paraId="3B91868F"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.01</w:t>
            </w:r>
          </w:p>
        </w:tc>
        <w:tc>
          <w:tcPr>
            <w:tcW w:w="751" w:type="pct"/>
            <w:vAlign w:val="center"/>
          </w:tcPr>
          <w:p w14:paraId="58E3DD10"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.0</w:t>
            </w:r>
            <w:r>
              <w:rPr>
                <w:rFonts w:ascii="Times New Roman" w:eastAsia="宋体" w:hAnsi="Times New Roman" w:cs="Times New Roman" w:hint="eastAsia"/>
                <w:bCs/>
                <w:iCs/>
                <w:spacing w:val="3"/>
                <w:kern w:val="0"/>
                <w:szCs w:val="21"/>
              </w:rPr>
              <w:t>1</w:t>
            </w:r>
          </w:p>
        </w:tc>
        <w:tc>
          <w:tcPr>
            <w:tcW w:w="586" w:type="pct"/>
            <w:vAlign w:val="center"/>
          </w:tcPr>
          <w:p w14:paraId="38A482BC"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2122DAFF" w14:textId="77777777">
        <w:trPr>
          <w:jc w:val="center"/>
        </w:trPr>
        <w:tc>
          <w:tcPr>
            <w:tcW w:w="1029" w:type="pct"/>
            <w:vMerge w:val="restart"/>
            <w:vAlign w:val="center"/>
          </w:tcPr>
          <w:p w14:paraId="77C575A1"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hint="eastAsia"/>
                <w:bCs/>
                <w:kern w:val="0"/>
                <w:szCs w:val="21"/>
              </w:rPr>
              <w:t>渗滤液处理站恶臭</w:t>
            </w:r>
          </w:p>
        </w:tc>
        <w:tc>
          <w:tcPr>
            <w:tcW w:w="764" w:type="pct"/>
            <w:vAlign w:val="center"/>
          </w:tcPr>
          <w:p w14:paraId="6D3E9ED7"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NH</w:t>
            </w:r>
            <w:r>
              <w:rPr>
                <w:rFonts w:ascii="Times New Roman" w:eastAsia="宋体" w:hAnsi="Times New Roman" w:cs="Times New Roman"/>
                <w:bCs/>
                <w:kern w:val="0"/>
                <w:szCs w:val="21"/>
                <w:vertAlign w:val="subscript"/>
              </w:rPr>
              <w:t>3</w:t>
            </w:r>
          </w:p>
        </w:tc>
        <w:tc>
          <w:tcPr>
            <w:tcW w:w="1020" w:type="pct"/>
            <w:vAlign w:val="center"/>
          </w:tcPr>
          <w:p w14:paraId="166099F7"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.12E-02</w:t>
            </w:r>
          </w:p>
        </w:tc>
        <w:tc>
          <w:tcPr>
            <w:tcW w:w="850" w:type="pct"/>
            <w:vAlign w:val="center"/>
          </w:tcPr>
          <w:p w14:paraId="12FF55F3"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.2</w:t>
            </w:r>
          </w:p>
        </w:tc>
        <w:tc>
          <w:tcPr>
            <w:tcW w:w="751" w:type="pct"/>
            <w:vAlign w:val="center"/>
          </w:tcPr>
          <w:p w14:paraId="68910E1C"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3</w:t>
            </w:r>
            <w:r>
              <w:rPr>
                <w:rFonts w:ascii="Times New Roman" w:eastAsia="宋体" w:hAnsi="Times New Roman" w:cs="Times New Roman"/>
                <w:bCs/>
                <w:iCs/>
                <w:spacing w:val="3"/>
                <w:kern w:val="0"/>
                <w:szCs w:val="21"/>
              </w:rPr>
              <w:t>.59</w:t>
            </w:r>
          </w:p>
        </w:tc>
        <w:tc>
          <w:tcPr>
            <w:tcW w:w="586" w:type="pct"/>
            <w:vAlign w:val="center"/>
          </w:tcPr>
          <w:p w14:paraId="1FD74947"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0A875E94" w14:textId="77777777">
        <w:trPr>
          <w:jc w:val="center"/>
        </w:trPr>
        <w:tc>
          <w:tcPr>
            <w:tcW w:w="1029" w:type="pct"/>
            <w:vMerge/>
            <w:vAlign w:val="center"/>
          </w:tcPr>
          <w:p w14:paraId="513836F0" w14:textId="77777777" w:rsidR="00D12939" w:rsidRDefault="00D12939">
            <w:pPr>
              <w:widowControl/>
              <w:jc w:val="center"/>
              <w:rPr>
                <w:rFonts w:ascii="Times New Roman" w:eastAsia="宋体" w:hAnsi="Times New Roman" w:cs="Times New Roman"/>
                <w:bCs/>
                <w:kern w:val="0"/>
                <w:szCs w:val="21"/>
              </w:rPr>
            </w:pPr>
          </w:p>
        </w:tc>
        <w:tc>
          <w:tcPr>
            <w:tcW w:w="764" w:type="pct"/>
            <w:vAlign w:val="center"/>
          </w:tcPr>
          <w:p w14:paraId="74A067E8"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bCs/>
                <w:kern w:val="0"/>
                <w:szCs w:val="21"/>
              </w:rPr>
              <w:t>H</w:t>
            </w:r>
            <w:r>
              <w:rPr>
                <w:rFonts w:ascii="Times New Roman" w:eastAsia="宋体" w:hAnsi="Times New Roman" w:cs="Times New Roman"/>
                <w:bCs/>
                <w:kern w:val="0"/>
                <w:szCs w:val="21"/>
                <w:vertAlign w:val="subscript"/>
              </w:rPr>
              <w:t>2</w:t>
            </w:r>
            <w:r>
              <w:rPr>
                <w:rFonts w:ascii="Times New Roman" w:eastAsia="宋体" w:hAnsi="Times New Roman" w:cs="Times New Roman"/>
                <w:bCs/>
                <w:kern w:val="0"/>
                <w:szCs w:val="21"/>
              </w:rPr>
              <w:t>S</w:t>
            </w:r>
          </w:p>
        </w:tc>
        <w:tc>
          <w:tcPr>
            <w:tcW w:w="1020" w:type="pct"/>
            <w:vAlign w:val="center"/>
          </w:tcPr>
          <w:p w14:paraId="48BF1D80"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.58E-04</w:t>
            </w:r>
          </w:p>
        </w:tc>
        <w:tc>
          <w:tcPr>
            <w:tcW w:w="850" w:type="pct"/>
            <w:vAlign w:val="center"/>
          </w:tcPr>
          <w:p w14:paraId="66DB98D4"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.01</w:t>
            </w:r>
          </w:p>
        </w:tc>
        <w:tc>
          <w:tcPr>
            <w:tcW w:w="751" w:type="pct"/>
            <w:vAlign w:val="center"/>
          </w:tcPr>
          <w:p w14:paraId="1182FB59"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1</w:t>
            </w:r>
            <w:r>
              <w:rPr>
                <w:rFonts w:ascii="Times New Roman" w:eastAsia="宋体" w:hAnsi="Times New Roman" w:cs="Times New Roman"/>
                <w:bCs/>
                <w:iCs/>
                <w:spacing w:val="3"/>
                <w:kern w:val="0"/>
                <w:szCs w:val="21"/>
              </w:rPr>
              <w:t>.58</w:t>
            </w:r>
          </w:p>
        </w:tc>
        <w:tc>
          <w:tcPr>
            <w:tcW w:w="586" w:type="pct"/>
            <w:vAlign w:val="center"/>
          </w:tcPr>
          <w:p w14:paraId="68F1423F"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r w:rsidR="00D12939" w14:paraId="47AA9169" w14:textId="77777777">
        <w:trPr>
          <w:jc w:val="center"/>
        </w:trPr>
        <w:tc>
          <w:tcPr>
            <w:tcW w:w="1029" w:type="pct"/>
            <w:vAlign w:val="center"/>
          </w:tcPr>
          <w:p w14:paraId="064418A1"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hint="eastAsia"/>
                <w:bCs/>
                <w:kern w:val="0"/>
                <w:szCs w:val="21"/>
              </w:rPr>
              <w:t>填埋场扬尘</w:t>
            </w:r>
          </w:p>
        </w:tc>
        <w:tc>
          <w:tcPr>
            <w:tcW w:w="764" w:type="pct"/>
            <w:vAlign w:val="center"/>
          </w:tcPr>
          <w:p w14:paraId="7D718930" w14:textId="77777777" w:rsidR="00D12939" w:rsidRDefault="004F47F5">
            <w:pPr>
              <w:widowControl/>
              <w:jc w:val="center"/>
              <w:rPr>
                <w:rFonts w:ascii="Times New Roman" w:eastAsia="宋体" w:hAnsi="Times New Roman" w:cs="Times New Roman"/>
                <w:bCs/>
                <w:kern w:val="0"/>
                <w:szCs w:val="21"/>
              </w:rPr>
            </w:pPr>
            <w:r>
              <w:rPr>
                <w:rFonts w:ascii="Times New Roman" w:eastAsia="宋体" w:hAnsi="Times New Roman" w:cs="Times New Roman" w:hint="eastAsia"/>
                <w:bCs/>
                <w:kern w:val="0"/>
                <w:szCs w:val="21"/>
              </w:rPr>
              <w:t>T</w:t>
            </w:r>
            <w:r>
              <w:rPr>
                <w:rFonts w:ascii="Times New Roman" w:eastAsia="宋体" w:hAnsi="Times New Roman" w:cs="Times New Roman"/>
                <w:bCs/>
                <w:kern w:val="0"/>
                <w:szCs w:val="21"/>
              </w:rPr>
              <w:t>SP</w:t>
            </w:r>
          </w:p>
        </w:tc>
        <w:tc>
          <w:tcPr>
            <w:tcW w:w="1020" w:type="pct"/>
            <w:vAlign w:val="center"/>
          </w:tcPr>
          <w:p w14:paraId="07A8F931"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rPr>
            </w:pPr>
            <w:r>
              <w:rPr>
                <w:rFonts w:ascii="Times New Roman" w:eastAsia="宋体" w:hAnsi="Times New Roman" w:cs="Times New Roman" w:hint="eastAsia"/>
                <w:bCs/>
                <w:iCs/>
                <w:spacing w:val="3"/>
                <w:kern w:val="0"/>
                <w:szCs w:val="21"/>
              </w:rPr>
              <w:t>2</w:t>
            </w:r>
            <w:r>
              <w:rPr>
                <w:rFonts w:ascii="Times New Roman" w:eastAsia="宋体" w:hAnsi="Times New Roman" w:cs="Times New Roman"/>
                <w:bCs/>
                <w:iCs/>
                <w:spacing w:val="3"/>
                <w:kern w:val="0"/>
                <w:szCs w:val="21"/>
              </w:rPr>
              <w:t>.38E-03</w:t>
            </w:r>
          </w:p>
        </w:tc>
        <w:tc>
          <w:tcPr>
            <w:tcW w:w="850" w:type="pct"/>
            <w:vAlign w:val="center"/>
          </w:tcPr>
          <w:p w14:paraId="786C7EED"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r>
              <w:rPr>
                <w:rFonts w:ascii="Times New Roman" w:eastAsia="宋体" w:hAnsi="Times New Roman" w:cs="Times New Roman"/>
                <w:bCs/>
                <w:iCs/>
                <w:spacing w:val="1"/>
                <w:kern w:val="0"/>
                <w:szCs w:val="21"/>
              </w:rPr>
              <w:t>.9</w:t>
            </w:r>
          </w:p>
        </w:tc>
        <w:tc>
          <w:tcPr>
            <w:tcW w:w="751" w:type="pct"/>
            <w:vAlign w:val="center"/>
          </w:tcPr>
          <w:p w14:paraId="754E37CA"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3"/>
                <w:kern w:val="0"/>
                <w:szCs w:val="21"/>
                <w:highlight w:val="yellow"/>
              </w:rPr>
            </w:pPr>
            <w:r>
              <w:rPr>
                <w:rFonts w:ascii="Times New Roman" w:eastAsia="宋体" w:hAnsi="Times New Roman" w:cs="Times New Roman" w:hint="eastAsia"/>
                <w:bCs/>
                <w:iCs/>
                <w:spacing w:val="3"/>
                <w:kern w:val="0"/>
                <w:szCs w:val="21"/>
              </w:rPr>
              <w:t>0</w:t>
            </w:r>
            <w:r>
              <w:rPr>
                <w:rFonts w:ascii="Times New Roman" w:eastAsia="宋体" w:hAnsi="Times New Roman" w:cs="Times New Roman"/>
                <w:bCs/>
                <w:iCs/>
                <w:spacing w:val="3"/>
                <w:kern w:val="0"/>
                <w:szCs w:val="21"/>
              </w:rPr>
              <w:t>.26</w:t>
            </w:r>
          </w:p>
        </w:tc>
        <w:tc>
          <w:tcPr>
            <w:tcW w:w="586" w:type="pct"/>
            <w:vAlign w:val="center"/>
          </w:tcPr>
          <w:p w14:paraId="54BF3D96" w14:textId="77777777" w:rsidR="00D12939" w:rsidRDefault="004F47F5">
            <w:pPr>
              <w:autoSpaceDE w:val="0"/>
              <w:autoSpaceDN w:val="0"/>
              <w:adjustRightInd w:val="0"/>
              <w:snapToGrid w:val="0"/>
              <w:spacing w:line="240" w:lineRule="exact"/>
              <w:jc w:val="center"/>
              <w:rPr>
                <w:rFonts w:ascii="Times New Roman" w:eastAsia="宋体" w:hAnsi="Times New Roman" w:cs="Times New Roman"/>
                <w:bCs/>
                <w:iCs/>
                <w:spacing w:val="1"/>
                <w:kern w:val="0"/>
                <w:szCs w:val="21"/>
              </w:rPr>
            </w:pPr>
            <w:r>
              <w:rPr>
                <w:rFonts w:ascii="Times New Roman" w:eastAsia="宋体" w:hAnsi="Times New Roman" w:cs="Times New Roman" w:hint="eastAsia"/>
                <w:bCs/>
                <w:iCs/>
                <w:spacing w:val="1"/>
                <w:kern w:val="0"/>
                <w:szCs w:val="21"/>
              </w:rPr>
              <w:t>0</w:t>
            </w:r>
          </w:p>
        </w:tc>
      </w:tr>
    </w:tbl>
    <w:p w14:paraId="759954E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5</w:t>
      </w:r>
      <w:r>
        <w:rPr>
          <w:rFonts w:ascii="Times New Roman" w:eastAsia="宋体" w:hAnsi="Times New Roman" w:cs="Times New Roman"/>
          <w:sz w:val="24"/>
        </w:rPr>
        <w:t>）评价等级</w:t>
      </w:r>
    </w:p>
    <w:p w14:paraId="165A9050"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拟建项目各污染源污染因子</w:t>
      </w:r>
      <w:r>
        <w:rPr>
          <w:rFonts w:ascii="Times New Roman" w:eastAsia="宋体" w:hAnsi="Times New Roman" w:cs="Times New Roman"/>
          <w:sz w:val="24"/>
        </w:rPr>
        <w:t>Pmax=N1</w:t>
      </w:r>
      <w:r>
        <w:rPr>
          <w:rFonts w:ascii="Times New Roman" w:eastAsia="宋体" w:hAnsi="Times New Roman" w:cs="Times New Roman" w:hint="eastAsia"/>
          <w:sz w:val="24"/>
        </w:rPr>
        <w:t>填埋废气（非点燃状态）</w:t>
      </w:r>
      <w:r>
        <w:rPr>
          <w:rFonts w:ascii="Times New Roman" w:eastAsia="宋体" w:hAnsi="Times New Roman" w:cs="Times New Roman"/>
          <w:sz w:val="24"/>
        </w:rPr>
        <w:t>无组织</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S=7.44%</w:t>
      </w: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sz w:val="24"/>
        </w:rPr>
        <w:t>0</w:t>
      </w:r>
      <w:r>
        <w:rPr>
          <w:rFonts w:ascii="Times New Roman" w:eastAsia="宋体" w:hAnsi="Times New Roman" w:cs="Times New Roman" w:hint="eastAsia"/>
          <w:sz w:val="24"/>
        </w:rPr>
        <w:t>%</w:t>
      </w:r>
      <w:r>
        <w:rPr>
          <w:rFonts w:ascii="Times New Roman" w:eastAsia="宋体" w:hAnsi="Times New Roman" w:cs="Times New Roman"/>
          <w:sz w:val="24"/>
        </w:rPr>
        <w:t>&gt;</w:t>
      </w:r>
      <w:r>
        <w:rPr>
          <w:rFonts w:ascii="Times New Roman" w:eastAsia="宋体" w:hAnsi="Times New Roman" w:cs="Times New Roman" w:hint="eastAsia"/>
          <w:sz w:val="24"/>
        </w:rPr>
        <w:t>Pmax</w:t>
      </w:r>
      <w:r>
        <w:rPr>
          <w:rFonts w:ascii="Times New Roman" w:eastAsia="宋体" w:hAnsi="Times New Roman" w:cs="Times New Roman"/>
          <w:sz w:val="24"/>
        </w:rPr>
        <w:t>&gt;1%</w:t>
      </w:r>
      <w:r>
        <w:rPr>
          <w:rFonts w:ascii="Times New Roman" w:eastAsia="宋体" w:hAnsi="Times New Roman" w:cs="Times New Roman"/>
          <w:sz w:val="24"/>
        </w:rPr>
        <w:t>，根据导则确定，本项目评价等级为</w:t>
      </w:r>
      <w:r>
        <w:rPr>
          <w:rFonts w:ascii="Times New Roman" w:eastAsia="宋体" w:hAnsi="Times New Roman" w:cs="Times New Roman" w:hint="eastAsia"/>
          <w:sz w:val="24"/>
        </w:rPr>
        <w:t>二</w:t>
      </w:r>
      <w:r>
        <w:rPr>
          <w:rFonts w:ascii="Times New Roman" w:eastAsia="宋体" w:hAnsi="Times New Roman" w:cs="Times New Roman"/>
          <w:sz w:val="24"/>
        </w:rPr>
        <w:t>级。</w:t>
      </w:r>
    </w:p>
    <w:p w14:paraId="2B5F0CAE"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6</w:t>
      </w:r>
      <w:r>
        <w:rPr>
          <w:rFonts w:ascii="Times New Roman" w:eastAsia="宋体" w:hAnsi="Times New Roman" w:cs="Times New Roman"/>
          <w:sz w:val="24"/>
        </w:rPr>
        <w:t>）评价范围</w:t>
      </w:r>
    </w:p>
    <w:p w14:paraId="78762AD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以厂址为中心区域，自厂界外延，边长</w:t>
      </w:r>
      <w:r>
        <w:rPr>
          <w:rFonts w:ascii="Times New Roman" w:eastAsia="宋体" w:hAnsi="Times New Roman" w:cs="Times New Roman"/>
          <w:sz w:val="24"/>
        </w:rPr>
        <w:t>5km</w:t>
      </w:r>
      <w:r>
        <w:rPr>
          <w:rFonts w:ascii="Times New Roman" w:eastAsia="宋体" w:hAnsi="Times New Roman" w:cs="Times New Roman"/>
          <w:sz w:val="24"/>
        </w:rPr>
        <w:t>的矩形区域，具体见图</w:t>
      </w:r>
      <w:r>
        <w:rPr>
          <w:rFonts w:ascii="Times New Roman" w:eastAsia="宋体" w:hAnsi="Times New Roman" w:cs="Times New Roman"/>
          <w:sz w:val="24"/>
        </w:rPr>
        <w:t>2.4-1</w:t>
      </w:r>
      <w:r>
        <w:rPr>
          <w:rFonts w:ascii="Times New Roman" w:eastAsia="宋体" w:hAnsi="Times New Roman" w:cs="Times New Roman"/>
          <w:sz w:val="24"/>
        </w:rPr>
        <w:t>。</w:t>
      </w:r>
    </w:p>
    <w:p w14:paraId="6856DD83"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226" w:name="_Toc121411699"/>
      <w:r>
        <w:rPr>
          <w:rFonts w:ascii="Times New Roman" w:eastAsia="黑体" w:hAnsi="Times New Roman" w:cs="Times New Roman"/>
          <w:b w:val="0"/>
          <w:sz w:val="24"/>
        </w:rPr>
        <w:t>2.4.2</w:t>
      </w:r>
      <w:r>
        <w:rPr>
          <w:rFonts w:ascii="Times New Roman" w:eastAsia="黑体" w:hAnsi="Times New Roman" w:cs="Times New Roman"/>
          <w:b w:val="0"/>
          <w:sz w:val="24"/>
        </w:rPr>
        <w:t>地表水环境</w:t>
      </w:r>
      <w:bookmarkEnd w:id="223"/>
      <w:bookmarkEnd w:id="224"/>
      <w:bookmarkEnd w:id="225"/>
      <w:bookmarkEnd w:id="226"/>
    </w:p>
    <w:p w14:paraId="677CCF37" w14:textId="7C53A838" w:rsidR="00D12939" w:rsidRDefault="004F47F5">
      <w:pPr>
        <w:pStyle w:val="1c"/>
        <w:snapToGrid/>
        <w:spacing w:line="360" w:lineRule="auto"/>
        <w:ind w:firstLine="480"/>
        <w:rPr>
          <w:rFonts w:eastAsia="宋体" w:cs="Times New Roman"/>
          <w:sz w:val="24"/>
          <w:szCs w:val="22"/>
        </w:rPr>
      </w:pPr>
      <w:bookmarkStart w:id="227" w:name="_Toc3891"/>
      <w:r>
        <w:rPr>
          <w:rFonts w:eastAsia="宋体" w:cs="Times New Roman"/>
          <w:sz w:val="24"/>
          <w:szCs w:val="22"/>
        </w:rPr>
        <w:t>根据《环境影响评价技术导则</w:t>
      </w:r>
      <w:r>
        <w:rPr>
          <w:rFonts w:eastAsia="宋体" w:cs="Times New Roman"/>
          <w:sz w:val="24"/>
          <w:szCs w:val="22"/>
        </w:rPr>
        <w:t>·</w:t>
      </w:r>
      <w:r>
        <w:rPr>
          <w:rFonts w:eastAsia="宋体" w:cs="Times New Roman"/>
          <w:sz w:val="24"/>
          <w:szCs w:val="22"/>
        </w:rPr>
        <w:t>地面水环境》（</w:t>
      </w:r>
      <w:r>
        <w:rPr>
          <w:rFonts w:eastAsia="宋体" w:cs="Times New Roman"/>
          <w:sz w:val="24"/>
          <w:szCs w:val="22"/>
        </w:rPr>
        <w:t>HJ2.3-2018</w:t>
      </w:r>
      <w:r>
        <w:rPr>
          <w:rFonts w:eastAsia="宋体" w:cs="Times New Roman"/>
          <w:sz w:val="24"/>
          <w:szCs w:val="22"/>
        </w:rPr>
        <w:t>）中地面水环境影响评价分级判据，并结合项目实际排水量及水污染物当量数，生活垃圾填埋场产生的</w:t>
      </w:r>
      <w:r>
        <w:rPr>
          <w:rFonts w:eastAsia="宋体" w:cs="Times New Roman" w:hint="eastAsia"/>
          <w:sz w:val="24"/>
        </w:rPr>
        <w:t>填埋场渗沥液经收集处理达标后，部分用于场内自用，剩余尾水采用槽罐车运输方式，运至柞水县污水处理厂进一步处理</w:t>
      </w:r>
      <w:r>
        <w:rPr>
          <w:rFonts w:eastAsia="宋体" w:cs="Times New Roman"/>
          <w:sz w:val="24"/>
          <w:szCs w:val="22"/>
        </w:rPr>
        <w:t>，</w:t>
      </w:r>
      <w:r w:rsidR="00DA291F" w:rsidRPr="00DA291F">
        <w:rPr>
          <w:rFonts w:eastAsia="宋体" w:cs="Times New Roman" w:hint="eastAsia"/>
          <w:sz w:val="24"/>
          <w:szCs w:val="22"/>
        </w:rPr>
        <w:t>浓缩液回灌至填埋场</w:t>
      </w:r>
      <w:r w:rsidR="00DA291F">
        <w:rPr>
          <w:rFonts w:eastAsia="宋体" w:cs="Times New Roman" w:hint="eastAsia"/>
          <w:sz w:val="24"/>
          <w:szCs w:val="22"/>
        </w:rPr>
        <w:t>。</w:t>
      </w:r>
      <w:r>
        <w:rPr>
          <w:rFonts w:eastAsia="宋体" w:cs="Times New Roman"/>
          <w:sz w:val="24"/>
          <w:szCs w:val="22"/>
        </w:rPr>
        <w:t>确定生活垃圾填埋场项目地表水评价等级为三级</w:t>
      </w:r>
      <w:r>
        <w:rPr>
          <w:rFonts w:eastAsia="宋体" w:cs="Times New Roman"/>
          <w:sz w:val="24"/>
          <w:szCs w:val="22"/>
        </w:rPr>
        <w:t>B</w:t>
      </w:r>
      <w:r>
        <w:rPr>
          <w:rFonts w:eastAsia="宋体" w:cs="Times New Roman"/>
          <w:sz w:val="24"/>
          <w:szCs w:val="22"/>
        </w:rPr>
        <w:t>。本</w:t>
      </w:r>
      <w:r>
        <w:rPr>
          <w:rFonts w:eastAsia="宋体" w:cs="Times New Roman"/>
          <w:sz w:val="24"/>
          <w:szCs w:val="22"/>
        </w:rPr>
        <w:lastRenderedPageBreak/>
        <w:t>项目地表水评价工作等级判据详见表</w:t>
      </w:r>
      <w:r>
        <w:rPr>
          <w:rFonts w:eastAsia="宋体" w:cs="Times New Roman"/>
          <w:sz w:val="24"/>
          <w:szCs w:val="22"/>
        </w:rPr>
        <w:t>2.4-</w:t>
      </w:r>
      <w:r>
        <w:rPr>
          <w:rFonts w:eastAsia="宋体" w:cs="Times New Roman" w:hint="eastAsia"/>
          <w:sz w:val="24"/>
          <w:szCs w:val="22"/>
        </w:rPr>
        <w:t>4</w:t>
      </w:r>
      <w:r>
        <w:rPr>
          <w:rFonts w:eastAsia="宋体" w:cs="Times New Roman"/>
          <w:sz w:val="24"/>
          <w:szCs w:val="22"/>
        </w:rPr>
        <w:t>。</w:t>
      </w:r>
    </w:p>
    <w:p w14:paraId="3A266F03" w14:textId="77777777" w:rsidR="00D12939" w:rsidRDefault="004F47F5">
      <w:pPr>
        <w:pStyle w:val="a5"/>
        <w:ind w:firstLine="480"/>
        <w:rPr>
          <w:rFonts w:ascii="黑体" w:eastAsia="黑体" w:hAnsi="黑体"/>
          <w:sz w:val="24"/>
          <w:szCs w:val="21"/>
        </w:rPr>
      </w:pPr>
      <w:r>
        <w:rPr>
          <w:rFonts w:ascii="黑体" w:eastAsia="黑体" w:hAnsi="黑体" w:hint="eastAsia"/>
          <w:sz w:val="24"/>
          <w:szCs w:val="21"/>
        </w:rPr>
        <w:t>表</w:t>
      </w:r>
      <w:r>
        <w:rPr>
          <w:rFonts w:ascii="黑体" w:eastAsia="黑体" w:hAnsi="黑体"/>
          <w:sz w:val="24"/>
          <w:szCs w:val="21"/>
        </w:rPr>
        <w:t>2.4-4 地表水评价工作等级判据一览表</w:t>
      </w:r>
    </w:p>
    <w:tbl>
      <w:tblPr>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0"/>
        <w:gridCol w:w="3405"/>
        <w:gridCol w:w="4509"/>
      </w:tblGrid>
      <w:tr w:rsidR="00D12939" w14:paraId="1F7213A4" w14:textId="77777777">
        <w:trPr>
          <w:trHeight w:val="348"/>
        </w:trPr>
        <w:tc>
          <w:tcPr>
            <w:tcW w:w="935" w:type="pct"/>
            <w:vMerge w:val="restart"/>
            <w:vAlign w:val="center"/>
          </w:tcPr>
          <w:p w14:paraId="6F7D8D7E"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评价等级</w:t>
            </w:r>
          </w:p>
        </w:tc>
        <w:tc>
          <w:tcPr>
            <w:tcW w:w="4065" w:type="pct"/>
            <w:gridSpan w:val="2"/>
            <w:vAlign w:val="center"/>
          </w:tcPr>
          <w:p w14:paraId="3EAA1EF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判定依据</w:t>
            </w:r>
          </w:p>
        </w:tc>
      </w:tr>
      <w:tr w:rsidR="00D12939" w14:paraId="25CEFCBD" w14:textId="77777777">
        <w:trPr>
          <w:trHeight w:val="348"/>
        </w:trPr>
        <w:tc>
          <w:tcPr>
            <w:tcW w:w="935" w:type="pct"/>
            <w:vMerge/>
            <w:vAlign w:val="center"/>
          </w:tcPr>
          <w:p w14:paraId="7668395D" w14:textId="77777777" w:rsidR="00D12939" w:rsidRDefault="00D12939">
            <w:pPr>
              <w:adjustRightInd w:val="0"/>
              <w:snapToGrid w:val="0"/>
              <w:jc w:val="center"/>
              <w:rPr>
                <w:rFonts w:ascii="Times New Roman" w:eastAsia="宋体" w:hAnsi="Times New Roman" w:cs="Times New Roman"/>
                <w:szCs w:val="21"/>
              </w:rPr>
            </w:pPr>
          </w:p>
        </w:tc>
        <w:tc>
          <w:tcPr>
            <w:tcW w:w="1749" w:type="pct"/>
            <w:vAlign w:val="center"/>
          </w:tcPr>
          <w:p w14:paraId="176DAD3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排放方式</w:t>
            </w:r>
          </w:p>
        </w:tc>
        <w:tc>
          <w:tcPr>
            <w:tcW w:w="2316" w:type="pct"/>
            <w:vAlign w:val="center"/>
          </w:tcPr>
          <w:p w14:paraId="659B816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废水排放量</w:t>
            </w:r>
            <w:r>
              <w:rPr>
                <w:rFonts w:ascii="Times New Roman" w:eastAsia="宋体" w:hAnsi="Times New Roman" w:cs="Times New Roman"/>
              </w:rPr>
              <w:t>Q/</w:t>
            </w:r>
            <w:r>
              <w:rPr>
                <w:rFonts w:ascii="Times New Roman" w:eastAsia="宋体" w:hAnsi="Times New Roman" w:cs="Times New Roman"/>
              </w:rPr>
              <w:t>（</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/d</w:t>
            </w:r>
            <w:r>
              <w:rPr>
                <w:rFonts w:ascii="Times New Roman" w:eastAsia="宋体" w:hAnsi="Times New Roman" w:cs="Times New Roman"/>
              </w:rPr>
              <w:t>）</w:t>
            </w:r>
          </w:p>
          <w:p w14:paraId="19C1405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水污染物当量数</w:t>
            </w:r>
            <w:r>
              <w:rPr>
                <w:rFonts w:ascii="Times New Roman" w:eastAsia="宋体" w:hAnsi="Times New Roman" w:cs="Times New Roman"/>
              </w:rPr>
              <w:t>W/</w:t>
            </w:r>
            <w:r>
              <w:rPr>
                <w:rFonts w:ascii="Times New Roman" w:eastAsia="宋体" w:hAnsi="Times New Roman" w:cs="Times New Roman"/>
              </w:rPr>
              <w:t>（无量纲）</w:t>
            </w:r>
          </w:p>
        </w:tc>
      </w:tr>
      <w:tr w:rsidR="00D12939" w14:paraId="5B29D6DB" w14:textId="77777777">
        <w:trPr>
          <w:trHeight w:val="348"/>
        </w:trPr>
        <w:tc>
          <w:tcPr>
            <w:tcW w:w="935" w:type="pct"/>
            <w:vAlign w:val="center"/>
          </w:tcPr>
          <w:p w14:paraId="10C2A70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一级</w:t>
            </w:r>
          </w:p>
        </w:tc>
        <w:tc>
          <w:tcPr>
            <w:tcW w:w="1749" w:type="pct"/>
            <w:vAlign w:val="center"/>
          </w:tcPr>
          <w:p w14:paraId="168F164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直接排放</w:t>
            </w:r>
          </w:p>
        </w:tc>
        <w:tc>
          <w:tcPr>
            <w:tcW w:w="2316" w:type="pct"/>
            <w:vAlign w:val="center"/>
          </w:tcPr>
          <w:p w14:paraId="0A5788D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Q≥20000</w:t>
            </w:r>
            <w:r>
              <w:rPr>
                <w:rFonts w:ascii="Times New Roman" w:eastAsia="宋体" w:hAnsi="Times New Roman" w:cs="Times New Roman"/>
                <w:szCs w:val="21"/>
              </w:rPr>
              <w:t>或</w:t>
            </w:r>
            <w:r>
              <w:rPr>
                <w:rFonts w:ascii="Times New Roman" w:eastAsia="宋体" w:hAnsi="Times New Roman" w:cs="Times New Roman"/>
                <w:szCs w:val="21"/>
              </w:rPr>
              <w:t>W≥600000</w:t>
            </w:r>
          </w:p>
        </w:tc>
      </w:tr>
      <w:tr w:rsidR="00D12939" w14:paraId="3F974CB2" w14:textId="77777777">
        <w:trPr>
          <w:trHeight w:val="348"/>
        </w:trPr>
        <w:tc>
          <w:tcPr>
            <w:tcW w:w="935" w:type="pct"/>
            <w:vAlign w:val="center"/>
          </w:tcPr>
          <w:p w14:paraId="6F246A3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1749" w:type="pct"/>
            <w:vAlign w:val="center"/>
          </w:tcPr>
          <w:p w14:paraId="630BDE4D"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直接排放</w:t>
            </w:r>
          </w:p>
        </w:tc>
        <w:tc>
          <w:tcPr>
            <w:tcW w:w="2316" w:type="pct"/>
            <w:vAlign w:val="center"/>
          </w:tcPr>
          <w:p w14:paraId="595C28D5"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其他</w:t>
            </w:r>
          </w:p>
        </w:tc>
      </w:tr>
      <w:tr w:rsidR="00D12939" w14:paraId="3F85FDD5" w14:textId="77777777">
        <w:trPr>
          <w:trHeight w:val="348"/>
        </w:trPr>
        <w:tc>
          <w:tcPr>
            <w:tcW w:w="935" w:type="pct"/>
            <w:vAlign w:val="center"/>
          </w:tcPr>
          <w:p w14:paraId="2A660FE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三级</w:t>
            </w:r>
            <w:r>
              <w:rPr>
                <w:rFonts w:ascii="Times New Roman" w:eastAsia="宋体" w:hAnsi="Times New Roman" w:cs="Times New Roman"/>
                <w:szCs w:val="21"/>
              </w:rPr>
              <w:t>A</w:t>
            </w:r>
          </w:p>
        </w:tc>
        <w:tc>
          <w:tcPr>
            <w:tcW w:w="1749" w:type="pct"/>
            <w:vAlign w:val="center"/>
          </w:tcPr>
          <w:p w14:paraId="287DA09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直接排放</w:t>
            </w:r>
          </w:p>
        </w:tc>
        <w:tc>
          <w:tcPr>
            <w:tcW w:w="2316" w:type="pct"/>
            <w:vAlign w:val="center"/>
          </w:tcPr>
          <w:p w14:paraId="76874C4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Q</w:t>
            </w:r>
            <w:r>
              <w:rPr>
                <w:rFonts w:ascii="Times New Roman" w:eastAsia="宋体" w:hAnsi="Times New Roman" w:cs="Times New Roman"/>
                <w:szCs w:val="21"/>
              </w:rPr>
              <w:t>＜</w:t>
            </w:r>
            <w:r>
              <w:rPr>
                <w:rFonts w:ascii="Times New Roman" w:eastAsia="宋体" w:hAnsi="Times New Roman" w:cs="Times New Roman"/>
                <w:szCs w:val="21"/>
              </w:rPr>
              <w:t>200</w:t>
            </w:r>
            <w:r>
              <w:rPr>
                <w:rFonts w:ascii="Times New Roman" w:eastAsia="宋体" w:hAnsi="Times New Roman" w:cs="Times New Roman"/>
                <w:szCs w:val="21"/>
              </w:rPr>
              <w:t>且</w:t>
            </w:r>
            <w:r>
              <w:rPr>
                <w:rFonts w:ascii="Times New Roman" w:eastAsia="宋体" w:hAnsi="Times New Roman" w:cs="Times New Roman"/>
                <w:szCs w:val="21"/>
              </w:rPr>
              <w:t>W</w:t>
            </w:r>
            <w:r>
              <w:rPr>
                <w:rFonts w:ascii="Times New Roman" w:eastAsia="宋体" w:hAnsi="Times New Roman" w:cs="Times New Roman"/>
                <w:szCs w:val="21"/>
              </w:rPr>
              <w:t>＜</w:t>
            </w:r>
            <w:r>
              <w:rPr>
                <w:rFonts w:ascii="Times New Roman" w:eastAsia="宋体" w:hAnsi="Times New Roman" w:cs="Times New Roman"/>
                <w:szCs w:val="21"/>
              </w:rPr>
              <w:t>6000</w:t>
            </w:r>
          </w:p>
        </w:tc>
      </w:tr>
      <w:tr w:rsidR="00D12939" w14:paraId="0B474C10" w14:textId="77777777">
        <w:trPr>
          <w:trHeight w:val="348"/>
        </w:trPr>
        <w:tc>
          <w:tcPr>
            <w:tcW w:w="935" w:type="pct"/>
            <w:vAlign w:val="center"/>
          </w:tcPr>
          <w:p w14:paraId="1267BD8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三级</w:t>
            </w:r>
            <w:r>
              <w:rPr>
                <w:rFonts w:ascii="Times New Roman" w:eastAsia="宋体" w:hAnsi="Times New Roman" w:cs="Times New Roman"/>
                <w:szCs w:val="21"/>
              </w:rPr>
              <w:t>B</w:t>
            </w:r>
          </w:p>
        </w:tc>
        <w:tc>
          <w:tcPr>
            <w:tcW w:w="1749" w:type="pct"/>
            <w:vAlign w:val="center"/>
          </w:tcPr>
          <w:p w14:paraId="30DDD1A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间接排放</w:t>
            </w:r>
          </w:p>
        </w:tc>
        <w:tc>
          <w:tcPr>
            <w:tcW w:w="2316" w:type="pct"/>
            <w:vAlign w:val="center"/>
          </w:tcPr>
          <w:p w14:paraId="48C0108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6D21AB39" w14:textId="77777777">
        <w:trPr>
          <w:trHeight w:val="348"/>
        </w:trPr>
        <w:tc>
          <w:tcPr>
            <w:tcW w:w="935" w:type="pct"/>
            <w:vAlign w:val="center"/>
          </w:tcPr>
          <w:p w14:paraId="493DB1B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本项目情况</w:t>
            </w:r>
          </w:p>
        </w:tc>
        <w:tc>
          <w:tcPr>
            <w:tcW w:w="4065" w:type="pct"/>
            <w:gridSpan w:val="2"/>
            <w:vAlign w:val="center"/>
          </w:tcPr>
          <w:p w14:paraId="5ED6AFC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生活垃圾填埋场产生的渗滤液</w:t>
            </w:r>
            <w:r>
              <w:rPr>
                <w:rFonts w:ascii="Times New Roman" w:eastAsia="宋体" w:hAnsi="Times New Roman" w:cs="Times New Roman" w:hint="eastAsia"/>
                <w:szCs w:val="21"/>
              </w:rPr>
              <w:t>经收集处理达标后，部分用于场内自用，剩余尾水采用槽罐车运输方式，运至柞水县污水处理厂进一步处理</w:t>
            </w:r>
          </w:p>
        </w:tc>
      </w:tr>
      <w:tr w:rsidR="00D12939" w14:paraId="6BBE9700" w14:textId="77777777">
        <w:trPr>
          <w:trHeight w:val="348"/>
        </w:trPr>
        <w:tc>
          <w:tcPr>
            <w:tcW w:w="935" w:type="pct"/>
            <w:vAlign w:val="center"/>
          </w:tcPr>
          <w:p w14:paraId="3FB28C5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评价等级</w:t>
            </w:r>
          </w:p>
        </w:tc>
        <w:tc>
          <w:tcPr>
            <w:tcW w:w="4065" w:type="pct"/>
            <w:gridSpan w:val="2"/>
            <w:vAlign w:val="center"/>
          </w:tcPr>
          <w:p w14:paraId="3FBDB46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生活垃圾填埋场项目地表水评价等级为三级</w:t>
            </w:r>
            <w:r>
              <w:rPr>
                <w:rFonts w:ascii="Times New Roman" w:eastAsia="宋体" w:hAnsi="Times New Roman" w:cs="Times New Roman"/>
                <w:szCs w:val="21"/>
              </w:rPr>
              <w:t>B</w:t>
            </w:r>
          </w:p>
        </w:tc>
      </w:tr>
    </w:tbl>
    <w:p w14:paraId="09B3D510"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228" w:name="_Toc18428"/>
      <w:bookmarkStart w:id="229" w:name="_Toc121411700"/>
      <w:r>
        <w:rPr>
          <w:rFonts w:ascii="Times New Roman" w:eastAsia="黑体" w:hAnsi="Times New Roman" w:cs="Times New Roman"/>
          <w:b w:val="0"/>
          <w:sz w:val="24"/>
        </w:rPr>
        <w:t>2.4.3</w:t>
      </w:r>
      <w:r>
        <w:rPr>
          <w:rFonts w:ascii="Times New Roman" w:eastAsia="黑体" w:hAnsi="Times New Roman" w:cs="Times New Roman"/>
          <w:b w:val="0"/>
          <w:sz w:val="24"/>
        </w:rPr>
        <w:t>地下水环境</w:t>
      </w:r>
      <w:bookmarkEnd w:id="227"/>
      <w:bookmarkEnd w:id="228"/>
      <w:bookmarkEnd w:id="229"/>
    </w:p>
    <w:p w14:paraId="5301763E"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sz w:val="24"/>
        </w:rPr>
        <w:t xml:space="preserve"> </w:t>
      </w:r>
      <w:r>
        <w:rPr>
          <w:rFonts w:ascii="Times New Roman" w:eastAsia="宋体" w:hAnsi="Times New Roman" w:cs="Times New Roman"/>
          <w:sz w:val="24"/>
        </w:rPr>
        <w:t>评价等级确定</w:t>
      </w:r>
    </w:p>
    <w:p w14:paraId="7A220189"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根据《环境影响评价技术导则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地下水环境》（</w:t>
      </w:r>
      <w:r>
        <w:rPr>
          <w:rFonts w:ascii="Times New Roman" w:eastAsia="宋体" w:hAnsi="Times New Roman" w:cs="Times New Roman"/>
          <w:sz w:val="24"/>
        </w:rPr>
        <w:t>HJ610-2016</w:t>
      </w:r>
      <w:r>
        <w:rPr>
          <w:rFonts w:ascii="Times New Roman" w:eastAsia="宋体" w:hAnsi="Times New Roman" w:cs="Times New Roman"/>
          <w:sz w:val="24"/>
        </w:rPr>
        <w:t>），集中式生活垃圾填埋场项目为</w:t>
      </w:r>
      <w:r>
        <w:rPr>
          <w:rFonts w:ascii="Times New Roman" w:eastAsia="宋体" w:hAnsi="Times New Roman" w:cs="Times New Roman"/>
          <w:sz w:val="24"/>
        </w:rPr>
        <w:t>Ⅰ</w:t>
      </w:r>
      <w:r>
        <w:rPr>
          <w:rFonts w:ascii="Times New Roman" w:eastAsia="宋体" w:hAnsi="Times New Roman" w:cs="Times New Roman"/>
          <w:sz w:val="24"/>
        </w:rPr>
        <w:t>类项目，项目区地下水环境敏感程度为不敏感。因此，本项目地下水环境影响评价工作等级确定为二级。评价等级确定判据见表</w:t>
      </w:r>
      <w:r>
        <w:rPr>
          <w:rFonts w:ascii="Times New Roman" w:eastAsia="宋体" w:hAnsi="Times New Roman" w:cs="Times New Roman"/>
          <w:sz w:val="24"/>
        </w:rPr>
        <w:t>2.4-</w:t>
      </w:r>
      <w:r>
        <w:rPr>
          <w:rFonts w:ascii="Times New Roman" w:eastAsia="宋体" w:hAnsi="Times New Roman" w:cs="Times New Roman" w:hint="eastAsia"/>
          <w:sz w:val="24"/>
        </w:rPr>
        <w:t>5</w:t>
      </w:r>
      <w:r>
        <w:rPr>
          <w:rFonts w:ascii="Times New Roman" w:eastAsia="宋体" w:hAnsi="Times New Roman" w:cs="Times New Roman"/>
          <w:sz w:val="24"/>
        </w:rPr>
        <w:t>。</w:t>
      </w:r>
    </w:p>
    <w:p w14:paraId="2DA3842C" w14:textId="77777777" w:rsidR="00D12939" w:rsidRDefault="004F47F5">
      <w:pPr>
        <w:pStyle w:val="a5"/>
        <w:ind w:firstLine="480"/>
        <w:rPr>
          <w:rFonts w:ascii="黑体" w:eastAsia="黑体" w:hAnsi="黑体"/>
          <w:sz w:val="24"/>
          <w:szCs w:val="21"/>
        </w:rPr>
      </w:pPr>
      <w:r>
        <w:rPr>
          <w:rFonts w:ascii="黑体" w:eastAsia="黑体" w:hAnsi="黑体" w:hint="eastAsia"/>
          <w:sz w:val="24"/>
          <w:szCs w:val="21"/>
        </w:rPr>
        <w:t>表2</w:t>
      </w:r>
      <w:r>
        <w:rPr>
          <w:rFonts w:ascii="黑体" w:eastAsia="黑体" w:hAnsi="黑体"/>
          <w:sz w:val="24"/>
          <w:szCs w:val="21"/>
        </w:rPr>
        <w:t>.4-5  地下水环境影响评价</w:t>
      </w:r>
      <w:r>
        <w:rPr>
          <w:rFonts w:ascii="黑体" w:eastAsia="黑体" w:hAnsi="黑体" w:hint="eastAsia"/>
          <w:sz w:val="24"/>
          <w:szCs w:val="21"/>
        </w:rPr>
        <w:t>等</w:t>
      </w:r>
      <w:r>
        <w:rPr>
          <w:rFonts w:ascii="黑体" w:eastAsia="黑体" w:hAnsi="黑体"/>
          <w:sz w:val="24"/>
          <w:szCs w:val="21"/>
        </w:rPr>
        <w:t>级</w:t>
      </w:r>
      <w:r>
        <w:rPr>
          <w:rFonts w:ascii="黑体" w:eastAsia="黑体" w:hAnsi="黑体" w:hint="eastAsia"/>
          <w:sz w:val="24"/>
          <w:szCs w:val="21"/>
        </w:rPr>
        <w:t>判定表</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1289"/>
        <w:gridCol w:w="2618"/>
        <w:gridCol w:w="1687"/>
        <w:gridCol w:w="1806"/>
        <w:gridCol w:w="2118"/>
      </w:tblGrid>
      <w:tr w:rsidR="00D12939" w14:paraId="5E1E6F4C" w14:textId="77777777">
        <w:trPr>
          <w:cantSplit/>
          <w:trHeight w:val="207"/>
          <w:jc w:val="center"/>
        </w:trPr>
        <w:tc>
          <w:tcPr>
            <w:tcW w:w="1289" w:type="dxa"/>
            <w:vMerge w:val="restart"/>
            <w:tcBorders>
              <w:top w:val="single" w:sz="2" w:space="0" w:color="000000"/>
              <w:left w:val="single" w:sz="2" w:space="0" w:color="000000"/>
            </w:tcBorders>
            <w:vAlign w:val="center"/>
          </w:tcPr>
          <w:p w14:paraId="75125D0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判定依据</w:t>
            </w:r>
          </w:p>
        </w:tc>
        <w:tc>
          <w:tcPr>
            <w:tcW w:w="2618" w:type="dxa"/>
            <w:tcBorders>
              <w:top w:val="single" w:sz="2" w:space="0" w:color="000000"/>
              <w:tl2br w:val="single" w:sz="4" w:space="0" w:color="auto"/>
            </w:tcBorders>
            <w:vAlign w:val="center"/>
          </w:tcPr>
          <w:p w14:paraId="5C88D07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 xml:space="preserve">         </w:t>
            </w:r>
            <w:r>
              <w:rPr>
                <w:rFonts w:ascii="Times New Roman" w:eastAsia="宋体" w:hAnsi="Times New Roman" w:cs="Times New Roman"/>
              </w:rPr>
              <w:t>项目类别</w:t>
            </w:r>
          </w:p>
          <w:p w14:paraId="07B1E16A"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环境敏感程度</w:t>
            </w:r>
          </w:p>
        </w:tc>
        <w:tc>
          <w:tcPr>
            <w:tcW w:w="1687" w:type="dxa"/>
            <w:tcBorders>
              <w:top w:val="single" w:sz="2" w:space="0" w:color="000000"/>
              <w:bottom w:val="single" w:sz="2" w:space="0" w:color="000000"/>
            </w:tcBorders>
            <w:vAlign w:val="center"/>
          </w:tcPr>
          <w:p w14:paraId="4E2148D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Ⅰ</w:t>
            </w:r>
            <w:r>
              <w:rPr>
                <w:rFonts w:ascii="Times New Roman" w:eastAsia="宋体" w:hAnsi="Times New Roman" w:cs="Times New Roman"/>
              </w:rPr>
              <w:t>类项目</w:t>
            </w:r>
          </w:p>
        </w:tc>
        <w:tc>
          <w:tcPr>
            <w:tcW w:w="1806" w:type="dxa"/>
            <w:tcBorders>
              <w:top w:val="single" w:sz="2" w:space="0" w:color="000000"/>
              <w:bottom w:val="single" w:sz="2" w:space="0" w:color="000000"/>
            </w:tcBorders>
            <w:vAlign w:val="center"/>
          </w:tcPr>
          <w:p w14:paraId="6DF550A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Ⅱ</w:t>
            </w:r>
            <w:r>
              <w:rPr>
                <w:rFonts w:ascii="Times New Roman" w:eastAsia="宋体" w:hAnsi="Times New Roman" w:cs="Times New Roman"/>
              </w:rPr>
              <w:t>类项目</w:t>
            </w:r>
          </w:p>
        </w:tc>
        <w:tc>
          <w:tcPr>
            <w:tcW w:w="2118" w:type="dxa"/>
            <w:tcBorders>
              <w:top w:val="single" w:sz="2" w:space="0" w:color="000000"/>
              <w:bottom w:val="single" w:sz="2" w:space="0" w:color="000000"/>
              <w:right w:val="single" w:sz="2" w:space="0" w:color="000000"/>
            </w:tcBorders>
            <w:vAlign w:val="center"/>
          </w:tcPr>
          <w:p w14:paraId="7724E97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Ⅲ</w:t>
            </w:r>
            <w:r>
              <w:rPr>
                <w:rFonts w:ascii="Times New Roman" w:eastAsia="宋体" w:hAnsi="Times New Roman" w:cs="Times New Roman"/>
              </w:rPr>
              <w:t>类项目</w:t>
            </w:r>
          </w:p>
        </w:tc>
      </w:tr>
      <w:tr w:rsidR="00D12939" w14:paraId="5D2468C2" w14:textId="77777777">
        <w:trPr>
          <w:cantSplit/>
          <w:trHeight w:val="207"/>
          <w:jc w:val="center"/>
        </w:trPr>
        <w:tc>
          <w:tcPr>
            <w:tcW w:w="1289" w:type="dxa"/>
            <w:vMerge/>
            <w:tcBorders>
              <w:left w:val="single" w:sz="2" w:space="0" w:color="000000"/>
            </w:tcBorders>
            <w:vAlign w:val="center"/>
          </w:tcPr>
          <w:p w14:paraId="50A09F6F" w14:textId="77777777" w:rsidR="00D12939" w:rsidRDefault="00D12939">
            <w:pPr>
              <w:pStyle w:val="affffd"/>
              <w:rPr>
                <w:rFonts w:ascii="Times New Roman" w:eastAsia="宋体" w:hAnsi="Times New Roman" w:cs="Times New Roman"/>
              </w:rPr>
            </w:pPr>
          </w:p>
        </w:tc>
        <w:tc>
          <w:tcPr>
            <w:tcW w:w="2618" w:type="dxa"/>
            <w:tcBorders>
              <w:top w:val="single" w:sz="2" w:space="0" w:color="000000"/>
              <w:bottom w:val="single" w:sz="2" w:space="0" w:color="000000"/>
            </w:tcBorders>
            <w:vAlign w:val="center"/>
          </w:tcPr>
          <w:p w14:paraId="3D11439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敏感</w:t>
            </w:r>
          </w:p>
        </w:tc>
        <w:tc>
          <w:tcPr>
            <w:tcW w:w="1687" w:type="dxa"/>
            <w:tcBorders>
              <w:top w:val="single" w:sz="2" w:space="0" w:color="000000"/>
              <w:bottom w:val="single" w:sz="2" w:space="0" w:color="000000"/>
            </w:tcBorders>
            <w:vAlign w:val="center"/>
          </w:tcPr>
          <w:p w14:paraId="5A5A984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一</w:t>
            </w:r>
          </w:p>
        </w:tc>
        <w:tc>
          <w:tcPr>
            <w:tcW w:w="1806" w:type="dxa"/>
            <w:tcBorders>
              <w:top w:val="single" w:sz="2" w:space="0" w:color="000000"/>
              <w:bottom w:val="single" w:sz="2" w:space="0" w:color="000000"/>
            </w:tcBorders>
            <w:vAlign w:val="center"/>
          </w:tcPr>
          <w:p w14:paraId="60918E6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一</w:t>
            </w:r>
          </w:p>
        </w:tc>
        <w:tc>
          <w:tcPr>
            <w:tcW w:w="2118" w:type="dxa"/>
            <w:tcBorders>
              <w:top w:val="single" w:sz="2" w:space="0" w:color="000000"/>
              <w:bottom w:val="single" w:sz="2" w:space="0" w:color="000000"/>
              <w:right w:val="single" w:sz="2" w:space="0" w:color="000000"/>
            </w:tcBorders>
            <w:vAlign w:val="center"/>
          </w:tcPr>
          <w:p w14:paraId="4B10C36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二</w:t>
            </w:r>
          </w:p>
        </w:tc>
      </w:tr>
      <w:tr w:rsidR="00D12939" w14:paraId="5770946D" w14:textId="77777777">
        <w:trPr>
          <w:cantSplit/>
          <w:trHeight w:val="207"/>
          <w:jc w:val="center"/>
        </w:trPr>
        <w:tc>
          <w:tcPr>
            <w:tcW w:w="1289" w:type="dxa"/>
            <w:vMerge/>
            <w:tcBorders>
              <w:left w:val="single" w:sz="2" w:space="0" w:color="000000"/>
            </w:tcBorders>
            <w:vAlign w:val="center"/>
          </w:tcPr>
          <w:p w14:paraId="58D3B25E" w14:textId="77777777" w:rsidR="00D12939" w:rsidRDefault="00D12939">
            <w:pPr>
              <w:pStyle w:val="affffd"/>
              <w:rPr>
                <w:rFonts w:ascii="Times New Roman" w:eastAsia="宋体" w:hAnsi="Times New Roman" w:cs="Times New Roman"/>
              </w:rPr>
            </w:pPr>
          </w:p>
        </w:tc>
        <w:tc>
          <w:tcPr>
            <w:tcW w:w="2618" w:type="dxa"/>
            <w:tcBorders>
              <w:top w:val="single" w:sz="2" w:space="0" w:color="000000"/>
              <w:bottom w:val="single" w:sz="2" w:space="0" w:color="000000"/>
            </w:tcBorders>
            <w:vAlign w:val="center"/>
          </w:tcPr>
          <w:p w14:paraId="4C6E9C7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较敏感</w:t>
            </w:r>
          </w:p>
        </w:tc>
        <w:tc>
          <w:tcPr>
            <w:tcW w:w="1687" w:type="dxa"/>
            <w:tcBorders>
              <w:top w:val="single" w:sz="2" w:space="0" w:color="000000"/>
              <w:bottom w:val="single" w:sz="2" w:space="0" w:color="000000"/>
            </w:tcBorders>
            <w:vAlign w:val="center"/>
          </w:tcPr>
          <w:p w14:paraId="4A752C5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一</w:t>
            </w:r>
          </w:p>
        </w:tc>
        <w:tc>
          <w:tcPr>
            <w:tcW w:w="1806" w:type="dxa"/>
            <w:tcBorders>
              <w:top w:val="single" w:sz="2" w:space="0" w:color="000000"/>
              <w:bottom w:val="single" w:sz="2" w:space="0" w:color="000000"/>
            </w:tcBorders>
            <w:vAlign w:val="center"/>
          </w:tcPr>
          <w:p w14:paraId="0C31E3E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二</w:t>
            </w:r>
          </w:p>
        </w:tc>
        <w:tc>
          <w:tcPr>
            <w:tcW w:w="2118" w:type="dxa"/>
            <w:tcBorders>
              <w:top w:val="single" w:sz="2" w:space="0" w:color="000000"/>
              <w:bottom w:val="single" w:sz="2" w:space="0" w:color="000000"/>
              <w:right w:val="single" w:sz="2" w:space="0" w:color="000000"/>
            </w:tcBorders>
            <w:vAlign w:val="center"/>
          </w:tcPr>
          <w:p w14:paraId="71013C3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三</w:t>
            </w:r>
          </w:p>
        </w:tc>
      </w:tr>
      <w:tr w:rsidR="00D12939" w14:paraId="774B5D91" w14:textId="77777777">
        <w:trPr>
          <w:cantSplit/>
          <w:trHeight w:val="207"/>
          <w:jc w:val="center"/>
        </w:trPr>
        <w:tc>
          <w:tcPr>
            <w:tcW w:w="1289" w:type="dxa"/>
            <w:vMerge/>
            <w:tcBorders>
              <w:left w:val="single" w:sz="2" w:space="0" w:color="000000"/>
            </w:tcBorders>
            <w:vAlign w:val="center"/>
          </w:tcPr>
          <w:p w14:paraId="14FAF025" w14:textId="77777777" w:rsidR="00D12939" w:rsidRDefault="00D12939">
            <w:pPr>
              <w:pStyle w:val="affffd"/>
              <w:rPr>
                <w:rFonts w:ascii="Times New Roman" w:eastAsia="宋体" w:hAnsi="Times New Roman" w:cs="Times New Roman"/>
              </w:rPr>
            </w:pPr>
          </w:p>
        </w:tc>
        <w:tc>
          <w:tcPr>
            <w:tcW w:w="2618" w:type="dxa"/>
            <w:tcBorders>
              <w:top w:val="single" w:sz="2" w:space="0" w:color="000000"/>
              <w:bottom w:val="single" w:sz="2" w:space="0" w:color="000000"/>
            </w:tcBorders>
            <w:vAlign w:val="center"/>
          </w:tcPr>
          <w:p w14:paraId="79DB670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不敏感</w:t>
            </w:r>
          </w:p>
        </w:tc>
        <w:tc>
          <w:tcPr>
            <w:tcW w:w="1687" w:type="dxa"/>
            <w:tcBorders>
              <w:top w:val="single" w:sz="2" w:space="0" w:color="000000"/>
              <w:bottom w:val="single" w:sz="2" w:space="0" w:color="000000"/>
            </w:tcBorders>
            <w:vAlign w:val="center"/>
          </w:tcPr>
          <w:p w14:paraId="710D2C9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二</w:t>
            </w:r>
          </w:p>
        </w:tc>
        <w:tc>
          <w:tcPr>
            <w:tcW w:w="1806" w:type="dxa"/>
            <w:tcBorders>
              <w:top w:val="single" w:sz="2" w:space="0" w:color="000000"/>
              <w:bottom w:val="single" w:sz="2" w:space="0" w:color="000000"/>
            </w:tcBorders>
            <w:vAlign w:val="center"/>
          </w:tcPr>
          <w:p w14:paraId="2175B3F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三</w:t>
            </w:r>
          </w:p>
        </w:tc>
        <w:tc>
          <w:tcPr>
            <w:tcW w:w="2118" w:type="dxa"/>
            <w:tcBorders>
              <w:top w:val="single" w:sz="2" w:space="0" w:color="000000"/>
              <w:bottom w:val="single" w:sz="2" w:space="0" w:color="000000"/>
              <w:right w:val="single" w:sz="2" w:space="0" w:color="000000"/>
            </w:tcBorders>
            <w:vAlign w:val="center"/>
          </w:tcPr>
          <w:p w14:paraId="3B84F8D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三</w:t>
            </w:r>
          </w:p>
        </w:tc>
      </w:tr>
      <w:tr w:rsidR="00D12939" w14:paraId="6EFBFA65" w14:textId="77777777">
        <w:trPr>
          <w:cantSplit/>
          <w:trHeight w:val="207"/>
          <w:jc w:val="center"/>
        </w:trPr>
        <w:tc>
          <w:tcPr>
            <w:tcW w:w="1289" w:type="dxa"/>
            <w:tcBorders>
              <w:left w:val="single" w:sz="2" w:space="0" w:color="000000"/>
              <w:bottom w:val="single" w:sz="2" w:space="0" w:color="000000"/>
            </w:tcBorders>
            <w:vAlign w:val="center"/>
          </w:tcPr>
          <w:p w14:paraId="2151817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评价级别</w:t>
            </w:r>
          </w:p>
        </w:tc>
        <w:tc>
          <w:tcPr>
            <w:tcW w:w="8229" w:type="dxa"/>
            <w:gridSpan w:val="4"/>
            <w:tcBorders>
              <w:top w:val="single" w:sz="2" w:space="0" w:color="000000"/>
              <w:bottom w:val="single" w:sz="2" w:space="0" w:color="000000"/>
              <w:right w:val="single" w:sz="2" w:space="0" w:color="000000"/>
            </w:tcBorders>
            <w:vAlign w:val="center"/>
          </w:tcPr>
          <w:p w14:paraId="4EE1249F" w14:textId="5A96AB8E" w:rsidR="00D12939" w:rsidRDefault="002A4A5F">
            <w:pPr>
              <w:pStyle w:val="affffd"/>
              <w:jc w:val="left"/>
              <w:rPr>
                <w:rFonts w:ascii="Times New Roman" w:eastAsia="宋体" w:hAnsi="Times New Roman" w:cs="Times New Roman"/>
              </w:rPr>
            </w:pPr>
            <w:r>
              <w:rPr>
                <w:rFonts w:ascii="Times New Roman" w:eastAsia="宋体" w:hAnsi="Times New Roman" w:cs="Times New Roman"/>
                <w:color w:val="FF0000"/>
              </w:rPr>
              <w:t>拟建项目场地不在集中式饮用水水源地的准保护区或补给径流区，亦不在热水、矿泉水、温泉等特殊地下水资源保护区或分布区，且评价范围内无集中式饮用水源和分散式饮用水水源井等敏感保护区</w:t>
            </w:r>
            <w:r>
              <w:rPr>
                <w:rFonts w:ascii="Times New Roman" w:eastAsia="宋体" w:hAnsi="Times New Roman" w:cs="Times New Roman" w:hint="eastAsia"/>
                <w:color w:val="FF0000"/>
              </w:rPr>
              <w:t>（项目敏感点松林村水源为山泉水，取水点位不在评价范围内）</w:t>
            </w:r>
            <w:r>
              <w:rPr>
                <w:rFonts w:ascii="Times New Roman" w:eastAsia="宋体" w:hAnsi="Times New Roman" w:cs="Times New Roman"/>
                <w:color w:val="FF0000"/>
              </w:rPr>
              <w:t>确定项目场地地下水敏感程度为</w:t>
            </w:r>
            <w:r>
              <w:rPr>
                <w:rFonts w:ascii="Times New Roman" w:eastAsia="宋体" w:hAnsi="Times New Roman" w:cs="Times New Roman"/>
                <w:color w:val="FF0000"/>
              </w:rPr>
              <w:t>“</w:t>
            </w:r>
            <w:r>
              <w:rPr>
                <w:rFonts w:ascii="Times New Roman" w:eastAsia="宋体" w:hAnsi="Times New Roman" w:cs="Times New Roman"/>
                <w:color w:val="FF0000"/>
              </w:rPr>
              <w:t>不敏感</w:t>
            </w:r>
            <w:r>
              <w:rPr>
                <w:rFonts w:ascii="Times New Roman" w:eastAsia="宋体" w:hAnsi="Times New Roman" w:cs="Times New Roman"/>
                <w:color w:val="FF0000"/>
              </w:rPr>
              <w:t>”</w:t>
            </w:r>
            <w:r>
              <w:rPr>
                <w:rFonts w:ascii="Times New Roman" w:eastAsia="宋体" w:hAnsi="Times New Roman" w:cs="Times New Roman"/>
                <w:color w:val="FF0000"/>
              </w:rPr>
              <w:t>；项目属</w:t>
            </w:r>
            <w:r>
              <w:rPr>
                <w:rFonts w:ascii="Times New Roman" w:eastAsia="宋体" w:hAnsi="Times New Roman" w:cs="Times New Roman"/>
                <w:color w:val="FF0000"/>
              </w:rPr>
              <w:t>Ⅰ</w:t>
            </w:r>
            <w:r>
              <w:rPr>
                <w:rFonts w:ascii="Times New Roman" w:eastAsia="宋体" w:hAnsi="Times New Roman" w:cs="Times New Roman"/>
                <w:color w:val="FF0000"/>
              </w:rPr>
              <w:t>类项目，</w:t>
            </w:r>
            <w:r>
              <w:rPr>
                <w:rFonts w:ascii="Times New Roman" w:eastAsia="宋体" w:hAnsi="Times New Roman" w:cs="Times New Roman"/>
                <w:b/>
                <w:color w:val="FF0000"/>
              </w:rPr>
              <w:t>故确定地下水评价等级为二级。</w:t>
            </w:r>
          </w:p>
        </w:tc>
      </w:tr>
    </w:tbl>
    <w:p w14:paraId="53C1E4C9"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）评价范围</w:t>
      </w:r>
    </w:p>
    <w:p w14:paraId="5072C2AB"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根据《环境影响评价技术导则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地下水环境》（</w:t>
      </w:r>
      <w:r>
        <w:rPr>
          <w:rFonts w:ascii="Times New Roman" w:eastAsia="宋体" w:hAnsi="Times New Roman" w:cs="Times New Roman"/>
          <w:sz w:val="24"/>
        </w:rPr>
        <w:t>HJ 610-2016</w:t>
      </w:r>
      <w:r>
        <w:rPr>
          <w:rFonts w:ascii="Times New Roman" w:eastAsia="宋体" w:hAnsi="Times New Roman" w:cs="Times New Roman"/>
          <w:sz w:val="24"/>
        </w:rPr>
        <w:t>），地下水评价范围采用自定义法，以分水岭和地表水系为界限，考虑到地形的因素，最终确定场地地下水上游延伸至分水岭，地下水下游延伸至峡沟磨河，两侧沿山脊延伸，地下水环境评价范围见图</w:t>
      </w:r>
      <w:r>
        <w:rPr>
          <w:rFonts w:ascii="Times New Roman" w:eastAsia="宋体" w:hAnsi="Times New Roman" w:cs="Times New Roman"/>
          <w:sz w:val="24"/>
        </w:rPr>
        <w:t>2.4-2</w:t>
      </w:r>
      <w:r>
        <w:rPr>
          <w:rFonts w:ascii="Times New Roman" w:eastAsia="宋体" w:hAnsi="Times New Roman" w:cs="Times New Roman"/>
          <w:sz w:val="24"/>
        </w:rPr>
        <w:t>。</w:t>
      </w:r>
    </w:p>
    <w:p w14:paraId="5DA2F72E" w14:textId="77777777" w:rsidR="00D12939" w:rsidRDefault="004F47F5">
      <w:pPr>
        <w:spacing w:line="360" w:lineRule="auto"/>
        <w:jc w:val="center"/>
        <w:rPr>
          <w:rFonts w:ascii="Times New Roman" w:eastAsia="宋体" w:hAnsi="Times New Roman" w:cs="Times New Roman"/>
          <w:sz w:val="24"/>
        </w:rPr>
      </w:pPr>
      <w:r>
        <w:rPr>
          <w:rFonts w:ascii="Times New Roman" w:eastAsia="宋体" w:hAnsi="Times New Roman" w:cs="Times New Roman"/>
          <w:noProof/>
          <w:sz w:val="24"/>
        </w:rPr>
        <w:lastRenderedPageBreak/>
        <w:drawing>
          <wp:inline distT="0" distB="0" distL="114300" distR="114300">
            <wp:extent cx="6197600" cy="4394200"/>
            <wp:effectExtent l="0" t="0" r="0" b="6350"/>
            <wp:docPr id="231" name="图片 231" descr="地下水评价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地下水评价范围"/>
                    <pic:cNvPicPr>
                      <a:picLocks noChangeAspect="1"/>
                    </pic:cNvPicPr>
                  </pic:nvPicPr>
                  <pic:blipFill>
                    <a:blip r:embed="rId21"/>
                    <a:stretch>
                      <a:fillRect/>
                    </a:stretch>
                  </pic:blipFill>
                  <pic:spPr>
                    <a:xfrm>
                      <a:off x="0" y="0"/>
                      <a:ext cx="6233589" cy="4419996"/>
                    </a:xfrm>
                    <a:prstGeom prst="rect">
                      <a:avLst/>
                    </a:prstGeom>
                  </pic:spPr>
                </pic:pic>
              </a:graphicData>
            </a:graphic>
          </wp:inline>
        </w:drawing>
      </w:r>
    </w:p>
    <w:p w14:paraId="4FF1907A" w14:textId="77777777" w:rsidR="00D12939" w:rsidRDefault="004F47F5">
      <w:pPr>
        <w:spacing w:line="360" w:lineRule="auto"/>
        <w:jc w:val="center"/>
        <w:rPr>
          <w:rFonts w:ascii="黑体" w:eastAsia="黑体" w:hAnsi="黑体" w:cs="Times New Roman"/>
          <w:sz w:val="24"/>
        </w:rPr>
      </w:pPr>
      <w:r>
        <w:rPr>
          <w:rFonts w:ascii="黑体" w:eastAsia="黑体" w:hAnsi="黑体" w:cs="Times New Roman" w:hint="eastAsia"/>
          <w:sz w:val="24"/>
        </w:rPr>
        <w:t>图2</w:t>
      </w:r>
      <w:r>
        <w:rPr>
          <w:rFonts w:ascii="黑体" w:eastAsia="黑体" w:hAnsi="黑体" w:cs="Times New Roman"/>
          <w:sz w:val="24"/>
        </w:rPr>
        <w:t xml:space="preserve">.4-2  </w:t>
      </w:r>
      <w:r>
        <w:rPr>
          <w:rFonts w:ascii="黑体" w:eastAsia="黑体" w:hAnsi="黑体" w:cs="Times New Roman" w:hint="eastAsia"/>
          <w:sz w:val="24"/>
        </w:rPr>
        <w:t>地下水评价范围图</w:t>
      </w:r>
    </w:p>
    <w:p w14:paraId="01408053"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230" w:name="_Toc949"/>
      <w:bookmarkStart w:id="231" w:name="_Toc121411701"/>
      <w:bookmarkStart w:id="232" w:name="_Toc15310"/>
      <w:r>
        <w:rPr>
          <w:rFonts w:ascii="Times New Roman" w:eastAsia="黑体" w:hAnsi="Times New Roman" w:cs="Times New Roman"/>
          <w:b w:val="0"/>
          <w:sz w:val="24"/>
        </w:rPr>
        <w:t>2.4.4</w:t>
      </w:r>
      <w:r>
        <w:rPr>
          <w:rFonts w:ascii="Times New Roman" w:eastAsia="黑体" w:hAnsi="Times New Roman" w:cs="Times New Roman"/>
          <w:b w:val="0"/>
          <w:sz w:val="24"/>
        </w:rPr>
        <w:t>声环境</w:t>
      </w:r>
      <w:bookmarkEnd w:id="230"/>
      <w:bookmarkEnd w:id="231"/>
      <w:bookmarkEnd w:id="232"/>
    </w:p>
    <w:p w14:paraId="2287A820"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（1）</w:t>
      </w:r>
      <w:r>
        <w:rPr>
          <w:rFonts w:ascii="Times New Roman" w:eastAsia="宋体" w:hAnsi="Times New Roman" w:cs="Times New Roman"/>
          <w:sz w:val="24"/>
        </w:rPr>
        <w:t xml:space="preserve"> </w:t>
      </w:r>
      <w:r>
        <w:rPr>
          <w:rFonts w:ascii="Times New Roman" w:eastAsia="宋体" w:hAnsi="Times New Roman" w:cs="Times New Roman"/>
          <w:sz w:val="24"/>
        </w:rPr>
        <w:t>评价等级确定</w:t>
      </w:r>
    </w:p>
    <w:p w14:paraId="4949A167"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建设项目声环境评价等级按照《环境影响评价技术导则</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声环境》（</w:t>
      </w:r>
      <w:r>
        <w:rPr>
          <w:rFonts w:ascii="Times New Roman" w:eastAsia="宋体" w:hAnsi="Times New Roman" w:cs="Times New Roman"/>
          <w:sz w:val="24"/>
        </w:rPr>
        <w:t>HJ2.4-2021</w:t>
      </w:r>
      <w:r>
        <w:rPr>
          <w:rFonts w:ascii="Times New Roman" w:eastAsia="宋体" w:hAnsi="Times New Roman" w:cs="Times New Roman" w:hint="eastAsia"/>
          <w:sz w:val="24"/>
        </w:rPr>
        <w:t>）中的分级判据进行划分，具体划分要求见表</w:t>
      </w:r>
      <w:r>
        <w:rPr>
          <w:rFonts w:ascii="Times New Roman" w:eastAsia="宋体" w:hAnsi="Times New Roman" w:cs="Times New Roman"/>
          <w:sz w:val="24"/>
        </w:rPr>
        <w:t>2.4-</w:t>
      </w:r>
      <w:r>
        <w:rPr>
          <w:rFonts w:ascii="Times New Roman" w:eastAsia="宋体" w:hAnsi="Times New Roman" w:cs="Times New Roman" w:hint="eastAsia"/>
          <w:sz w:val="24"/>
        </w:rPr>
        <w:t>6</w:t>
      </w:r>
      <w:r>
        <w:rPr>
          <w:rFonts w:ascii="Times New Roman" w:eastAsia="宋体" w:hAnsi="Times New Roman" w:cs="Times New Roman" w:hint="eastAsia"/>
          <w:sz w:val="24"/>
        </w:rPr>
        <w:t>。</w:t>
      </w:r>
    </w:p>
    <w:p w14:paraId="28C1C03A" w14:textId="77777777" w:rsidR="00D12939" w:rsidRDefault="004F47F5">
      <w:pPr>
        <w:pStyle w:val="a5"/>
        <w:ind w:firstLine="480"/>
        <w:rPr>
          <w:rFonts w:ascii="黑体" w:eastAsia="黑体" w:hAnsi="黑体"/>
          <w:sz w:val="24"/>
          <w:szCs w:val="21"/>
        </w:rPr>
      </w:pPr>
      <w:r>
        <w:rPr>
          <w:rFonts w:ascii="黑体" w:eastAsia="黑体" w:hAnsi="黑体" w:hint="eastAsia"/>
          <w:sz w:val="24"/>
          <w:szCs w:val="21"/>
        </w:rPr>
        <w:t>表2</w:t>
      </w:r>
      <w:r>
        <w:rPr>
          <w:rFonts w:ascii="黑体" w:eastAsia="黑体" w:hAnsi="黑体"/>
          <w:sz w:val="24"/>
          <w:szCs w:val="21"/>
        </w:rPr>
        <w:t xml:space="preserve">.4-6  </w:t>
      </w:r>
      <w:r>
        <w:rPr>
          <w:rFonts w:ascii="黑体" w:eastAsia="黑体" w:hAnsi="黑体" w:hint="eastAsia"/>
          <w:sz w:val="24"/>
          <w:szCs w:val="21"/>
        </w:rPr>
        <w:t>噪声环境评价工作等级判据表</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9"/>
        <w:gridCol w:w="1951"/>
        <w:gridCol w:w="1482"/>
        <w:gridCol w:w="2418"/>
        <w:gridCol w:w="1950"/>
      </w:tblGrid>
      <w:tr w:rsidR="00D12939" w14:paraId="286319A4" w14:textId="77777777">
        <w:trPr>
          <w:trHeight w:val="15"/>
        </w:trPr>
        <w:tc>
          <w:tcPr>
            <w:tcW w:w="3900" w:type="dxa"/>
            <w:gridSpan w:val="2"/>
            <w:vAlign w:val="center"/>
          </w:tcPr>
          <w:p w14:paraId="2BF83E1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判别依据</w:t>
            </w:r>
          </w:p>
        </w:tc>
        <w:tc>
          <w:tcPr>
            <w:tcW w:w="1482" w:type="dxa"/>
            <w:vAlign w:val="center"/>
          </w:tcPr>
          <w:p w14:paraId="6D73146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声环境功能区</w:t>
            </w:r>
          </w:p>
        </w:tc>
        <w:tc>
          <w:tcPr>
            <w:tcW w:w="2418" w:type="dxa"/>
            <w:vAlign w:val="center"/>
          </w:tcPr>
          <w:p w14:paraId="72E3A78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评价范围内敏感目标声级增量</w:t>
            </w:r>
          </w:p>
        </w:tc>
        <w:tc>
          <w:tcPr>
            <w:tcW w:w="1950" w:type="dxa"/>
            <w:vAlign w:val="center"/>
          </w:tcPr>
          <w:p w14:paraId="229E27A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影响人口变化</w:t>
            </w:r>
          </w:p>
        </w:tc>
      </w:tr>
      <w:tr w:rsidR="00D12939" w14:paraId="0321258F" w14:textId="77777777">
        <w:trPr>
          <w:trHeight w:val="15"/>
        </w:trPr>
        <w:tc>
          <w:tcPr>
            <w:tcW w:w="1949" w:type="dxa"/>
            <w:vMerge w:val="restart"/>
            <w:vAlign w:val="center"/>
          </w:tcPr>
          <w:p w14:paraId="7CDB6D5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本项目</w:t>
            </w:r>
          </w:p>
        </w:tc>
        <w:tc>
          <w:tcPr>
            <w:tcW w:w="1951" w:type="dxa"/>
            <w:vAlign w:val="center"/>
          </w:tcPr>
          <w:p w14:paraId="08FF58E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一级</w:t>
            </w:r>
          </w:p>
        </w:tc>
        <w:tc>
          <w:tcPr>
            <w:tcW w:w="1482" w:type="dxa"/>
            <w:vAlign w:val="center"/>
          </w:tcPr>
          <w:p w14:paraId="4701B6A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 xml:space="preserve">0 </w:t>
            </w:r>
            <w:r>
              <w:rPr>
                <w:rFonts w:ascii="Times New Roman" w:eastAsia="宋体" w:hAnsi="Times New Roman" w:cs="Times New Roman"/>
              </w:rPr>
              <w:t>类</w:t>
            </w:r>
          </w:p>
        </w:tc>
        <w:tc>
          <w:tcPr>
            <w:tcW w:w="2418" w:type="dxa"/>
            <w:vAlign w:val="center"/>
          </w:tcPr>
          <w:p w14:paraId="27CA369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&gt;5dB</w:t>
            </w:r>
            <w:r>
              <w:rPr>
                <w:rFonts w:ascii="Times New Roman" w:eastAsia="宋体" w:hAnsi="Times New Roman" w:cs="Times New Roman" w:hint="eastAsia"/>
              </w:rPr>
              <w:t>（</w:t>
            </w:r>
            <w:r>
              <w:rPr>
                <w:rFonts w:ascii="Times New Roman" w:eastAsia="宋体" w:hAnsi="Times New Roman" w:cs="Times New Roman" w:hint="eastAsia"/>
              </w:rPr>
              <w:t>A</w:t>
            </w:r>
            <w:r>
              <w:rPr>
                <w:rFonts w:ascii="Times New Roman" w:eastAsia="宋体" w:hAnsi="Times New Roman" w:cs="Times New Roman" w:hint="eastAsia"/>
              </w:rPr>
              <w:t>）</w:t>
            </w:r>
          </w:p>
        </w:tc>
        <w:tc>
          <w:tcPr>
            <w:tcW w:w="1950" w:type="dxa"/>
            <w:vAlign w:val="center"/>
          </w:tcPr>
          <w:p w14:paraId="139CD84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显著</w:t>
            </w:r>
            <w:r>
              <w:rPr>
                <w:rFonts w:ascii="Times New Roman" w:eastAsia="宋体" w:hAnsi="Times New Roman" w:cs="Times New Roman" w:hint="eastAsia"/>
              </w:rPr>
              <w:t>增加</w:t>
            </w:r>
          </w:p>
        </w:tc>
      </w:tr>
      <w:tr w:rsidR="00D12939" w14:paraId="174D6664" w14:textId="77777777">
        <w:trPr>
          <w:trHeight w:val="15"/>
        </w:trPr>
        <w:tc>
          <w:tcPr>
            <w:tcW w:w="1949" w:type="dxa"/>
            <w:vMerge/>
            <w:vAlign w:val="center"/>
          </w:tcPr>
          <w:p w14:paraId="29AAA0AA" w14:textId="77777777" w:rsidR="00D12939" w:rsidRDefault="00D12939">
            <w:pPr>
              <w:pStyle w:val="affffd"/>
              <w:spacing w:line="240" w:lineRule="auto"/>
              <w:rPr>
                <w:rFonts w:ascii="Times New Roman" w:eastAsia="宋体" w:hAnsi="Times New Roman" w:cs="Times New Roman"/>
              </w:rPr>
            </w:pPr>
          </w:p>
        </w:tc>
        <w:tc>
          <w:tcPr>
            <w:tcW w:w="1951" w:type="dxa"/>
            <w:vAlign w:val="center"/>
          </w:tcPr>
          <w:p w14:paraId="11E258B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二级</w:t>
            </w:r>
          </w:p>
        </w:tc>
        <w:tc>
          <w:tcPr>
            <w:tcW w:w="1482" w:type="dxa"/>
            <w:vAlign w:val="center"/>
          </w:tcPr>
          <w:p w14:paraId="3371ABB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 xml:space="preserve">1 </w:t>
            </w:r>
            <w:r>
              <w:rPr>
                <w:rFonts w:ascii="Times New Roman" w:eastAsia="宋体" w:hAnsi="Times New Roman" w:cs="Times New Roman"/>
              </w:rPr>
              <w:t>类，</w:t>
            </w:r>
            <w:r>
              <w:rPr>
                <w:rFonts w:ascii="Times New Roman" w:eastAsia="宋体" w:hAnsi="Times New Roman" w:cs="Times New Roman"/>
              </w:rPr>
              <w:t xml:space="preserve">2 </w:t>
            </w:r>
            <w:r>
              <w:rPr>
                <w:rFonts w:ascii="Times New Roman" w:eastAsia="宋体" w:hAnsi="Times New Roman" w:cs="Times New Roman"/>
              </w:rPr>
              <w:t>类</w:t>
            </w:r>
          </w:p>
        </w:tc>
        <w:tc>
          <w:tcPr>
            <w:tcW w:w="2418" w:type="dxa"/>
            <w:vAlign w:val="center"/>
          </w:tcPr>
          <w:p w14:paraId="2AD43E8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≥3dB</w:t>
            </w:r>
            <w:r>
              <w:rPr>
                <w:rFonts w:ascii="Times New Roman" w:eastAsia="宋体" w:hAnsi="Times New Roman" w:cs="Times New Roman" w:hint="eastAsia"/>
              </w:rPr>
              <w:t>（</w:t>
            </w:r>
            <w:r>
              <w:rPr>
                <w:rFonts w:ascii="Times New Roman" w:eastAsia="宋体" w:hAnsi="Times New Roman" w:cs="Times New Roman" w:hint="eastAsia"/>
              </w:rPr>
              <w:t>A</w:t>
            </w:r>
            <w:r>
              <w:rPr>
                <w:rFonts w:ascii="Times New Roman" w:eastAsia="宋体" w:hAnsi="Times New Roman" w:cs="Times New Roman" w:hint="eastAsia"/>
              </w:rPr>
              <w:t>）</w:t>
            </w:r>
            <w:r>
              <w:rPr>
                <w:rFonts w:ascii="Times New Roman" w:eastAsia="宋体" w:hAnsi="Times New Roman" w:cs="Times New Roman"/>
              </w:rPr>
              <w:t>；</w:t>
            </w:r>
            <w:r>
              <w:rPr>
                <w:rFonts w:ascii="Times New Roman" w:eastAsia="宋体" w:hAnsi="Times New Roman" w:cs="Times New Roman"/>
              </w:rPr>
              <w:t>≤5dB</w:t>
            </w:r>
            <w:r>
              <w:rPr>
                <w:rFonts w:ascii="Times New Roman" w:eastAsia="宋体" w:hAnsi="Times New Roman" w:cs="Times New Roman" w:hint="eastAsia"/>
              </w:rPr>
              <w:t>（</w:t>
            </w:r>
            <w:r>
              <w:rPr>
                <w:rFonts w:ascii="Times New Roman" w:eastAsia="宋体" w:hAnsi="Times New Roman" w:cs="Times New Roman" w:hint="eastAsia"/>
              </w:rPr>
              <w:t>A</w:t>
            </w:r>
            <w:r>
              <w:rPr>
                <w:rFonts w:ascii="Times New Roman" w:eastAsia="宋体" w:hAnsi="Times New Roman" w:cs="Times New Roman" w:hint="eastAsia"/>
              </w:rPr>
              <w:t>）</w:t>
            </w:r>
          </w:p>
        </w:tc>
        <w:tc>
          <w:tcPr>
            <w:tcW w:w="1950" w:type="dxa"/>
            <w:vAlign w:val="center"/>
          </w:tcPr>
          <w:p w14:paraId="2B70893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增加</w:t>
            </w:r>
            <w:r>
              <w:rPr>
                <w:rFonts w:ascii="Times New Roman" w:eastAsia="宋体" w:hAnsi="Times New Roman" w:cs="Times New Roman"/>
              </w:rPr>
              <w:t>较多</w:t>
            </w:r>
          </w:p>
        </w:tc>
      </w:tr>
      <w:tr w:rsidR="00D12939" w14:paraId="2FAB5457" w14:textId="77777777">
        <w:trPr>
          <w:trHeight w:val="15"/>
        </w:trPr>
        <w:tc>
          <w:tcPr>
            <w:tcW w:w="1949" w:type="dxa"/>
            <w:vMerge/>
            <w:vAlign w:val="center"/>
          </w:tcPr>
          <w:p w14:paraId="0F5DC886" w14:textId="77777777" w:rsidR="00D12939" w:rsidRDefault="00D12939">
            <w:pPr>
              <w:pStyle w:val="affffd"/>
              <w:spacing w:line="240" w:lineRule="auto"/>
              <w:rPr>
                <w:rFonts w:ascii="Times New Roman" w:eastAsia="宋体" w:hAnsi="Times New Roman" w:cs="Times New Roman"/>
              </w:rPr>
            </w:pPr>
          </w:p>
        </w:tc>
        <w:tc>
          <w:tcPr>
            <w:tcW w:w="1951" w:type="dxa"/>
            <w:vAlign w:val="center"/>
          </w:tcPr>
          <w:p w14:paraId="1BE2670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三级</w:t>
            </w:r>
          </w:p>
        </w:tc>
        <w:tc>
          <w:tcPr>
            <w:tcW w:w="1482" w:type="dxa"/>
            <w:vAlign w:val="center"/>
          </w:tcPr>
          <w:p w14:paraId="5796CFF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 xml:space="preserve">3 </w:t>
            </w:r>
            <w:r>
              <w:rPr>
                <w:rFonts w:ascii="Times New Roman" w:eastAsia="宋体" w:hAnsi="Times New Roman" w:cs="Times New Roman"/>
              </w:rPr>
              <w:t>类，</w:t>
            </w:r>
            <w:r>
              <w:rPr>
                <w:rFonts w:ascii="Times New Roman" w:eastAsia="宋体" w:hAnsi="Times New Roman" w:cs="Times New Roman"/>
              </w:rPr>
              <w:t xml:space="preserve">4 </w:t>
            </w:r>
            <w:r>
              <w:rPr>
                <w:rFonts w:ascii="Times New Roman" w:eastAsia="宋体" w:hAnsi="Times New Roman" w:cs="Times New Roman"/>
              </w:rPr>
              <w:t>类</w:t>
            </w:r>
          </w:p>
        </w:tc>
        <w:tc>
          <w:tcPr>
            <w:tcW w:w="2418" w:type="dxa"/>
            <w:vAlign w:val="center"/>
          </w:tcPr>
          <w:p w14:paraId="4FB5AD9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&lt;3dB</w:t>
            </w:r>
            <w:r>
              <w:rPr>
                <w:rFonts w:ascii="Times New Roman" w:eastAsia="宋体" w:hAnsi="Times New Roman" w:cs="Times New Roman" w:hint="eastAsia"/>
              </w:rPr>
              <w:t>（</w:t>
            </w:r>
            <w:r>
              <w:rPr>
                <w:rFonts w:ascii="Times New Roman" w:eastAsia="宋体" w:hAnsi="Times New Roman" w:cs="Times New Roman" w:hint="eastAsia"/>
              </w:rPr>
              <w:t>A</w:t>
            </w:r>
            <w:r>
              <w:rPr>
                <w:rFonts w:ascii="Times New Roman" w:eastAsia="宋体" w:hAnsi="Times New Roman" w:cs="Times New Roman" w:hint="eastAsia"/>
              </w:rPr>
              <w:t>）</w:t>
            </w:r>
          </w:p>
        </w:tc>
        <w:tc>
          <w:tcPr>
            <w:tcW w:w="1950" w:type="dxa"/>
            <w:vAlign w:val="center"/>
          </w:tcPr>
          <w:p w14:paraId="07D273A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变化</w:t>
            </w:r>
            <w:r>
              <w:rPr>
                <w:rFonts w:ascii="Times New Roman" w:eastAsia="宋体" w:hAnsi="Times New Roman" w:cs="Times New Roman"/>
              </w:rPr>
              <w:t>不大</w:t>
            </w:r>
          </w:p>
        </w:tc>
      </w:tr>
      <w:tr w:rsidR="00D12939" w14:paraId="3E40D87E" w14:textId="77777777">
        <w:trPr>
          <w:trHeight w:val="15"/>
        </w:trPr>
        <w:tc>
          <w:tcPr>
            <w:tcW w:w="1949" w:type="dxa"/>
            <w:vMerge w:val="restart"/>
            <w:vAlign w:val="center"/>
          </w:tcPr>
          <w:p w14:paraId="5ACF477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本项目</w:t>
            </w:r>
          </w:p>
        </w:tc>
        <w:tc>
          <w:tcPr>
            <w:tcW w:w="1951" w:type="dxa"/>
            <w:vAlign w:val="center"/>
          </w:tcPr>
          <w:p w14:paraId="5CF4E94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评价结论</w:t>
            </w:r>
          </w:p>
        </w:tc>
        <w:tc>
          <w:tcPr>
            <w:tcW w:w="1482" w:type="dxa"/>
            <w:vAlign w:val="center"/>
          </w:tcPr>
          <w:p w14:paraId="3AA7501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 xml:space="preserve">2 </w:t>
            </w:r>
            <w:r>
              <w:rPr>
                <w:rFonts w:ascii="Times New Roman" w:eastAsia="宋体" w:hAnsi="Times New Roman" w:cs="Times New Roman"/>
              </w:rPr>
              <w:t>类</w:t>
            </w:r>
          </w:p>
        </w:tc>
        <w:tc>
          <w:tcPr>
            <w:tcW w:w="2418" w:type="dxa"/>
            <w:vAlign w:val="center"/>
          </w:tcPr>
          <w:p w14:paraId="3FB78A3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环境敏感目标噪声级增加量</w:t>
            </w:r>
            <w:r>
              <w:rPr>
                <w:rFonts w:ascii="Times New Roman" w:eastAsia="宋体" w:hAnsi="Times New Roman" w:cs="Times New Roman"/>
              </w:rPr>
              <w:t>&lt;3dB</w:t>
            </w:r>
          </w:p>
        </w:tc>
        <w:tc>
          <w:tcPr>
            <w:tcW w:w="1950" w:type="dxa"/>
            <w:vAlign w:val="center"/>
          </w:tcPr>
          <w:p w14:paraId="7F3F663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建设前后变化不大</w:t>
            </w:r>
          </w:p>
        </w:tc>
      </w:tr>
      <w:tr w:rsidR="00D12939" w14:paraId="47E3C88B" w14:textId="77777777">
        <w:trPr>
          <w:trHeight w:val="15"/>
        </w:trPr>
        <w:tc>
          <w:tcPr>
            <w:tcW w:w="1949" w:type="dxa"/>
            <w:vMerge/>
            <w:vAlign w:val="center"/>
          </w:tcPr>
          <w:p w14:paraId="58BE4080" w14:textId="77777777" w:rsidR="00D12939" w:rsidRDefault="00D12939">
            <w:pPr>
              <w:pStyle w:val="affffd"/>
              <w:spacing w:line="240" w:lineRule="auto"/>
              <w:rPr>
                <w:rFonts w:ascii="Times New Roman" w:eastAsia="宋体" w:hAnsi="Times New Roman" w:cs="Times New Roman"/>
              </w:rPr>
            </w:pPr>
          </w:p>
        </w:tc>
        <w:tc>
          <w:tcPr>
            <w:tcW w:w="1951" w:type="dxa"/>
            <w:vAlign w:val="center"/>
          </w:tcPr>
          <w:p w14:paraId="15BD4977" w14:textId="77777777" w:rsidR="00D12939" w:rsidRDefault="004F47F5">
            <w:pPr>
              <w:pStyle w:val="affffd"/>
              <w:spacing w:line="240" w:lineRule="auto"/>
              <w:rPr>
                <w:rFonts w:ascii="Times New Roman" w:eastAsia="宋体" w:hAnsi="Times New Roman" w:cs="Times New Roman"/>
                <w:b/>
              </w:rPr>
            </w:pPr>
            <w:r>
              <w:rPr>
                <w:rFonts w:ascii="Times New Roman" w:eastAsia="宋体" w:hAnsi="Times New Roman" w:cs="Times New Roman"/>
                <w:b/>
              </w:rPr>
              <w:t>评价等级</w:t>
            </w:r>
          </w:p>
        </w:tc>
        <w:tc>
          <w:tcPr>
            <w:tcW w:w="5850" w:type="dxa"/>
            <w:gridSpan w:val="3"/>
            <w:vAlign w:val="center"/>
          </w:tcPr>
          <w:p w14:paraId="19B82157" w14:textId="77777777" w:rsidR="00D12939" w:rsidRDefault="004F47F5">
            <w:pPr>
              <w:pStyle w:val="affffd"/>
              <w:spacing w:line="240" w:lineRule="auto"/>
              <w:rPr>
                <w:rFonts w:ascii="Times New Roman" w:eastAsia="宋体" w:hAnsi="Times New Roman" w:cs="Times New Roman"/>
                <w:b/>
              </w:rPr>
            </w:pPr>
            <w:r>
              <w:rPr>
                <w:rFonts w:ascii="Times New Roman" w:eastAsia="宋体" w:hAnsi="Times New Roman" w:cs="Times New Roman"/>
                <w:b/>
              </w:rPr>
              <w:t>二级</w:t>
            </w:r>
          </w:p>
        </w:tc>
      </w:tr>
    </w:tbl>
    <w:p w14:paraId="08915058" w14:textId="22E98F2D"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项目位于《声环境质量标准》（</w:t>
      </w:r>
      <w:r>
        <w:rPr>
          <w:rFonts w:ascii="Times New Roman" w:eastAsia="宋体" w:hAnsi="Times New Roman" w:cs="Times New Roman"/>
          <w:sz w:val="24"/>
        </w:rPr>
        <w:t>GB3096-2008</w:t>
      </w:r>
      <w:r>
        <w:rPr>
          <w:rFonts w:ascii="Times New Roman" w:eastAsia="宋体" w:hAnsi="Times New Roman" w:cs="Times New Roman"/>
          <w:sz w:val="24"/>
        </w:rPr>
        <w:t>）规定的</w:t>
      </w:r>
      <w:r w:rsidR="00387417">
        <w:rPr>
          <w:rFonts w:ascii="Times New Roman" w:eastAsia="宋体" w:hAnsi="Times New Roman" w:cs="Times New Roman"/>
          <w:sz w:val="24"/>
        </w:rPr>
        <w:t>1</w:t>
      </w:r>
      <w:r>
        <w:rPr>
          <w:rFonts w:ascii="Times New Roman" w:eastAsia="宋体" w:hAnsi="Times New Roman" w:cs="Times New Roman"/>
          <w:sz w:val="24"/>
        </w:rPr>
        <w:t>类区，项目噪声影响范围内无敏感点，根据《环境影响评价技术导则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声环境》（</w:t>
      </w:r>
      <w:r>
        <w:rPr>
          <w:rFonts w:ascii="Times New Roman" w:eastAsia="宋体" w:hAnsi="Times New Roman" w:cs="Times New Roman"/>
          <w:sz w:val="24"/>
        </w:rPr>
        <w:t>HJ2.4-2021</w:t>
      </w:r>
      <w:r>
        <w:rPr>
          <w:rFonts w:ascii="Times New Roman" w:eastAsia="宋体" w:hAnsi="Times New Roman" w:cs="Times New Roman"/>
          <w:sz w:val="24"/>
        </w:rPr>
        <w:t>）中有关评价工作分级的规定，确</w:t>
      </w:r>
      <w:r>
        <w:rPr>
          <w:rFonts w:ascii="Times New Roman" w:eastAsia="宋体" w:hAnsi="Times New Roman" w:cs="Times New Roman"/>
          <w:sz w:val="24"/>
        </w:rPr>
        <w:lastRenderedPageBreak/>
        <w:t>定本次声环境影响评价等级为二级。</w:t>
      </w:r>
    </w:p>
    <w:p w14:paraId="7ED7BD2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）评价范围</w:t>
      </w:r>
    </w:p>
    <w:p w14:paraId="35800B0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根据《环境影响评价技术导则声环境》（</w:t>
      </w:r>
      <w:r>
        <w:rPr>
          <w:rFonts w:ascii="Times New Roman" w:eastAsia="宋体" w:hAnsi="Times New Roman" w:cs="Times New Roman"/>
          <w:sz w:val="24"/>
        </w:rPr>
        <w:t>HJ2.4-2021</w:t>
      </w:r>
      <w:r>
        <w:rPr>
          <w:rFonts w:ascii="Times New Roman" w:eastAsia="宋体" w:hAnsi="Times New Roman" w:cs="Times New Roman"/>
          <w:sz w:val="24"/>
        </w:rPr>
        <w:t>）中规定，本项目声环境影响评价范围取项目厂界向外</w:t>
      </w:r>
      <w:r>
        <w:rPr>
          <w:rFonts w:ascii="Times New Roman" w:eastAsia="宋体" w:hAnsi="Times New Roman" w:cs="Times New Roman"/>
          <w:sz w:val="24"/>
        </w:rPr>
        <w:t>200m</w:t>
      </w:r>
      <w:r>
        <w:rPr>
          <w:rFonts w:ascii="Times New Roman" w:eastAsia="宋体" w:hAnsi="Times New Roman" w:cs="Times New Roman"/>
          <w:sz w:val="24"/>
        </w:rPr>
        <w:t>范围。</w:t>
      </w:r>
    </w:p>
    <w:p w14:paraId="0C351765"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233" w:name="_Toc13669"/>
      <w:bookmarkStart w:id="234" w:name="_Toc121411702"/>
      <w:bookmarkStart w:id="235" w:name="_Toc18228"/>
      <w:r>
        <w:rPr>
          <w:rFonts w:ascii="Times New Roman" w:eastAsia="黑体" w:hAnsi="Times New Roman" w:cs="Times New Roman"/>
          <w:b w:val="0"/>
          <w:sz w:val="24"/>
        </w:rPr>
        <w:t>2.4.5</w:t>
      </w:r>
      <w:r>
        <w:rPr>
          <w:rFonts w:ascii="Times New Roman" w:eastAsia="黑体" w:hAnsi="Times New Roman" w:cs="Times New Roman"/>
          <w:b w:val="0"/>
          <w:sz w:val="24"/>
        </w:rPr>
        <w:t>土壤环境</w:t>
      </w:r>
      <w:bookmarkEnd w:id="233"/>
      <w:bookmarkEnd w:id="234"/>
    </w:p>
    <w:p w14:paraId="6BCF221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sz w:val="24"/>
        </w:rPr>
        <w:t xml:space="preserve"> </w:t>
      </w:r>
      <w:r>
        <w:rPr>
          <w:rFonts w:ascii="Times New Roman" w:eastAsia="宋体" w:hAnsi="Times New Roman" w:cs="Times New Roman"/>
          <w:sz w:val="24"/>
        </w:rPr>
        <w:t>评价等级确定</w:t>
      </w:r>
    </w:p>
    <w:p w14:paraId="045C4A4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土壤环境（试行）》（</w:t>
      </w:r>
      <w:r>
        <w:rPr>
          <w:rFonts w:ascii="Times New Roman" w:eastAsia="宋体" w:hAnsi="Times New Roman" w:cs="Times New Roman"/>
          <w:sz w:val="24"/>
        </w:rPr>
        <w:t>HJ964-2018</w:t>
      </w:r>
      <w:r>
        <w:rPr>
          <w:rFonts w:ascii="Times New Roman" w:eastAsia="宋体" w:hAnsi="Times New Roman" w:cs="Times New Roman"/>
          <w:sz w:val="24"/>
        </w:rPr>
        <w:t>）附录</w:t>
      </w:r>
      <w:r>
        <w:rPr>
          <w:rFonts w:ascii="Times New Roman" w:eastAsia="宋体" w:hAnsi="Times New Roman" w:cs="Times New Roman"/>
          <w:sz w:val="24"/>
        </w:rPr>
        <w:t>A</w:t>
      </w:r>
      <w:r>
        <w:rPr>
          <w:rFonts w:ascii="Times New Roman" w:eastAsia="宋体" w:hAnsi="Times New Roman" w:cs="Times New Roman"/>
          <w:sz w:val="24"/>
        </w:rPr>
        <w:t>，本项目属于</w:t>
      </w:r>
      <w:r>
        <w:rPr>
          <w:rFonts w:ascii="宋体" w:eastAsia="宋体" w:cs="宋体" w:hint="eastAsia"/>
          <w:kern w:val="0"/>
          <w:sz w:val="24"/>
          <w:szCs w:val="24"/>
        </w:rPr>
        <w:t>城镇生活垃圾集中处置项目，属于Ⅱ类项目</w:t>
      </w:r>
      <w:r>
        <w:rPr>
          <w:rFonts w:ascii="Times New Roman" w:eastAsia="宋体" w:hAnsi="Times New Roman" w:cs="Times New Roman"/>
          <w:sz w:val="24"/>
        </w:rPr>
        <w:t>。</w:t>
      </w:r>
      <w:r>
        <w:rPr>
          <w:rFonts w:ascii="Times New Roman" w:eastAsia="宋体" w:hAnsi="Times New Roman" w:cs="Times New Roman"/>
          <w:sz w:val="24"/>
        </w:rPr>
        <w:t xml:space="preserve"> </w:t>
      </w:r>
    </w:p>
    <w:p w14:paraId="639AC2A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本项目占地面积约</w:t>
      </w:r>
      <w:r>
        <w:rPr>
          <w:rFonts w:ascii="Times New Roman" w:eastAsia="宋体" w:hAnsi="Times New Roman" w:cs="Times New Roman"/>
          <w:sz w:val="24"/>
        </w:rPr>
        <w:t>264.43</w:t>
      </w:r>
      <w:r>
        <w:rPr>
          <w:rFonts w:ascii="Times New Roman" w:eastAsia="宋体" w:hAnsi="Times New Roman" w:cs="Times New Roman"/>
          <w:sz w:val="24"/>
        </w:rPr>
        <w:t>亩（</w:t>
      </w:r>
      <w:r>
        <w:rPr>
          <w:rFonts w:ascii="Times New Roman" w:eastAsia="宋体" w:hAnsi="Times New Roman" w:cs="Times New Roman"/>
          <w:sz w:val="24"/>
        </w:rPr>
        <w:t>17.63hm2</w:t>
      </w:r>
      <w:r>
        <w:rPr>
          <w:rFonts w:ascii="Times New Roman" w:eastAsia="宋体" w:hAnsi="Times New Roman" w:cs="Times New Roman"/>
          <w:sz w:val="24"/>
        </w:rPr>
        <w:t>），占地规模属于</w:t>
      </w:r>
      <w:r>
        <w:rPr>
          <w:rFonts w:ascii="Times New Roman" w:eastAsia="宋体" w:hAnsi="Times New Roman" w:cs="Times New Roman" w:hint="eastAsia"/>
          <w:sz w:val="24"/>
        </w:rPr>
        <w:t>中</w:t>
      </w:r>
      <w:r>
        <w:rPr>
          <w:rFonts w:ascii="Times New Roman" w:eastAsia="宋体" w:hAnsi="Times New Roman" w:cs="Times New Roman"/>
          <w:sz w:val="24"/>
        </w:rPr>
        <w:t>型（</w:t>
      </w:r>
      <w:r>
        <w:rPr>
          <w:rFonts w:ascii="Times New Roman" w:eastAsia="宋体" w:hAnsi="Times New Roman" w:cs="Times New Roman"/>
          <w:sz w:val="24"/>
        </w:rPr>
        <w:t>5</w:t>
      </w:r>
      <w:r>
        <w:rPr>
          <w:rFonts w:ascii="Times New Roman" w:eastAsia="宋体" w:hAnsi="Times New Roman" w:cs="Times New Roman" w:hint="eastAsia"/>
          <w:sz w:val="24"/>
        </w:rPr>
        <w:t>~</w:t>
      </w:r>
      <w:r>
        <w:rPr>
          <w:rFonts w:ascii="Times New Roman" w:eastAsia="宋体" w:hAnsi="Times New Roman" w:cs="Times New Roman"/>
          <w:sz w:val="24"/>
        </w:rPr>
        <w:t>50hm2</w:t>
      </w:r>
      <w:r>
        <w:rPr>
          <w:rFonts w:ascii="Times New Roman" w:eastAsia="宋体" w:hAnsi="Times New Roman" w:cs="Times New Roman"/>
          <w:sz w:val="24"/>
        </w:rPr>
        <w:t>）。目前厂址周围不存在耕地，居民等土壤环境敏感目标，属于不敏感区。</w:t>
      </w:r>
    </w:p>
    <w:p w14:paraId="7E21108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根据《环境影响评价技术导则土壤环境》（</w:t>
      </w:r>
      <w:r>
        <w:rPr>
          <w:rFonts w:ascii="Times New Roman" w:eastAsia="宋体" w:hAnsi="Times New Roman" w:cs="Times New Roman"/>
          <w:sz w:val="24"/>
        </w:rPr>
        <w:t>HJ964-2018</w:t>
      </w:r>
      <w:r>
        <w:rPr>
          <w:rFonts w:ascii="Times New Roman" w:eastAsia="宋体" w:hAnsi="Times New Roman" w:cs="Times New Roman"/>
          <w:sz w:val="24"/>
        </w:rPr>
        <w:t>）项目所在地污染影响型敏感程度分级表见表</w:t>
      </w:r>
      <w:r>
        <w:rPr>
          <w:rFonts w:ascii="Times New Roman" w:eastAsia="宋体" w:hAnsi="Times New Roman" w:cs="Times New Roman"/>
          <w:sz w:val="24"/>
        </w:rPr>
        <w:t>2.4-7</w:t>
      </w:r>
      <w:r>
        <w:rPr>
          <w:rFonts w:ascii="Times New Roman" w:eastAsia="宋体" w:hAnsi="Times New Roman" w:cs="Times New Roman"/>
          <w:sz w:val="24"/>
        </w:rPr>
        <w:t>，污染影响型土壤评价工作等级划分见表</w:t>
      </w:r>
      <w:r>
        <w:rPr>
          <w:rFonts w:ascii="Times New Roman" w:eastAsia="宋体" w:hAnsi="Times New Roman" w:cs="Times New Roman"/>
          <w:sz w:val="24"/>
        </w:rPr>
        <w:t>2.4-8</w:t>
      </w:r>
      <w:r>
        <w:rPr>
          <w:rFonts w:ascii="Times New Roman" w:eastAsia="宋体" w:hAnsi="Times New Roman" w:cs="Times New Roman"/>
          <w:sz w:val="24"/>
        </w:rPr>
        <w:t>。</w:t>
      </w:r>
    </w:p>
    <w:p w14:paraId="5583D5D2" w14:textId="77777777" w:rsidR="00D12939" w:rsidRDefault="004F47F5">
      <w:pPr>
        <w:pStyle w:val="a5"/>
        <w:ind w:firstLine="480"/>
        <w:rPr>
          <w:rFonts w:ascii="黑体" w:eastAsia="黑体" w:hAnsi="黑体"/>
          <w:sz w:val="24"/>
          <w:szCs w:val="21"/>
        </w:rPr>
      </w:pPr>
      <w:r>
        <w:rPr>
          <w:rFonts w:ascii="黑体" w:eastAsia="黑体" w:hAnsi="黑体"/>
          <w:sz w:val="24"/>
          <w:szCs w:val="21"/>
        </w:rPr>
        <w:t>表2.4-7   污染影响型敏感程度分级表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88"/>
        <w:gridCol w:w="7328"/>
      </w:tblGrid>
      <w:tr w:rsidR="00D12939" w14:paraId="10791F0B" w14:textId="77777777">
        <w:trPr>
          <w:trHeight w:val="415"/>
        </w:trPr>
        <w:tc>
          <w:tcPr>
            <w:tcW w:w="1229" w:type="pct"/>
            <w:vAlign w:val="center"/>
          </w:tcPr>
          <w:p w14:paraId="3DAEBDEB"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敏感程度</w:t>
            </w:r>
          </w:p>
        </w:tc>
        <w:tc>
          <w:tcPr>
            <w:tcW w:w="3771" w:type="pct"/>
            <w:vAlign w:val="center"/>
          </w:tcPr>
          <w:p w14:paraId="73B8B809"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工程占地范围</w:t>
            </w:r>
          </w:p>
        </w:tc>
      </w:tr>
      <w:tr w:rsidR="00D12939" w14:paraId="0CDE12FA" w14:textId="77777777">
        <w:tc>
          <w:tcPr>
            <w:tcW w:w="1229" w:type="pct"/>
            <w:vAlign w:val="center"/>
          </w:tcPr>
          <w:p w14:paraId="11A8A085"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敏感</w:t>
            </w:r>
          </w:p>
        </w:tc>
        <w:tc>
          <w:tcPr>
            <w:tcW w:w="3771" w:type="pct"/>
            <w:vAlign w:val="center"/>
          </w:tcPr>
          <w:p w14:paraId="0D22D8A6"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建设项目周边存在耕地、园地、牧草地、饮用水水源地或居民区、学校、医院、疗养院、养老院等土壤环境敏感目标</w:t>
            </w:r>
          </w:p>
        </w:tc>
      </w:tr>
      <w:tr w:rsidR="00D12939" w14:paraId="622DC9F8" w14:textId="77777777">
        <w:tc>
          <w:tcPr>
            <w:tcW w:w="1229" w:type="pct"/>
            <w:vAlign w:val="center"/>
          </w:tcPr>
          <w:p w14:paraId="3E8ABCEA"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较敏感</w:t>
            </w:r>
          </w:p>
        </w:tc>
        <w:tc>
          <w:tcPr>
            <w:tcW w:w="3771" w:type="pct"/>
            <w:vAlign w:val="center"/>
          </w:tcPr>
          <w:p w14:paraId="6B7E2A68"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建设项目周边存在其他土壤环境敏感目标的</w:t>
            </w:r>
          </w:p>
        </w:tc>
      </w:tr>
      <w:tr w:rsidR="00D12939" w14:paraId="7DC4BD9A" w14:textId="77777777">
        <w:tc>
          <w:tcPr>
            <w:tcW w:w="1229" w:type="pct"/>
            <w:vAlign w:val="center"/>
          </w:tcPr>
          <w:p w14:paraId="11AA2868" w14:textId="77777777" w:rsidR="00D12939" w:rsidRDefault="004F47F5">
            <w:pPr>
              <w:jc w:val="center"/>
              <w:rPr>
                <w:rFonts w:ascii="Times New Roman" w:eastAsia="宋体" w:hAnsi="Times New Roman" w:cs="Times New Roman"/>
                <w:b/>
                <w:kern w:val="0"/>
                <w:szCs w:val="21"/>
              </w:rPr>
            </w:pPr>
            <w:r>
              <w:rPr>
                <w:rFonts w:ascii="Times New Roman" w:eastAsia="宋体" w:hAnsi="Times New Roman" w:cs="Times New Roman"/>
                <w:kern w:val="0"/>
                <w:szCs w:val="21"/>
              </w:rPr>
              <w:t>不敏感</w:t>
            </w:r>
          </w:p>
        </w:tc>
        <w:tc>
          <w:tcPr>
            <w:tcW w:w="3771" w:type="pct"/>
            <w:vAlign w:val="center"/>
          </w:tcPr>
          <w:p w14:paraId="47DCD42E"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其他情况</w:t>
            </w:r>
          </w:p>
        </w:tc>
      </w:tr>
    </w:tbl>
    <w:p w14:paraId="7FAAB56D" w14:textId="77777777" w:rsidR="00D12939" w:rsidRDefault="004F47F5">
      <w:pPr>
        <w:pStyle w:val="a5"/>
        <w:ind w:firstLine="480"/>
        <w:rPr>
          <w:rFonts w:ascii="黑体" w:eastAsia="黑体" w:hAnsi="黑体"/>
          <w:sz w:val="24"/>
          <w:szCs w:val="21"/>
        </w:rPr>
      </w:pPr>
      <w:r>
        <w:rPr>
          <w:rFonts w:ascii="黑体" w:eastAsia="黑体" w:hAnsi="黑体"/>
          <w:sz w:val="24"/>
          <w:szCs w:val="21"/>
        </w:rPr>
        <w:t>表2.4-8    污染影响型评价工作等级划分表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34"/>
        <w:gridCol w:w="809"/>
        <w:gridCol w:w="809"/>
        <w:gridCol w:w="810"/>
        <w:gridCol w:w="810"/>
        <w:gridCol w:w="810"/>
        <w:gridCol w:w="810"/>
        <w:gridCol w:w="810"/>
        <w:gridCol w:w="810"/>
        <w:gridCol w:w="804"/>
      </w:tblGrid>
      <w:tr w:rsidR="00D12939" w14:paraId="41681B5A" w14:textId="77777777">
        <w:trPr>
          <w:trHeight w:val="397"/>
          <w:jc w:val="center"/>
        </w:trPr>
        <w:tc>
          <w:tcPr>
            <w:tcW w:w="1252" w:type="pct"/>
            <w:vMerge w:val="restart"/>
          </w:tcPr>
          <w:p w14:paraId="52FF19CC"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noProof/>
                <w:szCs w:val="21"/>
              </w:rPr>
              <mc:AlternateContent>
                <mc:Choice Requires="wps">
                  <w:drawing>
                    <wp:anchor distT="0" distB="0" distL="114300" distR="114300" simplePos="0" relativeHeight="251659264" behindDoc="0" locked="0" layoutInCell="1" allowOverlap="1">
                      <wp:simplePos x="0" y="0"/>
                      <wp:positionH relativeFrom="column">
                        <wp:posOffset>495300</wp:posOffset>
                      </wp:positionH>
                      <wp:positionV relativeFrom="paragraph">
                        <wp:posOffset>8890</wp:posOffset>
                      </wp:positionV>
                      <wp:extent cx="784860" cy="561340"/>
                      <wp:effectExtent l="7620" t="12065" r="7620" b="7620"/>
                      <wp:wrapNone/>
                      <wp:docPr id="4" name="直接箭头连接符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4860" cy="561340"/>
                              </a:xfrm>
                              <a:prstGeom prst="straightConnector1">
                                <a:avLst/>
                              </a:prstGeom>
                              <a:noFill/>
                              <a:ln w="9525">
                                <a:solidFill>
                                  <a:srgbClr val="000000"/>
                                </a:solidFill>
                                <a:round/>
                              </a:ln>
                            </wps:spPr>
                            <wps:bodyPr/>
                          </wps:wsp>
                        </a:graphicData>
                      </a:graphic>
                    </wp:anchor>
                  </w:drawing>
                </mc:Choice>
                <mc:Fallback xmlns:wpsCustomData="http://www.wps.cn/officeDocument/2013/wpsCustomData">
                  <w:pict>
                    <v:shape id="_x0000_s1026" o:spid="_x0000_s1026" o:spt="32" type="#_x0000_t32" style="position:absolute;left:0pt;margin-left:39pt;margin-top:0.7pt;height:44.2pt;width:61.8pt;z-index:251659264;mso-width-relative:page;mso-height-relative:page;" filled="f" stroked="t" coordsize="21600,21600" o:gfxdata="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717yH1wAAAAcBAAAPAAAAAAAAAAEAIAAAACIAAABkcnMvZG93bnJldi54&#10;bWxQSwECFAAUAAAACACHTuJAKaEZlPsBAADCAwAADgAAAAAAAAABACAAAAAmAQAAZHJzL2Uyb0Rv&#10;Yy54bWxQSwUGAAAAAAYABgBZAQAAkwUAAAAA&#10;">
                      <v:fill on="f" focussize="0,0"/>
                      <v:stroke color="#000000" joinstyle="round"/>
                      <v:imagedata o:title=""/>
                      <o:lock v:ext="edit" aspectratio="f"/>
                    </v:shape>
                  </w:pict>
                </mc:Fallback>
              </mc:AlternateContent>
            </w:r>
            <w:r>
              <w:rPr>
                <w:rFonts w:ascii="Times New Roman" w:eastAsia="宋体" w:hAnsi="Times New Roman" w:cs="Times New Roman"/>
                <w:szCs w:val="21"/>
              </w:rPr>
              <w:t xml:space="preserve">         </w:t>
            </w:r>
            <w:r>
              <w:rPr>
                <w:rFonts w:ascii="Times New Roman" w:eastAsia="宋体" w:hAnsi="Times New Roman" w:cs="Times New Roman"/>
                <w:szCs w:val="21"/>
              </w:rPr>
              <w:t>占地规模</w:t>
            </w:r>
          </w:p>
          <w:p w14:paraId="1F8D830C" w14:textId="77777777" w:rsidR="00D12939" w:rsidRDefault="004F47F5">
            <w:pPr>
              <w:overflowPunct w:val="0"/>
              <w:adjustRightInd w:val="0"/>
              <w:rPr>
                <w:rFonts w:ascii="Times New Roman" w:eastAsia="宋体" w:hAnsi="Times New Roman" w:cs="Times New Roman"/>
                <w:szCs w:val="21"/>
              </w:rPr>
            </w:pPr>
            <w:r>
              <w:rPr>
                <w:rFonts w:ascii="Times New Roman" w:eastAsia="宋体" w:hAnsi="Times New Roman" w:cs="Times New Roman"/>
                <w:noProof/>
                <w:szCs w:val="21"/>
              </w:rPr>
              <mc:AlternateContent>
                <mc:Choice Requires="wps">
                  <w:drawing>
                    <wp:anchor distT="0" distB="0" distL="114300" distR="114300" simplePos="0" relativeHeight="251660288" behindDoc="0" locked="0" layoutInCell="1" allowOverlap="1">
                      <wp:simplePos x="0" y="0"/>
                      <wp:positionH relativeFrom="column">
                        <wp:posOffset>-76835</wp:posOffset>
                      </wp:positionH>
                      <wp:positionV relativeFrom="paragraph">
                        <wp:posOffset>113665</wp:posOffset>
                      </wp:positionV>
                      <wp:extent cx="1356995" cy="258445"/>
                      <wp:effectExtent l="6985" t="13335" r="7620" b="13970"/>
                      <wp:wrapNone/>
                      <wp:docPr id="1" name="直接箭头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56995" cy="258445"/>
                              </a:xfrm>
                              <a:prstGeom prst="straightConnector1">
                                <a:avLst/>
                              </a:prstGeom>
                              <a:noFill/>
                              <a:ln w="9525">
                                <a:solidFill>
                                  <a:srgbClr val="000000"/>
                                </a:solidFill>
                                <a:round/>
                              </a:ln>
                            </wps:spPr>
                            <wps:bodyPr/>
                          </wps:wsp>
                        </a:graphicData>
                      </a:graphic>
                    </wp:anchor>
                  </w:drawing>
                </mc:Choice>
                <mc:Fallback xmlns:wpsCustomData="http://www.wps.cn/officeDocument/2013/wpsCustomData">
                  <w:pict>
                    <v:shape id="_x0000_s1026" o:spid="_x0000_s1026" o:spt="32" type="#_x0000_t32" style="position:absolute;left:0pt;flip:x y;margin-left:-6.05pt;margin-top:8.95pt;height:20.35pt;width:106.85pt;z-index:251660288;mso-width-relative:page;mso-height-relative:page;" filled="f" stroked="t" coordsize="21600,21600" o:gfxdata="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&#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wUmqI2QAAAAkBAAAPAAAAAAAAAAEAIAAAACIAAABk&#10;cnMvZG93bnJldi54bWxQSwECFAAUAAAACACHTuJAUlHS4AUCAADXAwAADgAAAAAAAAABACAAAAAo&#10;AQAAZHJzL2Uyb0RvYy54bWxQSwUGAAAAAAYABgBZAQAAnwUAAAAA&#10;">
                      <v:fill on="f" focussize="0,0"/>
                      <v:stroke color="#000000" joinstyle="round"/>
                      <v:imagedata o:title=""/>
                      <o:lock v:ext="edit" aspectratio="f"/>
                    </v:shape>
                  </w:pict>
                </mc:Fallback>
              </mc:AlternateContent>
            </w:r>
            <w:r>
              <w:rPr>
                <w:rFonts w:ascii="Times New Roman" w:eastAsia="宋体" w:hAnsi="Times New Roman" w:cs="Times New Roman"/>
                <w:szCs w:val="21"/>
              </w:rPr>
              <w:t>评价工作等级</w:t>
            </w:r>
          </w:p>
          <w:p w14:paraId="12E93855" w14:textId="77777777" w:rsidR="00D12939" w:rsidRDefault="004F47F5">
            <w:pPr>
              <w:rPr>
                <w:rFonts w:ascii="Times New Roman" w:eastAsia="宋体" w:hAnsi="Times New Roman" w:cs="Times New Roman"/>
                <w:szCs w:val="21"/>
              </w:rPr>
            </w:pPr>
            <w:r>
              <w:rPr>
                <w:rFonts w:ascii="Times New Roman" w:eastAsia="宋体" w:hAnsi="Times New Roman" w:cs="Times New Roman"/>
                <w:szCs w:val="21"/>
              </w:rPr>
              <w:t>敏感程度</w:t>
            </w:r>
          </w:p>
        </w:tc>
        <w:tc>
          <w:tcPr>
            <w:tcW w:w="1249" w:type="pct"/>
            <w:gridSpan w:val="3"/>
            <w:vAlign w:val="center"/>
          </w:tcPr>
          <w:p w14:paraId="1822C79C"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Ⅰ</w:t>
            </w:r>
            <w:r>
              <w:rPr>
                <w:rFonts w:ascii="Times New Roman" w:eastAsia="宋体" w:hAnsi="Times New Roman" w:cs="Times New Roman"/>
                <w:szCs w:val="21"/>
              </w:rPr>
              <w:t>类项目</w:t>
            </w:r>
          </w:p>
        </w:tc>
        <w:tc>
          <w:tcPr>
            <w:tcW w:w="1251" w:type="pct"/>
            <w:gridSpan w:val="3"/>
            <w:vAlign w:val="center"/>
          </w:tcPr>
          <w:p w14:paraId="09505E07"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Ⅱ</w:t>
            </w:r>
            <w:r>
              <w:rPr>
                <w:rFonts w:ascii="Times New Roman" w:eastAsia="宋体" w:hAnsi="Times New Roman" w:cs="Times New Roman"/>
                <w:szCs w:val="21"/>
              </w:rPr>
              <w:t>类项目</w:t>
            </w:r>
          </w:p>
        </w:tc>
        <w:tc>
          <w:tcPr>
            <w:tcW w:w="1248" w:type="pct"/>
            <w:gridSpan w:val="3"/>
            <w:vAlign w:val="center"/>
          </w:tcPr>
          <w:p w14:paraId="6B33E86A"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Ⅲ</w:t>
            </w:r>
            <w:r>
              <w:rPr>
                <w:rFonts w:ascii="Times New Roman" w:eastAsia="宋体" w:hAnsi="Times New Roman" w:cs="Times New Roman"/>
                <w:szCs w:val="21"/>
              </w:rPr>
              <w:t>类项目</w:t>
            </w:r>
          </w:p>
        </w:tc>
      </w:tr>
      <w:tr w:rsidR="00D12939" w14:paraId="56DAC5D4" w14:textId="77777777">
        <w:trPr>
          <w:trHeight w:val="54"/>
          <w:jc w:val="center"/>
        </w:trPr>
        <w:tc>
          <w:tcPr>
            <w:tcW w:w="1252" w:type="pct"/>
            <w:vMerge/>
          </w:tcPr>
          <w:p w14:paraId="51EE1473" w14:textId="77777777" w:rsidR="00D12939" w:rsidRDefault="00D12939">
            <w:pPr>
              <w:overflowPunct w:val="0"/>
              <w:adjustRightInd w:val="0"/>
              <w:jc w:val="center"/>
              <w:rPr>
                <w:rFonts w:ascii="Times New Roman" w:eastAsia="宋体" w:hAnsi="Times New Roman" w:cs="Times New Roman"/>
                <w:szCs w:val="21"/>
              </w:rPr>
            </w:pPr>
          </w:p>
        </w:tc>
        <w:tc>
          <w:tcPr>
            <w:tcW w:w="416" w:type="pct"/>
            <w:vAlign w:val="center"/>
          </w:tcPr>
          <w:p w14:paraId="359367EE"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大</w:t>
            </w:r>
          </w:p>
        </w:tc>
        <w:tc>
          <w:tcPr>
            <w:tcW w:w="416" w:type="pct"/>
            <w:vAlign w:val="center"/>
          </w:tcPr>
          <w:p w14:paraId="7306DB5E"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中</w:t>
            </w:r>
          </w:p>
        </w:tc>
        <w:tc>
          <w:tcPr>
            <w:tcW w:w="417" w:type="pct"/>
            <w:vAlign w:val="center"/>
          </w:tcPr>
          <w:p w14:paraId="691A910B"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小</w:t>
            </w:r>
          </w:p>
        </w:tc>
        <w:tc>
          <w:tcPr>
            <w:tcW w:w="417" w:type="pct"/>
            <w:vAlign w:val="center"/>
          </w:tcPr>
          <w:p w14:paraId="3B3B426A"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大</w:t>
            </w:r>
          </w:p>
        </w:tc>
        <w:tc>
          <w:tcPr>
            <w:tcW w:w="417" w:type="pct"/>
            <w:vAlign w:val="center"/>
          </w:tcPr>
          <w:p w14:paraId="6B6FBA2A"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中</w:t>
            </w:r>
          </w:p>
        </w:tc>
        <w:tc>
          <w:tcPr>
            <w:tcW w:w="417" w:type="pct"/>
            <w:vAlign w:val="center"/>
          </w:tcPr>
          <w:p w14:paraId="3845DF69"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小</w:t>
            </w:r>
          </w:p>
        </w:tc>
        <w:tc>
          <w:tcPr>
            <w:tcW w:w="417" w:type="pct"/>
            <w:vAlign w:val="center"/>
          </w:tcPr>
          <w:p w14:paraId="6B988640"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大</w:t>
            </w:r>
          </w:p>
        </w:tc>
        <w:tc>
          <w:tcPr>
            <w:tcW w:w="417" w:type="pct"/>
            <w:vAlign w:val="center"/>
          </w:tcPr>
          <w:p w14:paraId="55632D8D"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中</w:t>
            </w:r>
          </w:p>
        </w:tc>
        <w:tc>
          <w:tcPr>
            <w:tcW w:w="414" w:type="pct"/>
            <w:vAlign w:val="center"/>
          </w:tcPr>
          <w:p w14:paraId="58D74E11"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小</w:t>
            </w:r>
          </w:p>
        </w:tc>
      </w:tr>
      <w:tr w:rsidR="00D12939" w14:paraId="7578485C" w14:textId="77777777">
        <w:trPr>
          <w:trHeight w:val="54"/>
          <w:jc w:val="center"/>
        </w:trPr>
        <w:tc>
          <w:tcPr>
            <w:tcW w:w="1252" w:type="pct"/>
            <w:vAlign w:val="center"/>
          </w:tcPr>
          <w:p w14:paraId="21E4462F"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敏感</w:t>
            </w:r>
          </w:p>
        </w:tc>
        <w:tc>
          <w:tcPr>
            <w:tcW w:w="416" w:type="pct"/>
            <w:vAlign w:val="center"/>
          </w:tcPr>
          <w:p w14:paraId="4D654FB1"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一级</w:t>
            </w:r>
          </w:p>
        </w:tc>
        <w:tc>
          <w:tcPr>
            <w:tcW w:w="416" w:type="pct"/>
            <w:vAlign w:val="center"/>
          </w:tcPr>
          <w:p w14:paraId="42AF123E"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一级</w:t>
            </w:r>
          </w:p>
        </w:tc>
        <w:tc>
          <w:tcPr>
            <w:tcW w:w="417" w:type="pct"/>
            <w:vAlign w:val="center"/>
          </w:tcPr>
          <w:p w14:paraId="515B9F4D"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一级</w:t>
            </w:r>
          </w:p>
        </w:tc>
        <w:tc>
          <w:tcPr>
            <w:tcW w:w="417" w:type="pct"/>
            <w:vAlign w:val="center"/>
          </w:tcPr>
          <w:p w14:paraId="42FB3174"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39A4F8DF"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08EC52AA"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6D2BFA74"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417" w:type="pct"/>
            <w:vAlign w:val="center"/>
          </w:tcPr>
          <w:p w14:paraId="4B3424E8"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414" w:type="pct"/>
            <w:vAlign w:val="center"/>
          </w:tcPr>
          <w:p w14:paraId="2A78C05C"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r>
      <w:tr w:rsidR="00D12939" w14:paraId="24722F09" w14:textId="77777777">
        <w:trPr>
          <w:trHeight w:val="153"/>
          <w:jc w:val="center"/>
        </w:trPr>
        <w:tc>
          <w:tcPr>
            <w:tcW w:w="1252" w:type="pct"/>
            <w:vAlign w:val="center"/>
          </w:tcPr>
          <w:p w14:paraId="227CE171"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较敏感</w:t>
            </w:r>
          </w:p>
        </w:tc>
        <w:tc>
          <w:tcPr>
            <w:tcW w:w="416" w:type="pct"/>
            <w:vAlign w:val="center"/>
          </w:tcPr>
          <w:p w14:paraId="2BE174CF"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一级</w:t>
            </w:r>
          </w:p>
        </w:tc>
        <w:tc>
          <w:tcPr>
            <w:tcW w:w="416" w:type="pct"/>
            <w:vAlign w:val="center"/>
          </w:tcPr>
          <w:p w14:paraId="034AEAFE"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一级</w:t>
            </w:r>
          </w:p>
        </w:tc>
        <w:tc>
          <w:tcPr>
            <w:tcW w:w="417" w:type="pct"/>
            <w:vAlign w:val="center"/>
          </w:tcPr>
          <w:p w14:paraId="6C25B1D1"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7D238AD2"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5791A0C9"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08D21AA9"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417" w:type="pct"/>
            <w:vAlign w:val="center"/>
          </w:tcPr>
          <w:p w14:paraId="7F557E7D"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417" w:type="pct"/>
            <w:vAlign w:val="center"/>
          </w:tcPr>
          <w:p w14:paraId="0DE26AFD"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414" w:type="pct"/>
            <w:vAlign w:val="center"/>
          </w:tcPr>
          <w:p w14:paraId="422F1CD7"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68BFA757" w14:textId="77777777">
        <w:trPr>
          <w:trHeight w:val="54"/>
          <w:jc w:val="center"/>
        </w:trPr>
        <w:tc>
          <w:tcPr>
            <w:tcW w:w="1252" w:type="pct"/>
            <w:vAlign w:val="center"/>
          </w:tcPr>
          <w:p w14:paraId="4B833852"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不敏感</w:t>
            </w:r>
          </w:p>
        </w:tc>
        <w:tc>
          <w:tcPr>
            <w:tcW w:w="416" w:type="pct"/>
            <w:vAlign w:val="center"/>
          </w:tcPr>
          <w:p w14:paraId="041489A5"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一级</w:t>
            </w:r>
          </w:p>
        </w:tc>
        <w:tc>
          <w:tcPr>
            <w:tcW w:w="416" w:type="pct"/>
            <w:vAlign w:val="center"/>
          </w:tcPr>
          <w:p w14:paraId="22F128FA"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18BDD4D7"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459B03A9"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二级</w:t>
            </w:r>
          </w:p>
        </w:tc>
        <w:tc>
          <w:tcPr>
            <w:tcW w:w="417" w:type="pct"/>
            <w:vAlign w:val="center"/>
          </w:tcPr>
          <w:p w14:paraId="66E85624"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417" w:type="pct"/>
            <w:vAlign w:val="center"/>
          </w:tcPr>
          <w:p w14:paraId="7A3D848E"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417" w:type="pct"/>
            <w:vAlign w:val="center"/>
          </w:tcPr>
          <w:p w14:paraId="251347DB"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三级</w:t>
            </w:r>
          </w:p>
        </w:tc>
        <w:tc>
          <w:tcPr>
            <w:tcW w:w="417" w:type="pct"/>
            <w:vAlign w:val="center"/>
          </w:tcPr>
          <w:p w14:paraId="6FB8513B"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414" w:type="pct"/>
            <w:vAlign w:val="center"/>
          </w:tcPr>
          <w:p w14:paraId="0D1138E0"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61DF783E" w14:textId="77777777">
        <w:trPr>
          <w:trHeight w:val="70"/>
          <w:jc w:val="center"/>
        </w:trPr>
        <w:tc>
          <w:tcPr>
            <w:tcW w:w="1252" w:type="pct"/>
            <w:vAlign w:val="center"/>
          </w:tcPr>
          <w:p w14:paraId="1B8396C4"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本项目情况</w:t>
            </w:r>
          </w:p>
        </w:tc>
        <w:tc>
          <w:tcPr>
            <w:tcW w:w="3748" w:type="pct"/>
            <w:gridSpan w:val="9"/>
            <w:vAlign w:val="center"/>
          </w:tcPr>
          <w:p w14:paraId="223B8EBC"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hint="eastAsia"/>
                <w:szCs w:val="21"/>
              </w:rPr>
              <w:t>中</w:t>
            </w:r>
            <w:r>
              <w:rPr>
                <w:rFonts w:ascii="Times New Roman" w:eastAsia="宋体" w:hAnsi="Times New Roman" w:cs="Times New Roman"/>
                <w:szCs w:val="21"/>
              </w:rPr>
              <w:t>型占地规模，</w:t>
            </w:r>
            <w:r>
              <w:rPr>
                <w:rFonts w:ascii="Times New Roman" w:eastAsia="宋体" w:hAnsi="Times New Roman" w:cs="Times New Roman" w:hint="eastAsia"/>
                <w:szCs w:val="21"/>
              </w:rPr>
              <w:t>Ⅱ</w:t>
            </w:r>
            <w:r>
              <w:rPr>
                <w:rFonts w:ascii="Times New Roman" w:eastAsia="宋体" w:hAnsi="Times New Roman" w:cs="Times New Roman"/>
                <w:szCs w:val="21"/>
              </w:rPr>
              <w:t>类项目，</w:t>
            </w:r>
            <w:r>
              <w:rPr>
                <w:rFonts w:ascii="Times New Roman" w:eastAsia="宋体" w:hAnsi="Times New Roman" w:cs="Times New Roman" w:hint="eastAsia"/>
                <w:szCs w:val="21"/>
              </w:rPr>
              <w:t>不</w:t>
            </w:r>
            <w:r>
              <w:rPr>
                <w:rFonts w:ascii="Times New Roman" w:eastAsia="宋体" w:hAnsi="Times New Roman" w:cs="Times New Roman"/>
                <w:szCs w:val="21"/>
              </w:rPr>
              <w:t>敏感</w:t>
            </w:r>
          </w:p>
        </w:tc>
      </w:tr>
      <w:tr w:rsidR="00D12939" w14:paraId="1A958F29" w14:textId="77777777">
        <w:trPr>
          <w:trHeight w:val="179"/>
          <w:jc w:val="center"/>
        </w:trPr>
        <w:tc>
          <w:tcPr>
            <w:tcW w:w="1252" w:type="pct"/>
            <w:vAlign w:val="center"/>
          </w:tcPr>
          <w:p w14:paraId="5514DA55"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szCs w:val="21"/>
              </w:rPr>
              <w:t>评价等级</w:t>
            </w:r>
          </w:p>
        </w:tc>
        <w:tc>
          <w:tcPr>
            <w:tcW w:w="3748" w:type="pct"/>
            <w:gridSpan w:val="9"/>
            <w:vAlign w:val="center"/>
          </w:tcPr>
          <w:p w14:paraId="1C08D9BB" w14:textId="77777777" w:rsidR="00D12939" w:rsidRDefault="004F47F5">
            <w:pPr>
              <w:overflowPunct w:val="0"/>
              <w:adjustRightInd w:val="0"/>
              <w:jc w:val="center"/>
              <w:rPr>
                <w:rFonts w:ascii="Times New Roman" w:eastAsia="宋体" w:hAnsi="Times New Roman" w:cs="Times New Roman"/>
                <w:szCs w:val="21"/>
              </w:rPr>
            </w:pPr>
            <w:r>
              <w:rPr>
                <w:rFonts w:ascii="Times New Roman" w:eastAsia="宋体" w:hAnsi="Times New Roman" w:cs="Times New Roman" w:hint="eastAsia"/>
                <w:szCs w:val="21"/>
              </w:rPr>
              <w:t>三</w:t>
            </w:r>
            <w:r>
              <w:rPr>
                <w:rFonts w:ascii="Times New Roman" w:eastAsia="宋体" w:hAnsi="Times New Roman" w:cs="Times New Roman"/>
                <w:szCs w:val="21"/>
              </w:rPr>
              <w:t>级</w:t>
            </w:r>
          </w:p>
        </w:tc>
      </w:tr>
    </w:tbl>
    <w:p w14:paraId="76A1E28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评价工作等级的划分依据建设项目行业分类、建设项目占地规模和土壤环境敏感程度进行判定，根据《环境影响评价技术导则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土壤环境》（</w:t>
      </w:r>
      <w:r>
        <w:rPr>
          <w:rFonts w:ascii="Times New Roman" w:eastAsia="宋体" w:hAnsi="Times New Roman" w:cs="Times New Roman"/>
          <w:sz w:val="24"/>
        </w:rPr>
        <w:t>HJ964-2018</w:t>
      </w:r>
      <w:r>
        <w:rPr>
          <w:rFonts w:ascii="Times New Roman" w:eastAsia="宋体" w:hAnsi="Times New Roman" w:cs="Times New Roman"/>
          <w:sz w:val="24"/>
        </w:rPr>
        <w:t>），本项目为</w:t>
      </w:r>
      <w:r>
        <w:rPr>
          <w:rFonts w:ascii="宋体" w:eastAsia="宋体" w:cs="宋体" w:hint="eastAsia"/>
          <w:kern w:val="0"/>
          <w:sz w:val="24"/>
          <w:szCs w:val="24"/>
        </w:rPr>
        <w:t>Ⅱ</w:t>
      </w:r>
      <w:r>
        <w:rPr>
          <w:rFonts w:ascii="Times New Roman" w:eastAsia="宋体" w:hAnsi="Times New Roman" w:cs="Times New Roman"/>
          <w:sz w:val="24"/>
        </w:rPr>
        <w:t>类项目，占地规模为</w:t>
      </w:r>
      <w:r>
        <w:rPr>
          <w:rFonts w:ascii="Times New Roman" w:eastAsia="宋体" w:hAnsi="Times New Roman" w:cs="Times New Roman" w:hint="eastAsia"/>
          <w:sz w:val="24"/>
        </w:rPr>
        <w:t>中</w:t>
      </w:r>
      <w:r>
        <w:rPr>
          <w:rFonts w:ascii="Times New Roman" w:eastAsia="宋体" w:hAnsi="Times New Roman" w:cs="Times New Roman"/>
          <w:sz w:val="24"/>
        </w:rPr>
        <w:t>型，土壤环境</w:t>
      </w:r>
      <w:r>
        <w:rPr>
          <w:rFonts w:ascii="Times New Roman" w:eastAsia="宋体" w:hAnsi="Times New Roman" w:cs="Times New Roman" w:hint="eastAsia"/>
          <w:sz w:val="24"/>
        </w:rPr>
        <w:t>不</w:t>
      </w:r>
      <w:r>
        <w:rPr>
          <w:rFonts w:ascii="Times New Roman" w:eastAsia="宋体" w:hAnsi="Times New Roman" w:cs="Times New Roman"/>
          <w:sz w:val="24"/>
        </w:rPr>
        <w:t>敏感，因此土壤评价工作等级为</w:t>
      </w:r>
      <w:r>
        <w:rPr>
          <w:rFonts w:ascii="Times New Roman" w:eastAsia="宋体" w:hAnsi="Times New Roman" w:cs="Times New Roman" w:hint="eastAsia"/>
          <w:sz w:val="24"/>
        </w:rPr>
        <w:t>三</w:t>
      </w:r>
      <w:r>
        <w:rPr>
          <w:rFonts w:ascii="Times New Roman" w:eastAsia="宋体" w:hAnsi="Times New Roman" w:cs="Times New Roman"/>
          <w:sz w:val="24"/>
        </w:rPr>
        <w:t>级。</w:t>
      </w:r>
    </w:p>
    <w:p w14:paraId="1FE12DC1" w14:textId="77777777" w:rsidR="00D12939" w:rsidRDefault="004F47F5">
      <w:pPr>
        <w:widowControl/>
        <w:spacing w:line="360" w:lineRule="auto"/>
        <w:ind w:firstLine="462"/>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）土壤环境评价范围</w:t>
      </w:r>
    </w:p>
    <w:p w14:paraId="1CA51AFC"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建设项目土壤环境影响现状调查评价范围根据表</w:t>
      </w:r>
      <w:r>
        <w:rPr>
          <w:rFonts w:ascii="Times New Roman" w:eastAsia="宋体" w:hAnsi="Times New Roman" w:cs="Times New Roman"/>
          <w:sz w:val="24"/>
        </w:rPr>
        <w:t>2.4-9</w:t>
      </w:r>
      <w:r>
        <w:rPr>
          <w:rFonts w:ascii="Times New Roman" w:eastAsia="宋体" w:hAnsi="Times New Roman" w:cs="Times New Roman" w:hint="eastAsia"/>
          <w:sz w:val="24"/>
        </w:rPr>
        <w:t>确定。</w:t>
      </w:r>
    </w:p>
    <w:p w14:paraId="0508EF2C" w14:textId="77777777" w:rsidR="00D12939" w:rsidRDefault="004F47F5">
      <w:pPr>
        <w:pStyle w:val="a5"/>
        <w:ind w:firstLine="480"/>
        <w:rPr>
          <w:rFonts w:ascii="黑体" w:eastAsia="黑体" w:hAnsi="黑体"/>
          <w:sz w:val="24"/>
          <w:szCs w:val="21"/>
        </w:rPr>
      </w:pPr>
      <w:r>
        <w:rPr>
          <w:rFonts w:ascii="黑体" w:eastAsia="黑体" w:hAnsi="黑体" w:hint="eastAsia"/>
          <w:sz w:val="24"/>
          <w:szCs w:val="21"/>
        </w:rPr>
        <w:t>表2</w:t>
      </w:r>
      <w:r>
        <w:rPr>
          <w:rFonts w:ascii="黑体" w:eastAsia="黑体" w:hAnsi="黑体"/>
          <w:sz w:val="24"/>
          <w:szCs w:val="21"/>
        </w:rPr>
        <w:t xml:space="preserve">.4-9   </w:t>
      </w:r>
      <w:r>
        <w:rPr>
          <w:rFonts w:ascii="黑体" w:eastAsia="黑体" w:hAnsi="黑体" w:hint="eastAsia"/>
          <w:sz w:val="24"/>
          <w:szCs w:val="21"/>
        </w:rPr>
        <w:t>土壤环境现状调查范围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2251"/>
        <w:gridCol w:w="2251"/>
        <w:gridCol w:w="2251"/>
      </w:tblGrid>
      <w:tr w:rsidR="00D12939" w14:paraId="25A0F2DB" w14:textId="77777777">
        <w:trPr>
          <w:trHeight w:val="318"/>
        </w:trPr>
        <w:tc>
          <w:tcPr>
            <w:tcW w:w="2251" w:type="dxa"/>
            <w:vMerge w:val="restart"/>
            <w:vAlign w:val="center"/>
          </w:tcPr>
          <w:p w14:paraId="42CC123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评价工作等级</w:t>
            </w:r>
          </w:p>
        </w:tc>
        <w:tc>
          <w:tcPr>
            <w:tcW w:w="2251" w:type="dxa"/>
            <w:vMerge w:val="restart"/>
            <w:vAlign w:val="center"/>
          </w:tcPr>
          <w:p w14:paraId="29E4DB9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影响类型</w:t>
            </w:r>
          </w:p>
        </w:tc>
        <w:tc>
          <w:tcPr>
            <w:tcW w:w="4502" w:type="dxa"/>
            <w:gridSpan w:val="2"/>
            <w:vAlign w:val="center"/>
          </w:tcPr>
          <w:p w14:paraId="4BCA295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调查范围</w:t>
            </w:r>
            <w:r>
              <w:rPr>
                <w:rFonts w:ascii="Times New Roman" w:eastAsia="宋体" w:hAnsi="Times New Roman" w:cs="Times New Roman"/>
              </w:rPr>
              <w:t>a</w:t>
            </w:r>
          </w:p>
        </w:tc>
      </w:tr>
      <w:tr w:rsidR="00D12939" w14:paraId="07FD2B98" w14:textId="77777777">
        <w:trPr>
          <w:trHeight w:val="376"/>
        </w:trPr>
        <w:tc>
          <w:tcPr>
            <w:tcW w:w="2251" w:type="dxa"/>
            <w:vMerge/>
            <w:vAlign w:val="center"/>
          </w:tcPr>
          <w:p w14:paraId="2A9185E4" w14:textId="77777777" w:rsidR="00D12939" w:rsidRDefault="00D12939">
            <w:pPr>
              <w:pStyle w:val="affffd"/>
              <w:spacing w:line="240" w:lineRule="auto"/>
              <w:rPr>
                <w:rFonts w:ascii="Times New Roman" w:eastAsia="宋体" w:hAnsi="Times New Roman" w:cs="Times New Roman"/>
              </w:rPr>
            </w:pPr>
          </w:p>
        </w:tc>
        <w:tc>
          <w:tcPr>
            <w:tcW w:w="2251" w:type="dxa"/>
            <w:vMerge/>
            <w:vAlign w:val="center"/>
          </w:tcPr>
          <w:p w14:paraId="2BCA3680" w14:textId="77777777" w:rsidR="00D12939" w:rsidRDefault="00D12939">
            <w:pPr>
              <w:pStyle w:val="affffd"/>
              <w:spacing w:line="240" w:lineRule="auto"/>
              <w:rPr>
                <w:rFonts w:ascii="Times New Roman" w:eastAsia="宋体" w:hAnsi="Times New Roman" w:cs="Times New Roman"/>
              </w:rPr>
            </w:pPr>
          </w:p>
        </w:tc>
        <w:tc>
          <w:tcPr>
            <w:tcW w:w="2251" w:type="dxa"/>
            <w:vAlign w:val="center"/>
          </w:tcPr>
          <w:p w14:paraId="0799889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占地</w:t>
            </w:r>
            <w:r>
              <w:rPr>
                <w:rFonts w:ascii="Times New Roman" w:eastAsia="宋体" w:hAnsi="Times New Roman" w:cs="Times New Roman"/>
              </w:rPr>
              <w:t>b</w:t>
            </w:r>
            <w:r>
              <w:rPr>
                <w:rFonts w:ascii="Times New Roman" w:eastAsia="宋体" w:hAnsi="Times New Roman" w:cs="Times New Roman"/>
              </w:rPr>
              <w:t>范围内</w:t>
            </w:r>
          </w:p>
        </w:tc>
        <w:tc>
          <w:tcPr>
            <w:tcW w:w="2251" w:type="dxa"/>
            <w:vAlign w:val="center"/>
          </w:tcPr>
          <w:p w14:paraId="2819FC9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占地范围外</w:t>
            </w:r>
          </w:p>
        </w:tc>
      </w:tr>
      <w:tr w:rsidR="00D12939" w14:paraId="171360F2" w14:textId="77777777">
        <w:trPr>
          <w:trHeight w:val="277"/>
        </w:trPr>
        <w:tc>
          <w:tcPr>
            <w:tcW w:w="2251" w:type="dxa"/>
            <w:vMerge w:val="restart"/>
            <w:vAlign w:val="center"/>
          </w:tcPr>
          <w:p w14:paraId="167E12C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lastRenderedPageBreak/>
              <w:t>一级</w:t>
            </w:r>
          </w:p>
        </w:tc>
        <w:tc>
          <w:tcPr>
            <w:tcW w:w="2251" w:type="dxa"/>
            <w:vAlign w:val="center"/>
          </w:tcPr>
          <w:p w14:paraId="7DA41F3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生态影响型</w:t>
            </w:r>
          </w:p>
        </w:tc>
        <w:tc>
          <w:tcPr>
            <w:tcW w:w="2251" w:type="dxa"/>
            <w:vMerge w:val="restart"/>
            <w:vAlign w:val="center"/>
          </w:tcPr>
          <w:p w14:paraId="1C4F15B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全部</w:t>
            </w:r>
          </w:p>
        </w:tc>
        <w:tc>
          <w:tcPr>
            <w:tcW w:w="2251" w:type="dxa"/>
            <w:vAlign w:val="center"/>
          </w:tcPr>
          <w:p w14:paraId="20FFF98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5km</w:t>
            </w:r>
            <w:r>
              <w:rPr>
                <w:rFonts w:ascii="Times New Roman" w:eastAsia="宋体" w:hAnsi="Times New Roman" w:cs="Times New Roman"/>
              </w:rPr>
              <w:t>范围内</w:t>
            </w:r>
          </w:p>
        </w:tc>
      </w:tr>
      <w:tr w:rsidR="00D12939" w14:paraId="232FD502" w14:textId="77777777">
        <w:trPr>
          <w:trHeight w:val="275"/>
        </w:trPr>
        <w:tc>
          <w:tcPr>
            <w:tcW w:w="2251" w:type="dxa"/>
            <w:vMerge/>
            <w:vAlign w:val="center"/>
          </w:tcPr>
          <w:p w14:paraId="5D7AD54A" w14:textId="77777777" w:rsidR="00D12939" w:rsidRDefault="00D12939">
            <w:pPr>
              <w:pStyle w:val="affffd"/>
              <w:spacing w:line="240" w:lineRule="auto"/>
              <w:rPr>
                <w:rFonts w:ascii="Times New Roman" w:eastAsia="宋体" w:hAnsi="Times New Roman" w:cs="Times New Roman"/>
              </w:rPr>
            </w:pPr>
          </w:p>
        </w:tc>
        <w:tc>
          <w:tcPr>
            <w:tcW w:w="2251" w:type="dxa"/>
            <w:vAlign w:val="center"/>
          </w:tcPr>
          <w:p w14:paraId="4C556C9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污染影响型</w:t>
            </w:r>
          </w:p>
        </w:tc>
        <w:tc>
          <w:tcPr>
            <w:tcW w:w="2251" w:type="dxa"/>
            <w:vMerge/>
            <w:vAlign w:val="center"/>
          </w:tcPr>
          <w:p w14:paraId="0434E974" w14:textId="77777777" w:rsidR="00D12939" w:rsidRDefault="00D12939">
            <w:pPr>
              <w:pStyle w:val="affffd"/>
              <w:spacing w:line="240" w:lineRule="auto"/>
              <w:rPr>
                <w:rFonts w:ascii="Times New Roman" w:eastAsia="宋体" w:hAnsi="Times New Roman" w:cs="Times New Roman"/>
              </w:rPr>
            </w:pPr>
          </w:p>
        </w:tc>
        <w:tc>
          <w:tcPr>
            <w:tcW w:w="2251" w:type="dxa"/>
            <w:vMerge w:val="restart"/>
            <w:vAlign w:val="center"/>
          </w:tcPr>
          <w:p w14:paraId="7CECCAD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1km</w:t>
            </w:r>
            <w:r>
              <w:rPr>
                <w:rFonts w:ascii="Times New Roman" w:eastAsia="宋体" w:hAnsi="Times New Roman" w:cs="Times New Roman"/>
              </w:rPr>
              <w:t>范围内</w:t>
            </w:r>
          </w:p>
        </w:tc>
      </w:tr>
      <w:tr w:rsidR="00D12939" w14:paraId="4A6C2E58" w14:textId="77777777">
        <w:trPr>
          <w:trHeight w:val="323"/>
        </w:trPr>
        <w:tc>
          <w:tcPr>
            <w:tcW w:w="2251" w:type="dxa"/>
            <w:vMerge w:val="restart"/>
            <w:vAlign w:val="center"/>
          </w:tcPr>
          <w:p w14:paraId="7D0B7B4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二级</w:t>
            </w:r>
          </w:p>
        </w:tc>
        <w:tc>
          <w:tcPr>
            <w:tcW w:w="2251" w:type="dxa"/>
            <w:vAlign w:val="center"/>
          </w:tcPr>
          <w:p w14:paraId="3C852C8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生态影响型</w:t>
            </w:r>
          </w:p>
        </w:tc>
        <w:tc>
          <w:tcPr>
            <w:tcW w:w="2251" w:type="dxa"/>
            <w:vMerge/>
            <w:vAlign w:val="center"/>
          </w:tcPr>
          <w:p w14:paraId="5C0B34CD" w14:textId="77777777" w:rsidR="00D12939" w:rsidRDefault="00D12939">
            <w:pPr>
              <w:pStyle w:val="affffd"/>
              <w:spacing w:line="240" w:lineRule="auto"/>
              <w:rPr>
                <w:rFonts w:ascii="Times New Roman" w:eastAsia="宋体" w:hAnsi="Times New Roman" w:cs="Times New Roman"/>
              </w:rPr>
            </w:pPr>
          </w:p>
        </w:tc>
        <w:tc>
          <w:tcPr>
            <w:tcW w:w="2251" w:type="dxa"/>
            <w:vMerge w:val="restart"/>
            <w:vAlign w:val="center"/>
          </w:tcPr>
          <w:p w14:paraId="34F587E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2km</w:t>
            </w:r>
            <w:r>
              <w:rPr>
                <w:rFonts w:ascii="Times New Roman" w:eastAsia="宋体" w:hAnsi="Times New Roman" w:cs="Times New Roman"/>
              </w:rPr>
              <w:t>范围内</w:t>
            </w:r>
          </w:p>
        </w:tc>
      </w:tr>
      <w:tr w:rsidR="00D12939" w14:paraId="7B8EBA18" w14:textId="77777777">
        <w:trPr>
          <w:trHeight w:val="90"/>
        </w:trPr>
        <w:tc>
          <w:tcPr>
            <w:tcW w:w="2251" w:type="dxa"/>
            <w:vMerge/>
            <w:vAlign w:val="center"/>
          </w:tcPr>
          <w:p w14:paraId="333AB5FE" w14:textId="77777777" w:rsidR="00D12939" w:rsidRDefault="00D12939">
            <w:pPr>
              <w:pStyle w:val="affffd"/>
              <w:spacing w:line="240" w:lineRule="auto"/>
              <w:rPr>
                <w:rFonts w:ascii="Times New Roman" w:eastAsia="宋体" w:hAnsi="Times New Roman" w:cs="Times New Roman"/>
              </w:rPr>
            </w:pPr>
          </w:p>
        </w:tc>
        <w:tc>
          <w:tcPr>
            <w:tcW w:w="2251" w:type="dxa"/>
            <w:vAlign w:val="center"/>
          </w:tcPr>
          <w:p w14:paraId="6E64AAC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污染影响型</w:t>
            </w:r>
          </w:p>
        </w:tc>
        <w:tc>
          <w:tcPr>
            <w:tcW w:w="2251" w:type="dxa"/>
            <w:vMerge/>
            <w:vAlign w:val="center"/>
          </w:tcPr>
          <w:p w14:paraId="26F9C9BA" w14:textId="77777777" w:rsidR="00D12939" w:rsidRDefault="00D12939">
            <w:pPr>
              <w:pStyle w:val="affffd"/>
              <w:spacing w:line="240" w:lineRule="auto"/>
              <w:rPr>
                <w:rFonts w:ascii="Times New Roman" w:eastAsia="宋体" w:hAnsi="Times New Roman" w:cs="Times New Roman"/>
              </w:rPr>
            </w:pPr>
          </w:p>
        </w:tc>
        <w:tc>
          <w:tcPr>
            <w:tcW w:w="2251" w:type="dxa"/>
            <w:vAlign w:val="center"/>
          </w:tcPr>
          <w:p w14:paraId="57BCA83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0.2km</w:t>
            </w:r>
            <w:r>
              <w:rPr>
                <w:rFonts w:ascii="Times New Roman" w:eastAsia="宋体" w:hAnsi="Times New Roman" w:cs="Times New Roman"/>
              </w:rPr>
              <w:t>范围内</w:t>
            </w:r>
          </w:p>
        </w:tc>
      </w:tr>
      <w:tr w:rsidR="00D12939" w14:paraId="63D212FB" w14:textId="77777777">
        <w:trPr>
          <w:trHeight w:val="330"/>
        </w:trPr>
        <w:tc>
          <w:tcPr>
            <w:tcW w:w="2251" w:type="dxa"/>
            <w:vMerge w:val="restart"/>
            <w:vAlign w:val="center"/>
          </w:tcPr>
          <w:p w14:paraId="2D8622A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三级</w:t>
            </w:r>
          </w:p>
        </w:tc>
        <w:tc>
          <w:tcPr>
            <w:tcW w:w="2251" w:type="dxa"/>
            <w:vAlign w:val="center"/>
          </w:tcPr>
          <w:p w14:paraId="0DED3FB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生态影响型</w:t>
            </w:r>
          </w:p>
        </w:tc>
        <w:tc>
          <w:tcPr>
            <w:tcW w:w="2251" w:type="dxa"/>
            <w:vMerge/>
            <w:vAlign w:val="center"/>
          </w:tcPr>
          <w:p w14:paraId="61B1DC11" w14:textId="77777777" w:rsidR="00D12939" w:rsidRDefault="00D12939">
            <w:pPr>
              <w:pStyle w:val="affffd"/>
              <w:spacing w:line="240" w:lineRule="auto"/>
              <w:rPr>
                <w:rFonts w:ascii="Times New Roman" w:eastAsia="宋体" w:hAnsi="Times New Roman" w:cs="Times New Roman"/>
              </w:rPr>
            </w:pPr>
          </w:p>
        </w:tc>
        <w:tc>
          <w:tcPr>
            <w:tcW w:w="2251" w:type="dxa"/>
            <w:vAlign w:val="center"/>
          </w:tcPr>
          <w:p w14:paraId="7F5465C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1km</w:t>
            </w:r>
            <w:r>
              <w:rPr>
                <w:rFonts w:ascii="Times New Roman" w:eastAsia="宋体" w:hAnsi="Times New Roman" w:cs="Times New Roman"/>
              </w:rPr>
              <w:t>范围内</w:t>
            </w:r>
          </w:p>
        </w:tc>
      </w:tr>
      <w:tr w:rsidR="00D12939" w14:paraId="646E2226" w14:textId="77777777">
        <w:trPr>
          <w:trHeight w:val="357"/>
        </w:trPr>
        <w:tc>
          <w:tcPr>
            <w:tcW w:w="2251" w:type="dxa"/>
            <w:vMerge/>
            <w:vAlign w:val="center"/>
          </w:tcPr>
          <w:p w14:paraId="0D2F194E" w14:textId="77777777" w:rsidR="00D12939" w:rsidRDefault="00D12939">
            <w:pPr>
              <w:pStyle w:val="affffd"/>
              <w:spacing w:line="240" w:lineRule="auto"/>
              <w:rPr>
                <w:rFonts w:ascii="Times New Roman" w:eastAsia="宋体" w:hAnsi="Times New Roman" w:cs="Times New Roman"/>
              </w:rPr>
            </w:pPr>
          </w:p>
        </w:tc>
        <w:tc>
          <w:tcPr>
            <w:tcW w:w="2251" w:type="dxa"/>
            <w:vAlign w:val="center"/>
          </w:tcPr>
          <w:p w14:paraId="62EA6AF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污染影响型</w:t>
            </w:r>
          </w:p>
        </w:tc>
        <w:tc>
          <w:tcPr>
            <w:tcW w:w="2251" w:type="dxa"/>
            <w:vMerge/>
            <w:vAlign w:val="center"/>
          </w:tcPr>
          <w:p w14:paraId="5615CD29" w14:textId="77777777" w:rsidR="00D12939" w:rsidRDefault="00D12939">
            <w:pPr>
              <w:pStyle w:val="affffd"/>
              <w:spacing w:line="240" w:lineRule="auto"/>
              <w:rPr>
                <w:rFonts w:ascii="Times New Roman" w:eastAsia="宋体" w:hAnsi="Times New Roman" w:cs="Times New Roman"/>
              </w:rPr>
            </w:pPr>
          </w:p>
        </w:tc>
        <w:tc>
          <w:tcPr>
            <w:tcW w:w="2251" w:type="dxa"/>
            <w:vAlign w:val="center"/>
          </w:tcPr>
          <w:p w14:paraId="1D6C726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0.05km</w:t>
            </w:r>
            <w:r>
              <w:rPr>
                <w:rFonts w:ascii="Times New Roman" w:eastAsia="宋体" w:hAnsi="Times New Roman" w:cs="Times New Roman"/>
              </w:rPr>
              <w:t>范围内</w:t>
            </w:r>
          </w:p>
        </w:tc>
      </w:tr>
      <w:tr w:rsidR="00D12939" w14:paraId="68F2F80E" w14:textId="77777777">
        <w:tc>
          <w:tcPr>
            <w:tcW w:w="9004" w:type="dxa"/>
            <w:gridSpan w:val="4"/>
            <w:vAlign w:val="center"/>
          </w:tcPr>
          <w:p w14:paraId="7020FD3E" w14:textId="77777777" w:rsidR="00D12939" w:rsidRDefault="004F47F5">
            <w:pPr>
              <w:pStyle w:val="affffd"/>
              <w:spacing w:line="240" w:lineRule="auto"/>
              <w:jc w:val="both"/>
              <w:rPr>
                <w:rFonts w:ascii="Times New Roman" w:eastAsia="宋体" w:hAnsi="Times New Roman" w:cs="Times New Roman"/>
              </w:rPr>
            </w:pPr>
            <w:r>
              <w:rPr>
                <w:rFonts w:ascii="Times New Roman" w:eastAsia="宋体" w:hAnsi="Times New Roman" w:cs="Times New Roman"/>
              </w:rPr>
              <w:t xml:space="preserve">a </w:t>
            </w:r>
            <w:r>
              <w:rPr>
                <w:rFonts w:ascii="Times New Roman" w:eastAsia="宋体" w:hAnsi="Times New Roman" w:cs="Times New Roman"/>
              </w:rPr>
              <w:t>涉及大气沉降途径影响的，可根据主导风向下风向的最大落地浓度点适当调整。</w:t>
            </w:r>
          </w:p>
          <w:p w14:paraId="3CA033E0" w14:textId="77777777" w:rsidR="00D12939" w:rsidRDefault="004F47F5">
            <w:pPr>
              <w:pStyle w:val="affffd"/>
              <w:spacing w:line="240" w:lineRule="auto"/>
              <w:jc w:val="both"/>
              <w:rPr>
                <w:rFonts w:ascii="Times New Roman" w:eastAsia="宋体" w:hAnsi="Times New Roman" w:cs="Times New Roman"/>
              </w:rPr>
            </w:pPr>
            <w:r>
              <w:rPr>
                <w:rFonts w:ascii="Times New Roman" w:eastAsia="宋体" w:hAnsi="Times New Roman" w:cs="Times New Roman"/>
              </w:rPr>
              <w:t xml:space="preserve">b </w:t>
            </w:r>
            <w:r>
              <w:rPr>
                <w:rFonts w:ascii="Times New Roman" w:eastAsia="宋体" w:hAnsi="Times New Roman" w:cs="Times New Roman"/>
              </w:rPr>
              <w:t>矿山类项目指开采区与各场地的占地；改、扩建类的指现有工程与拟建工程的占地。</w:t>
            </w:r>
          </w:p>
        </w:tc>
      </w:tr>
    </w:tbl>
    <w:p w14:paraId="4C232F91" w14:textId="77777777" w:rsidR="00D12939" w:rsidRDefault="004F47F5">
      <w:pPr>
        <w:spacing w:line="360" w:lineRule="auto"/>
        <w:ind w:firstLine="462"/>
        <w:rPr>
          <w:rFonts w:ascii="Times New Roman" w:eastAsia="宋体" w:hAnsi="Times New Roman" w:cs="Times New Roman"/>
          <w:sz w:val="24"/>
        </w:rPr>
      </w:pPr>
      <w:bookmarkStart w:id="236" w:name="_Toc24427"/>
      <w:r>
        <w:rPr>
          <w:rFonts w:ascii="Times New Roman" w:eastAsia="宋体" w:hAnsi="Times New Roman" w:cs="Times New Roman" w:hint="eastAsia"/>
          <w:sz w:val="24"/>
        </w:rPr>
        <w:t>本项目为污染影响型项目，土壤环境评价工作等级为三级，评价范围包括项目占地范围内以及占地范围外</w:t>
      </w:r>
      <w:r>
        <w:rPr>
          <w:rFonts w:ascii="Times New Roman" w:eastAsia="宋体" w:hAnsi="Times New Roman" w:cs="Times New Roman" w:hint="eastAsia"/>
          <w:sz w:val="24"/>
        </w:rPr>
        <w:t>50m</w:t>
      </w:r>
      <w:r>
        <w:rPr>
          <w:rFonts w:ascii="Times New Roman" w:eastAsia="宋体" w:hAnsi="Times New Roman" w:cs="Times New Roman" w:hint="eastAsia"/>
          <w:sz w:val="24"/>
        </w:rPr>
        <w:t>范围。</w:t>
      </w:r>
    </w:p>
    <w:p w14:paraId="7CE49887"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237" w:name="_Toc121411703"/>
      <w:r>
        <w:rPr>
          <w:rFonts w:ascii="Times New Roman" w:eastAsia="黑体" w:hAnsi="Times New Roman" w:cs="Times New Roman"/>
          <w:b w:val="0"/>
          <w:sz w:val="24"/>
        </w:rPr>
        <w:t>2.4.6</w:t>
      </w:r>
      <w:r>
        <w:rPr>
          <w:rFonts w:ascii="Times New Roman" w:eastAsia="黑体" w:hAnsi="Times New Roman" w:cs="Times New Roman"/>
          <w:b w:val="0"/>
          <w:sz w:val="24"/>
        </w:rPr>
        <w:t>环境风险</w:t>
      </w:r>
      <w:bookmarkEnd w:id="236"/>
      <w:bookmarkEnd w:id="237"/>
    </w:p>
    <w:p w14:paraId="68BC5E7D" w14:textId="77777777" w:rsidR="00D12939" w:rsidRDefault="004F47F5">
      <w:pPr>
        <w:spacing w:line="360" w:lineRule="auto"/>
        <w:ind w:firstLineChars="200" w:firstLine="480"/>
        <w:rPr>
          <w:rFonts w:ascii="Times New Roman" w:eastAsia="宋体" w:hAnsi="Times New Roman" w:cs="Times New Roman"/>
          <w:sz w:val="24"/>
        </w:rPr>
      </w:pPr>
      <w:bookmarkStart w:id="238" w:name="_Toc6956"/>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sz w:val="24"/>
        </w:rPr>
        <w:t xml:space="preserve"> </w:t>
      </w:r>
      <w:r>
        <w:rPr>
          <w:rFonts w:ascii="Times New Roman" w:eastAsia="宋体" w:hAnsi="Times New Roman" w:cs="Times New Roman"/>
          <w:sz w:val="24"/>
        </w:rPr>
        <w:t>评价等级确定</w:t>
      </w:r>
    </w:p>
    <w:p w14:paraId="1D81CD8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根据《建设项目环境风险评价技术导则》（</w:t>
      </w:r>
      <w:r>
        <w:rPr>
          <w:rFonts w:ascii="Times New Roman" w:eastAsia="宋体" w:hAnsi="Times New Roman" w:cs="Times New Roman"/>
          <w:sz w:val="24"/>
        </w:rPr>
        <w:t>HJ/T 169-2018</w:t>
      </w:r>
      <w:r>
        <w:rPr>
          <w:rFonts w:ascii="Times New Roman" w:eastAsia="宋体" w:hAnsi="Times New Roman" w:cs="Times New Roman" w:hint="eastAsia"/>
          <w:sz w:val="24"/>
        </w:rPr>
        <w:t>），本项目突发环境事件风险物质</w:t>
      </w:r>
      <w:r>
        <w:rPr>
          <w:rFonts w:ascii="Times New Roman" w:eastAsia="宋体" w:hAnsi="Times New Roman" w:cs="Times New Roman" w:hint="eastAsia"/>
          <w:sz w:val="24"/>
          <w:szCs w:val="24"/>
        </w:rPr>
        <w:t>主要为填埋气，其成分有甲烷（</w:t>
      </w:r>
      <w:r>
        <w:rPr>
          <w:rFonts w:ascii="Times New Roman" w:eastAsia="宋体" w:hAnsi="Times New Roman" w:cs="Times New Roman"/>
          <w:sz w:val="24"/>
          <w:szCs w:val="24"/>
        </w:rPr>
        <w:t>CH</w:t>
      </w:r>
      <w:r>
        <w:rPr>
          <w:rFonts w:ascii="Times New Roman" w:eastAsia="宋体" w:hAnsi="Times New Roman" w:cs="Times New Roman"/>
          <w:sz w:val="24"/>
          <w:szCs w:val="24"/>
          <w:vertAlign w:val="subscript"/>
        </w:rPr>
        <w:t>4</w:t>
      </w:r>
      <w:r>
        <w:rPr>
          <w:rFonts w:ascii="Times New Roman" w:eastAsia="宋体" w:hAnsi="Times New Roman" w:cs="Times New Roman"/>
          <w:sz w:val="24"/>
          <w:szCs w:val="24"/>
        </w:rPr>
        <w:t>）、二氧化碳（</w:t>
      </w:r>
      <w:r>
        <w:rPr>
          <w:rFonts w:ascii="Times New Roman" w:eastAsia="宋体" w:hAnsi="Times New Roman" w:cs="Times New Roman"/>
          <w:sz w:val="24"/>
          <w:szCs w:val="24"/>
        </w:rPr>
        <w:t>CO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）、一氧化碳（</w:t>
      </w:r>
      <w:r>
        <w:rPr>
          <w:rFonts w:ascii="Times New Roman" w:eastAsia="宋体" w:hAnsi="Times New Roman" w:cs="Times New Roman"/>
          <w:sz w:val="24"/>
          <w:szCs w:val="24"/>
        </w:rPr>
        <w:t>CO</w:t>
      </w:r>
      <w:r>
        <w:rPr>
          <w:rFonts w:ascii="Times New Roman" w:eastAsia="宋体" w:hAnsi="Times New Roman" w:cs="Times New Roman"/>
          <w:sz w:val="24"/>
          <w:szCs w:val="24"/>
        </w:rPr>
        <w:t>）、硫化氢（</w:t>
      </w:r>
      <w:r>
        <w:rPr>
          <w:rFonts w:ascii="Times New Roman" w:eastAsia="宋体" w:hAnsi="Times New Roman" w:cs="Times New Roman"/>
          <w:sz w:val="24"/>
          <w:szCs w:val="24"/>
        </w:rPr>
        <w:t>H</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S</w:t>
      </w:r>
      <w:r>
        <w:rPr>
          <w:rFonts w:ascii="Times New Roman" w:eastAsia="宋体" w:hAnsi="Times New Roman" w:cs="Times New Roman"/>
          <w:sz w:val="24"/>
          <w:szCs w:val="24"/>
        </w:rPr>
        <w:t>）、氮（</w:t>
      </w:r>
      <w:r>
        <w:rPr>
          <w:rFonts w:ascii="Times New Roman" w:eastAsia="宋体" w:hAnsi="Times New Roman" w:cs="Times New Roman"/>
          <w:sz w:val="24"/>
          <w:szCs w:val="24"/>
        </w:rPr>
        <w:t>N</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）、氨（</w:t>
      </w:r>
      <w:r>
        <w:rPr>
          <w:rFonts w:ascii="Times New Roman" w:eastAsia="宋体" w:hAnsi="Times New Roman" w:cs="Times New Roman"/>
          <w:sz w:val="24"/>
          <w:szCs w:val="24"/>
        </w:rPr>
        <w:t>NH</w:t>
      </w:r>
      <w:r>
        <w:rPr>
          <w:rFonts w:ascii="Times New Roman" w:eastAsia="宋体" w:hAnsi="Times New Roman" w:cs="Times New Roman"/>
          <w:sz w:val="24"/>
          <w:szCs w:val="24"/>
          <w:vertAlign w:val="subscript"/>
        </w:rPr>
        <w:t>3</w:t>
      </w:r>
      <w:r>
        <w:rPr>
          <w:rFonts w:ascii="Times New Roman" w:eastAsia="宋体" w:hAnsi="Times New Roman" w:cs="Times New Roman"/>
          <w:sz w:val="24"/>
          <w:szCs w:val="24"/>
        </w:rPr>
        <w:t>）等气体，其中甲烷（</w:t>
      </w:r>
      <w:r>
        <w:rPr>
          <w:rFonts w:ascii="Times New Roman" w:eastAsia="宋体" w:hAnsi="Times New Roman" w:cs="Times New Roman"/>
          <w:sz w:val="24"/>
          <w:szCs w:val="24"/>
        </w:rPr>
        <w:t>CH</w:t>
      </w:r>
      <w:r>
        <w:rPr>
          <w:rFonts w:ascii="Times New Roman" w:eastAsia="宋体" w:hAnsi="Times New Roman" w:cs="Times New Roman"/>
          <w:sz w:val="24"/>
          <w:szCs w:val="24"/>
          <w:vertAlign w:val="subscript"/>
        </w:rPr>
        <w:t>4</w:t>
      </w:r>
      <w:r>
        <w:rPr>
          <w:rFonts w:ascii="Times New Roman" w:eastAsia="宋体" w:hAnsi="Times New Roman" w:cs="Times New Roman"/>
          <w:sz w:val="24"/>
          <w:szCs w:val="24"/>
        </w:rPr>
        <w:t>）、二氧化碳（</w:t>
      </w:r>
      <w:r>
        <w:rPr>
          <w:rFonts w:ascii="Times New Roman" w:eastAsia="宋体" w:hAnsi="Times New Roman" w:cs="Times New Roman"/>
          <w:sz w:val="24"/>
          <w:szCs w:val="24"/>
        </w:rPr>
        <w:t>CO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）是主要成分。根据《建设项目环境风险评价技术导则》（</w:t>
      </w:r>
      <w:r>
        <w:rPr>
          <w:rFonts w:ascii="Times New Roman" w:eastAsia="宋体" w:hAnsi="Times New Roman" w:cs="Times New Roman"/>
          <w:sz w:val="24"/>
          <w:szCs w:val="24"/>
        </w:rPr>
        <w:t>HJ169-2018</w:t>
      </w:r>
      <w:r>
        <w:rPr>
          <w:rFonts w:ascii="Times New Roman" w:eastAsia="宋体" w:hAnsi="Times New Roman" w:cs="Times New Roman"/>
          <w:sz w:val="24"/>
          <w:szCs w:val="24"/>
        </w:rPr>
        <w:t>）附录</w:t>
      </w:r>
      <w:r>
        <w:rPr>
          <w:rFonts w:ascii="Times New Roman" w:eastAsia="宋体" w:hAnsi="Times New Roman" w:cs="Times New Roman"/>
          <w:sz w:val="24"/>
          <w:szCs w:val="24"/>
        </w:rPr>
        <w:t>C</w:t>
      </w:r>
      <w:r>
        <w:rPr>
          <w:rFonts w:ascii="Times New Roman" w:eastAsia="宋体" w:hAnsi="Times New Roman" w:cs="Times New Roman"/>
          <w:sz w:val="24"/>
          <w:szCs w:val="24"/>
        </w:rPr>
        <w:t>，计算</w:t>
      </w:r>
      <w:r>
        <w:rPr>
          <w:rFonts w:ascii="Times New Roman" w:eastAsia="宋体" w:hAnsi="Times New Roman" w:cs="Times New Roman" w:hint="eastAsia"/>
          <w:sz w:val="24"/>
          <w:szCs w:val="24"/>
        </w:rPr>
        <w:t>本项目</w:t>
      </w:r>
      <w:r>
        <w:rPr>
          <w:rFonts w:ascii="Times New Roman" w:eastAsia="宋体" w:hAnsi="Times New Roman" w:cs="Times New Roman"/>
          <w:sz w:val="24"/>
          <w:szCs w:val="24"/>
        </w:rPr>
        <w:t>物质总量与其临界量的比值（</w:t>
      </w:r>
      <w:r>
        <w:rPr>
          <w:rFonts w:ascii="Times New Roman" w:eastAsia="宋体" w:hAnsi="Times New Roman" w:cs="Times New Roman"/>
          <w:sz w:val="24"/>
          <w:szCs w:val="24"/>
        </w:rPr>
        <w:t>Q</w:t>
      </w:r>
      <w:r>
        <w:rPr>
          <w:rFonts w:ascii="Times New Roman" w:eastAsia="宋体" w:hAnsi="Times New Roman" w:cs="Times New Roman"/>
          <w:sz w:val="24"/>
          <w:szCs w:val="24"/>
        </w:rPr>
        <w:t>）</w:t>
      </w:r>
      <w:r>
        <w:rPr>
          <w:rFonts w:ascii="Times New Roman" w:eastAsia="宋体" w:hAnsi="Times New Roman" w:cs="Times New Roman" w:hint="eastAsia"/>
          <w:sz w:val="24"/>
          <w:szCs w:val="24"/>
        </w:rPr>
        <w:t>，本项目最大存在总量</w:t>
      </w:r>
      <w:r>
        <w:rPr>
          <w:rFonts w:ascii="Times New Roman" w:eastAsia="宋体" w:hAnsi="Times New Roman" w:cs="Times New Roman"/>
          <w:sz w:val="24"/>
          <w:szCs w:val="24"/>
        </w:rPr>
        <w:t>Q</w:t>
      </w:r>
      <w:r>
        <w:rPr>
          <w:rFonts w:ascii="Times New Roman" w:eastAsia="宋体" w:hAnsi="Times New Roman" w:cs="Times New Roman"/>
          <w:sz w:val="24"/>
          <w:szCs w:val="24"/>
        </w:rPr>
        <w:t>与临界量的比值为</w:t>
      </w:r>
      <w:r>
        <w:rPr>
          <w:rFonts w:ascii="Times New Roman" w:eastAsia="宋体" w:hAnsi="Times New Roman" w:cs="Times New Roman"/>
          <w:sz w:val="24"/>
          <w:szCs w:val="24"/>
        </w:rPr>
        <w:t>Q</w:t>
      </w: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w:t>
      </w:r>
      <w:r>
        <w:rPr>
          <w:rFonts w:ascii="Times New Roman" w:eastAsia="宋体" w:hAnsi="Times New Roman" w:cs="Times New Roman" w:hint="eastAsia"/>
          <w:sz w:val="24"/>
          <w:szCs w:val="24"/>
        </w:rPr>
        <w:t>则项目环境风险潜势为</w:t>
      </w:r>
      <w:r>
        <w:rPr>
          <w:rFonts w:ascii="Times New Roman" w:eastAsia="宋体" w:hAnsi="Times New Roman" w:cs="Times New Roman"/>
          <w:sz w:val="24"/>
          <w:szCs w:val="24"/>
        </w:rPr>
        <w:t>I</w:t>
      </w:r>
      <w:r>
        <w:rPr>
          <w:rFonts w:ascii="Times New Roman" w:eastAsia="宋体" w:hAnsi="Times New Roman" w:cs="Times New Roman"/>
          <w:sz w:val="24"/>
          <w:szCs w:val="24"/>
        </w:rPr>
        <w:t>，判定环境风险评价工作等级简单分析。</w:t>
      </w:r>
    </w:p>
    <w:p w14:paraId="17B6B85E" w14:textId="77777777" w:rsidR="00D12939" w:rsidRDefault="004F47F5">
      <w:pPr>
        <w:spacing w:line="360" w:lineRule="auto"/>
        <w:ind w:firstLine="482"/>
        <w:rPr>
          <w:rFonts w:ascii="Times New Roman" w:eastAsia="宋体" w:hAnsi="Times New Roman" w:cs="Times New Roman"/>
          <w:sz w:val="24"/>
        </w:rPr>
      </w:pPr>
      <w:r>
        <w:rPr>
          <w:rFonts w:ascii="Times New Roman" w:eastAsia="宋体" w:hAnsi="Times New Roman" w:cs="Times New Roman"/>
          <w:sz w:val="24"/>
        </w:rPr>
        <w:t>风险评价等级划分依据见表</w:t>
      </w:r>
      <w:r>
        <w:rPr>
          <w:rFonts w:ascii="Times New Roman" w:eastAsia="宋体" w:hAnsi="Times New Roman" w:cs="Times New Roman"/>
          <w:sz w:val="24"/>
        </w:rPr>
        <w:t>2.4-10</w:t>
      </w:r>
      <w:r>
        <w:rPr>
          <w:rFonts w:ascii="Times New Roman" w:eastAsia="宋体" w:hAnsi="Times New Roman" w:cs="Times New Roman"/>
          <w:sz w:val="24"/>
        </w:rPr>
        <w:t>。</w:t>
      </w:r>
    </w:p>
    <w:p w14:paraId="57CBBF72" w14:textId="77777777" w:rsidR="00D12939" w:rsidRDefault="004F47F5">
      <w:pPr>
        <w:pStyle w:val="a5"/>
        <w:ind w:firstLine="480"/>
        <w:rPr>
          <w:rFonts w:ascii="黑体" w:eastAsia="黑体" w:hAnsi="黑体"/>
          <w:sz w:val="24"/>
          <w:szCs w:val="21"/>
        </w:rPr>
      </w:pPr>
      <w:r>
        <w:rPr>
          <w:rFonts w:ascii="黑体" w:eastAsia="黑体" w:hAnsi="黑体"/>
          <w:sz w:val="24"/>
          <w:szCs w:val="21"/>
        </w:rPr>
        <w:t>表2.4-10  风险评价工作级别划分</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25"/>
        <w:gridCol w:w="1937"/>
        <w:gridCol w:w="1619"/>
        <w:gridCol w:w="1939"/>
        <w:gridCol w:w="1996"/>
      </w:tblGrid>
      <w:tr w:rsidR="00D12939" w14:paraId="046D6E38" w14:textId="77777777">
        <w:trPr>
          <w:trHeight w:val="335"/>
          <w:jc w:val="center"/>
        </w:trPr>
        <w:tc>
          <w:tcPr>
            <w:tcW w:w="1145" w:type="pct"/>
            <w:vAlign w:val="center"/>
          </w:tcPr>
          <w:p w14:paraId="3E7C5553"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环境风险潜势</w:t>
            </w:r>
          </w:p>
        </w:tc>
        <w:tc>
          <w:tcPr>
            <w:tcW w:w="997" w:type="pct"/>
            <w:vAlign w:val="center"/>
          </w:tcPr>
          <w:p w14:paraId="42E233FC"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Ⅳ</w:t>
            </w:r>
            <w:r>
              <w:rPr>
                <w:rFonts w:ascii="Times New Roman" w:eastAsia="宋体" w:hAnsi="Times New Roman" w:cs="Times New Roman"/>
                <w:bCs/>
                <w:szCs w:val="21"/>
              </w:rPr>
              <w:t>、</w:t>
            </w:r>
            <w:r>
              <w:rPr>
                <w:rFonts w:ascii="Times New Roman" w:eastAsia="宋体" w:hAnsi="Times New Roman" w:cs="Times New Roman"/>
                <w:bCs/>
                <w:szCs w:val="21"/>
              </w:rPr>
              <w:t>Ⅳ</w:t>
            </w:r>
            <w:r>
              <w:rPr>
                <w:rFonts w:ascii="Times New Roman" w:eastAsia="宋体" w:hAnsi="Times New Roman" w:cs="Times New Roman"/>
                <w:bCs/>
                <w:szCs w:val="21"/>
                <w:vertAlign w:val="superscript"/>
              </w:rPr>
              <w:t>+</w:t>
            </w:r>
          </w:p>
        </w:tc>
        <w:tc>
          <w:tcPr>
            <w:tcW w:w="833" w:type="pct"/>
            <w:vAlign w:val="center"/>
          </w:tcPr>
          <w:p w14:paraId="7AF1146C"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Ⅲ</w:t>
            </w:r>
          </w:p>
        </w:tc>
        <w:tc>
          <w:tcPr>
            <w:tcW w:w="998" w:type="pct"/>
            <w:vAlign w:val="center"/>
          </w:tcPr>
          <w:p w14:paraId="0DA97730"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Ⅱ</w:t>
            </w:r>
          </w:p>
        </w:tc>
        <w:tc>
          <w:tcPr>
            <w:tcW w:w="1027" w:type="pct"/>
            <w:vAlign w:val="center"/>
          </w:tcPr>
          <w:p w14:paraId="394E1AF8"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Ⅰ</w:t>
            </w:r>
          </w:p>
        </w:tc>
      </w:tr>
      <w:tr w:rsidR="00D12939" w14:paraId="44C00D15" w14:textId="77777777">
        <w:trPr>
          <w:trHeight w:val="269"/>
          <w:jc w:val="center"/>
        </w:trPr>
        <w:tc>
          <w:tcPr>
            <w:tcW w:w="1145" w:type="pct"/>
            <w:vAlign w:val="center"/>
          </w:tcPr>
          <w:p w14:paraId="752A10D0"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评价工作等级</w:t>
            </w:r>
          </w:p>
        </w:tc>
        <w:tc>
          <w:tcPr>
            <w:tcW w:w="997" w:type="pct"/>
            <w:vAlign w:val="center"/>
          </w:tcPr>
          <w:p w14:paraId="69D3FDC9"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一</w:t>
            </w:r>
          </w:p>
        </w:tc>
        <w:tc>
          <w:tcPr>
            <w:tcW w:w="833" w:type="pct"/>
            <w:vAlign w:val="center"/>
          </w:tcPr>
          <w:p w14:paraId="04BBFC89"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二</w:t>
            </w:r>
          </w:p>
        </w:tc>
        <w:tc>
          <w:tcPr>
            <w:tcW w:w="998" w:type="pct"/>
            <w:vAlign w:val="center"/>
          </w:tcPr>
          <w:p w14:paraId="3AD3D88E"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三</w:t>
            </w:r>
          </w:p>
        </w:tc>
        <w:tc>
          <w:tcPr>
            <w:tcW w:w="1027" w:type="pct"/>
            <w:vAlign w:val="center"/>
          </w:tcPr>
          <w:p w14:paraId="6C278FAF"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简单分析</w:t>
            </w:r>
          </w:p>
        </w:tc>
      </w:tr>
    </w:tbl>
    <w:p w14:paraId="16C2B6AC" w14:textId="77777777" w:rsidR="00D12939" w:rsidRDefault="004F47F5">
      <w:pPr>
        <w:widowControl/>
        <w:spacing w:line="360" w:lineRule="auto"/>
        <w:ind w:firstLine="462"/>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）环境风险评价范围</w:t>
      </w:r>
    </w:p>
    <w:p w14:paraId="46E6A85F" w14:textId="77777777" w:rsidR="00D12939" w:rsidRDefault="004F47F5">
      <w:pPr>
        <w:widowControl/>
        <w:spacing w:line="360" w:lineRule="auto"/>
        <w:ind w:firstLine="462"/>
        <w:jc w:val="left"/>
        <w:rPr>
          <w:rFonts w:ascii="Times New Roman" w:eastAsia="宋体" w:hAnsi="Times New Roman" w:cs="Times New Roman"/>
          <w:sz w:val="24"/>
        </w:rPr>
      </w:pPr>
      <w:r>
        <w:rPr>
          <w:rFonts w:ascii="Times New Roman" w:eastAsia="宋体" w:hAnsi="Times New Roman" w:cs="Times New Roman" w:hint="eastAsia"/>
          <w:sz w:val="24"/>
        </w:rPr>
        <w:t>根据《建设项目环境风险评价技术导则》（</w:t>
      </w:r>
      <w:r>
        <w:rPr>
          <w:rFonts w:ascii="Times New Roman" w:eastAsia="宋体" w:hAnsi="Times New Roman" w:cs="Times New Roman"/>
          <w:sz w:val="24"/>
        </w:rPr>
        <w:t>HJ169-2018</w:t>
      </w:r>
      <w:r>
        <w:rPr>
          <w:rFonts w:ascii="Times New Roman" w:eastAsia="宋体" w:hAnsi="Times New Roman" w:cs="Times New Roman"/>
          <w:sz w:val="24"/>
        </w:rPr>
        <w:t>），项目风险评价范围为厂界外边长</w:t>
      </w:r>
      <w:r>
        <w:rPr>
          <w:rFonts w:ascii="Times New Roman" w:eastAsia="宋体" w:hAnsi="Times New Roman" w:cs="Times New Roman"/>
          <w:sz w:val="24"/>
        </w:rPr>
        <w:t>3km</w:t>
      </w:r>
      <w:r>
        <w:rPr>
          <w:rFonts w:ascii="Times New Roman" w:eastAsia="宋体" w:hAnsi="Times New Roman" w:cs="Times New Roman"/>
          <w:sz w:val="24"/>
        </w:rPr>
        <w:t>的矩形区域。</w:t>
      </w:r>
    </w:p>
    <w:p w14:paraId="19D60DB8"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239" w:name="_Toc121411704"/>
      <w:r>
        <w:rPr>
          <w:rFonts w:ascii="Times New Roman" w:eastAsia="黑体" w:hAnsi="Times New Roman" w:cs="Times New Roman"/>
          <w:b w:val="0"/>
          <w:sz w:val="24"/>
        </w:rPr>
        <w:t>2.4.7</w:t>
      </w:r>
      <w:r>
        <w:rPr>
          <w:rFonts w:ascii="Times New Roman" w:eastAsia="黑体" w:hAnsi="Times New Roman" w:cs="Times New Roman"/>
          <w:b w:val="0"/>
          <w:sz w:val="24"/>
        </w:rPr>
        <w:t>生态环境</w:t>
      </w:r>
      <w:bookmarkEnd w:id="235"/>
      <w:bookmarkEnd w:id="238"/>
      <w:bookmarkEnd w:id="239"/>
    </w:p>
    <w:p w14:paraId="43D91114"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sz w:val="24"/>
        </w:rPr>
        <w:t>评价等级确定</w:t>
      </w:r>
    </w:p>
    <w:p w14:paraId="7970FFCF" w14:textId="77777777" w:rsidR="00D12939" w:rsidRDefault="004F47F5">
      <w:pPr>
        <w:pStyle w:val="Default"/>
        <w:spacing w:line="360" w:lineRule="auto"/>
        <w:ind w:firstLineChars="200" w:firstLine="480"/>
        <w:jc w:val="both"/>
        <w:rPr>
          <w:rFonts w:ascii="Times New Roman" w:cs="Times New Roman"/>
          <w:color w:val="auto"/>
        </w:rPr>
      </w:pPr>
      <w:r>
        <w:rPr>
          <w:rFonts w:ascii="Times New Roman" w:cs="Times New Roman" w:hint="eastAsia"/>
          <w:color w:val="auto"/>
        </w:rPr>
        <w:t>本项目不涉及国家公园、自然保护区、世界自然遗产、重要生境、自然公园、生态保护红线；且根据</w:t>
      </w:r>
      <w:r>
        <w:rPr>
          <w:rFonts w:ascii="Times New Roman" w:cs="Times New Roman" w:hint="eastAsia"/>
          <w:color w:val="auto"/>
        </w:rPr>
        <w:t>H</w:t>
      </w:r>
      <w:r>
        <w:rPr>
          <w:rFonts w:ascii="Times New Roman" w:cs="Times New Roman"/>
          <w:color w:val="auto"/>
        </w:rPr>
        <w:t>J2.3</w:t>
      </w:r>
      <w:r>
        <w:rPr>
          <w:rFonts w:ascii="Times New Roman" w:cs="Times New Roman" w:hint="eastAsia"/>
          <w:color w:val="auto"/>
        </w:rPr>
        <w:t>，本项目不属于水文要素影响型项目；根据</w:t>
      </w:r>
      <w:r>
        <w:rPr>
          <w:rFonts w:ascii="Times New Roman" w:cs="Times New Roman"/>
          <w:color w:val="auto"/>
        </w:rPr>
        <w:t>HJ 610</w:t>
      </w:r>
      <w:r>
        <w:rPr>
          <w:rFonts w:ascii="Times New Roman" w:cs="Times New Roman" w:hint="eastAsia"/>
          <w:color w:val="auto"/>
        </w:rPr>
        <w:t>、</w:t>
      </w:r>
      <w:r>
        <w:rPr>
          <w:rFonts w:ascii="Times New Roman" w:cs="Times New Roman"/>
          <w:color w:val="auto"/>
        </w:rPr>
        <w:t>HJ 964</w:t>
      </w:r>
      <w:r>
        <w:rPr>
          <w:rFonts w:ascii="Times New Roman" w:cs="Times New Roman" w:hint="eastAsia"/>
          <w:color w:val="auto"/>
        </w:rPr>
        <w:t>，项目拟建地地下水水位或土壤影响范围内未分布有天然林、公益林、湿地等生态保护目标；</w:t>
      </w:r>
      <w:r>
        <w:rPr>
          <w:rFonts w:ascii="Times New Roman" w:cs="Times New Roman"/>
          <w:color w:val="auto"/>
        </w:rPr>
        <w:t>项目总占地</w:t>
      </w:r>
      <w:r>
        <w:rPr>
          <w:rFonts w:ascii="Times New Roman" w:cs="Times New Roman"/>
          <w:color w:val="auto"/>
        </w:rPr>
        <w:t>0.18</w:t>
      </w:r>
      <w:r>
        <w:rPr>
          <w:rFonts w:ascii="Times New Roman" w:cs="Times New Roman" w:hint="eastAsia"/>
          <w:color w:val="auto"/>
        </w:rPr>
        <w:t>k</w:t>
      </w:r>
      <w:r>
        <w:rPr>
          <w:rFonts w:ascii="Times New Roman" w:cs="Times New Roman"/>
          <w:color w:val="auto"/>
        </w:rPr>
        <w:t>m</w:t>
      </w:r>
      <w:r>
        <w:rPr>
          <w:rFonts w:ascii="Times New Roman" w:cs="Times New Roman"/>
          <w:color w:val="auto"/>
          <w:vertAlign w:val="superscript"/>
        </w:rPr>
        <w:t>2</w:t>
      </w:r>
      <w:r>
        <w:rPr>
          <w:rFonts w:ascii="Times New Roman" w:cs="Times New Roman"/>
          <w:color w:val="auto"/>
        </w:rPr>
        <w:t>（</w:t>
      </w:r>
      <w:r>
        <w:rPr>
          <w:rFonts w:ascii="Times New Roman" w:cs="Times New Roman"/>
          <w:color w:val="auto"/>
        </w:rPr>
        <w:t>264.43</w:t>
      </w:r>
      <w:r>
        <w:rPr>
          <w:rFonts w:ascii="Times New Roman" w:cs="Times New Roman"/>
          <w:color w:val="auto"/>
        </w:rPr>
        <w:t>亩），小于</w:t>
      </w:r>
      <w:r>
        <w:rPr>
          <w:rFonts w:ascii="Times New Roman" w:cs="Times New Roman"/>
          <w:color w:val="auto"/>
        </w:rPr>
        <w:t>20km</w:t>
      </w:r>
      <w:r>
        <w:rPr>
          <w:rFonts w:ascii="Times New Roman" w:cs="Times New Roman"/>
          <w:color w:val="auto"/>
          <w:vertAlign w:val="superscript"/>
        </w:rPr>
        <w:t>2</w:t>
      </w:r>
      <w:r>
        <w:rPr>
          <w:rFonts w:ascii="Times New Roman" w:cs="Times New Roman" w:hint="eastAsia"/>
          <w:color w:val="auto"/>
        </w:rPr>
        <w:t>，</w:t>
      </w:r>
      <w:r>
        <w:rPr>
          <w:rFonts w:ascii="Times New Roman" w:cs="Times New Roman"/>
          <w:color w:val="auto"/>
        </w:rPr>
        <w:t>根据《环境影响评价技术导则</w:t>
      </w:r>
      <w:r>
        <w:rPr>
          <w:rFonts w:ascii="Times New Roman" w:cs="Times New Roman"/>
          <w:color w:val="auto"/>
        </w:rPr>
        <w:t>-</w:t>
      </w:r>
      <w:r>
        <w:rPr>
          <w:rFonts w:ascii="Times New Roman" w:cs="Times New Roman"/>
          <w:color w:val="auto"/>
        </w:rPr>
        <w:t>生态影响》（</w:t>
      </w:r>
      <w:r>
        <w:rPr>
          <w:rFonts w:ascii="Times New Roman" w:cs="Times New Roman"/>
          <w:color w:val="auto"/>
        </w:rPr>
        <w:t>HJ/T19-2022</w:t>
      </w:r>
      <w:r>
        <w:rPr>
          <w:rFonts w:ascii="Times New Roman" w:cs="Times New Roman"/>
          <w:color w:val="auto"/>
        </w:rPr>
        <w:t>），项目生态环境影响评价工作等级为三级。</w:t>
      </w:r>
    </w:p>
    <w:p w14:paraId="7F129657" w14:textId="77777777" w:rsidR="00D12939" w:rsidRDefault="004F47F5">
      <w:pPr>
        <w:spacing w:line="360" w:lineRule="auto"/>
        <w:ind w:firstLine="462"/>
        <w:rPr>
          <w:rFonts w:ascii="Times New Roman" w:eastAsia="宋体" w:hAnsi="宋体" w:cs="Times New Roman"/>
          <w:kern w:val="0"/>
          <w:sz w:val="24"/>
          <w:szCs w:val="24"/>
        </w:rPr>
      </w:pPr>
      <w:r>
        <w:rPr>
          <w:rFonts w:ascii="Times New Roman" w:eastAsia="宋体" w:hAnsi="宋体" w:cs="Times New Roman" w:hint="eastAsia"/>
          <w:kern w:val="0"/>
          <w:sz w:val="24"/>
          <w:szCs w:val="24"/>
        </w:rPr>
        <w:lastRenderedPageBreak/>
        <w:t>（</w:t>
      </w:r>
      <w:r>
        <w:rPr>
          <w:rFonts w:ascii="Times New Roman" w:eastAsia="宋体" w:hAnsi="宋体" w:cs="Times New Roman" w:hint="eastAsia"/>
          <w:kern w:val="0"/>
          <w:sz w:val="24"/>
          <w:szCs w:val="24"/>
        </w:rPr>
        <w:t>2</w:t>
      </w:r>
      <w:r>
        <w:rPr>
          <w:rFonts w:ascii="Times New Roman" w:eastAsia="宋体" w:hAnsi="宋体" w:cs="Times New Roman" w:hint="eastAsia"/>
          <w:kern w:val="0"/>
          <w:sz w:val="24"/>
          <w:szCs w:val="24"/>
        </w:rPr>
        <w:t>）</w:t>
      </w:r>
      <w:r>
        <w:rPr>
          <w:rFonts w:ascii="Times New Roman" w:eastAsia="宋体" w:hAnsi="宋体" w:cs="Times New Roman"/>
          <w:kern w:val="0"/>
          <w:sz w:val="24"/>
          <w:szCs w:val="24"/>
        </w:rPr>
        <w:t>评价范围</w:t>
      </w:r>
    </w:p>
    <w:p w14:paraId="071E8869"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以垃圾填埋场场界外扩</w:t>
      </w:r>
      <w:r>
        <w:rPr>
          <w:rFonts w:ascii="Times New Roman" w:eastAsia="宋体" w:hAnsi="宋体" w:cs="Times New Roman"/>
          <w:kern w:val="0"/>
          <w:sz w:val="24"/>
          <w:szCs w:val="24"/>
        </w:rPr>
        <w:t>5</w:t>
      </w:r>
      <w:r>
        <w:rPr>
          <w:rFonts w:ascii="Times New Roman" w:eastAsia="宋体" w:hAnsi="宋体" w:cs="Times New Roman" w:hint="eastAsia"/>
          <w:kern w:val="0"/>
          <w:sz w:val="24"/>
          <w:szCs w:val="24"/>
        </w:rPr>
        <w:t>0</w:t>
      </w:r>
      <w:r>
        <w:rPr>
          <w:rFonts w:ascii="Times New Roman" w:eastAsia="宋体" w:hAnsi="宋体" w:cs="Times New Roman"/>
          <w:kern w:val="0"/>
          <w:sz w:val="24"/>
          <w:szCs w:val="24"/>
        </w:rPr>
        <w:t>0m</w:t>
      </w:r>
      <w:r>
        <w:rPr>
          <w:rFonts w:ascii="Times New Roman" w:eastAsia="宋体" w:hAnsi="宋体" w:cs="Times New Roman" w:hint="eastAsia"/>
          <w:kern w:val="0"/>
          <w:sz w:val="24"/>
          <w:szCs w:val="24"/>
        </w:rPr>
        <w:t>范围内</w:t>
      </w:r>
      <w:r>
        <w:rPr>
          <w:rFonts w:ascii="Times New Roman" w:eastAsia="宋体" w:hAnsi="宋体" w:cs="Times New Roman"/>
          <w:kern w:val="0"/>
          <w:sz w:val="24"/>
          <w:szCs w:val="24"/>
        </w:rPr>
        <w:t>。</w:t>
      </w:r>
    </w:p>
    <w:p w14:paraId="3963E0E9"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本项目各环境要素评价范围见表</w:t>
      </w:r>
      <w:r>
        <w:rPr>
          <w:rFonts w:ascii="Times New Roman" w:eastAsia="宋体" w:hAnsi="宋体" w:cs="Times New Roman"/>
          <w:kern w:val="0"/>
          <w:sz w:val="24"/>
          <w:szCs w:val="24"/>
        </w:rPr>
        <w:t>2.4-12</w:t>
      </w:r>
      <w:r>
        <w:rPr>
          <w:rFonts w:ascii="Times New Roman" w:eastAsia="宋体" w:hAnsi="宋体" w:cs="Times New Roman"/>
          <w:kern w:val="0"/>
          <w:sz w:val="24"/>
          <w:szCs w:val="24"/>
        </w:rPr>
        <w:t>。</w:t>
      </w:r>
    </w:p>
    <w:p w14:paraId="47B83066" w14:textId="77777777" w:rsidR="00D12939" w:rsidRDefault="004F47F5">
      <w:pPr>
        <w:pStyle w:val="a5"/>
        <w:ind w:firstLine="480"/>
        <w:rPr>
          <w:rFonts w:ascii="黑体" w:eastAsia="黑体" w:hAnsi="黑体"/>
          <w:sz w:val="24"/>
          <w:szCs w:val="21"/>
        </w:rPr>
      </w:pPr>
      <w:r>
        <w:rPr>
          <w:rFonts w:ascii="黑体" w:eastAsia="黑体" w:hAnsi="黑体"/>
          <w:sz w:val="24"/>
          <w:szCs w:val="21"/>
        </w:rPr>
        <w:t>表2.4-12    本项目各环境要素评价范围表</w:t>
      </w:r>
    </w:p>
    <w:tbl>
      <w:tblPr>
        <w:tblW w:w="924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270"/>
        <w:gridCol w:w="1776"/>
        <w:gridCol w:w="6196"/>
      </w:tblGrid>
      <w:tr w:rsidR="00D12939" w14:paraId="4FBDCDFD" w14:textId="77777777">
        <w:tc>
          <w:tcPr>
            <w:tcW w:w="1270" w:type="dxa"/>
            <w:vAlign w:val="center"/>
          </w:tcPr>
          <w:p w14:paraId="00258629"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环境要素</w:t>
            </w:r>
          </w:p>
        </w:tc>
        <w:tc>
          <w:tcPr>
            <w:tcW w:w="1776" w:type="dxa"/>
            <w:vAlign w:val="center"/>
          </w:tcPr>
          <w:p w14:paraId="3A9882D9"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评价工作等级</w:t>
            </w:r>
          </w:p>
        </w:tc>
        <w:tc>
          <w:tcPr>
            <w:tcW w:w="6196" w:type="dxa"/>
            <w:vAlign w:val="center"/>
          </w:tcPr>
          <w:p w14:paraId="07E0A244"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评价范围</w:t>
            </w:r>
          </w:p>
        </w:tc>
      </w:tr>
      <w:tr w:rsidR="00D12939" w14:paraId="3512971D" w14:textId="77777777">
        <w:tc>
          <w:tcPr>
            <w:tcW w:w="1270" w:type="dxa"/>
            <w:vAlign w:val="center"/>
          </w:tcPr>
          <w:p w14:paraId="3F944118"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环境空气</w:t>
            </w:r>
          </w:p>
        </w:tc>
        <w:tc>
          <w:tcPr>
            <w:tcW w:w="1776" w:type="dxa"/>
            <w:vAlign w:val="center"/>
          </w:tcPr>
          <w:p w14:paraId="35921BEC"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二级</w:t>
            </w:r>
          </w:p>
        </w:tc>
        <w:tc>
          <w:tcPr>
            <w:tcW w:w="6196" w:type="dxa"/>
            <w:vAlign w:val="center"/>
          </w:tcPr>
          <w:p w14:paraId="4145FD48"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厂址为中心区域，边长</w:t>
            </w:r>
            <w:r>
              <w:rPr>
                <w:rFonts w:ascii="Times New Roman" w:cs="Times New Roman"/>
                <w:color w:val="auto"/>
                <w:sz w:val="21"/>
                <w:szCs w:val="21"/>
              </w:rPr>
              <w:t>5km</w:t>
            </w:r>
            <w:r>
              <w:rPr>
                <w:rFonts w:ascii="Times New Roman" w:cs="Times New Roman"/>
                <w:color w:val="auto"/>
                <w:sz w:val="21"/>
                <w:szCs w:val="21"/>
              </w:rPr>
              <w:t>的矩形区域</w:t>
            </w:r>
          </w:p>
        </w:tc>
      </w:tr>
      <w:tr w:rsidR="00D12939" w14:paraId="716596B1" w14:textId="77777777">
        <w:tc>
          <w:tcPr>
            <w:tcW w:w="1270" w:type="dxa"/>
            <w:vAlign w:val="center"/>
          </w:tcPr>
          <w:p w14:paraId="253BF2DA"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地表水</w:t>
            </w:r>
          </w:p>
        </w:tc>
        <w:tc>
          <w:tcPr>
            <w:tcW w:w="1776" w:type="dxa"/>
            <w:vAlign w:val="center"/>
          </w:tcPr>
          <w:p w14:paraId="07E05B55"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三级</w:t>
            </w:r>
            <w:r>
              <w:rPr>
                <w:rFonts w:ascii="Times New Roman" w:cs="Times New Roman"/>
                <w:color w:val="auto"/>
                <w:sz w:val="21"/>
                <w:szCs w:val="21"/>
              </w:rPr>
              <w:t>B</w:t>
            </w:r>
          </w:p>
        </w:tc>
        <w:tc>
          <w:tcPr>
            <w:tcW w:w="6196" w:type="dxa"/>
            <w:vAlign w:val="center"/>
          </w:tcPr>
          <w:p w14:paraId="451C7FF4"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分析废水处理措施的可行性及综合利用的可靠性</w:t>
            </w:r>
          </w:p>
        </w:tc>
      </w:tr>
      <w:tr w:rsidR="00D12939" w14:paraId="22973165" w14:textId="77777777">
        <w:tc>
          <w:tcPr>
            <w:tcW w:w="1270" w:type="dxa"/>
            <w:vAlign w:val="center"/>
          </w:tcPr>
          <w:p w14:paraId="61530972"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地下水</w:t>
            </w:r>
          </w:p>
        </w:tc>
        <w:tc>
          <w:tcPr>
            <w:tcW w:w="1776" w:type="dxa"/>
            <w:vAlign w:val="center"/>
          </w:tcPr>
          <w:p w14:paraId="499E5213" w14:textId="77777777" w:rsidR="00D12939" w:rsidRDefault="004F47F5">
            <w:pPr>
              <w:pStyle w:val="Default"/>
              <w:jc w:val="center"/>
              <w:rPr>
                <w:rFonts w:ascii="Times New Roman" w:cs="Times New Roman"/>
                <w:color w:val="auto"/>
                <w:sz w:val="21"/>
                <w:szCs w:val="21"/>
              </w:rPr>
            </w:pPr>
            <w:r>
              <w:rPr>
                <w:rFonts w:ascii="Times New Roman" w:cs="Times New Roman" w:hint="eastAsia"/>
                <w:color w:val="auto"/>
                <w:sz w:val="21"/>
                <w:szCs w:val="21"/>
              </w:rPr>
              <w:t>二</w:t>
            </w:r>
            <w:r>
              <w:rPr>
                <w:rFonts w:ascii="Times New Roman" w:cs="Times New Roman"/>
                <w:color w:val="auto"/>
                <w:sz w:val="21"/>
                <w:szCs w:val="21"/>
              </w:rPr>
              <w:t>级</w:t>
            </w:r>
          </w:p>
        </w:tc>
        <w:tc>
          <w:tcPr>
            <w:tcW w:w="6196" w:type="dxa"/>
            <w:vAlign w:val="center"/>
          </w:tcPr>
          <w:p w14:paraId="59BF7FD0" w14:textId="77777777" w:rsidR="00D12939" w:rsidRDefault="004F47F5">
            <w:pPr>
              <w:pStyle w:val="Default"/>
              <w:jc w:val="center"/>
              <w:rPr>
                <w:rFonts w:ascii="Times New Roman" w:cs="Times New Roman"/>
                <w:color w:val="auto"/>
                <w:sz w:val="21"/>
                <w:szCs w:val="21"/>
              </w:rPr>
            </w:pPr>
            <w:r>
              <w:rPr>
                <w:rFonts w:ascii="Times New Roman" w:cs="Times New Roman" w:hint="eastAsia"/>
                <w:color w:val="auto"/>
                <w:sz w:val="21"/>
                <w:szCs w:val="21"/>
              </w:rPr>
              <w:t>场地地下水上游延伸至分水岭，地下水下游延伸至峡沟磨河，两侧沿山脊延伸</w:t>
            </w:r>
          </w:p>
        </w:tc>
      </w:tr>
      <w:tr w:rsidR="00D12939" w14:paraId="32C2B011" w14:textId="77777777">
        <w:tc>
          <w:tcPr>
            <w:tcW w:w="1270" w:type="dxa"/>
            <w:vAlign w:val="center"/>
          </w:tcPr>
          <w:p w14:paraId="1D4EB993"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噪声</w:t>
            </w:r>
          </w:p>
        </w:tc>
        <w:tc>
          <w:tcPr>
            <w:tcW w:w="1776" w:type="dxa"/>
            <w:vAlign w:val="center"/>
          </w:tcPr>
          <w:p w14:paraId="7031F39F"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二级</w:t>
            </w:r>
          </w:p>
        </w:tc>
        <w:tc>
          <w:tcPr>
            <w:tcW w:w="6196" w:type="dxa"/>
            <w:vAlign w:val="center"/>
          </w:tcPr>
          <w:p w14:paraId="475C15F2"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厂界外</w:t>
            </w:r>
            <w:r>
              <w:rPr>
                <w:rFonts w:ascii="Times New Roman" w:cs="Times New Roman"/>
                <w:color w:val="auto"/>
                <w:sz w:val="21"/>
                <w:szCs w:val="21"/>
              </w:rPr>
              <w:t>200m</w:t>
            </w:r>
          </w:p>
        </w:tc>
      </w:tr>
      <w:tr w:rsidR="00D12939" w14:paraId="298FACD0" w14:textId="77777777">
        <w:tc>
          <w:tcPr>
            <w:tcW w:w="1270" w:type="dxa"/>
            <w:vAlign w:val="center"/>
          </w:tcPr>
          <w:p w14:paraId="71E95D21"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生态环境</w:t>
            </w:r>
          </w:p>
        </w:tc>
        <w:tc>
          <w:tcPr>
            <w:tcW w:w="1776" w:type="dxa"/>
            <w:vAlign w:val="center"/>
          </w:tcPr>
          <w:p w14:paraId="20A6BCD7"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三级</w:t>
            </w:r>
          </w:p>
        </w:tc>
        <w:tc>
          <w:tcPr>
            <w:tcW w:w="6196" w:type="dxa"/>
            <w:vAlign w:val="center"/>
          </w:tcPr>
          <w:p w14:paraId="37A755B4" w14:textId="77777777" w:rsidR="00D12939" w:rsidRDefault="004F47F5">
            <w:pPr>
              <w:pStyle w:val="Default"/>
              <w:jc w:val="center"/>
              <w:rPr>
                <w:rFonts w:ascii="Times New Roman" w:cs="Times New Roman"/>
                <w:color w:val="auto"/>
                <w:sz w:val="21"/>
                <w:szCs w:val="21"/>
              </w:rPr>
            </w:pPr>
            <w:r>
              <w:rPr>
                <w:rFonts w:ascii="Times New Roman" w:cs="Times New Roman" w:hint="eastAsia"/>
                <w:color w:val="auto"/>
                <w:sz w:val="21"/>
                <w:szCs w:val="21"/>
              </w:rPr>
              <w:t>以垃圾填埋场场界外扩</w:t>
            </w:r>
            <w:r>
              <w:rPr>
                <w:rFonts w:ascii="Times New Roman" w:cs="Times New Roman"/>
                <w:color w:val="auto"/>
                <w:sz w:val="21"/>
                <w:szCs w:val="21"/>
              </w:rPr>
              <w:t>500m</w:t>
            </w:r>
            <w:r>
              <w:rPr>
                <w:rFonts w:ascii="Times New Roman" w:cs="Times New Roman"/>
                <w:color w:val="auto"/>
                <w:sz w:val="21"/>
                <w:szCs w:val="21"/>
              </w:rPr>
              <w:t>范围内</w:t>
            </w:r>
          </w:p>
        </w:tc>
      </w:tr>
      <w:tr w:rsidR="00D12939" w14:paraId="7CD6E655" w14:textId="77777777">
        <w:tc>
          <w:tcPr>
            <w:tcW w:w="1270" w:type="dxa"/>
            <w:vAlign w:val="center"/>
          </w:tcPr>
          <w:p w14:paraId="07E579EA"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环境风险</w:t>
            </w:r>
          </w:p>
        </w:tc>
        <w:tc>
          <w:tcPr>
            <w:tcW w:w="1776" w:type="dxa"/>
            <w:vAlign w:val="center"/>
          </w:tcPr>
          <w:p w14:paraId="0982AB07" w14:textId="77777777" w:rsidR="00D12939" w:rsidRDefault="004F47F5">
            <w:pPr>
              <w:pStyle w:val="Default"/>
              <w:jc w:val="center"/>
              <w:rPr>
                <w:rFonts w:ascii="Times New Roman" w:cs="Times New Roman"/>
                <w:color w:val="auto"/>
                <w:sz w:val="21"/>
                <w:szCs w:val="21"/>
                <w:highlight w:val="yellow"/>
              </w:rPr>
            </w:pPr>
            <w:r>
              <w:rPr>
                <w:rFonts w:ascii="Times New Roman" w:cs="Times New Roman" w:hint="eastAsia"/>
                <w:color w:val="auto"/>
                <w:sz w:val="21"/>
                <w:szCs w:val="21"/>
              </w:rPr>
              <w:t>简单分析</w:t>
            </w:r>
          </w:p>
        </w:tc>
        <w:tc>
          <w:tcPr>
            <w:tcW w:w="6196" w:type="dxa"/>
            <w:vAlign w:val="center"/>
          </w:tcPr>
          <w:p w14:paraId="74E7D4AD" w14:textId="77777777" w:rsidR="00D12939" w:rsidRDefault="004F47F5">
            <w:pPr>
              <w:pStyle w:val="Default"/>
              <w:jc w:val="center"/>
              <w:rPr>
                <w:rFonts w:ascii="Times New Roman" w:cs="Times New Roman"/>
                <w:color w:val="auto"/>
                <w:sz w:val="21"/>
                <w:szCs w:val="21"/>
              </w:rPr>
            </w:pPr>
            <w:r>
              <w:rPr>
                <w:rFonts w:ascii="Times New Roman" w:cs="Times New Roman" w:hint="eastAsia"/>
                <w:color w:val="auto"/>
                <w:sz w:val="21"/>
                <w:szCs w:val="21"/>
              </w:rPr>
              <w:t>/</w:t>
            </w:r>
          </w:p>
        </w:tc>
      </w:tr>
      <w:tr w:rsidR="00D12939" w14:paraId="21597170" w14:textId="77777777">
        <w:tc>
          <w:tcPr>
            <w:tcW w:w="1270" w:type="dxa"/>
            <w:vAlign w:val="center"/>
          </w:tcPr>
          <w:p w14:paraId="5B4F43E3"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土壤环境</w:t>
            </w:r>
          </w:p>
        </w:tc>
        <w:tc>
          <w:tcPr>
            <w:tcW w:w="1776" w:type="dxa"/>
            <w:vAlign w:val="center"/>
          </w:tcPr>
          <w:p w14:paraId="0AEC42CB" w14:textId="77777777" w:rsidR="00D12939" w:rsidRDefault="004F47F5">
            <w:pPr>
              <w:pStyle w:val="Default"/>
              <w:jc w:val="center"/>
              <w:rPr>
                <w:rFonts w:ascii="Times New Roman" w:cs="Times New Roman"/>
                <w:color w:val="auto"/>
                <w:sz w:val="21"/>
                <w:szCs w:val="21"/>
                <w:highlight w:val="yellow"/>
              </w:rPr>
            </w:pPr>
            <w:r>
              <w:rPr>
                <w:rFonts w:ascii="Times New Roman" w:cs="Times New Roman"/>
                <w:color w:val="auto"/>
                <w:sz w:val="21"/>
                <w:szCs w:val="21"/>
              </w:rPr>
              <w:t>三级</w:t>
            </w:r>
          </w:p>
        </w:tc>
        <w:tc>
          <w:tcPr>
            <w:tcW w:w="6196" w:type="dxa"/>
            <w:vAlign w:val="center"/>
          </w:tcPr>
          <w:p w14:paraId="24CB2BBB" w14:textId="77777777" w:rsidR="00D12939" w:rsidRDefault="004F47F5">
            <w:pPr>
              <w:pStyle w:val="Default"/>
              <w:jc w:val="center"/>
              <w:rPr>
                <w:rFonts w:ascii="Times New Roman" w:cs="Times New Roman"/>
                <w:color w:val="auto"/>
                <w:sz w:val="21"/>
                <w:szCs w:val="21"/>
              </w:rPr>
            </w:pPr>
            <w:r>
              <w:rPr>
                <w:rFonts w:ascii="Times New Roman" w:cs="Times New Roman"/>
                <w:color w:val="auto"/>
                <w:sz w:val="21"/>
                <w:szCs w:val="21"/>
              </w:rPr>
              <w:t>厂区占地范围外</w:t>
            </w:r>
            <w:r>
              <w:rPr>
                <w:rFonts w:ascii="Times New Roman" w:cs="Times New Roman"/>
                <w:color w:val="auto"/>
                <w:sz w:val="21"/>
                <w:szCs w:val="21"/>
              </w:rPr>
              <w:t>50m</w:t>
            </w:r>
          </w:p>
        </w:tc>
      </w:tr>
    </w:tbl>
    <w:p w14:paraId="7F619A9E" w14:textId="77777777" w:rsidR="00D12939" w:rsidRDefault="004F47F5">
      <w:pPr>
        <w:pStyle w:val="2"/>
        <w:spacing w:line="360" w:lineRule="auto"/>
        <w:ind w:firstLineChars="165" w:firstLine="462"/>
        <w:rPr>
          <w:sz w:val="28"/>
        </w:rPr>
      </w:pPr>
      <w:bookmarkStart w:id="240" w:name="_Toc5016"/>
      <w:bookmarkStart w:id="241" w:name="_Toc10009"/>
      <w:bookmarkStart w:id="242" w:name="_Toc20233"/>
      <w:bookmarkStart w:id="243" w:name="_Toc475562081"/>
      <w:bookmarkStart w:id="244" w:name="_Toc13467"/>
      <w:bookmarkStart w:id="245" w:name="_Toc145"/>
      <w:bookmarkStart w:id="246" w:name="_Toc14531"/>
      <w:bookmarkStart w:id="247" w:name="_Toc32736"/>
      <w:bookmarkStart w:id="248" w:name="_Toc5938"/>
      <w:bookmarkStart w:id="249" w:name="_Toc480180489"/>
      <w:bookmarkStart w:id="250" w:name="_Toc476130115"/>
      <w:bookmarkStart w:id="251" w:name="_Toc475562471"/>
      <w:bookmarkStart w:id="252" w:name="_Toc121411705"/>
      <w:bookmarkStart w:id="253" w:name="_Toc624"/>
      <w:bookmarkStart w:id="254" w:name="_Toc22744224"/>
      <w:bookmarkStart w:id="255" w:name="_Toc26053"/>
      <w:bookmarkStart w:id="256" w:name="_Toc2382"/>
      <w:bookmarkStart w:id="257" w:name="_Toc14983"/>
      <w:bookmarkStart w:id="258" w:name="_Toc24254"/>
      <w:bookmarkStart w:id="259" w:name="_Toc20451"/>
      <w:r>
        <w:rPr>
          <w:sz w:val="28"/>
        </w:rPr>
        <w:t>2.5</w:t>
      </w:r>
      <w:r>
        <w:rPr>
          <w:sz w:val="28"/>
        </w:rPr>
        <w:t>环境功能区划</w: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p>
    <w:p w14:paraId="5E75A3CC"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w:t>
      </w:r>
      <w:r>
        <w:rPr>
          <w:rFonts w:ascii="Times New Roman" w:eastAsia="宋体" w:hAnsi="宋体" w:cs="Times New Roman"/>
          <w:kern w:val="0"/>
          <w:sz w:val="24"/>
          <w:szCs w:val="24"/>
        </w:rPr>
        <w:t>1</w:t>
      </w:r>
      <w:r>
        <w:rPr>
          <w:rFonts w:ascii="Times New Roman" w:eastAsia="宋体" w:hAnsi="宋体" w:cs="Times New Roman"/>
          <w:kern w:val="0"/>
          <w:sz w:val="24"/>
          <w:szCs w:val="24"/>
        </w:rPr>
        <w:t>）环境空气功能区划</w:t>
      </w:r>
    </w:p>
    <w:p w14:paraId="6219A173"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根据《环境空气质量功能区划分原则与技术方法》（</w:t>
      </w:r>
      <w:r>
        <w:rPr>
          <w:rFonts w:ascii="Times New Roman" w:eastAsia="宋体" w:hAnsi="宋体" w:cs="Times New Roman"/>
          <w:kern w:val="0"/>
          <w:sz w:val="24"/>
          <w:szCs w:val="24"/>
        </w:rPr>
        <w:t>HJl4-1996</w:t>
      </w:r>
      <w:r>
        <w:rPr>
          <w:rFonts w:ascii="Times New Roman" w:eastAsia="宋体" w:hAnsi="宋体" w:cs="Times New Roman"/>
          <w:kern w:val="0"/>
          <w:sz w:val="24"/>
          <w:szCs w:val="24"/>
        </w:rPr>
        <w:t>）和《环境空气质量标准》（</w:t>
      </w:r>
      <w:r>
        <w:rPr>
          <w:rFonts w:ascii="Times New Roman" w:eastAsia="宋体" w:hAnsi="宋体" w:cs="Times New Roman"/>
          <w:kern w:val="0"/>
          <w:sz w:val="24"/>
          <w:szCs w:val="24"/>
        </w:rPr>
        <w:t>GB3095-2012</w:t>
      </w:r>
      <w:r>
        <w:rPr>
          <w:rFonts w:ascii="Times New Roman" w:eastAsia="宋体" w:hAnsi="宋体" w:cs="Times New Roman"/>
          <w:kern w:val="0"/>
          <w:sz w:val="24"/>
          <w:szCs w:val="24"/>
        </w:rPr>
        <w:t>）环境空气质量功能区分类，本项目所在区域为</w:t>
      </w:r>
      <w:r>
        <w:rPr>
          <w:rFonts w:ascii="Times New Roman" w:eastAsia="宋体" w:hAnsi="宋体" w:cs="Times New Roman" w:hint="eastAsia"/>
          <w:kern w:val="0"/>
          <w:sz w:val="24"/>
          <w:szCs w:val="24"/>
        </w:rPr>
        <w:t>农村地区</w:t>
      </w:r>
      <w:r>
        <w:rPr>
          <w:rFonts w:ascii="Times New Roman" w:eastAsia="宋体" w:hAnsi="宋体" w:cs="Times New Roman"/>
          <w:kern w:val="0"/>
          <w:sz w:val="24"/>
          <w:szCs w:val="24"/>
        </w:rPr>
        <w:t>，环境空气质量功能确定为二类区。</w:t>
      </w:r>
    </w:p>
    <w:p w14:paraId="0C53988A"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w:t>
      </w:r>
      <w:r>
        <w:rPr>
          <w:rFonts w:ascii="Times New Roman" w:eastAsia="宋体" w:hAnsi="宋体" w:cs="Times New Roman"/>
          <w:kern w:val="0"/>
          <w:sz w:val="24"/>
          <w:szCs w:val="24"/>
        </w:rPr>
        <w:t>2</w:t>
      </w:r>
      <w:r>
        <w:rPr>
          <w:rFonts w:ascii="Times New Roman" w:eastAsia="宋体" w:hAnsi="宋体" w:cs="Times New Roman"/>
          <w:kern w:val="0"/>
          <w:sz w:val="24"/>
          <w:szCs w:val="24"/>
        </w:rPr>
        <w:t>）地表水环境</w:t>
      </w:r>
    </w:p>
    <w:p w14:paraId="7E0F9EDA" w14:textId="4FB73AD5"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hint="eastAsia"/>
          <w:kern w:val="0"/>
          <w:sz w:val="24"/>
          <w:szCs w:val="24"/>
        </w:rPr>
        <w:t>距离本项目最近的地表水体为厂区</w:t>
      </w:r>
      <w:r w:rsidRPr="00387417">
        <w:rPr>
          <w:rFonts w:ascii="Times New Roman" w:eastAsia="宋体" w:hAnsi="宋体" w:cs="Times New Roman" w:hint="eastAsia"/>
          <w:color w:val="FF0000"/>
          <w:kern w:val="0"/>
          <w:sz w:val="24"/>
          <w:szCs w:val="24"/>
        </w:rPr>
        <w:t>西侧</w:t>
      </w:r>
      <w:r w:rsidR="00387417" w:rsidRPr="00387417">
        <w:rPr>
          <w:rFonts w:ascii="Times New Roman" w:eastAsia="宋体" w:hAnsi="宋体" w:cs="Times New Roman" w:hint="eastAsia"/>
          <w:color w:val="FF0000"/>
          <w:kern w:val="0"/>
          <w:sz w:val="24"/>
          <w:szCs w:val="24"/>
        </w:rPr>
        <w:t>5m</w:t>
      </w:r>
      <w:r w:rsidRPr="00387417">
        <w:rPr>
          <w:rFonts w:ascii="Times New Roman" w:eastAsia="宋体" w:hAnsi="宋体" w:cs="Times New Roman" w:hint="eastAsia"/>
          <w:color w:val="FF0000"/>
          <w:kern w:val="0"/>
          <w:sz w:val="24"/>
          <w:szCs w:val="24"/>
        </w:rPr>
        <w:t>的</w:t>
      </w:r>
      <w:r w:rsidR="00387417" w:rsidRPr="00387417">
        <w:rPr>
          <w:rFonts w:ascii="Times New Roman" w:eastAsia="宋体" w:hAnsi="宋体" w:cs="Times New Roman" w:hint="eastAsia"/>
          <w:color w:val="FF0000"/>
          <w:kern w:val="0"/>
          <w:sz w:val="24"/>
          <w:szCs w:val="24"/>
        </w:rPr>
        <w:t>东坪河</w:t>
      </w:r>
      <w:r>
        <w:rPr>
          <w:rFonts w:ascii="Times New Roman" w:eastAsia="宋体" w:hAnsi="宋体" w:cs="Times New Roman" w:hint="eastAsia"/>
          <w:kern w:val="0"/>
          <w:sz w:val="24"/>
          <w:szCs w:val="24"/>
        </w:rPr>
        <w:t>，根据《陕西省水功能区划》，项目所在地地表水体为</w:t>
      </w:r>
      <w:r>
        <w:rPr>
          <w:rFonts w:ascii="Times New Roman" w:eastAsia="宋体" w:hAnsi="宋体" w:cs="Times New Roman"/>
          <w:kern w:val="0"/>
          <w:sz w:val="24"/>
          <w:szCs w:val="24"/>
        </w:rPr>
        <w:t>II</w:t>
      </w:r>
      <w:r>
        <w:rPr>
          <w:rFonts w:ascii="Times New Roman" w:eastAsia="宋体" w:hAnsi="宋体" w:cs="Times New Roman"/>
          <w:kern w:val="0"/>
          <w:sz w:val="24"/>
          <w:szCs w:val="24"/>
        </w:rPr>
        <w:t>类水体。</w:t>
      </w:r>
    </w:p>
    <w:p w14:paraId="232148B5"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w:t>
      </w:r>
      <w:r>
        <w:rPr>
          <w:rFonts w:ascii="Times New Roman" w:eastAsia="宋体" w:hAnsi="宋体" w:cs="Times New Roman"/>
          <w:kern w:val="0"/>
          <w:sz w:val="24"/>
          <w:szCs w:val="24"/>
        </w:rPr>
        <w:t>3</w:t>
      </w:r>
      <w:r>
        <w:rPr>
          <w:rFonts w:ascii="Times New Roman" w:eastAsia="宋体" w:hAnsi="宋体" w:cs="Times New Roman"/>
          <w:kern w:val="0"/>
          <w:sz w:val="24"/>
          <w:szCs w:val="24"/>
        </w:rPr>
        <w:t>）地下水环境</w:t>
      </w:r>
    </w:p>
    <w:p w14:paraId="4EEF09D7"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hint="eastAsia"/>
          <w:kern w:val="0"/>
          <w:sz w:val="24"/>
          <w:szCs w:val="24"/>
        </w:rPr>
        <w:t>根据《地下水质量标准》（</w:t>
      </w:r>
      <w:r>
        <w:rPr>
          <w:rFonts w:ascii="Times New Roman" w:eastAsia="宋体" w:hAnsi="宋体" w:cs="Times New Roman"/>
          <w:kern w:val="0"/>
          <w:sz w:val="24"/>
          <w:szCs w:val="24"/>
        </w:rPr>
        <w:t>GB/T14848-2017</w:t>
      </w:r>
      <w:r>
        <w:rPr>
          <w:rFonts w:ascii="Times New Roman" w:eastAsia="宋体" w:hAnsi="宋体" w:cs="Times New Roman"/>
          <w:kern w:val="0"/>
          <w:sz w:val="24"/>
          <w:szCs w:val="24"/>
        </w:rPr>
        <w:t>）地下水质量分类“以人体健康基准值为依据”的要求，主要适用于集中式生活饮用水水源及工农业用水的地下水为Ⅲ类水质，因此，评价区内地下水属于Ⅲ类水体。</w:t>
      </w:r>
    </w:p>
    <w:p w14:paraId="43595EE3"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w:t>
      </w:r>
      <w:r>
        <w:rPr>
          <w:rFonts w:ascii="Times New Roman" w:eastAsia="宋体" w:hAnsi="宋体" w:cs="Times New Roman"/>
          <w:kern w:val="0"/>
          <w:sz w:val="24"/>
          <w:szCs w:val="24"/>
        </w:rPr>
        <w:t>4</w:t>
      </w:r>
      <w:r>
        <w:rPr>
          <w:rFonts w:ascii="Times New Roman" w:eastAsia="宋体" w:hAnsi="宋体" w:cs="Times New Roman"/>
          <w:kern w:val="0"/>
          <w:sz w:val="24"/>
          <w:szCs w:val="24"/>
        </w:rPr>
        <w:t>）声环境</w:t>
      </w:r>
    </w:p>
    <w:p w14:paraId="569A05E0"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根据《声环境质量标准》（</w:t>
      </w:r>
      <w:r>
        <w:rPr>
          <w:rFonts w:ascii="Times New Roman" w:eastAsia="宋体" w:hAnsi="宋体" w:cs="Times New Roman"/>
          <w:kern w:val="0"/>
          <w:sz w:val="24"/>
          <w:szCs w:val="24"/>
        </w:rPr>
        <w:t>GB3096</w:t>
      </w:r>
      <w:r>
        <w:rPr>
          <w:rFonts w:ascii="Times New Roman" w:eastAsia="宋体" w:hAnsi="宋体" w:cs="Times New Roman"/>
          <w:kern w:val="0"/>
          <w:sz w:val="24"/>
          <w:szCs w:val="24"/>
        </w:rPr>
        <w:t>－</w:t>
      </w:r>
      <w:r>
        <w:rPr>
          <w:rFonts w:ascii="Times New Roman" w:eastAsia="宋体" w:hAnsi="宋体" w:cs="Times New Roman"/>
          <w:kern w:val="0"/>
          <w:sz w:val="24"/>
          <w:szCs w:val="24"/>
        </w:rPr>
        <w:t>2008</w:t>
      </w:r>
      <w:r>
        <w:rPr>
          <w:rFonts w:ascii="Times New Roman" w:eastAsia="宋体" w:hAnsi="宋体" w:cs="Times New Roman"/>
          <w:kern w:val="0"/>
          <w:sz w:val="24"/>
          <w:szCs w:val="24"/>
        </w:rPr>
        <w:t>），本项目评价区声环境质量执行</w:t>
      </w:r>
      <w:r>
        <w:rPr>
          <w:rFonts w:ascii="Times New Roman" w:eastAsia="宋体" w:hAnsi="宋体" w:cs="Times New Roman"/>
          <w:kern w:val="0"/>
          <w:sz w:val="24"/>
          <w:szCs w:val="24"/>
        </w:rPr>
        <w:t>2</w:t>
      </w:r>
      <w:r>
        <w:rPr>
          <w:rFonts w:ascii="Times New Roman" w:eastAsia="宋体" w:hAnsi="宋体" w:cs="Times New Roman"/>
          <w:kern w:val="0"/>
          <w:sz w:val="24"/>
          <w:szCs w:val="24"/>
        </w:rPr>
        <w:t>类区标准。</w:t>
      </w:r>
    </w:p>
    <w:p w14:paraId="6DE0534A" w14:textId="77777777" w:rsidR="00D12939" w:rsidRDefault="004F47F5">
      <w:pPr>
        <w:spacing w:line="360" w:lineRule="auto"/>
        <w:ind w:firstLineChars="200" w:firstLine="480"/>
        <w:rPr>
          <w:rFonts w:ascii="Times New Roman" w:eastAsia="宋体" w:hAnsi="宋体" w:cs="Times New Roman"/>
          <w:kern w:val="0"/>
          <w:sz w:val="24"/>
          <w:szCs w:val="24"/>
        </w:rPr>
      </w:pPr>
      <w:r>
        <w:rPr>
          <w:rFonts w:ascii="Times New Roman" w:eastAsia="宋体" w:hAnsi="宋体" w:cs="Times New Roman"/>
          <w:kern w:val="0"/>
          <w:sz w:val="24"/>
          <w:szCs w:val="24"/>
        </w:rPr>
        <w:t>本项目评价区域内环境功能区划见表</w:t>
      </w:r>
      <w:r>
        <w:rPr>
          <w:rFonts w:ascii="Times New Roman" w:eastAsia="宋体" w:hAnsi="宋体" w:cs="Times New Roman"/>
          <w:kern w:val="0"/>
          <w:sz w:val="24"/>
          <w:szCs w:val="24"/>
        </w:rPr>
        <w:t>2.5-1</w:t>
      </w:r>
      <w:r>
        <w:rPr>
          <w:rFonts w:ascii="Times New Roman" w:eastAsia="宋体" w:hAnsi="宋体" w:cs="Times New Roman"/>
          <w:kern w:val="0"/>
          <w:sz w:val="24"/>
          <w:szCs w:val="24"/>
        </w:rPr>
        <w:t>。</w:t>
      </w:r>
    </w:p>
    <w:p w14:paraId="51E833D2" w14:textId="77777777" w:rsidR="00D12939" w:rsidRDefault="004F47F5">
      <w:pPr>
        <w:pStyle w:val="a5"/>
        <w:ind w:firstLine="480"/>
        <w:rPr>
          <w:rFonts w:ascii="黑体" w:eastAsia="黑体" w:hAnsi="黑体"/>
          <w:sz w:val="24"/>
          <w:szCs w:val="21"/>
        </w:rPr>
      </w:pPr>
      <w:r>
        <w:rPr>
          <w:rFonts w:ascii="黑体" w:eastAsia="黑体" w:hAnsi="黑体"/>
          <w:sz w:val="24"/>
          <w:szCs w:val="21"/>
        </w:rPr>
        <w:t>表2.5-1   本项目评价区域内环境功能区划</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
        <w:gridCol w:w="1162"/>
        <w:gridCol w:w="1891"/>
        <w:gridCol w:w="5043"/>
        <w:gridCol w:w="1082"/>
      </w:tblGrid>
      <w:tr w:rsidR="00D12939" w14:paraId="5A12A90C" w14:textId="77777777">
        <w:trPr>
          <w:trHeight w:val="340"/>
        </w:trPr>
        <w:tc>
          <w:tcPr>
            <w:tcW w:w="461" w:type="dxa"/>
            <w:vAlign w:val="center"/>
          </w:tcPr>
          <w:p w14:paraId="5418D58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998" w:type="dxa"/>
            <w:vAlign w:val="center"/>
          </w:tcPr>
          <w:p w14:paraId="57C49ED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环境要素</w:t>
            </w:r>
          </w:p>
        </w:tc>
        <w:tc>
          <w:tcPr>
            <w:tcW w:w="1624" w:type="dxa"/>
            <w:vAlign w:val="center"/>
          </w:tcPr>
          <w:p w14:paraId="2D0F8A0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环境功能</w:t>
            </w:r>
          </w:p>
        </w:tc>
        <w:tc>
          <w:tcPr>
            <w:tcW w:w="4330" w:type="dxa"/>
            <w:vAlign w:val="center"/>
          </w:tcPr>
          <w:p w14:paraId="482F378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确定依据</w:t>
            </w:r>
          </w:p>
        </w:tc>
        <w:tc>
          <w:tcPr>
            <w:tcW w:w="929" w:type="dxa"/>
            <w:vAlign w:val="center"/>
          </w:tcPr>
          <w:p w14:paraId="567177E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确定类别</w:t>
            </w:r>
          </w:p>
        </w:tc>
      </w:tr>
      <w:tr w:rsidR="00D12939" w14:paraId="270458E5" w14:textId="77777777">
        <w:trPr>
          <w:trHeight w:val="340"/>
        </w:trPr>
        <w:tc>
          <w:tcPr>
            <w:tcW w:w="461" w:type="dxa"/>
            <w:vAlign w:val="center"/>
          </w:tcPr>
          <w:p w14:paraId="18EC050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998" w:type="dxa"/>
            <w:vAlign w:val="center"/>
          </w:tcPr>
          <w:p w14:paraId="318ABFC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环境空气</w:t>
            </w:r>
          </w:p>
        </w:tc>
        <w:tc>
          <w:tcPr>
            <w:tcW w:w="1624" w:type="dxa"/>
            <w:vAlign w:val="center"/>
          </w:tcPr>
          <w:p w14:paraId="32ED13E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农村地区</w:t>
            </w:r>
          </w:p>
        </w:tc>
        <w:tc>
          <w:tcPr>
            <w:tcW w:w="4330" w:type="dxa"/>
            <w:vAlign w:val="center"/>
          </w:tcPr>
          <w:p w14:paraId="4C209AF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rPr>
              <w:t>《环境空气质量功能区划分原则与技术方法》</w:t>
            </w:r>
            <w:r>
              <w:rPr>
                <w:rFonts w:ascii="Times New Roman" w:eastAsia="宋体" w:hAnsi="Times New Roman" w:cs="Times New Roman"/>
              </w:rPr>
              <w:t>(HJl4-1996)</w:t>
            </w:r>
            <w:r>
              <w:rPr>
                <w:rFonts w:ascii="Times New Roman" w:eastAsia="宋体" w:hAnsi="Times New Roman" w:cs="Times New Roman" w:hint="eastAsia"/>
              </w:rPr>
              <w:t>、</w:t>
            </w:r>
            <w:r>
              <w:rPr>
                <w:rFonts w:ascii="Times New Roman" w:eastAsia="宋体" w:hAnsi="Times New Roman" w:cs="Times New Roman"/>
                <w:szCs w:val="21"/>
              </w:rPr>
              <w:t>《环境空气质量标准》（</w:t>
            </w:r>
            <w:r>
              <w:rPr>
                <w:rFonts w:ascii="Times New Roman" w:eastAsia="宋体" w:hAnsi="Times New Roman" w:cs="Times New Roman"/>
                <w:szCs w:val="21"/>
              </w:rPr>
              <w:t>GB3095-2012</w:t>
            </w:r>
            <w:r>
              <w:rPr>
                <w:rFonts w:ascii="Times New Roman" w:eastAsia="宋体" w:hAnsi="Times New Roman" w:cs="Times New Roman"/>
                <w:szCs w:val="21"/>
              </w:rPr>
              <w:t>）</w:t>
            </w:r>
          </w:p>
        </w:tc>
        <w:tc>
          <w:tcPr>
            <w:tcW w:w="929" w:type="dxa"/>
            <w:vAlign w:val="center"/>
          </w:tcPr>
          <w:p w14:paraId="19E5FC1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二类</w:t>
            </w:r>
          </w:p>
        </w:tc>
      </w:tr>
      <w:tr w:rsidR="00D12939" w14:paraId="2F168901" w14:textId="77777777">
        <w:trPr>
          <w:trHeight w:val="340"/>
        </w:trPr>
        <w:tc>
          <w:tcPr>
            <w:tcW w:w="461" w:type="dxa"/>
            <w:vAlign w:val="center"/>
          </w:tcPr>
          <w:p w14:paraId="6CD3038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998" w:type="dxa"/>
            <w:vAlign w:val="center"/>
          </w:tcPr>
          <w:p w14:paraId="763C71E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地表水</w:t>
            </w:r>
          </w:p>
        </w:tc>
        <w:tc>
          <w:tcPr>
            <w:tcW w:w="1624" w:type="dxa"/>
            <w:vAlign w:val="center"/>
          </w:tcPr>
          <w:p w14:paraId="07EA3C3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取水</w:t>
            </w:r>
          </w:p>
        </w:tc>
        <w:tc>
          <w:tcPr>
            <w:tcW w:w="4330" w:type="dxa"/>
            <w:vAlign w:val="center"/>
          </w:tcPr>
          <w:p w14:paraId="4015556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rPr>
              <w:t>《地表水环境质量标准》（</w:t>
            </w:r>
            <w:r>
              <w:rPr>
                <w:rFonts w:ascii="Times New Roman" w:eastAsia="宋体" w:hAnsi="Times New Roman" w:cs="Times New Roman"/>
              </w:rPr>
              <w:t>GB3838-2002</w:t>
            </w:r>
            <w:r>
              <w:rPr>
                <w:rFonts w:ascii="Times New Roman" w:eastAsia="宋体" w:hAnsi="Times New Roman" w:cs="Times New Roman"/>
              </w:rPr>
              <w:t>）和《陕西省水环境功能区划》（陕政办发</w:t>
            </w:r>
            <w:r>
              <w:rPr>
                <w:rFonts w:ascii="Times New Roman" w:eastAsia="宋体" w:hAnsi="Times New Roman" w:cs="Times New Roman"/>
              </w:rPr>
              <w:t>[2004]100</w:t>
            </w:r>
            <w:r>
              <w:rPr>
                <w:rFonts w:ascii="Times New Roman" w:eastAsia="宋体" w:hAnsi="Times New Roman" w:cs="Times New Roman"/>
              </w:rPr>
              <w:t>号）</w:t>
            </w:r>
          </w:p>
        </w:tc>
        <w:tc>
          <w:tcPr>
            <w:tcW w:w="929" w:type="dxa"/>
            <w:vAlign w:val="center"/>
          </w:tcPr>
          <w:p w14:paraId="0D7A7CE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II</w:t>
            </w:r>
            <w:r>
              <w:rPr>
                <w:rFonts w:ascii="Times New Roman" w:eastAsia="宋体" w:hAnsi="Times New Roman" w:cs="Times New Roman"/>
                <w:szCs w:val="21"/>
              </w:rPr>
              <w:t>类</w:t>
            </w:r>
          </w:p>
        </w:tc>
      </w:tr>
      <w:tr w:rsidR="00D12939" w14:paraId="438CF0F3" w14:textId="77777777">
        <w:trPr>
          <w:trHeight w:val="340"/>
        </w:trPr>
        <w:tc>
          <w:tcPr>
            <w:tcW w:w="461" w:type="dxa"/>
            <w:vAlign w:val="center"/>
          </w:tcPr>
          <w:p w14:paraId="0E92B21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lastRenderedPageBreak/>
              <w:t>3</w:t>
            </w:r>
          </w:p>
        </w:tc>
        <w:tc>
          <w:tcPr>
            <w:tcW w:w="998" w:type="dxa"/>
            <w:vAlign w:val="center"/>
          </w:tcPr>
          <w:p w14:paraId="2CC72E8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地下水</w:t>
            </w:r>
          </w:p>
        </w:tc>
        <w:tc>
          <w:tcPr>
            <w:tcW w:w="1624" w:type="dxa"/>
            <w:vAlign w:val="center"/>
          </w:tcPr>
          <w:p w14:paraId="70514C9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工业、</w:t>
            </w:r>
            <w:r>
              <w:rPr>
                <w:rFonts w:ascii="Times New Roman" w:eastAsia="宋体" w:hAnsi="Times New Roman" w:cs="Times New Roman"/>
                <w:szCs w:val="21"/>
              </w:rPr>
              <w:t>生活用水</w:t>
            </w:r>
          </w:p>
        </w:tc>
        <w:tc>
          <w:tcPr>
            <w:tcW w:w="4330" w:type="dxa"/>
            <w:vAlign w:val="center"/>
          </w:tcPr>
          <w:p w14:paraId="79F3D1E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《地下水质量标准》</w:t>
            </w:r>
            <w:r>
              <w:rPr>
                <w:rFonts w:ascii="Times New Roman" w:eastAsia="宋体" w:hAnsi="Times New Roman" w:cs="Times New Roman"/>
              </w:rPr>
              <w:t>（</w:t>
            </w:r>
            <w:r>
              <w:rPr>
                <w:rFonts w:ascii="Times New Roman" w:eastAsia="宋体" w:hAnsi="Times New Roman" w:cs="Times New Roman"/>
                <w:bCs/>
              </w:rPr>
              <w:t>GB/T 14848-2017</w:t>
            </w:r>
            <w:r>
              <w:rPr>
                <w:rFonts w:ascii="Times New Roman" w:eastAsia="宋体" w:hAnsi="Times New Roman" w:cs="Times New Roman"/>
              </w:rPr>
              <w:t>）</w:t>
            </w:r>
          </w:p>
        </w:tc>
        <w:tc>
          <w:tcPr>
            <w:tcW w:w="929" w:type="dxa"/>
            <w:vAlign w:val="center"/>
          </w:tcPr>
          <w:p w14:paraId="19C8B32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Ⅲ</w:t>
            </w:r>
            <w:r>
              <w:rPr>
                <w:rFonts w:ascii="Times New Roman" w:eastAsia="宋体" w:hAnsi="Times New Roman" w:cs="Times New Roman"/>
                <w:szCs w:val="21"/>
              </w:rPr>
              <w:t>类</w:t>
            </w:r>
          </w:p>
        </w:tc>
      </w:tr>
      <w:tr w:rsidR="00D12939" w14:paraId="4B2670F9" w14:textId="77777777">
        <w:trPr>
          <w:trHeight w:val="340"/>
        </w:trPr>
        <w:tc>
          <w:tcPr>
            <w:tcW w:w="461" w:type="dxa"/>
            <w:vAlign w:val="center"/>
          </w:tcPr>
          <w:p w14:paraId="11046CB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998" w:type="dxa"/>
            <w:vAlign w:val="center"/>
          </w:tcPr>
          <w:p w14:paraId="71CAE15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声环境</w:t>
            </w:r>
          </w:p>
        </w:tc>
        <w:tc>
          <w:tcPr>
            <w:tcW w:w="1624" w:type="dxa"/>
            <w:vAlign w:val="center"/>
          </w:tcPr>
          <w:p w14:paraId="0F34EB4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农村地区</w:t>
            </w:r>
          </w:p>
        </w:tc>
        <w:tc>
          <w:tcPr>
            <w:tcW w:w="4330" w:type="dxa"/>
            <w:vAlign w:val="center"/>
          </w:tcPr>
          <w:p w14:paraId="7C31EC4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《声环境质量标准》（</w:t>
            </w:r>
            <w:r>
              <w:rPr>
                <w:rFonts w:ascii="Times New Roman" w:eastAsia="宋体" w:hAnsi="Times New Roman" w:cs="Times New Roman"/>
                <w:szCs w:val="21"/>
              </w:rPr>
              <w:t>GB3096-2008</w:t>
            </w:r>
            <w:r>
              <w:rPr>
                <w:rFonts w:ascii="Times New Roman" w:eastAsia="宋体" w:hAnsi="Times New Roman" w:cs="Times New Roman"/>
                <w:szCs w:val="21"/>
              </w:rPr>
              <w:t>）</w:t>
            </w:r>
          </w:p>
        </w:tc>
        <w:tc>
          <w:tcPr>
            <w:tcW w:w="929" w:type="dxa"/>
            <w:vAlign w:val="center"/>
          </w:tcPr>
          <w:p w14:paraId="2241A367" w14:textId="77777777" w:rsidR="00D12939" w:rsidRDefault="004F47F5">
            <w:pPr>
              <w:jc w:val="center"/>
              <w:rPr>
                <w:rFonts w:ascii="Times New Roman" w:eastAsia="宋体" w:hAnsi="Times New Roman" w:cs="Times New Roman"/>
                <w:spacing w:val="-20"/>
                <w:szCs w:val="21"/>
              </w:rPr>
            </w:pPr>
            <w:r>
              <w:rPr>
                <w:rFonts w:ascii="Times New Roman" w:eastAsia="宋体" w:hAnsi="Times New Roman" w:cs="Times New Roman"/>
                <w:szCs w:val="21"/>
              </w:rPr>
              <w:t>2</w:t>
            </w:r>
            <w:r>
              <w:rPr>
                <w:rFonts w:ascii="Times New Roman" w:eastAsia="宋体" w:hAnsi="Times New Roman" w:cs="Times New Roman"/>
                <w:szCs w:val="21"/>
              </w:rPr>
              <w:t>类</w:t>
            </w:r>
          </w:p>
        </w:tc>
      </w:tr>
    </w:tbl>
    <w:p w14:paraId="1CC8D009" w14:textId="77777777" w:rsidR="00D12939" w:rsidRDefault="004F47F5">
      <w:pPr>
        <w:pStyle w:val="2"/>
        <w:spacing w:line="360" w:lineRule="auto"/>
        <w:ind w:firstLineChars="165" w:firstLine="462"/>
      </w:pPr>
      <w:bookmarkStart w:id="260" w:name="_Toc720"/>
      <w:bookmarkStart w:id="261" w:name="_Toc16492"/>
      <w:bookmarkStart w:id="262" w:name="_Toc480180490"/>
      <w:bookmarkStart w:id="263" w:name="_Toc7052"/>
      <w:bookmarkStart w:id="264" w:name="_Toc12110"/>
      <w:bookmarkStart w:id="265" w:name="_Toc476130116"/>
      <w:bookmarkStart w:id="266" w:name="_Toc30053"/>
      <w:bookmarkStart w:id="267" w:name="_Toc23633"/>
      <w:bookmarkStart w:id="268" w:name="_Toc9266"/>
      <w:bookmarkStart w:id="269" w:name="_Toc14000"/>
      <w:bookmarkStart w:id="270" w:name="_Toc240879417"/>
      <w:bookmarkStart w:id="271" w:name="_Toc26959"/>
      <w:bookmarkStart w:id="272" w:name="_Toc10549"/>
      <w:bookmarkStart w:id="273" w:name="_Toc8926"/>
      <w:bookmarkStart w:id="274" w:name="_Toc9168"/>
      <w:bookmarkStart w:id="275" w:name="_Toc22744225"/>
      <w:bookmarkStart w:id="276" w:name="_Toc26286"/>
      <w:bookmarkStart w:id="277" w:name="_Toc26113"/>
      <w:bookmarkStart w:id="278" w:name="_Toc121411706"/>
      <w:bookmarkStart w:id="279" w:name="_Toc225149541"/>
      <w:bookmarkStart w:id="280" w:name="_Toc492980061"/>
      <w:bookmarkStart w:id="281" w:name="_Toc238032614"/>
      <w:r>
        <w:rPr>
          <w:sz w:val="28"/>
        </w:rPr>
        <w:t>2.6</w:t>
      </w:r>
      <w:r>
        <w:rPr>
          <w:sz w:val="28"/>
        </w:rPr>
        <w:t>主要环境保护目标</w:t>
      </w:r>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14:paraId="5EE198FF" w14:textId="77777777" w:rsidR="00D12939" w:rsidRDefault="004F47F5">
      <w:pPr>
        <w:spacing w:line="360" w:lineRule="auto"/>
        <w:ind w:firstLineChars="200" w:firstLine="480"/>
        <w:rPr>
          <w:rFonts w:ascii="Times New Roman" w:eastAsia="宋体" w:hAnsi="宋体" w:cs="Times New Roman"/>
          <w:kern w:val="0"/>
          <w:sz w:val="24"/>
          <w:szCs w:val="24"/>
        </w:rPr>
      </w:pPr>
      <w:bookmarkStart w:id="282" w:name="_Toc155101581"/>
      <w:bookmarkEnd w:id="279"/>
      <w:bookmarkEnd w:id="280"/>
      <w:bookmarkEnd w:id="281"/>
      <w:r>
        <w:rPr>
          <w:rFonts w:ascii="Times New Roman" w:eastAsia="宋体" w:hAnsi="宋体" w:cs="Times New Roman"/>
          <w:kern w:val="0"/>
          <w:sz w:val="24"/>
          <w:szCs w:val="24"/>
        </w:rPr>
        <w:t>根据现状调查，评价区及周边无风景名胜区、水源保护区等其他需特殊保护的环境敏感区。环境保护目标见表</w:t>
      </w:r>
      <w:r>
        <w:rPr>
          <w:rFonts w:ascii="Times New Roman" w:eastAsia="宋体" w:hAnsi="宋体" w:cs="Times New Roman"/>
          <w:kern w:val="0"/>
          <w:sz w:val="24"/>
          <w:szCs w:val="24"/>
        </w:rPr>
        <w:t>2.6-1</w:t>
      </w:r>
      <w:r>
        <w:rPr>
          <w:rFonts w:ascii="Times New Roman" w:eastAsia="宋体" w:hAnsi="宋体" w:cs="Times New Roman"/>
          <w:kern w:val="0"/>
          <w:sz w:val="24"/>
          <w:szCs w:val="24"/>
        </w:rPr>
        <w:t>，环境保护目标分布见图</w:t>
      </w:r>
      <w:r>
        <w:rPr>
          <w:rFonts w:ascii="Times New Roman" w:eastAsia="宋体" w:hAnsi="宋体" w:cs="Times New Roman"/>
          <w:kern w:val="0"/>
          <w:sz w:val="24"/>
          <w:szCs w:val="24"/>
        </w:rPr>
        <w:t>2.4-1</w:t>
      </w:r>
      <w:r>
        <w:rPr>
          <w:rFonts w:ascii="Times New Roman" w:eastAsia="宋体" w:hAnsi="宋体" w:cs="Times New Roman"/>
          <w:kern w:val="0"/>
          <w:sz w:val="24"/>
          <w:szCs w:val="24"/>
        </w:rPr>
        <w:t>。</w:t>
      </w:r>
    </w:p>
    <w:p w14:paraId="0971F34F" w14:textId="77777777" w:rsidR="00D12939" w:rsidRDefault="004F47F5">
      <w:pPr>
        <w:pStyle w:val="a5"/>
        <w:ind w:firstLine="480"/>
        <w:rPr>
          <w:rFonts w:ascii="黑体" w:eastAsia="黑体" w:hAnsi="黑体"/>
          <w:sz w:val="24"/>
          <w:szCs w:val="21"/>
        </w:rPr>
      </w:pPr>
      <w:r>
        <w:rPr>
          <w:rFonts w:ascii="黑体" w:eastAsia="黑体" w:hAnsi="黑体" w:hint="eastAsia"/>
          <w:sz w:val="24"/>
          <w:szCs w:val="21"/>
        </w:rPr>
        <w:t>表2</w:t>
      </w:r>
      <w:r>
        <w:rPr>
          <w:rFonts w:ascii="黑体" w:eastAsia="黑体" w:hAnsi="黑体"/>
          <w:sz w:val="24"/>
          <w:szCs w:val="21"/>
        </w:rPr>
        <w:t>.6-1  环境保护目标</w:t>
      </w:r>
      <w:r>
        <w:rPr>
          <w:rFonts w:ascii="黑体" w:eastAsia="黑体" w:hAnsi="黑体" w:hint="eastAsia"/>
          <w:sz w:val="24"/>
          <w:szCs w:val="21"/>
        </w:rPr>
        <w:t>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46"/>
        <w:gridCol w:w="2038"/>
        <w:gridCol w:w="1424"/>
        <w:gridCol w:w="1319"/>
        <w:gridCol w:w="770"/>
        <w:gridCol w:w="1419"/>
        <w:gridCol w:w="1574"/>
        <w:gridCol w:w="426"/>
      </w:tblGrid>
      <w:tr w:rsidR="00D12939" w14:paraId="30607A04" w14:textId="77777777" w:rsidTr="00387417">
        <w:trPr>
          <w:jc w:val="center"/>
        </w:trPr>
        <w:tc>
          <w:tcPr>
            <w:tcW w:w="384" w:type="pct"/>
            <w:vMerge w:val="restart"/>
            <w:vAlign w:val="center"/>
          </w:tcPr>
          <w:p w14:paraId="738FD931"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类别</w:t>
            </w:r>
          </w:p>
        </w:tc>
        <w:tc>
          <w:tcPr>
            <w:tcW w:w="1049" w:type="pct"/>
            <w:vMerge w:val="restart"/>
            <w:vAlign w:val="center"/>
          </w:tcPr>
          <w:p w14:paraId="708C0F2E"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保护对象</w:t>
            </w:r>
          </w:p>
        </w:tc>
        <w:tc>
          <w:tcPr>
            <w:tcW w:w="1412" w:type="pct"/>
            <w:gridSpan w:val="2"/>
            <w:vAlign w:val="center"/>
          </w:tcPr>
          <w:p w14:paraId="482F4495"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坐标</w:t>
            </w:r>
          </w:p>
        </w:tc>
        <w:tc>
          <w:tcPr>
            <w:tcW w:w="396" w:type="pct"/>
            <w:vMerge w:val="restart"/>
            <w:vAlign w:val="center"/>
          </w:tcPr>
          <w:p w14:paraId="5866DF1F"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相对方位</w:t>
            </w:r>
          </w:p>
        </w:tc>
        <w:tc>
          <w:tcPr>
            <w:tcW w:w="730" w:type="pct"/>
            <w:vMerge w:val="restart"/>
            <w:vAlign w:val="center"/>
          </w:tcPr>
          <w:p w14:paraId="7D8A7DAD"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距厂界最近距离（</w:t>
            </w:r>
            <w:r>
              <w:rPr>
                <w:rFonts w:ascii="Times New Roman" w:eastAsia="宋体" w:hAnsi="Times New Roman" w:cs="Times New Roman"/>
              </w:rPr>
              <w:t>m</w:t>
            </w:r>
            <w:r>
              <w:rPr>
                <w:rFonts w:ascii="Times New Roman" w:eastAsia="宋体" w:hAnsi="Times New Roman" w:cs="Times New Roman"/>
              </w:rPr>
              <w:t>）</w:t>
            </w:r>
          </w:p>
        </w:tc>
        <w:tc>
          <w:tcPr>
            <w:tcW w:w="810" w:type="pct"/>
            <w:vMerge w:val="restart"/>
            <w:vAlign w:val="center"/>
          </w:tcPr>
          <w:p w14:paraId="450458BF"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保护内容</w:t>
            </w:r>
          </w:p>
        </w:tc>
        <w:tc>
          <w:tcPr>
            <w:tcW w:w="219" w:type="pct"/>
            <w:vMerge w:val="restart"/>
            <w:vAlign w:val="center"/>
          </w:tcPr>
          <w:p w14:paraId="52CD7DD0"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环境功能区</w:t>
            </w:r>
          </w:p>
        </w:tc>
      </w:tr>
      <w:tr w:rsidR="00D12939" w14:paraId="1B2EDBA6" w14:textId="77777777" w:rsidTr="00387417">
        <w:trPr>
          <w:jc w:val="center"/>
        </w:trPr>
        <w:tc>
          <w:tcPr>
            <w:tcW w:w="384" w:type="pct"/>
            <w:vMerge/>
            <w:vAlign w:val="center"/>
          </w:tcPr>
          <w:p w14:paraId="0035C30C" w14:textId="77777777" w:rsidR="00D12939" w:rsidRDefault="00D12939">
            <w:pPr>
              <w:jc w:val="center"/>
              <w:rPr>
                <w:rFonts w:ascii="Times New Roman" w:eastAsia="宋体" w:hAnsi="Times New Roman" w:cs="Times New Roman"/>
              </w:rPr>
            </w:pPr>
          </w:p>
        </w:tc>
        <w:tc>
          <w:tcPr>
            <w:tcW w:w="1048" w:type="pct"/>
            <w:vMerge/>
            <w:vAlign w:val="center"/>
          </w:tcPr>
          <w:p w14:paraId="298863CD" w14:textId="77777777" w:rsidR="00D12939" w:rsidRDefault="00D12939">
            <w:pPr>
              <w:jc w:val="center"/>
              <w:rPr>
                <w:rFonts w:ascii="Times New Roman" w:eastAsia="宋体" w:hAnsi="Times New Roman" w:cs="Times New Roman"/>
              </w:rPr>
            </w:pPr>
          </w:p>
        </w:tc>
        <w:tc>
          <w:tcPr>
            <w:tcW w:w="733" w:type="pct"/>
            <w:vAlign w:val="center"/>
          </w:tcPr>
          <w:p w14:paraId="70696B0A"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X</w:t>
            </w:r>
          </w:p>
        </w:tc>
        <w:tc>
          <w:tcPr>
            <w:tcW w:w="679" w:type="pct"/>
            <w:vAlign w:val="center"/>
          </w:tcPr>
          <w:p w14:paraId="173C565F"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Y</w:t>
            </w:r>
          </w:p>
        </w:tc>
        <w:tc>
          <w:tcPr>
            <w:tcW w:w="396" w:type="pct"/>
            <w:vMerge/>
            <w:vAlign w:val="center"/>
          </w:tcPr>
          <w:p w14:paraId="00CA382F" w14:textId="77777777" w:rsidR="00D12939" w:rsidRDefault="00D12939">
            <w:pPr>
              <w:jc w:val="center"/>
              <w:rPr>
                <w:rFonts w:ascii="Times New Roman" w:eastAsia="宋体" w:hAnsi="Times New Roman" w:cs="Times New Roman"/>
              </w:rPr>
            </w:pPr>
          </w:p>
        </w:tc>
        <w:tc>
          <w:tcPr>
            <w:tcW w:w="730" w:type="pct"/>
            <w:vMerge/>
            <w:vAlign w:val="center"/>
          </w:tcPr>
          <w:p w14:paraId="68DA02FE" w14:textId="77777777" w:rsidR="00D12939" w:rsidRDefault="00D12939">
            <w:pPr>
              <w:jc w:val="center"/>
              <w:rPr>
                <w:rFonts w:ascii="Times New Roman" w:eastAsia="宋体" w:hAnsi="Times New Roman" w:cs="Times New Roman"/>
              </w:rPr>
            </w:pPr>
          </w:p>
        </w:tc>
        <w:tc>
          <w:tcPr>
            <w:tcW w:w="810" w:type="pct"/>
            <w:vMerge/>
            <w:vAlign w:val="center"/>
          </w:tcPr>
          <w:p w14:paraId="0EB1B2A7" w14:textId="77777777" w:rsidR="00D12939" w:rsidRDefault="00D12939">
            <w:pPr>
              <w:jc w:val="center"/>
              <w:rPr>
                <w:rFonts w:ascii="Times New Roman" w:eastAsia="宋体" w:hAnsi="Times New Roman" w:cs="Times New Roman"/>
              </w:rPr>
            </w:pPr>
          </w:p>
        </w:tc>
        <w:tc>
          <w:tcPr>
            <w:tcW w:w="219" w:type="pct"/>
            <w:vMerge/>
            <w:vAlign w:val="center"/>
          </w:tcPr>
          <w:p w14:paraId="521F7095" w14:textId="77777777" w:rsidR="00D12939" w:rsidRDefault="00D12939">
            <w:pPr>
              <w:jc w:val="center"/>
              <w:rPr>
                <w:rFonts w:ascii="Times New Roman" w:eastAsia="宋体" w:hAnsi="Times New Roman" w:cs="Times New Roman"/>
              </w:rPr>
            </w:pPr>
          </w:p>
        </w:tc>
      </w:tr>
      <w:tr w:rsidR="00D12939" w14:paraId="22029437" w14:textId="77777777" w:rsidTr="00387417">
        <w:trPr>
          <w:jc w:val="center"/>
        </w:trPr>
        <w:tc>
          <w:tcPr>
            <w:tcW w:w="384" w:type="pct"/>
            <w:vMerge w:val="restart"/>
            <w:vAlign w:val="center"/>
          </w:tcPr>
          <w:p w14:paraId="6FAD28C6"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环境空气</w:t>
            </w:r>
          </w:p>
        </w:tc>
        <w:tc>
          <w:tcPr>
            <w:tcW w:w="1048" w:type="pct"/>
            <w:vAlign w:val="center"/>
          </w:tcPr>
          <w:p w14:paraId="610219FB"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李家沟</w:t>
            </w:r>
          </w:p>
        </w:tc>
        <w:tc>
          <w:tcPr>
            <w:tcW w:w="733" w:type="pct"/>
            <w:vAlign w:val="center"/>
          </w:tcPr>
          <w:p w14:paraId="28AB9B4F"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109.24976349</w:t>
            </w:r>
          </w:p>
        </w:tc>
        <w:tc>
          <w:tcPr>
            <w:tcW w:w="679" w:type="pct"/>
            <w:vAlign w:val="center"/>
          </w:tcPr>
          <w:p w14:paraId="5A71F978"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33.66369288</w:t>
            </w:r>
          </w:p>
        </w:tc>
        <w:tc>
          <w:tcPr>
            <w:tcW w:w="396" w:type="pct"/>
            <w:vAlign w:val="center"/>
          </w:tcPr>
          <w:p w14:paraId="617C4D47"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NE</w:t>
            </w:r>
          </w:p>
        </w:tc>
        <w:tc>
          <w:tcPr>
            <w:tcW w:w="730" w:type="pct"/>
            <w:vAlign w:val="center"/>
          </w:tcPr>
          <w:p w14:paraId="78AD9114"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1380</w:t>
            </w:r>
          </w:p>
        </w:tc>
        <w:tc>
          <w:tcPr>
            <w:tcW w:w="810" w:type="pct"/>
            <w:vMerge w:val="restart"/>
            <w:vAlign w:val="center"/>
          </w:tcPr>
          <w:p w14:paraId="35A3A8DF"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人群健康，环境空气质量</w:t>
            </w:r>
          </w:p>
        </w:tc>
        <w:tc>
          <w:tcPr>
            <w:tcW w:w="219" w:type="pct"/>
            <w:vMerge w:val="restart"/>
            <w:vAlign w:val="center"/>
          </w:tcPr>
          <w:p w14:paraId="62924F8C"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二类区</w:t>
            </w:r>
          </w:p>
        </w:tc>
      </w:tr>
      <w:tr w:rsidR="00D12939" w14:paraId="24432258" w14:textId="77777777" w:rsidTr="00387417">
        <w:trPr>
          <w:jc w:val="center"/>
        </w:trPr>
        <w:tc>
          <w:tcPr>
            <w:tcW w:w="384" w:type="pct"/>
            <w:vMerge/>
            <w:vAlign w:val="center"/>
          </w:tcPr>
          <w:p w14:paraId="57FCBA1A" w14:textId="77777777" w:rsidR="00D12939" w:rsidRDefault="00D12939">
            <w:pPr>
              <w:jc w:val="center"/>
              <w:rPr>
                <w:rFonts w:ascii="Times New Roman" w:eastAsia="宋体" w:hAnsi="Times New Roman" w:cs="Times New Roman"/>
              </w:rPr>
            </w:pPr>
          </w:p>
        </w:tc>
        <w:tc>
          <w:tcPr>
            <w:tcW w:w="1048" w:type="pct"/>
            <w:vAlign w:val="center"/>
          </w:tcPr>
          <w:p w14:paraId="157C5329"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松林村</w:t>
            </w:r>
          </w:p>
        </w:tc>
        <w:tc>
          <w:tcPr>
            <w:tcW w:w="733" w:type="pct"/>
            <w:vAlign w:val="center"/>
          </w:tcPr>
          <w:p w14:paraId="5D8F0BF5"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109.24227476</w:t>
            </w:r>
          </w:p>
        </w:tc>
        <w:tc>
          <w:tcPr>
            <w:tcW w:w="679" w:type="pct"/>
            <w:vAlign w:val="center"/>
          </w:tcPr>
          <w:p w14:paraId="53CA9B75"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33.65669174</w:t>
            </w:r>
          </w:p>
        </w:tc>
        <w:tc>
          <w:tcPr>
            <w:tcW w:w="396" w:type="pct"/>
            <w:vAlign w:val="center"/>
          </w:tcPr>
          <w:p w14:paraId="1EBAAF19"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E</w:t>
            </w:r>
          </w:p>
        </w:tc>
        <w:tc>
          <w:tcPr>
            <w:tcW w:w="730" w:type="pct"/>
            <w:vAlign w:val="center"/>
          </w:tcPr>
          <w:p w14:paraId="7ADC1284"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251</w:t>
            </w:r>
          </w:p>
        </w:tc>
        <w:tc>
          <w:tcPr>
            <w:tcW w:w="810" w:type="pct"/>
            <w:vMerge/>
            <w:vAlign w:val="center"/>
          </w:tcPr>
          <w:p w14:paraId="67BF5A3F" w14:textId="77777777" w:rsidR="00D12939" w:rsidRDefault="00D12939">
            <w:pPr>
              <w:jc w:val="center"/>
              <w:rPr>
                <w:rFonts w:ascii="Times New Roman" w:eastAsia="宋体" w:hAnsi="Times New Roman" w:cs="Times New Roman"/>
              </w:rPr>
            </w:pPr>
          </w:p>
        </w:tc>
        <w:tc>
          <w:tcPr>
            <w:tcW w:w="219" w:type="pct"/>
            <w:vMerge/>
            <w:vAlign w:val="center"/>
          </w:tcPr>
          <w:p w14:paraId="32F60C50" w14:textId="77777777" w:rsidR="00D12939" w:rsidRDefault="00D12939">
            <w:pPr>
              <w:jc w:val="center"/>
              <w:rPr>
                <w:rFonts w:ascii="Times New Roman" w:eastAsia="宋体" w:hAnsi="Times New Roman" w:cs="Times New Roman"/>
              </w:rPr>
            </w:pPr>
          </w:p>
        </w:tc>
      </w:tr>
      <w:tr w:rsidR="00D12939" w14:paraId="2DD68124" w14:textId="77777777" w:rsidTr="00387417">
        <w:trPr>
          <w:jc w:val="center"/>
        </w:trPr>
        <w:tc>
          <w:tcPr>
            <w:tcW w:w="384" w:type="pct"/>
            <w:vMerge/>
            <w:vAlign w:val="center"/>
          </w:tcPr>
          <w:p w14:paraId="3E89562C" w14:textId="77777777" w:rsidR="00D12939" w:rsidRDefault="00D12939">
            <w:pPr>
              <w:jc w:val="center"/>
              <w:rPr>
                <w:rFonts w:ascii="Times New Roman" w:eastAsia="宋体" w:hAnsi="Times New Roman" w:cs="Times New Roman"/>
              </w:rPr>
            </w:pPr>
          </w:p>
        </w:tc>
        <w:tc>
          <w:tcPr>
            <w:tcW w:w="1048" w:type="pct"/>
            <w:vAlign w:val="center"/>
          </w:tcPr>
          <w:p w14:paraId="35BBA569"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娘娘庙</w:t>
            </w:r>
          </w:p>
        </w:tc>
        <w:tc>
          <w:tcPr>
            <w:tcW w:w="733" w:type="pct"/>
            <w:vAlign w:val="center"/>
          </w:tcPr>
          <w:p w14:paraId="7AC5754C"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109.23785448</w:t>
            </w:r>
          </w:p>
        </w:tc>
        <w:tc>
          <w:tcPr>
            <w:tcW w:w="679" w:type="pct"/>
            <w:vAlign w:val="center"/>
          </w:tcPr>
          <w:p w14:paraId="0431E1BE"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33.64931938</w:t>
            </w:r>
          </w:p>
        </w:tc>
        <w:tc>
          <w:tcPr>
            <w:tcW w:w="396" w:type="pct"/>
            <w:vAlign w:val="center"/>
          </w:tcPr>
          <w:p w14:paraId="08ADF6B1"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SW</w:t>
            </w:r>
          </w:p>
        </w:tc>
        <w:tc>
          <w:tcPr>
            <w:tcW w:w="730" w:type="pct"/>
            <w:vAlign w:val="center"/>
          </w:tcPr>
          <w:p w14:paraId="14DD8E6A"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400</w:t>
            </w:r>
          </w:p>
        </w:tc>
        <w:tc>
          <w:tcPr>
            <w:tcW w:w="810" w:type="pct"/>
            <w:vMerge/>
            <w:vAlign w:val="center"/>
          </w:tcPr>
          <w:p w14:paraId="12AD2F22" w14:textId="77777777" w:rsidR="00D12939" w:rsidRDefault="00D12939">
            <w:pPr>
              <w:jc w:val="center"/>
              <w:rPr>
                <w:rFonts w:ascii="Times New Roman" w:eastAsia="宋体" w:hAnsi="Times New Roman" w:cs="Times New Roman"/>
              </w:rPr>
            </w:pPr>
          </w:p>
        </w:tc>
        <w:tc>
          <w:tcPr>
            <w:tcW w:w="219" w:type="pct"/>
            <w:vMerge/>
            <w:vAlign w:val="center"/>
          </w:tcPr>
          <w:p w14:paraId="18F5EECA" w14:textId="77777777" w:rsidR="00D12939" w:rsidRDefault="00D12939">
            <w:pPr>
              <w:jc w:val="center"/>
              <w:rPr>
                <w:rFonts w:ascii="Times New Roman" w:eastAsia="宋体" w:hAnsi="Times New Roman" w:cs="Times New Roman"/>
              </w:rPr>
            </w:pPr>
          </w:p>
        </w:tc>
      </w:tr>
      <w:tr w:rsidR="00D12939" w14:paraId="61DE63FD" w14:textId="77777777" w:rsidTr="00387417">
        <w:trPr>
          <w:jc w:val="center"/>
        </w:trPr>
        <w:tc>
          <w:tcPr>
            <w:tcW w:w="384" w:type="pct"/>
            <w:vMerge/>
            <w:vAlign w:val="center"/>
          </w:tcPr>
          <w:p w14:paraId="1925200A" w14:textId="77777777" w:rsidR="00D12939" w:rsidRDefault="00D12939">
            <w:pPr>
              <w:jc w:val="center"/>
              <w:rPr>
                <w:rFonts w:ascii="Times New Roman" w:eastAsia="宋体" w:hAnsi="Times New Roman" w:cs="Times New Roman"/>
              </w:rPr>
            </w:pPr>
          </w:p>
        </w:tc>
        <w:tc>
          <w:tcPr>
            <w:tcW w:w="1048" w:type="pct"/>
            <w:vAlign w:val="center"/>
          </w:tcPr>
          <w:p w14:paraId="404AF0EE"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赤脚坪</w:t>
            </w:r>
          </w:p>
        </w:tc>
        <w:tc>
          <w:tcPr>
            <w:tcW w:w="733" w:type="pct"/>
            <w:vAlign w:val="center"/>
          </w:tcPr>
          <w:p w14:paraId="1609B760"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109.23645437</w:t>
            </w:r>
          </w:p>
        </w:tc>
        <w:tc>
          <w:tcPr>
            <w:tcW w:w="679" w:type="pct"/>
            <w:vAlign w:val="center"/>
          </w:tcPr>
          <w:p w14:paraId="0DCC9A58"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33.64595673</w:t>
            </w:r>
          </w:p>
        </w:tc>
        <w:tc>
          <w:tcPr>
            <w:tcW w:w="396" w:type="pct"/>
            <w:vAlign w:val="center"/>
          </w:tcPr>
          <w:p w14:paraId="7D49EBD8"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SW</w:t>
            </w:r>
          </w:p>
        </w:tc>
        <w:tc>
          <w:tcPr>
            <w:tcW w:w="730" w:type="pct"/>
            <w:vAlign w:val="center"/>
          </w:tcPr>
          <w:p w14:paraId="17E9C16C"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883</w:t>
            </w:r>
          </w:p>
        </w:tc>
        <w:tc>
          <w:tcPr>
            <w:tcW w:w="810" w:type="pct"/>
            <w:vMerge/>
            <w:vAlign w:val="center"/>
          </w:tcPr>
          <w:p w14:paraId="7DADFAC3" w14:textId="77777777" w:rsidR="00D12939" w:rsidRDefault="00D12939">
            <w:pPr>
              <w:jc w:val="center"/>
              <w:rPr>
                <w:rFonts w:ascii="Times New Roman" w:eastAsia="宋体" w:hAnsi="Times New Roman" w:cs="Times New Roman"/>
              </w:rPr>
            </w:pPr>
          </w:p>
        </w:tc>
        <w:tc>
          <w:tcPr>
            <w:tcW w:w="219" w:type="pct"/>
            <w:vMerge/>
            <w:vAlign w:val="center"/>
          </w:tcPr>
          <w:p w14:paraId="167A0354" w14:textId="77777777" w:rsidR="00D12939" w:rsidRDefault="00D12939">
            <w:pPr>
              <w:jc w:val="center"/>
              <w:rPr>
                <w:rFonts w:ascii="Times New Roman" w:eastAsia="宋体" w:hAnsi="Times New Roman" w:cs="Times New Roman"/>
              </w:rPr>
            </w:pPr>
          </w:p>
        </w:tc>
      </w:tr>
      <w:tr w:rsidR="00D12939" w14:paraId="1D1A6C4B" w14:textId="77777777" w:rsidTr="00387417">
        <w:trPr>
          <w:jc w:val="center"/>
        </w:trPr>
        <w:tc>
          <w:tcPr>
            <w:tcW w:w="384" w:type="pct"/>
            <w:vMerge/>
            <w:vAlign w:val="center"/>
          </w:tcPr>
          <w:p w14:paraId="2BAEBCC6" w14:textId="77777777" w:rsidR="00D12939" w:rsidRDefault="00D12939">
            <w:pPr>
              <w:jc w:val="center"/>
              <w:rPr>
                <w:rFonts w:ascii="Times New Roman" w:eastAsia="宋体" w:hAnsi="Times New Roman" w:cs="Times New Roman"/>
              </w:rPr>
            </w:pPr>
          </w:p>
        </w:tc>
        <w:tc>
          <w:tcPr>
            <w:tcW w:w="1048" w:type="pct"/>
            <w:vAlign w:val="center"/>
          </w:tcPr>
          <w:p w14:paraId="698CC5EE"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大柴沟口</w:t>
            </w:r>
          </w:p>
        </w:tc>
        <w:tc>
          <w:tcPr>
            <w:tcW w:w="733" w:type="pct"/>
            <w:vAlign w:val="center"/>
          </w:tcPr>
          <w:p w14:paraId="589218AC"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109.23125625</w:t>
            </w:r>
          </w:p>
        </w:tc>
        <w:tc>
          <w:tcPr>
            <w:tcW w:w="679" w:type="pct"/>
            <w:vAlign w:val="center"/>
          </w:tcPr>
          <w:p w14:paraId="77C956D2"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33.63590373</w:t>
            </w:r>
          </w:p>
        </w:tc>
        <w:tc>
          <w:tcPr>
            <w:tcW w:w="396" w:type="pct"/>
            <w:vAlign w:val="center"/>
          </w:tcPr>
          <w:p w14:paraId="0214BC6A"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SW</w:t>
            </w:r>
          </w:p>
        </w:tc>
        <w:tc>
          <w:tcPr>
            <w:tcW w:w="730" w:type="pct"/>
            <w:vAlign w:val="center"/>
          </w:tcPr>
          <w:p w14:paraId="708CE760"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2101</w:t>
            </w:r>
          </w:p>
        </w:tc>
        <w:tc>
          <w:tcPr>
            <w:tcW w:w="810" w:type="pct"/>
            <w:vMerge/>
            <w:vAlign w:val="center"/>
          </w:tcPr>
          <w:p w14:paraId="689548E8" w14:textId="77777777" w:rsidR="00D12939" w:rsidRDefault="00D12939">
            <w:pPr>
              <w:jc w:val="center"/>
              <w:rPr>
                <w:rFonts w:ascii="Times New Roman" w:eastAsia="宋体" w:hAnsi="Times New Roman" w:cs="Times New Roman"/>
              </w:rPr>
            </w:pPr>
          </w:p>
        </w:tc>
        <w:tc>
          <w:tcPr>
            <w:tcW w:w="219" w:type="pct"/>
            <w:vMerge/>
            <w:vAlign w:val="center"/>
          </w:tcPr>
          <w:p w14:paraId="421AE6F0" w14:textId="77777777" w:rsidR="00D12939" w:rsidRDefault="00D12939">
            <w:pPr>
              <w:jc w:val="center"/>
              <w:rPr>
                <w:rFonts w:ascii="Times New Roman" w:eastAsia="宋体" w:hAnsi="Times New Roman" w:cs="Times New Roman"/>
              </w:rPr>
            </w:pPr>
          </w:p>
        </w:tc>
      </w:tr>
      <w:tr w:rsidR="00387417" w14:paraId="6F998B04" w14:textId="2B460450" w:rsidTr="00387417">
        <w:trPr>
          <w:jc w:val="center"/>
        </w:trPr>
        <w:tc>
          <w:tcPr>
            <w:tcW w:w="384" w:type="pct"/>
            <w:vMerge w:val="restart"/>
            <w:tcBorders>
              <w:right w:val="single" w:sz="4" w:space="0" w:color="auto"/>
            </w:tcBorders>
            <w:vAlign w:val="center"/>
          </w:tcPr>
          <w:p w14:paraId="19B92A54" w14:textId="7B1C87F5" w:rsidR="00387417" w:rsidRDefault="00387417" w:rsidP="003B6FD1">
            <w:pPr>
              <w:jc w:val="center"/>
              <w:rPr>
                <w:rFonts w:ascii="Times New Roman" w:eastAsia="宋体" w:hAnsi="Times New Roman" w:cs="Times New Roman"/>
              </w:rPr>
            </w:pPr>
            <w:r>
              <w:rPr>
                <w:rFonts w:ascii="Times New Roman" w:eastAsia="宋体" w:hAnsi="Times New Roman" w:cs="Times New Roman" w:hint="eastAsia"/>
              </w:rPr>
              <w:t>环境风险</w:t>
            </w:r>
          </w:p>
        </w:tc>
        <w:tc>
          <w:tcPr>
            <w:tcW w:w="4616" w:type="pct"/>
            <w:gridSpan w:val="7"/>
            <w:tcBorders>
              <w:left w:val="single" w:sz="4" w:space="0" w:color="auto"/>
            </w:tcBorders>
            <w:vAlign w:val="center"/>
          </w:tcPr>
          <w:p w14:paraId="38203F4A" w14:textId="65D20017" w:rsidR="00387417" w:rsidRDefault="00387417" w:rsidP="00387417">
            <w:pPr>
              <w:jc w:val="center"/>
              <w:rPr>
                <w:rFonts w:ascii="Times New Roman" w:eastAsia="宋体" w:hAnsi="Times New Roman" w:cs="Times New Roman"/>
              </w:rPr>
            </w:pPr>
            <w:r>
              <w:rPr>
                <w:rFonts w:ascii="Times New Roman" w:eastAsia="宋体" w:hAnsi="Times New Roman" w:cs="Times New Roman" w:hint="eastAsia"/>
              </w:rPr>
              <w:t>除包括环境空气保护目标外，还包括以下环境风险保护目标</w:t>
            </w:r>
          </w:p>
        </w:tc>
      </w:tr>
      <w:tr w:rsidR="00387417" w14:paraId="7FC1B506" w14:textId="77777777" w:rsidTr="00387417">
        <w:trPr>
          <w:jc w:val="center"/>
        </w:trPr>
        <w:tc>
          <w:tcPr>
            <w:tcW w:w="384" w:type="pct"/>
            <w:vMerge/>
            <w:tcBorders>
              <w:right w:val="single" w:sz="4" w:space="0" w:color="auto"/>
            </w:tcBorders>
            <w:vAlign w:val="center"/>
          </w:tcPr>
          <w:p w14:paraId="707702A0" w14:textId="35CC566E" w:rsidR="00387417" w:rsidRDefault="00387417">
            <w:pPr>
              <w:jc w:val="center"/>
              <w:rPr>
                <w:rFonts w:ascii="Times New Roman" w:eastAsia="宋体" w:hAnsi="Times New Roman" w:cs="Times New Roman"/>
              </w:rPr>
            </w:pPr>
          </w:p>
        </w:tc>
        <w:tc>
          <w:tcPr>
            <w:tcW w:w="1049" w:type="pct"/>
            <w:tcBorders>
              <w:left w:val="single" w:sz="4" w:space="0" w:color="auto"/>
            </w:tcBorders>
            <w:vAlign w:val="center"/>
          </w:tcPr>
          <w:p w14:paraId="190834E0" w14:textId="247C25B4" w:rsidR="00387417" w:rsidRDefault="00D86D13">
            <w:pPr>
              <w:jc w:val="center"/>
              <w:rPr>
                <w:rFonts w:ascii="Times New Roman" w:eastAsia="宋体" w:hAnsi="Times New Roman" w:cs="Times New Roman"/>
              </w:rPr>
            </w:pPr>
            <w:r>
              <w:rPr>
                <w:rFonts w:ascii="Times New Roman" w:eastAsia="宋体" w:hAnsi="Times New Roman" w:cs="Times New Roman" w:hint="eastAsia"/>
              </w:rPr>
              <w:t>四新村</w:t>
            </w:r>
          </w:p>
        </w:tc>
        <w:tc>
          <w:tcPr>
            <w:tcW w:w="733" w:type="pct"/>
            <w:vAlign w:val="center"/>
          </w:tcPr>
          <w:p w14:paraId="6AE12507" w14:textId="77777777" w:rsidR="00387417" w:rsidRDefault="00387417">
            <w:pPr>
              <w:jc w:val="center"/>
              <w:rPr>
                <w:rFonts w:ascii="Times New Roman" w:eastAsia="宋体" w:hAnsi="Times New Roman" w:cs="Times New Roman"/>
              </w:rPr>
            </w:pPr>
            <w:r>
              <w:rPr>
                <w:rFonts w:ascii="Times New Roman" w:eastAsia="宋体" w:hAnsi="Times New Roman" w:cs="Times New Roman"/>
              </w:rPr>
              <w:t>109.22978640</w:t>
            </w:r>
          </w:p>
        </w:tc>
        <w:tc>
          <w:tcPr>
            <w:tcW w:w="679" w:type="pct"/>
            <w:vAlign w:val="center"/>
          </w:tcPr>
          <w:p w14:paraId="5A566B76" w14:textId="77777777" w:rsidR="00387417" w:rsidRDefault="00387417">
            <w:pPr>
              <w:jc w:val="center"/>
              <w:rPr>
                <w:rFonts w:ascii="Times New Roman" w:eastAsia="宋体" w:hAnsi="Times New Roman" w:cs="Times New Roman"/>
              </w:rPr>
            </w:pPr>
            <w:r>
              <w:rPr>
                <w:rFonts w:ascii="Times New Roman" w:eastAsia="宋体" w:hAnsi="Times New Roman" w:cs="Times New Roman"/>
              </w:rPr>
              <w:t>33.63300507</w:t>
            </w:r>
          </w:p>
        </w:tc>
        <w:tc>
          <w:tcPr>
            <w:tcW w:w="396" w:type="pct"/>
            <w:vAlign w:val="center"/>
          </w:tcPr>
          <w:p w14:paraId="406579B0" w14:textId="77777777" w:rsidR="00387417" w:rsidRDefault="00387417">
            <w:pPr>
              <w:jc w:val="center"/>
              <w:rPr>
                <w:rFonts w:ascii="Times New Roman" w:eastAsia="宋体" w:hAnsi="Times New Roman" w:cs="Times New Roman"/>
              </w:rPr>
            </w:pPr>
            <w:r>
              <w:rPr>
                <w:rFonts w:ascii="Times New Roman" w:eastAsia="宋体" w:hAnsi="Times New Roman" w:cs="Times New Roman"/>
              </w:rPr>
              <w:t>SW</w:t>
            </w:r>
          </w:p>
        </w:tc>
        <w:tc>
          <w:tcPr>
            <w:tcW w:w="730" w:type="pct"/>
            <w:vAlign w:val="center"/>
          </w:tcPr>
          <w:p w14:paraId="0FFA3D64" w14:textId="77777777" w:rsidR="00387417" w:rsidRDefault="00387417">
            <w:pPr>
              <w:jc w:val="center"/>
              <w:rPr>
                <w:rFonts w:ascii="Times New Roman" w:eastAsia="宋体" w:hAnsi="Times New Roman" w:cs="Times New Roman"/>
              </w:rPr>
            </w:pPr>
            <w:r>
              <w:rPr>
                <w:rFonts w:ascii="Times New Roman" w:eastAsia="宋体" w:hAnsi="Times New Roman" w:cs="Times New Roman" w:hint="eastAsia"/>
              </w:rPr>
              <w:t>2</w:t>
            </w:r>
            <w:r>
              <w:rPr>
                <w:rFonts w:ascii="Times New Roman" w:eastAsia="宋体" w:hAnsi="Times New Roman" w:cs="Times New Roman"/>
              </w:rPr>
              <w:t>395</w:t>
            </w:r>
          </w:p>
        </w:tc>
        <w:tc>
          <w:tcPr>
            <w:tcW w:w="810" w:type="pct"/>
            <w:vAlign w:val="center"/>
          </w:tcPr>
          <w:p w14:paraId="0E11E0C0" w14:textId="77777777" w:rsidR="00387417" w:rsidRDefault="00387417">
            <w:pPr>
              <w:jc w:val="center"/>
              <w:rPr>
                <w:rFonts w:ascii="Times New Roman" w:eastAsia="宋体" w:hAnsi="Times New Roman" w:cs="Times New Roman"/>
              </w:rPr>
            </w:pPr>
            <w:r>
              <w:rPr>
                <w:rFonts w:ascii="Times New Roman" w:eastAsia="宋体" w:hAnsi="Times New Roman" w:cs="Times New Roman"/>
              </w:rPr>
              <w:t>人群健康</w:t>
            </w:r>
          </w:p>
        </w:tc>
        <w:tc>
          <w:tcPr>
            <w:tcW w:w="219" w:type="pct"/>
            <w:vAlign w:val="center"/>
          </w:tcPr>
          <w:p w14:paraId="5EE7DACC" w14:textId="77777777" w:rsidR="00387417" w:rsidRDefault="00387417">
            <w:pPr>
              <w:jc w:val="center"/>
              <w:rPr>
                <w:rFonts w:ascii="Times New Roman" w:eastAsia="宋体" w:hAnsi="Times New Roman" w:cs="Times New Roman"/>
              </w:rPr>
            </w:pPr>
            <w:r>
              <w:rPr>
                <w:rFonts w:ascii="Times New Roman" w:eastAsia="宋体" w:hAnsi="Times New Roman" w:cs="Times New Roman" w:hint="eastAsia"/>
              </w:rPr>
              <w:t>/</w:t>
            </w:r>
          </w:p>
        </w:tc>
      </w:tr>
      <w:tr w:rsidR="00D12939" w14:paraId="1AB3189A" w14:textId="77777777" w:rsidTr="00387417">
        <w:trPr>
          <w:jc w:val="center"/>
        </w:trPr>
        <w:tc>
          <w:tcPr>
            <w:tcW w:w="384" w:type="pct"/>
            <w:vAlign w:val="center"/>
          </w:tcPr>
          <w:p w14:paraId="454A9D1E"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地表水</w:t>
            </w:r>
          </w:p>
        </w:tc>
        <w:tc>
          <w:tcPr>
            <w:tcW w:w="1049" w:type="pct"/>
            <w:tcBorders>
              <w:right w:val="single" w:sz="4" w:space="0" w:color="auto"/>
            </w:tcBorders>
            <w:vAlign w:val="center"/>
          </w:tcPr>
          <w:p w14:paraId="5A7A5E24" w14:textId="7591DCE5" w:rsidR="00D12939" w:rsidRDefault="00387417">
            <w:pPr>
              <w:jc w:val="center"/>
              <w:rPr>
                <w:rFonts w:ascii="Times New Roman" w:eastAsia="宋体" w:hAnsi="Times New Roman" w:cs="Times New Roman"/>
              </w:rPr>
            </w:pPr>
            <w:r w:rsidRPr="00387417">
              <w:rPr>
                <w:rFonts w:ascii="Times New Roman" w:eastAsia="宋体" w:hAnsi="Times New Roman" w:cs="Times New Roman" w:hint="eastAsia"/>
              </w:rPr>
              <w:t>东坪河</w:t>
            </w:r>
          </w:p>
        </w:tc>
        <w:tc>
          <w:tcPr>
            <w:tcW w:w="733" w:type="pct"/>
            <w:tcBorders>
              <w:left w:val="single" w:sz="4" w:space="0" w:color="auto"/>
            </w:tcBorders>
            <w:vAlign w:val="center"/>
          </w:tcPr>
          <w:p w14:paraId="237A678B"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w:t>
            </w:r>
          </w:p>
        </w:tc>
        <w:tc>
          <w:tcPr>
            <w:tcW w:w="679" w:type="pct"/>
            <w:vAlign w:val="center"/>
          </w:tcPr>
          <w:p w14:paraId="29E2F885"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w:t>
            </w:r>
          </w:p>
        </w:tc>
        <w:tc>
          <w:tcPr>
            <w:tcW w:w="396" w:type="pct"/>
            <w:vAlign w:val="center"/>
          </w:tcPr>
          <w:p w14:paraId="0364C290"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E</w:t>
            </w:r>
          </w:p>
        </w:tc>
        <w:tc>
          <w:tcPr>
            <w:tcW w:w="730" w:type="pct"/>
            <w:vAlign w:val="center"/>
          </w:tcPr>
          <w:p w14:paraId="4B88C349"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5</w:t>
            </w:r>
          </w:p>
        </w:tc>
        <w:tc>
          <w:tcPr>
            <w:tcW w:w="810" w:type="pct"/>
            <w:vAlign w:val="center"/>
          </w:tcPr>
          <w:p w14:paraId="58B8B178"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水质</w:t>
            </w:r>
          </w:p>
        </w:tc>
        <w:tc>
          <w:tcPr>
            <w:tcW w:w="219" w:type="pct"/>
            <w:vAlign w:val="center"/>
          </w:tcPr>
          <w:p w14:paraId="407D1C4A"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II</w:t>
            </w:r>
            <w:r>
              <w:rPr>
                <w:rFonts w:ascii="Times New Roman" w:eastAsia="宋体" w:hAnsi="Times New Roman" w:cs="Times New Roman"/>
              </w:rPr>
              <w:t>类</w:t>
            </w:r>
          </w:p>
        </w:tc>
      </w:tr>
      <w:tr w:rsidR="00D12939" w14:paraId="354EDDD1" w14:textId="77777777" w:rsidTr="00387417">
        <w:trPr>
          <w:jc w:val="center"/>
        </w:trPr>
        <w:tc>
          <w:tcPr>
            <w:tcW w:w="1433" w:type="pct"/>
            <w:gridSpan w:val="2"/>
            <w:tcBorders>
              <w:right w:val="single" w:sz="4" w:space="0" w:color="auto"/>
            </w:tcBorders>
            <w:vAlign w:val="center"/>
          </w:tcPr>
          <w:p w14:paraId="63C39DFD"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地下水</w:t>
            </w:r>
          </w:p>
        </w:tc>
        <w:tc>
          <w:tcPr>
            <w:tcW w:w="2538" w:type="pct"/>
            <w:gridSpan w:val="4"/>
            <w:tcBorders>
              <w:left w:val="single" w:sz="4" w:space="0" w:color="auto"/>
            </w:tcBorders>
            <w:vAlign w:val="center"/>
          </w:tcPr>
          <w:p w14:paraId="6290EF24"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项目厂址所在区域潜水、承压水</w:t>
            </w:r>
          </w:p>
        </w:tc>
        <w:tc>
          <w:tcPr>
            <w:tcW w:w="810" w:type="pct"/>
            <w:vAlign w:val="center"/>
          </w:tcPr>
          <w:p w14:paraId="5C2EEB70"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水质水位</w:t>
            </w:r>
          </w:p>
        </w:tc>
        <w:tc>
          <w:tcPr>
            <w:tcW w:w="219" w:type="pct"/>
            <w:vAlign w:val="center"/>
          </w:tcPr>
          <w:p w14:paraId="0F0B086C"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Ⅲ</w:t>
            </w:r>
            <w:r>
              <w:rPr>
                <w:rFonts w:ascii="Times New Roman" w:eastAsia="宋体" w:hAnsi="Times New Roman" w:cs="Times New Roman"/>
              </w:rPr>
              <w:t>类</w:t>
            </w:r>
          </w:p>
        </w:tc>
      </w:tr>
      <w:tr w:rsidR="00D12939" w14:paraId="2FBBFB07" w14:textId="77777777" w:rsidTr="00387417">
        <w:trPr>
          <w:jc w:val="center"/>
        </w:trPr>
        <w:tc>
          <w:tcPr>
            <w:tcW w:w="1433" w:type="pct"/>
            <w:gridSpan w:val="2"/>
            <w:vMerge w:val="restart"/>
            <w:tcBorders>
              <w:right w:val="single" w:sz="4" w:space="0" w:color="auto"/>
            </w:tcBorders>
            <w:vAlign w:val="center"/>
          </w:tcPr>
          <w:p w14:paraId="2DA078D0"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土壤</w:t>
            </w:r>
          </w:p>
        </w:tc>
        <w:tc>
          <w:tcPr>
            <w:tcW w:w="2538" w:type="pct"/>
            <w:gridSpan w:val="4"/>
            <w:tcBorders>
              <w:left w:val="single" w:sz="4" w:space="0" w:color="auto"/>
            </w:tcBorders>
            <w:vAlign w:val="center"/>
          </w:tcPr>
          <w:p w14:paraId="00478DE5"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厂区周边农田及植被</w:t>
            </w:r>
          </w:p>
        </w:tc>
        <w:tc>
          <w:tcPr>
            <w:tcW w:w="810" w:type="pct"/>
            <w:vAlign w:val="center"/>
          </w:tcPr>
          <w:p w14:paraId="541B44DC"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农田</w:t>
            </w:r>
          </w:p>
        </w:tc>
        <w:tc>
          <w:tcPr>
            <w:tcW w:w="219" w:type="pct"/>
            <w:vAlign w:val="center"/>
          </w:tcPr>
          <w:p w14:paraId="352D8E61"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w:t>
            </w:r>
          </w:p>
        </w:tc>
      </w:tr>
      <w:tr w:rsidR="00D12939" w14:paraId="53470816" w14:textId="77777777" w:rsidTr="00387417">
        <w:trPr>
          <w:jc w:val="center"/>
        </w:trPr>
        <w:tc>
          <w:tcPr>
            <w:tcW w:w="1433" w:type="pct"/>
            <w:gridSpan w:val="2"/>
            <w:vMerge/>
            <w:tcBorders>
              <w:right w:val="single" w:sz="4" w:space="0" w:color="auto"/>
            </w:tcBorders>
            <w:vAlign w:val="center"/>
          </w:tcPr>
          <w:p w14:paraId="599A0293" w14:textId="77777777" w:rsidR="00D12939" w:rsidRDefault="00D12939">
            <w:pPr>
              <w:jc w:val="center"/>
              <w:rPr>
                <w:rFonts w:ascii="Times New Roman" w:eastAsia="宋体" w:hAnsi="Times New Roman" w:cs="Times New Roman"/>
              </w:rPr>
            </w:pPr>
          </w:p>
        </w:tc>
        <w:tc>
          <w:tcPr>
            <w:tcW w:w="2538" w:type="pct"/>
            <w:gridSpan w:val="4"/>
            <w:tcBorders>
              <w:left w:val="single" w:sz="4" w:space="0" w:color="auto"/>
            </w:tcBorders>
            <w:vAlign w:val="center"/>
          </w:tcPr>
          <w:p w14:paraId="0461A2BD"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项目区域建设用地</w:t>
            </w:r>
          </w:p>
        </w:tc>
        <w:tc>
          <w:tcPr>
            <w:tcW w:w="810" w:type="pct"/>
            <w:vAlign w:val="center"/>
          </w:tcPr>
          <w:p w14:paraId="30ACDE44"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建设用地</w:t>
            </w:r>
          </w:p>
        </w:tc>
        <w:tc>
          <w:tcPr>
            <w:tcW w:w="219" w:type="pct"/>
            <w:vAlign w:val="center"/>
          </w:tcPr>
          <w:p w14:paraId="72D7939E"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w:t>
            </w:r>
          </w:p>
        </w:tc>
      </w:tr>
      <w:tr w:rsidR="00D12939" w14:paraId="09417A34" w14:textId="77777777" w:rsidTr="00387417">
        <w:trPr>
          <w:jc w:val="center"/>
        </w:trPr>
        <w:tc>
          <w:tcPr>
            <w:tcW w:w="1433" w:type="pct"/>
            <w:gridSpan w:val="2"/>
            <w:tcBorders>
              <w:right w:val="single" w:sz="4" w:space="0" w:color="auto"/>
            </w:tcBorders>
            <w:vAlign w:val="center"/>
          </w:tcPr>
          <w:p w14:paraId="670E1F36"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声环境</w:t>
            </w:r>
          </w:p>
        </w:tc>
        <w:tc>
          <w:tcPr>
            <w:tcW w:w="2538" w:type="pct"/>
            <w:gridSpan w:val="4"/>
            <w:tcBorders>
              <w:left w:val="single" w:sz="4" w:space="0" w:color="auto"/>
            </w:tcBorders>
            <w:vAlign w:val="center"/>
          </w:tcPr>
          <w:p w14:paraId="23D0580D"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厂界噪声</w:t>
            </w:r>
          </w:p>
        </w:tc>
        <w:tc>
          <w:tcPr>
            <w:tcW w:w="810" w:type="pct"/>
            <w:vAlign w:val="center"/>
          </w:tcPr>
          <w:p w14:paraId="0ACEA0C0"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声环境质量</w:t>
            </w:r>
          </w:p>
        </w:tc>
        <w:tc>
          <w:tcPr>
            <w:tcW w:w="219" w:type="pct"/>
            <w:vAlign w:val="center"/>
          </w:tcPr>
          <w:p w14:paraId="33F997CE"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rPr>
              <w:t>类</w:t>
            </w:r>
          </w:p>
        </w:tc>
      </w:tr>
    </w:tbl>
    <w:p w14:paraId="644B7B79" w14:textId="77777777" w:rsidR="00497E99" w:rsidRDefault="00497E99">
      <w:pPr>
        <w:sectPr w:rsidR="00497E99">
          <w:headerReference w:type="default" r:id="rId22"/>
          <w:headerReference w:type="first" r:id="rId23"/>
          <w:pgSz w:w="11906" w:h="16838"/>
          <w:pgMar w:top="1440" w:right="1080" w:bottom="1440" w:left="1080" w:header="851" w:footer="992" w:gutter="0"/>
          <w:cols w:space="425"/>
          <w:docGrid w:type="lines" w:linePitch="312"/>
        </w:sectPr>
      </w:pPr>
    </w:p>
    <w:p w14:paraId="625C34A4" w14:textId="77777777" w:rsidR="00497E99" w:rsidRDefault="00497E99" w:rsidP="00497E99">
      <w:pPr>
        <w:jc w:val="center"/>
        <w:rPr>
          <w:rFonts w:ascii="Times New Roman" w:eastAsia="宋体" w:hAnsi="Times New Roman" w:cs="Times New Roman"/>
          <w:sz w:val="24"/>
          <w:highlight w:val="yellow"/>
        </w:rPr>
      </w:pPr>
      <w:r w:rsidRPr="002600E1">
        <w:rPr>
          <w:highlight w:val="yellow"/>
        </w:rPr>
        <w:lastRenderedPageBreak/>
        <w:drawing>
          <wp:inline distT="0" distB="0" distL="0" distR="0" wp14:anchorId="1F0283AA" wp14:editId="474F1BAC">
            <wp:extent cx="7778508" cy="537872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84718" cy="5383019"/>
                    </a:xfrm>
                    <a:prstGeom prst="rect">
                      <a:avLst/>
                    </a:prstGeom>
                    <a:noFill/>
                    <a:ln>
                      <a:noFill/>
                    </a:ln>
                  </pic:spPr>
                </pic:pic>
              </a:graphicData>
            </a:graphic>
          </wp:inline>
        </w:drawing>
      </w:r>
    </w:p>
    <w:p w14:paraId="065C53AB" w14:textId="77777777" w:rsidR="00497E99" w:rsidRDefault="00497E99" w:rsidP="00497E99">
      <w:pPr>
        <w:jc w:val="center"/>
        <w:rPr>
          <w:rFonts w:ascii="黑体" w:eastAsia="黑体" w:hAnsi="黑体" w:cs="Times New Roman"/>
          <w:sz w:val="24"/>
        </w:rPr>
      </w:pPr>
      <w:r w:rsidRPr="002B3691">
        <w:rPr>
          <w:rFonts w:ascii="黑体" w:eastAsia="黑体" w:hAnsi="黑体" w:cs="Times New Roman"/>
          <w:sz w:val="24"/>
        </w:rPr>
        <w:t xml:space="preserve">图2.4-1 </w:t>
      </w:r>
      <w:r w:rsidRPr="002B3691">
        <w:rPr>
          <w:rFonts w:ascii="黑体" w:eastAsia="黑体" w:hAnsi="黑体" w:cs="Times New Roman" w:hint="eastAsia"/>
          <w:sz w:val="24"/>
        </w:rPr>
        <w:t>环境保护目标及大气环境及风险评价范围图</w:t>
      </w:r>
    </w:p>
    <w:p w14:paraId="3C49DBFA" w14:textId="36FEB3FB" w:rsidR="00D12939" w:rsidRPr="00497E99" w:rsidRDefault="00D12939">
      <w:pPr>
        <w:sectPr w:rsidR="00D12939" w:rsidRPr="00497E99" w:rsidSect="00497E99">
          <w:pgSz w:w="16838" w:h="11906" w:orient="landscape"/>
          <w:pgMar w:top="1080" w:right="1440" w:bottom="1080" w:left="1440" w:header="851" w:footer="992" w:gutter="0"/>
          <w:cols w:space="425"/>
          <w:docGrid w:type="lines" w:linePitch="312"/>
        </w:sectPr>
      </w:pPr>
    </w:p>
    <w:p w14:paraId="7888CF9F" w14:textId="77777777" w:rsidR="00D12939" w:rsidRDefault="004F47F5">
      <w:pPr>
        <w:pStyle w:val="1"/>
        <w:jc w:val="center"/>
        <w:rPr>
          <w:sz w:val="30"/>
          <w:szCs w:val="30"/>
        </w:rPr>
      </w:pPr>
      <w:bookmarkStart w:id="283" w:name="_Toc4217"/>
      <w:bookmarkStart w:id="284" w:name="_Toc10445"/>
      <w:bookmarkStart w:id="285" w:name="_Toc6601"/>
      <w:bookmarkStart w:id="286" w:name="_Toc21225"/>
      <w:bookmarkStart w:id="287" w:name="_Toc16232"/>
      <w:bookmarkStart w:id="288" w:name="_Toc7309"/>
      <w:bookmarkStart w:id="289" w:name="_Toc6260"/>
      <w:bookmarkStart w:id="290" w:name="_Toc121411707"/>
      <w:bookmarkEnd w:id="282"/>
      <w:r>
        <w:rPr>
          <w:sz w:val="30"/>
          <w:szCs w:val="30"/>
        </w:rPr>
        <w:lastRenderedPageBreak/>
        <w:t>3</w:t>
      </w:r>
      <w:bookmarkEnd w:id="283"/>
      <w:bookmarkEnd w:id="284"/>
      <w:bookmarkEnd w:id="285"/>
      <w:bookmarkEnd w:id="286"/>
      <w:bookmarkEnd w:id="287"/>
      <w:bookmarkEnd w:id="288"/>
      <w:bookmarkEnd w:id="289"/>
      <w:r>
        <w:rPr>
          <w:rFonts w:hint="eastAsia"/>
          <w:sz w:val="30"/>
          <w:szCs w:val="30"/>
        </w:rPr>
        <w:t>工程概况</w:t>
      </w:r>
      <w:bookmarkEnd w:id="290"/>
    </w:p>
    <w:p w14:paraId="339203BE" w14:textId="77777777" w:rsidR="00D12939" w:rsidRDefault="004F47F5">
      <w:pPr>
        <w:pStyle w:val="2"/>
        <w:spacing w:line="360" w:lineRule="auto"/>
        <w:ind w:firstLineChars="165" w:firstLine="462"/>
        <w:rPr>
          <w:sz w:val="28"/>
        </w:rPr>
      </w:pPr>
      <w:bookmarkStart w:id="291" w:name="_Toc240879420"/>
      <w:bookmarkStart w:id="292" w:name="_Toc27858"/>
      <w:bookmarkStart w:id="293" w:name="_Toc17332"/>
      <w:bookmarkStart w:id="294" w:name="_Toc15638"/>
      <w:bookmarkStart w:id="295" w:name="_Toc5337"/>
      <w:bookmarkStart w:id="296" w:name="_Toc480180492"/>
      <w:bookmarkStart w:id="297" w:name="_Toc30841"/>
      <w:bookmarkStart w:id="298" w:name="_Toc476130118"/>
      <w:bookmarkStart w:id="299" w:name="_Toc22378"/>
      <w:bookmarkStart w:id="300" w:name="_Toc12908"/>
      <w:bookmarkStart w:id="301" w:name="_Toc507"/>
      <w:bookmarkStart w:id="302" w:name="_Toc16508"/>
      <w:bookmarkStart w:id="303" w:name="_Toc22744228"/>
      <w:bookmarkStart w:id="304" w:name="_Toc121411708"/>
      <w:bookmarkStart w:id="305" w:name="_Toc13293"/>
      <w:bookmarkStart w:id="306" w:name="_Toc10260"/>
      <w:bookmarkStart w:id="307" w:name="_Toc26546"/>
      <w:bookmarkStart w:id="308" w:name="_Toc21638"/>
      <w:bookmarkStart w:id="309" w:name="_Toc1681"/>
      <w:r>
        <w:rPr>
          <w:sz w:val="28"/>
        </w:rPr>
        <w:t>3.</w:t>
      </w:r>
      <w:bookmarkEnd w:id="291"/>
      <w:r>
        <w:rPr>
          <w:rFonts w:hint="eastAsia"/>
          <w:sz w:val="28"/>
        </w:rPr>
        <w:t>1</w:t>
      </w:r>
      <w:r>
        <w:rPr>
          <w:sz w:val="28"/>
        </w:rPr>
        <w:t>建设项目概况</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03A668F8"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项目名称：柞水县固体废弃物综合处置场项目</w:t>
      </w:r>
    </w:p>
    <w:p w14:paraId="2215968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项目性质：新建</w:t>
      </w:r>
    </w:p>
    <w:p w14:paraId="313BDDB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建设单位：柞水县城市管理局</w:t>
      </w:r>
    </w:p>
    <w:p w14:paraId="60B5327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占地面积：新征地</w:t>
      </w:r>
      <w:r>
        <w:rPr>
          <w:rFonts w:ascii="Times New Roman" w:eastAsia="宋体" w:hAnsi="Times New Roman" w:cs="Times New Roman"/>
          <w:sz w:val="24"/>
        </w:rPr>
        <w:t>264.43</w:t>
      </w:r>
      <w:r>
        <w:rPr>
          <w:rFonts w:ascii="Times New Roman" w:eastAsia="宋体" w:hAnsi="Times New Roman" w:cs="Times New Roman"/>
          <w:sz w:val="24"/>
        </w:rPr>
        <w:t>亩，其中一期用地约</w:t>
      </w:r>
      <w:r>
        <w:rPr>
          <w:rFonts w:ascii="Times New Roman" w:eastAsia="宋体" w:hAnsi="Times New Roman" w:cs="Times New Roman"/>
          <w:sz w:val="24"/>
        </w:rPr>
        <w:t xml:space="preserve">195.07 </w:t>
      </w:r>
      <w:r>
        <w:rPr>
          <w:rFonts w:ascii="Times New Roman" w:eastAsia="宋体" w:hAnsi="Times New Roman" w:cs="Times New Roman"/>
          <w:sz w:val="24"/>
        </w:rPr>
        <w:t>亩，二期用地约</w:t>
      </w:r>
      <w:r>
        <w:rPr>
          <w:rFonts w:ascii="Times New Roman" w:eastAsia="宋体" w:hAnsi="Times New Roman" w:cs="Times New Roman"/>
          <w:sz w:val="24"/>
        </w:rPr>
        <w:t xml:space="preserve">69.36 </w:t>
      </w:r>
      <w:r>
        <w:rPr>
          <w:rFonts w:ascii="Times New Roman" w:eastAsia="宋体" w:hAnsi="Times New Roman" w:cs="Times New Roman"/>
          <w:sz w:val="24"/>
        </w:rPr>
        <w:t>亩。</w:t>
      </w:r>
    </w:p>
    <w:p w14:paraId="225E8EB3" w14:textId="77777777" w:rsidR="00D12939" w:rsidRDefault="004F47F5">
      <w:pPr>
        <w:spacing w:line="360" w:lineRule="auto"/>
        <w:ind w:firstLineChars="200" w:firstLine="480"/>
        <w:rPr>
          <w:rFonts w:ascii="Times New Roman" w:eastAsia="宋体" w:hAnsi="Times New Roman" w:cs="Times New Roman"/>
          <w:b/>
          <w:sz w:val="24"/>
          <w:szCs w:val="24"/>
        </w:rPr>
      </w:pPr>
      <w:r>
        <w:rPr>
          <w:rFonts w:ascii="Times New Roman" w:eastAsia="宋体" w:hAnsi="Times New Roman" w:cs="Times New Roman"/>
          <w:sz w:val="24"/>
          <w:szCs w:val="24"/>
        </w:rPr>
        <w:t>建设内容：项目分两期建设，一期建设</w:t>
      </w:r>
      <w:r>
        <w:rPr>
          <w:rFonts w:ascii="Times New Roman" w:eastAsia="宋体" w:hAnsi="Times New Roman" w:cs="Times New Roman"/>
          <w:kern w:val="0"/>
          <w:sz w:val="24"/>
          <w:szCs w:val="24"/>
        </w:rPr>
        <w:t>生活垃圾填埋库区、渗沥液处理区和生活区</w:t>
      </w:r>
      <w:r>
        <w:rPr>
          <w:rFonts w:ascii="Times New Roman" w:eastAsia="宋体" w:hAnsi="Times New Roman" w:cs="Times New Roman"/>
          <w:sz w:val="24"/>
          <w:szCs w:val="24"/>
        </w:rPr>
        <w:t>，二期建设</w:t>
      </w:r>
      <w:r>
        <w:rPr>
          <w:rFonts w:ascii="Times New Roman" w:eastAsia="宋体" w:hAnsi="Times New Roman" w:cs="Times New Roman"/>
          <w:kern w:val="0"/>
          <w:sz w:val="24"/>
          <w:szCs w:val="24"/>
        </w:rPr>
        <w:t>飞灰填埋库区</w:t>
      </w:r>
      <w:r>
        <w:rPr>
          <w:rFonts w:ascii="Times New Roman" w:eastAsia="宋体" w:hAnsi="Times New Roman" w:cs="Times New Roman"/>
          <w:sz w:val="24"/>
          <w:szCs w:val="24"/>
        </w:rPr>
        <w:t>。</w:t>
      </w:r>
      <w:r>
        <w:rPr>
          <w:rFonts w:ascii="Times New Roman" w:eastAsia="宋体" w:hAnsi="Times New Roman" w:cs="Times New Roman"/>
          <w:kern w:val="0"/>
          <w:sz w:val="24"/>
          <w:szCs w:val="24"/>
        </w:rPr>
        <w:t>其中一期生活垃圾填埋总设计库容约</w:t>
      </w:r>
      <w:r>
        <w:rPr>
          <w:rFonts w:ascii="Times New Roman" w:eastAsia="宋体" w:hAnsi="Times New Roman" w:cs="Times New Roman"/>
          <w:kern w:val="0"/>
          <w:sz w:val="24"/>
          <w:szCs w:val="24"/>
        </w:rPr>
        <w:t>65.49</w:t>
      </w:r>
      <w:r>
        <w:rPr>
          <w:rFonts w:ascii="Times New Roman" w:eastAsia="宋体" w:hAnsi="Times New Roman" w:cs="Times New Roman"/>
          <w:kern w:val="0"/>
          <w:sz w:val="24"/>
          <w:szCs w:val="24"/>
        </w:rPr>
        <w:t>万</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，使用年限为</w:t>
      </w:r>
      <w:r>
        <w:rPr>
          <w:rFonts w:ascii="Times New Roman" w:eastAsia="宋体" w:hAnsi="Times New Roman" w:cs="Times New Roman"/>
          <w:kern w:val="0"/>
          <w:sz w:val="24"/>
          <w:szCs w:val="24"/>
        </w:rPr>
        <w:t>13</w:t>
      </w:r>
      <w:r>
        <w:rPr>
          <w:rFonts w:ascii="Times New Roman" w:eastAsia="宋体" w:hAnsi="Times New Roman" w:cs="Times New Roman"/>
          <w:kern w:val="0"/>
          <w:sz w:val="24"/>
          <w:szCs w:val="24"/>
        </w:rPr>
        <w:t>年；二期飞灰填埋总设计库容约</w:t>
      </w:r>
      <w:r>
        <w:rPr>
          <w:rFonts w:ascii="Times New Roman" w:eastAsia="宋体" w:hAnsi="Times New Roman" w:cs="Times New Roman"/>
          <w:kern w:val="0"/>
          <w:sz w:val="24"/>
          <w:szCs w:val="24"/>
        </w:rPr>
        <w:t xml:space="preserve">20.70 </w:t>
      </w:r>
      <w:r>
        <w:rPr>
          <w:rFonts w:ascii="Times New Roman" w:eastAsia="宋体" w:hAnsi="Times New Roman" w:cs="Times New Roman"/>
          <w:kern w:val="0"/>
          <w:sz w:val="24"/>
          <w:szCs w:val="24"/>
        </w:rPr>
        <w:t>万</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使用年限为</w:t>
      </w:r>
      <w:r>
        <w:rPr>
          <w:rFonts w:ascii="Times New Roman" w:eastAsia="宋体" w:hAnsi="Times New Roman" w:cs="Times New Roman"/>
          <w:kern w:val="0"/>
          <w:sz w:val="24"/>
          <w:szCs w:val="24"/>
        </w:rPr>
        <w:t>20</w:t>
      </w:r>
      <w:r>
        <w:rPr>
          <w:rFonts w:ascii="Times New Roman" w:eastAsia="宋体" w:hAnsi="Times New Roman" w:cs="Times New Roman"/>
          <w:kern w:val="0"/>
          <w:sz w:val="24"/>
          <w:szCs w:val="24"/>
        </w:rPr>
        <w:t>年</w:t>
      </w:r>
      <w:r>
        <w:rPr>
          <w:rFonts w:ascii="Times New Roman" w:eastAsia="宋体" w:hAnsi="Times New Roman" w:cs="Times New Roman"/>
          <w:b/>
          <w:sz w:val="24"/>
          <w:szCs w:val="24"/>
        </w:rPr>
        <w:t>。</w:t>
      </w:r>
      <w:r>
        <w:rPr>
          <w:rFonts w:ascii="Times New Roman" w:eastAsia="宋体" w:hAnsi="Times New Roman" w:cs="Times New Roman" w:hint="eastAsia"/>
          <w:b/>
          <w:sz w:val="24"/>
          <w:szCs w:val="24"/>
        </w:rPr>
        <w:t>本次评价仅涉及一期工程，后期建设二期工程前需另行办理环境影响评价等相关手续。</w:t>
      </w:r>
    </w:p>
    <w:p w14:paraId="20951FBA" w14:textId="3A208680"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填埋服务范围：</w:t>
      </w:r>
      <w:r w:rsidR="00725195">
        <w:rPr>
          <w:rFonts w:ascii="Times New Roman" w:eastAsia="宋体" w:hAnsi="Times New Roman" w:cs="Times New Roman"/>
          <w:sz w:val="24"/>
        </w:rPr>
        <w:t>本项目主要接收</w:t>
      </w:r>
      <w:bookmarkStart w:id="310" w:name="_GoBack"/>
      <w:bookmarkEnd w:id="310"/>
      <w:r>
        <w:rPr>
          <w:rFonts w:ascii="Times New Roman" w:eastAsia="宋体" w:hAnsi="Times New Roman" w:cs="Times New Roman"/>
          <w:kern w:val="0"/>
          <w:sz w:val="24"/>
          <w:szCs w:val="24"/>
        </w:rPr>
        <w:t>柞水县生活垃圾，设计日处理规模为</w:t>
      </w:r>
      <w:r>
        <w:rPr>
          <w:rFonts w:ascii="Times New Roman" w:eastAsia="宋体" w:hAnsi="Times New Roman" w:cs="Times New Roman"/>
          <w:kern w:val="0"/>
          <w:sz w:val="24"/>
          <w:szCs w:val="24"/>
        </w:rPr>
        <w:t>110t/d</w:t>
      </w:r>
      <w:r>
        <w:rPr>
          <w:rFonts w:ascii="Times New Roman" w:eastAsia="宋体" w:hAnsi="Times New Roman" w:cs="Times New Roman" w:hint="eastAsia"/>
          <w:kern w:val="0"/>
          <w:sz w:val="24"/>
          <w:szCs w:val="24"/>
        </w:rPr>
        <w:t>。</w:t>
      </w:r>
      <w:r>
        <w:rPr>
          <w:rFonts w:ascii="Times New Roman" w:eastAsia="宋体" w:hAnsi="Times New Roman" w:cs="Times New Roman"/>
          <w:sz w:val="24"/>
        </w:rPr>
        <w:t>依据《生活垃圾卫生填埋处理技术规范》（</w:t>
      </w:r>
      <w:r>
        <w:rPr>
          <w:rFonts w:ascii="Times New Roman" w:eastAsia="宋体" w:hAnsi="Times New Roman" w:cs="Times New Roman"/>
          <w:sz w:val="24"/>
        </w:rPr>
        <w:t>GB50869-2013</w:t>
      </w:r>
      <w:r>
        <w:rPr>
          <w:rFonts w:ascii="Times New Roman" w:eastAsia="宋体" w:hAnsi="Times New Roman" w:cs="Times New Roman"/>
          <w:sz w:val="24"/>
        </w:rPr>
        <w:t>），按建设规模分，该垃圾填埋场为</w:t>
      </w:r>
      <w:r>
        <w:rPr>
          <w:rFonts w:ascii="Times New Roman" w:eastAsia="宋体" w:hAnsi="Times New Roman" w:cs="Times New Roman"/>
          <w:sz w:val="24"/>
        </w:rPr>
        <w:t>Ⅳ</w:t>
      </w:r>
      <w:r>
        <w:rPr>
          <w:rFonts w:ascii="Times New Roman" w:eastAsia="宋体" w:hAnsi="Times New Roman" w:cs="Times New Roman"/>
          <w:sz w:val="24"/>
        </w:rPr>
        <w:t>类填埋场</w:t>
      </w:r>
      <w:r>
        <w:rPr>
          <w:rFonts w:ascii="Times New Roman" w:eastAsia="宋体" w:hAnsi="Times New Roman" w:cs="Times New Roman" w:hint="eastAsia"/>
          <w:sz w:val="24"/>
        </w:rPr>
        <w:t>。</w:t>
      </w:r>
    </w:p>
    <w:p w14:paraId="13EEECF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项目投资：一期工程总投资</w:t>
      </w:r>
      <w:r>
        <w:rPr>
          <w:rFonts w:ascii="Times New Roman" w:eastAsia="宋体" w:hAnsi="Times New Roman" w:cs="Times New Roman"/>
          <w:sz w:val="24"/>
        </w:rPr>
        <w:t>6990.66</w:t>
      </w:r>
      <w:r>
        <w:rPr>
          <w:rFonts w:ascii="Times New Roman" w:eastAsia="宋体" w:hAnsi="Times New Roman" w:cs="Times New Roman"/>
          <w:sz w:val="24"/>
        </w:rPr>
        <w:t>万元，其中环保投资</w:t>
      </w:r>
      <w:r>
        <w:rPr>
          <w:rFonts w:ascii="Times New Roman" w:eastAsia="宋体" w:hAnsi="Times New Roman" w:cs="Times New Roman"/>
          <w:sz w:val="24"/>
        </w:rPr>
        <w:t>227</w:t>
      </w:r>
      <w:r>
        <w:rPr>
          <w:rFonts w:ascii="Times New Roman" w:eastAsia="宋体" w:hAnsi="Times New Roman" w:cs="Times New Roman"/>
          <w:sz w:val="24"/>
        </w:rPr>
        <w:t>万元，占总投资的</w:t>
      </w:r>
      <w:r>
        <w:rPr>
          <w:rFonts w:ascii="Times New Roman" w:eastAsia="宋体" w:hAnsi="Times New Roman" w:cs="Times New Roman"/>
          <w:sz w:val="24"/>
        </w:rPr>
        <w:t>3.25%</w:t>
      </w:r>
      <w:r>
        <w:rPr>
          <w:rFonts w:ascii="Times New Roman" w:eastAsia="宋体" w:hAnsi="Times New Roman" w:cs="Times New Roman"/>
          <w:sz w:val="24"/>
        </w:rPr>
        <w:t>。</w:t>
      </w:r>
    </w:p>
    <w:p w14:paraId="5005F475" w14:textId="77777777" w:rsidR="00D12939" w:rsidRDefault="004F47F5">
      <w:pPr>
        <w:spacing w:line="360" w:lineRule="auto"/>
        <w:ind w:firstLineChars="200" w:firstLine="480"/>
        <w:rPr>
          <w:rFonts w:ascii="Times New Roman" w:eastAsia="宋体" w:hAnsi="Times New Roman" w:cs="Times New Roman"/>
        </w:rPr>
      </w:pPr>
      <w:r>
        <w:rPr>
          <w:rFonts w:ascii="Times New Roman" w:eastAsia="宋体" w:hAnsi="Times New Roman" w:cs="Times New Roman"/>
          <w:sz w:val="24"/>
        </w:rPr>
        <w:t>建设地点：位于</w:t>
      </w:r>
      <w:r>
        <w:rPr>
          <w:rFonts w:ascii="Times New Roman" w:eastAsia="宋体" w:hAnsi="Times New Roman" w:cs="Times New Roman"/>
          <w:kern w:val="0"/>
          <w:sz w:val="24"/>
          <w:szCs w:val="24"/>
        </w:rPr>
        <w:t>商洛市柞水县小六里沟</w:t>
      </w:r>
      <w:r>
        <w:rPr>
          <w:rFonts w:ascii="Times New Roman" w:eastAsia="宋体" w:hAnsi="Times New Roman" w:cs="Times New Roman"/>
          <w:sz w:val="24"/>
        </w:rPr>
        <w:t>，厂址中心坐标为东经</w:t>
      </w:r>
      <w:r>
        <w:rPr>
          <w:rFonts w:ascii="Times New Roman" w:eastAsia="宋体" w:hAnsi="Times New Roman" w:cs="Times New Roman"/>
          <w:sz w:val="24"/>
        </w:rPr>
        <w:t>109°14′11.80″</w:t>
      </w:r>
      <w:r>
        <w:rPr>
          <w:rFonts w:ascii="Times New Roman" w:eastAsia="宋体" w:hAnsi="Times New Roman" w:cs="Times New Roman"/>
          <w:sz w:val="24"/>
        </w:rPr>
        <w:t>，北纬</w:t>
      </w:r>
      <w:r>
        <w:rPr>
          <w:rFonts w:ascii="Times New Roman" w:eastAsia="宋体" w:hAnsi="Times New Roman" w:cs="Times New Roman"/>
          <w:sz w:val="24"/>
        </w:rPr>
        <w:t>33°39′24.28″</w:t>
      </w:r>
      <w:r>
        <w:rPr>
          <w:rFonts w:ascii="Times New Roman" w:eastAsia="宋体" w:hAnsi="Times New Roman" w:cs="Times New Roman"/>
          <w:sz w:val="24"/>
        </w:rPr>
        <w:t>。</w:t>
      </w:r>
      <w:r>
        <w:rPr>
          <w:rFonts w:ascii="Times New Roman" w:eastAsia="宋体" w:hAnsi="Times New Roman" w:cs="Times New Roman" w:hint="eastAsia"/>
          <w:sz w:val="24"/>
        </w:rPr>
        <w:t>项目占地西侧、南侧、北侧为山体，东侧</w:t>
      </w:r>
      <w:r>
        <w:rPr>
          <w:rFonts w:ascii="Times New Roman" w:eastAsia="宋体" w:hAnsi="Times New Roman" w:cs="Times New Roman"/>
          <w:sz w:val="24"/>
        </w:rPr>
        <w:t>80</w:t>
      </w:r>
      <w:r>
        <w:rPr>
          <w:rFonts w:ascii="Times New Roman" w:eastAsia="宋体" w:hAnsi="Times New Roman" w:cs="Times New Roman"/>
          <w:sz w:val="24"/>
        </w:rPr>
        <w:t>米处</w:t>
      </w:r>
      <w:r>
        <w:rPr>
          <w:rFonts w:ascii="Times New Roman" w:eastAsia="宋体" w:hAnsi="Times New Roman" w:cs="Times New Roman" w:hint="eastAsia"/>
          <w:sz w:val="24"/>
        </w:rPr>
        <w:t>有道路</w:t>
      </w:r>
      <w:r>
        <w:rPr>
          <w:rFonts w:ascii="Times New Roman" w:eastAsia="宋体" w:hAnsi="Times New Roman" w:cs="Times New Roman"/>
          <w:sz w:val="24"/>
        </w:rPr>
        <w:t>。项目所在位置交通运输便捷。</w:t>
      </w:r>
    </w:p>
    <w:p w14:paraId="0F800AD8"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建设项目具体地理位置见图</w:t>
      </w:r>
      <w:r>
        <w:rPr>
          <w:rFonts w:ascii="Times New Roman" w:eastAsia="宋体" w:hAnsi="Times New Roman" w:cs="Times New Roman"/>
          <w:sz w:val="24"/>
        </w:rPr>
        <w:t>3.1-1</w:t>
      </w:r>
      <w:r>
        <w:rPr>
          <w:rFonts w:ascii="Times New Roman" w:eastAsia="宋体" w:hAnsi="Times New Roman" w:cs="Times New Roman"/>
          <w:sz w:val="24"/>
        </w:rPr>
        <w:t>，厂址四邻关系见图</w:t>
      </w:r>
      <w:r>
        <w:rPr>
          <w:rFonts w:ascii="Times New Roman" w:eastAsia="宋体" w:hAnsi="Times New Roman" w:cs="Times New Roman"/>
          <w:sz w:val="24"/>
        </w:rPr>
        <w:t>3.1-2</w:t>
      </w:r>
      <w:r>
        <w:rPr>
          <w:rFonts w:ascii="Times New Roman" w:eastAsia="宋体" w:hAnsi="Times New Roman" w:cs="Times New Roman"/>
          <w:sz w:val="24"/>
        </w:rPr>
        <w:t>。</w:t>
      </w:r>
    </w:p>
    <w:p w14:paraId="45BC59A7" w14:textId="77777777" w:rsidR="00497E99" w:rsidRDefault="00497E99">
      <w:pPr>
        <w:pStyle w:val="2"/>
        <w:spacing w:line="360" w:lineRule="auto"/>
        <w:ind w:firstLineChars="165" w:firstLine="462"/>
        <w:rPr>
          <w:sz w:val="28"/>
        </w:rPr>
        <w:sectPr w:rsidR="00497E99">
          <w:pgSz w:w="11906" w:h="16838"/>
          <w:pgMar w:top="1440" w:right="1080" w:bottom="1440" w:left="1080" w:header="851" w:footer="992" w:gutter="0"/>
          <w:cols w:space="425"/>
          <w:docGrid w:type="lines" w:linePitch="312"/>
        </w:sectPr>
      </w:pPr>
      <w:bookmarkStart w:id="311" w:name="_Toc121411709"/>
    </w:p>
    <w:p w14:paraId="488FFBA2" w14:textId="77777777" w:rsidR="00497E99" w:rsidRPr="00F86587" w:rsidRDefault="00497E99" w:rsidP="00497E99">
      <w:pPr>
        <w:jc w:val="center"/>
        <w:rPr>
          <w:rFonts w:ascii="黑体" w:eastAsia="黑体" w:hAnsi="黑体"/>
          <w:sz w:val="24"/>
        </w:rPr>
      </w:pPr>
      <w:r w:rsidRPr="00F86587">
        <w:rPr>
          <w:noProof/>
        </w:rPr>
        <w:lastRenderedPageBreak/>
        <w:drawing>
          <wp:inline distT="0" distB="0" distL="0" distR="0" wp14:anchorId="0617FB75" wp14:editId="38B378F6">
            <wp:extent cx="9021580" cy="5451231"/>
            <wp:effectExtent l="0" t="0" r="8255"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22813" cy="5451976"/>
                    </a:xfrm>
                    <a:prstGeom prst="rect">
                      <a:avLst/>
                    </a:prstGeom>
                    <a:noFill/>
                    <a:ln>
                      <a:noFill/>
                    </a:ln>
                  </pic:spPr>
                </pic:pic>
              </a:graphicData>
            </a:graphic>
          </wp:inline>
        </w:drawing>
      </w:r>
    </w:p>
    <w:p w14:paraId="56B558AE" w14:textId="409D853D" w:rsidR="00497E99" w:rsidRDefault="00497E99" w:rsidP="00497E99">
      <w:pPr>
        <w:jc w:val="center"/>
        <w:rPr>
          <w:rFonts w:ascii="黑体" w:eastAsia="黑体" w:hAnsi="黑体" w:cs="Times New Roman"/>
          <w:sz w:val="24"/>
        </w:rPr>
      </w:pPr>
      <w:r w:rsidRPr="00F86587">
        <w:rPr>
          <w:rFonts w:ascii="黑体" w:eastAsia="黑体" w:hAnsi="黑体" w:cs="Times New Roman"/>
          <w:sz w:val="24"/>
        </w:rPr>
        <w:t xml:space="preserve">图3.1-1  </w:t>
      </w:r>
      <w:r w:rsidRPr="00F86587">
        <w:rPr>
          <w:rFonts w:ascii="黑体" w:eastAsia="黑体" w:hAnsi="黑体" w:cs="Times New Roman" w:hint="eastAsia"/>
          <w:sz w:val="24"/>
        </w:rPr>
        <w:t>项目地理位置图</w:t>
      </w:r>
    </w:p>
    <w:p w14:paraId="12BB63D8" w14:textId="77777777" w:rsidR="00497E99" w:rsidRPr="000839CC" w:rsidRDefault="00497E99" w:rsidP="00497E99">
      <w:pPr>
        <w:jc w:val="center"/>
        <w:rPr>
          <w:rFonts w:ascii="黑体" w:eastAsia="黑体" w:hAnsi="黑体" w:cs="Times New Roman"/>
          <w:sz w:val="24"/>
        </w:rPr>
      </w:pPr>
      <w:r w:rsidRPr="002600E1">
        <w:lastRenderedPageBreak/>
        <w:drawing>
          <wp:inline distT="0" distB="0" distL="0" distR="0" wp14:anchorId="192DB0F9" wp14:editId="534AC677">
            <wp:extent cx="8829903" cy="5416061"/>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833185" cy="5418074"/>
                    </a:xfrm>
                    <a:prstGeom prst="rect">
                      <a:avLst/>
                    </a:prstGeom>
                    <a:noFill/>
                    <a:ln>
                      <a:noFill/>
                    </a:ln>
                  </pic:spPr>
                </pic:pic>
              </a:graphicData>
            </a:graphic>
          </wp:inline>
        </w:drawing>
      </w:r>
    </w:p>
    <w:p w14:paraId="39F222CC" w14:textId="77777777" w:rsidR="00497E99" w:rsidRPr="000839CC" w:rsidRDefault="00497E99" w:rsidP="00497E99">
      <w:pPr>
        <w:jc w:val="center"/>
        <w:rPr>
          <w:rFonts w:ascii="黑体" w:eastAsia="黑体" w:hAnsi="黑体"/>
          <w:sz w:val="24"/>
        </w:rPr>
      </w:pPr>
      <w:r w:rsidRPr="000839CC">
        <w:rPr>
          <w:rFonts w:ascii="黑体" w:eastAsia="黑体" w:hAnsi="黑体" w:cs="Times New Roman"/>
          <w:sz w:val="24"/>
        </w:rPr>
        <w:t>图3.1-2  厂址四邻关系</w:t>
      </w:r>
      <w:r w:rsidRPr="000839CC">
        <w:rPr>
          <w:rFonts w:ascii="黑体" w:eastAsia="黑体" w:hAnsi="黑体" w:cs="Times New Roman" w:hint="eastAsia"/>
          <w:sz w:val="24"/>
        </w:rPr>
        <w:t>图</w:t>
      </w:r>
    </w:p>
    <w:p w14:paraId="5F61B7F8" w14:textId="77777777" w:rsidR="00497E99" w:rsidRDefault="00497E99">
      <w:pPr>
        <w:pStyle w:val="2"/>
        <w:spacing w:line="360" w:lineRule="auto"/>
        <w:ind w:firstLineChars="165" w:firstLine="462"/>
        <w:rPr>
          <w:sz w:val="28"/>
        </w:rPr>
        <w:sectPr w:rsidR="00497E99" w:rsidSect="00497E99">
          <w:pgSz w:w="16838" w:h="11906" w:orient="landscape"/>
          <w:pgMar w:top="1080" w:right="1440" w:bottom="1080" w:left="1440" w:header="851" w:footer="992" w:gutter="0"/>
          <w:cols w:space="425"/>
          <w:docGrid w:type="lines" w:linePitch="312"/>
        </w:sectPr>
      </w:pPr>
    </w:p>
    <w:p w14:paraId="3E2CA7E2" w14:textId="54731E64" w:rsidR="00D12939" w:rsidRDefault="004F47F5">
      <w:pPr>
        <w:pStyle w:val="2"/>
        <w:spacing w:line="360" w:lineRule="auto"/>
        <w:ind w:firstLineChars="165" w:firstLine="462"/>
        <w:rPr>
          <w:sz w:val="28"/>
        </w:rPr>
      </w:pPr>
      <w:r>
        <w:rPr>
          <w:sz w:val="28"/>
        </w:rPr>
        <w:lastRenderedPageBreak/>
        <w:t>3.2</w:t>
      </w:r>
      <w:r>
        <w:rPr>
          <w:sz w:val="28"/>
        </w:rPr>
        <w:t>项目组成</w:t>
      </w:r>
      <w:bookmarkEnd w:id="311"/>
    </w:p>
    <w:p w14:paraId="52315168"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柞水县固体废弃物综合处置场项目分两期建设，一期建设生活垃圾填埋库区、渗沥液处理区和生活区，</w:t>
      </w:r>
      <w:r>
        <w:rPr>
          <w:rFonts w:ascii="Times New Roman" w:eastAsia="宋体" w:hAnsi="Times New Roman" w:cs="Times New Roman"/>
          <w:sz w:val="24"/>
          <w:szCs w:val="24"/>
        </w:rPr>
        <w:t>二期建设</w:t>
      </w:r>
      <w:r>
        <w:rPr>
          <w:rFonts w:ascii="Times New Roman" w:eastAsia="宋体" w:hAnsi="Times New Roman" w:cs="Times New Roman"/>
          <w:kern w:val="0"/>
          <w:sz w:val="24"/>
          <w:szCs w:val="24"/>
        </w:rPr>
        <w:t>飞灰填埋库区</w:t>
      </w:r>
      <w:r>
        <w:rPr>
          <w:rFonts w:ascii="Times New Roman" w:eastAsia="宋体" w:hAnsi="Times New Roman" w:cs="Times New Roman"/>
          <w:sz w:val="24"/>
          <w:szCs w:val="24"/>
        </w:rPr>
        <w:t>。</w:t>
      </w:r>
      <w:r>
        <w:rPr>
          <w:rFonts w:ascii="Times New Roman" w:eastAsia="宋体" w:hAnsi="Times New Roman" w:cs="Times New Roman"/>
          <w:kern w:val="0"/>
          <w:sz w:val="24"/>
          <w:szCs w:val="24"/>
        </w:rPr>
        <w:t>其中一期</w:t>
      </w:r>
      <w:r>
        <w:rPr>
          <w:rFonts w:ascii="Times New Roman" w:eastAsia="宋体" w:hAnsi="Times New Roman" w:cs="Times New Roman" w:hint="eastAsia"/>
          <w:kern w:val="0"/>
          <w:sz w:val="24"/>
          <w:szCs w:val="24"/>
        </w:rPr>
        <w:t>工程</w:t>
      </w:r>
      <w:r>
        <w:rPr>
          <w:rFonts w:ascii="Times New Roman" w:eastAsia="宋体" w:hAnsi="Times New Roman" w:cs="Times New Roman" w:hint="eastAsia"/>
          <w:sz w:val="24"/>
        </w:rPr>
        <w:t>具体建设内容如下：</w:t>
      </w:r>
    </w:p>
    <w:p w14:paraId="490CE77C"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生活垃圾填埋库区：主要包括防渗工程、坝体工程、地下水收集导排系统、地表水收集导排</w:t>
      </w:r>
      <w:r>
        <w:rPr>
          <w:rFonts w:ascii="Times New Roman" w:eastAsia="宋体" w:hAnsi="Times New Roman" w:cs="Times New Roman"/>
          <w:sz w:val="24"/>
        </w:rPr>
        <w:t>系统、渗沥液收集导排系统、填埋气体导排系统、道路工程及绿化等；</w:t>
      </w:r>
    </w:p>
    <w:p w14:paraId="5B5222DC"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渗沥液处理区：主要包括渗沥液调节池及渗沥液处理站等设施；</w:t>
      </w:r>
    </w:p>
    <w:p w14:paraId="7910301B"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管理区：主要包括综合楼、机修车间及门房等设施。</w:t>
      </w:r>
    </w:p>
    <w:p w14:paraId="7D126202"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项目组成见表</w:t>
      </w:r>
      <w:r>
        <w:rPr>
          <w:rFonts w:ascii="Times New Roman" w:eastAsia="宋体" w:hAnsi="Times New Roman" w:cs="Times New Roman"/>
          <w:sz w:val="24"/>
        </w:rPr>
        <w:t>3.2-1</w:t>
      </w:r>
      <w:r>
        <w:rPr>
          <w:rFonts w:ascii="Times New Roman" w:eastAsia="宋体" w:hAnsi="Times New Roman" w:cs="Times New Roman"/>
          <w:sz w:val="24"/>
        </w:rPr>
        <w:t>。</w:t>
      </w:r>
    </w:p>
    <w:p w14:paraId="4546DDA3" w14:textId="77777777" w:rsidR="00D12939" w:rsidRDefault="004F47F5">
      <w:pPr>
        <w:pStyle w:val="a5"/>
        <w:ind w:firstLine="480"/>
        <w:rPr>
          <w:rFonts w:ascii="黑体" w:eastAsia="黑体" w:hAnsi="黑体"/>
          <w:sz w:val="24"/>
          <w:szCs w:val="21"/>
        </w:rPr>
      </w:pPr>
      <w:r>
        <w:rPr>
          <w:rFonts w:ascii="黑体" w:eastAsia="黑体" w:hAnsi="黑体" w:hint="eastAsia"/>
          <w:sz w:val="24"/>
          <w:szCs w:val="21"/>
        </w:rPr>
        <w:t>表</w:t>
      </w:r>
      <w:r>
        <w:rPr>
          <w:rFonts w:ascii="黑体" w:eastAsia="黑体" w:hAnsi="黑体"/>
          <w:sz w:val="24"/>
          <w:szCs w:val="21"/>
        </w:rPr>
        <w:t xml:space="preserve">3.2-1  </w:t>
      </w:r>
      <w:r>
        <w:rPr>
          <w:rFonts w:ascii="黑体" w:eastAsia="黑体" w:hAnsi="黑体" w:hint="eastAsia"/>
          <w:sz w:val="24"/>
          <w:szCs w:val="21"/>
        </w:rPr>
        <w:t>项目组成一览表</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566"/>
        <w:gridCol w:w="1134"/>
        <w:gridCol w:w="7371"/>
      </w:tblGrid>
      <w:tr w:rsidR="00D12939" w14:paraId="68733EFE" w14:textId="77777777">
        <w:trPr>
          <w:trHeight w:val="224"/>
          <w:jc w:val="center"/>
        </w:trPr>
        <w:tc>
          <w:tcPr>
            <w:tcW w:w="2547" w:type="dxa"/>
            <w:gridSpan w:val="3"/>
          </w:tcPr>
          <w:p w14:paraId="4AB19A3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项目类别</w:t>
            </w:r>
          </w:p>
        </w:tc>
        <w:tc>
          <w:tcPr>
            <w:tcW w:w="7371" w:type="dxa"/>
          </w:tcPr>
          <w:p w14:paraId="1A77292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建设内容</w:t>
            </w:r>
          </w:p>
        </w:tc>
      </w:tr>
      <w:tr w:rsidR="00D12939" w14:paraId="1E818E9F" w14:textId="77777777">
        <w:trPr>
          <w:trHeight w:val="224"/>
          <w:jc w:val="center"/>
        </w:trPr>
        <w:tc>
          <w:tcPr>
            <w:tcW w:w="847" w:type="dxa"/>
            <w:vMerge w:val="restart"/>
            <w:vAlign w:val="center"/>
          </w:tcPr>
          <w:p w14:paraId="2844977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主体工程</w:t>
            </w:r>
          </w:p>
        </w:tc>
        <w:tc>
          <w:tcPr>
            <w:tcW w:w="1700" w:type="dxa"/>
            <w:gridSpan w:val="2"/>
            <w:vAlign w:val="center"/>
          </w:tcPr>
          <w:p w14:paraId="6A72F64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生活垃圾填埋库</w:t>
            </w:r>
          </w:p>
        </w:tc>
        <w:tc>
          <w:tcPr>
            <w:tcW w:w="7371" w:type="dxa"/>
            <w:vAlign w:val="center"/>
          </w:tcPr>
          <w:p w14:paraId="5760253E"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生活垃圾填埋库总库容为</w:t>
            </w:r>
            <w:r>
              <w:rPr>
                <w:rFonts w:ascii="Times New Roman" w:eastAsia="宋体" w:hAnsi="Times New Roman" w:cs="Times New Roman"/>
              </w:rPr>
              <w:t>65.49</w:t>
            </w:r>
            <w:r>
              <w:rPr>
                <w:rFonts w:ascii="Times New Roman" w:eastAsia="宋体" w:hAnsi="Times New Roman" w:cs="Times New Roman"/>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，库区占地面积</w:t>
            </w:r>
            <w:r>
              <w:rPr>
                <w:rFonts w:ascii="Times New Roman" w:eastAsia="宋体" w:hAnsi="Times New Roman" w:cs="Times New Roman"/>
              </w:rPr>
              <w:t>74.63</w:t>
            </w:r>
            <w:r>
              <w:rPr>
                <w:rFonts w:ascii="Times New Roman" w:eastAsia="宋体" w:hAnsi="Times New Roman" w:cs="Times New Roman"/>
              </w:rPr>
              <w:t>亩，使用年限为</w:t>
            </w:r>
            <w:r>
              <w:rPr>
                <w:rFonts w:ascii="Times New Roman" w:eastAsia="宋体" w:hAnsi="Times New Roman" w:cs="Times New Roman"/>
              </w:rPr>
              <w:t>13</w:t>
            </w:r>
            <w:r>
              <w:rPr>
                <w:rFonts w:ascii="Times New Roman" w:eastAsia="宋体" w:hAnsi="Times New Roman" w:cs="Times New Roman"/>
              </w:rPr>
              <w:t>年。</w:t>
            </w:r>
          </w:p>
        </w:tc>
      </w:tr>
      <w:tr w:rsidR="00D12939" w14:paraId="68CED35C" w14:textId="77777777">
        <w:trPr>
          <w:trHeight w:val="88"/>
          <w:jc w:val="center"/>
        </w:trPr>
        <w:tc>
          <w:tcPr>
            <w:tcW w:w="847" w:type="dxa"/>
            <w:vMerge/>
            <w:vAlign w:val="center"/>
          </w:tcPr>
          <w:p w14:paraId="6B492E18" w14:textId="77777777" w:rsidR="00D12939" w:rsidRDefault="00D12939">
            <w:pPr>
              <w:pStyle w:val="affffd"/>
              <w:rPr>
                <w:rFonts w:ascii="Times New Roman" w:eastAsia="宋体" w:hAnsi="Times New Roman" w:cs="Times New Roman"/>
              </w:rPr>
            </w:pPr>
          </w:p>
        </w:tc>
        <w:tc>
          <w:tcPr>
            <w:tcW w:w="1700" w:type="dxa"/>
            <w:gridSpan w:val="2"/>
            <w:vAlign w:val="center"/>
          </w:tcPr>
          <w:p w14:paraId="717A41B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垃圾坝</w:t>
            </w:r>
          </w:p>
        </w:tc>
        <w:tc>
          <w:tcPr>
            <w:tcW w:w="7371" w:type="dxa"/>
            <w:vAlign w:val="center"/>
          </w:tcPr>
          <w:p w14:paraId="7A389C3D"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在垃圾填埋库区东南侧设置垃圾坝，垃圾坝采用土石混合料坝，坝顶宽度为</w:t>
            </w:r>
            <w:r>
              <w:rPr>
                <w:rFonts w:ascii="Times New Roman" w:eastAsia="宋体" w:hAnsi="Times New Roman" w:cs="Times New Roman"/>
              </w:rPr>
              <w:t>5m</w:t>
            </w:r>
            <w:r>
              <w:rPr>
                <w:rFonts w:ascii="Times New Roman" w:eastAsia="宋体" w:hAnsi="Times New Roman" w:cs="Times New Roman"/>
              </w:rPr>
              <w:t>，最大坝高</w:t>
            </w:r>
            <w:r>
              <w:rPr>
                <w:rFonts w:ascii="Times New Roman" w:eastAsia="宋体" w:hAnsi="Times New Roman" w:cs="Times New Roman"/>
              </w:rPr>
              <w:t>13m</w:t>
            </w:r>
            <w:r>
              <w:rPr>
                <w:rFonts w:ascii="Times New Roman" w:eastAsia="宋体" w:hAnsi="Times New Roman" w:cs="Times New Roman"/>
              </w:rPr>
              <w:t>，坝内外放坡均为</w:t>
            </w:r>
            <w:r>
              <w:rPr>
                <w:rFonts w:ascii="Times New Roman" w:eastAsia="宋体" w:hAnsi="Times New Roman" w:cs="Times New Roman"/>
              </w:rPr>
              <w:t>1</w:t>
            </w: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，坝体主要由开挖的土方填筑碾压而成，压实度要求</w:t>
            </w:r>
            <w:r>
              <w:rPr>
                <w:rFonts w:ascii="Times New Roman" w:eastAsia="宋体" w:hAnsi="Times New Roman" w:cs="Times New Roman"/>
              </w:rPr>
              <w:t>≥96%</w:t>
            </w:r>
            <w:r>
              <w:rPr>
                <w:rFonts w:ascii="Times New Roman" w:eastAsia="宋体" w:hAnsi="Times New Roman" w:cs="Times New Roman"/>
              </w:rPr>
              <w:t>，垃圾坝内侧铺设防渗材料，外侧浆砌石护坡。</w:t>
            </w:r>
          </w:p>
        </w:tc>
      </w:tr>
      <w:tr w:rsidR="00D12939" w14:paraId="51463A69" w14:textId="77777777">
        <w:trPr>
          <w:trHeight w:val="1720"/>
          <w:jc w:val="center"/>
        </w:trPr>
        <w:tc>
          <w:tcPr>
            <w:tcW w:w="847" w:type="dxa"/>
            <w:vMerge/>
            <w:vAlign w:val="center"/>
          </w:tcPr>
          <w:p w14:paraId="618F4C5B" w14:textId="77777777" w:rsidR="00D12939" w:rsidRDefault="00D12939">
            <w:pPr>
              <w:pStyle w:val="affffd"/>
              <w:rPr>
                <w:rFonts w:ascii="Times New Roman" w:eastAsia="宋体" w:hAnsi="Times New Roman" w:cs="Times New Roman"/>
              </w:rPr>
            </w:pPr>
          </w:p>
        </w:tc>
        <w:tc>
          <w:tcPr>
            <w:tcW w:w="1700" w:type="dxa"/>
            <w:gridSpan w:val="2"/>
            <w:vAlign w:val="center"/>
          </w:tcPr>
          <w:p w14:paraId="51713A6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防渗系统</w:t>
            </w:r>
          </w:p>
        </w:tc>
        <w:tc>
          <w:tcPr>
            <w:tcW w:w="7371" w:type="dxa"/>
            <w:vAlign w:val="center"/>
          </w:tcPr>
          <w:p w14:paraId="7FD9E76A"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填埋库区库底和边坡做防渗处理，均采用单层复合防渗结构层，库区场底从上而下包括</w:t>
            </w:r>
            <w:r>
              <w:rPr>
                <w:rFonts w:ascii="Times New Roman" w:eastAsia="宋体" w:hAnsi="Times New Roman" w:cs="Times New Roman"/>
              </w:rPr>
              <w:t>200g/m</w:t>
            </w:r>
            <w:r>
              <w:rPr>
                <w:rFonts w:ascii="Times New Roman" w:eastAsia="宋体" w:hAnsi="Times New Roman" w:cs="Times New Roman"/>
                <w:vertAlign w:val="superscript"/>
              </w:rPr>
              <w:t>2</w:t>
            </w:r>
            <w:r>
              <w:rPr>
                <w:rFonts w:ascii="Times New Roman" w:eastAsia="宋体" w:hAnsi="Times New Roman" w:cs="Times New Roman"/>
              </w:rPr>
              <w:t xml:space="preserve"> </w:t>
            </w:r>
            <w:r>
              <w:rPr>
                <w:rFonts w:ascii="Times New Roman" w:eastAsia="宋体" w:hAnsi="Times New Roman" w:cs="Times New Roman"/>
              </w:rPr>
              <w:t>土工滤网层、</w:t>
            </w:r>
            <w:r>
              <w:rPr>
                <w:rFonts w:ascii="Times New Roman" w:eastAsia="宋体" w:hAnsi="Times New Roman" w:cs="Times New Roman"/>
              </w:rPr>
              <w:t>30cm</w:t>
            </w:r>
            <w:r>
              <w:rPr>
                <w:rFonts w:ascii="Times New Roman" w:eastAsia="宋体" w:hAnsi="Times New Roman" w:cs="Times New Roman"/>
              </w:rPr>
              <w:t>粒径为</w:t>
            </w:r>
            <w:r>
              <w:rPr>
                <w:rFonts w:ascii="Times New Roman" w:eastAsia="宋体" w:hAnsi="Times New Roman" w:cs="Times New Roman"/>
              </w:rPr>
              <w:t>20~40mm</w:t>
            </w:r>
            <w:r>
              <w:rPr>
                <w:rFonts w:ascii="Times New Roman" w:eastAsia="宋体" w:hAnsi="Times New Roman" w:cs="Times New Roman"/>
              </w:rPr>
              <w:t>厚卵石层、</w:t>
            </w:r>
            <w:r>
              <w:rPr>
                <w:rFonts w:ascii="Times New Roman" w:eastAsia="宋体" w:hAnsi="Times New Roman" w:cs="Times New Roman"/>
              </w:rPr>
              <w:t xml:space="preserve"> 600g/m2 </w:t>
            </w:r>
            <w:r>
              <w:rPr>
                <w:rFonts w:ascii="Times New Roman" w:eastAsia="宋体" w:hAnsi="Times New Roman" w:cs="Times New Roman"/>
              </w:rPr>
              <w:t>的无纺土工布层、</w:t>
            </w:r>
            <w:r>
              <w:rPr>
                <w:rFonts w:ascii="Times New Roman" w:eastAsia="宋体" w:hAnsi="Times New Roman" w:cs="Times New Roman"/>
              </w:rPr>
              <w:t>2.0mm</w:t>
            </w:r>
            <w:r>
              <w:rPr>
                <w:rFonts w:ascii="Times New Roman" w:eastAsia="宋体" w:hAnsi="Times New Roman" w:cs="Times New Roman"/>
              </w:rPr>
              <w:t>厚</w:t>
            </w:r>
            <w:r>
              <w:rPr>
                <w:rFonts w:ascii="Times New Roman" w:eastAsia="宋体" w:hAnsi="Times New Roman" w:cs="Times New Roman"/>
              </w:rPr>
              <w:t xml:space="preserve">HDPE </w:t>
            </w:r>
            <w:r>
              <w:rPr>
                <w:rFonts w:ascii="Times New Roman" w:eastAsia="宋体" w:hAnsi="Times New Roman" w:cs="Times New Roman"/>
              </w:rPr>
              <w:t>土工膜层、</w:t>
            </w:r>
            <w:r>
              <w:rPr>
                <w:rFonts w:ascii="Times New Roman" w:eastAsia="宋体" w:hAnsi="Times New Roman" w:cs="Times New Roman"/>
              </w:rPr>
              <w:t>5000g/m</w:t>
            </w:r>
            <w:r>
              <w:rPr>
                <w:rFonts w:ascii="Times New Roman" w:eastAsia="宋体" w:hAnsi="Times New Roman" w:cs="Times New Roman"/>
                <w:vertAlign w:val="superscript"/>
              </w:rPr>
              <w:t>2</w:t>
            </w:r>
            <w:r>
              <w:rPr>
                <w:rFonts w:ascii="Times New Roman" w:eastAsia="宋体" w:hAnsi="Times New Roman" w:cs="Times New Roman"/>
              </w:rPr>
              <w:t xml:space="preserve"> </w:t>
            </w:r>
            <w:r>
              <w:rPr>
                <w:rFonts w:ascii="Times New Roman" w:eastAsia="宋体" w:hAnsi="Times New Roman" w:cs="Times New Roman"/>
              </w:rPr>
              <w:t>膨润土垫（</w:t>
            </w:r>
            <w:r>
              <w:rPr>
                <w:rFonts w:ascii="Times New Roman" w:eastAsia="宋体" w:hAnsi="Times New Roman" w:cs="Times New Roman"/>
              </w:rPr>
              <w:t>GCL</w:t>
            </w:r>
            <w:r>
              <w:rPr>
                <w:rFonts w:ascii="Times New Roman" w:eastAsia="宋体" w:hAnsi="Times New Roman" w:cs="Times New Roman"/>
              </w:rPr>
              <w:t>）、</w:t>
            </w:r>
            <w:r>
              <w:rPr>
                <w:rFonts w:ascii="Times New Roman" w:eastAsia="宋体" w:hAnsi="Times New Roman" w:cs="Times New Roman"/>
              </w:rPr>
              <w:t xml:space="preserve"> </w:t>
            </w:r>
            <w:r>
              <w:rPr>
                <w:rFonts w:ascii="Times New Roman" w:eastAsia="宋体" w:hAnsi="Times New Roman" w:cs="Times New Roman"/>
              </w:rPr>
              <w:t>压实基础层（压实度</w:t>
            </w:r>
            <w:r>
              <w:rPr>
                <w:rFonts w:ascii="Times New Roman" w:eastAsia="宋体" w:hAnsi="Times New Roman" w:cs="Times New Roman"/>
              </w:rPr>
              <w:t>≥93%</w:t>
            </w:r>
            <w:r>
              <w:rPr>
                <w:rFonts w:ascii="Times New Roman" w:eastAsia="宋体" w:hAnsi="Times New Roman" w:cs="Times New Roman"/>
              </w:rPr>
              <w:t>）</w:t>
            </w:r>
            <w:r>
              <w:rPr>
                <w:rFonts w:ascii="Times New Roman" w:eastAsia="宋体" w:hAnsi="Times New Roman" w:cs="Times New Roman" w:hint="eastAsia"/>
              </w:rPr>
              <w:t>。</w:t>
            </w:r>
          </w:p>
          <w:p w14:paraId="658FCC96"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边坡防渗层从上而下依次包括</w:t>
            </w:r>
            <w:r>
              <w:rPr>
                <w:rFonts w:ascii="Times New Roman" w:eastAsia="宋体" w:hAnsi="Times New Roman" w:cs="Times New Roman"/>
              </w:rPr>
              <w:t xml:space="preserve">300mm </w:t>
            </w:r>
            <w:r>
              <w:rPr>
                <w:rFonts w:ascii="Times New Roman" w:eastAsia="宋体" w:hAnsi="Times New Roman" w:cs="Times New Roman"/>
              </w:rPr>
              <w:t>厚袋装砂石的边坡保护层、</w:t>
            </w:r>
            <w:r>
              <w:rPr>
                <w:rFonts w:ascii="Times New Roman" w:eastAsia="宋体" w:hAnsi="Times New Roman" w:cs="Times New Roman"/>
              </w:rPr>
              <w:t>600g/ m</w:t>
            </w:r>
            <w:r>
              <w:rPr>
                <w:rFonts w:ascii="Times New Roman" w:eastAsia="宋体" w:hAnsi="Times New Roman" w:cs="Times New Roman"/>
                <w:vertAlign w:val="superscript"/>
              </w:rPr>
              <w:t>2</w:t>
            </w:r>
            <w:r>
              <w:rPr>
                <w:rFonts w:ascii="Times New Roman" w:eastAsia="宋体" w:hAnsi="Times New Roman" w:cs="Times New Roman"/>
              </w:rPr>
              <w:t>的无纺土工布层、</w:t>
            </w:r>
            <w:r>
              <w:rPr>
                <w:rFonts w:ascii="Times New Roman" w:eastAsia="宋体" w:hAnsi="Times New Roman" w:cs="Times New Roman"/>
              </w:rPr>
              <w:t xml:space="preserve">2.0mm </w:t>
            </w:r>
            <w:r>
              <w:rPr>
                <w:rFonts w:ascii="Times New Roman" w:eastAsia="宋体" w:hAnsi="Times New Roman" w:cs="Times New Roman"/>
              </w:rPr>
              <w:t>厚</w:t>
            </w:r>
            <w:r>
              <w:rPr>
                <w:rFonts w:ascii="Times New Roman" w:eastAsia="宋体" w:hAnsi="Times New Roman" w:cs="Times New Roman"/>
              </w:rPr>
              <w:t xml:space="preserve">HDPE </w:t>
            </w:r>
            <w:r>
              <w:rPr>
                <w:rFonts w:ascii="Times New Roman" w:eastAsia="宋体" w:hAnsi="Times New Roman" w:cs="Times New Roman"/>
              </w:rPr>
              <w:t>土工膜层、</w:t>
            </w:r>
            <w:r>
              <w:rPr>
                <w:rFonts w:ascii="Times New Roman" w:eastAsia="宋体" w:hAnsi="Times New Roman" w:cs="Times New Roman"/>
              </w:rPr>
              <w:t>5000g/ m</w:t>
            </w:r>
            <w:r>
              <w:rPr>
                <w:rFonts w:ascii="Times New Roman" w:eastAsia="宋体" w:hAnsi="Times New Roman" w:cs="Times New Roman"/>
                <w:vertAlign w:val="superscript"/>
              </w:rPr>
              <w:t>2</w:t>
            </w:r>
            <w:r>
              <w:rPr>
                <w:rFonts w:ascii="Times New Roman" w:eastAsia="宋体" w:hAnsi="Times New Roman" w:cs="Times New Roman"/>
              </w:rPr>
              <w:t>膨润土垫（</w:t>
            </w:r>
            <w:r>
              <w:rPr>
                <w:rFonts w:ascii="Times New Roman" w:eastAsia="宋体" w:hAnsi="Times New Roman" w:cs="Times New Roman"/>
              </w:rPr>
              <w:t>GCL</w:t>
            </w:r>
            <w:r>
              <w:rPr>
                <w:rFonts w:ascii="Times New Roman" w:eastAsia="宋体" w:hAnsi="Times New Roman" w:cs="Times New Roman"/>
              </w:rPr>
              <w:t>）、压实基础层（压实度</w:t>
            </w:r>
            <w:r>
              <w:rPr>
                <w:rFonts w:ascii="Times New Roman" w:eastAsia="宋体" w:hAnsi="Times New Roman" w:cs="Times New Roman"/>
              </w:rPr>
              <w:t>≥90%</w:t>
            </w:r>
            <w:r>
              <w:rPr>
                <w:rFonts w:ascii="Times New Roman" w:eastAsia="宋体" w:hAnsi="Times New Roman" w:cs="Times New Roman"/>
              </w:rPr>
              <w:t>）。</w:t>
            </w:r>
          </w:p>
          <w:p w14:paraId="58A872BA"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环场锚固沟设计尺寸采用</w:t>
            </w:r>
            <w:r>
              <w:rPr>
                <w:rFonts w:ascii="Times New Roman" w:eastAsia="宋体" w:hAnsi="Times New Roman" w:cs="Times New Roman"/>
              </w:rPr>
              <w:t>1.0m×1.0m</w:t>
            </w:r>
            <w:r>
              <w:rPr>
                <w:rFonts w:ascii="Times New Roman" w:eastAsia="宋体" w:hAnsi="Times New Roman" w:cs="Times New Roman"/>
              </w:rPr>
              <w:t>，回填粘土，压实度</w:t>
            </w:r>
            <w:r>
              <w:rPr>
                <w:rFonts w:ascii="Times New Roman" w:eastAsia="宋体" w:hAnsi="Times New Roman" w:cs="Times New Roman"/>
              </w:rPr>
              <w:t>≥93%</w:t>
            </w:r>
            <w:r>
              <w:rPr>
                <w:rFonts w:ascii="Times New Roman" w:eastAsia="宋体" w:hAnsi="Times New Roman" w:cs="Times New Roman"/>
              </w:rPr>
              <w:t>。</w:t>
            </w:r>
          </w:p>
        </w:tc>
      </w:tr>
      <w:tr w:rsidR="00D12939" w14:paraId="2A4C157E" w14:textId="77777777">
        <w:trPr>
          <w:trHeight w:val="969"/>
          <w:jc w:val="center"/>
        </w:trPr>
        <w:tc>
          <w:tcPr>
            <w:tcW w:w="847" w:type="dxa"/>
            <w:vMerge/>
            <w:vAlign w:val="center"/>
          </w:tcPr>
          <w:p w14:paraId="0E3BBD1E" w14:textId="77777777" w:rsidR="00D12939" w:rsidRDefault="00D12939">
            <w:pPr>
              <w:pStyle w:val="affffd"/>
              <w:rPr>
                <w:rFonts w:ascii="Times New Roman" w:eastAsia="宋体" w:hAnsi="Times New Roman" w:cs="Times New Roman"/>
              </w:rPr>
            </w:pPr>
          </w:p>
        </w:tc>
        <w:tc>
          <w:tcPr>
            <w:tcW w:w="1700" w:type="dxa"/>
            <w:gridSpan w:val="2"/>
            <w:vAlign w:val="center"/>
          </w:tcPr>
          <w:p w14:paraId="24D2DBC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地表水收集导排系统</w:t>
            </w:r>
          </w:p>
        </w:tc>
        <w:tc>
          <w:tcPr>
            <w:tcW w:w="7371" w:type="dxa"/>
            <w:vAlign w:val="center"/>
          </w:tcPr>
          <w:p w14:paraId="1F58BCB4"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生活垃圾填埋库区上游设置雨水收集池，雨水收集后溢流至截洪沟，终场锚固平台外修建环场截洪沟。截洪沟上部采用</w:t>
            </w:r>
            <w:r>
              <w:rPr>
                <w:rFonts w:ascii="Times New Roman" w:eastAsia="宋体" w:hAnsi="Times New Roman" w:cs="Times New Roman"/>
              </w:rPr>
              <w:t xml:space="preserve">M7.5 </w:t>
            </w:r>
            <w:r>
              <w:rPr>
                <w:rFonts w:ascii="Times New Roman" w:eastAsia="宋体" w:hAnsi="Times New Roman" w:cs="Times New Roman"/>
              </w:rPr>
              <w:t>水泥砂浆砌</w:t>
            </w:r>
            <w:r>
              <w:rPr>
                <w:rFonts w:ascii="Times New Roman" w:eastAsia="宋体" w:hAnsi="Times New Roman" w:cs="Times New Roman"/>
              </w:rPr>
              <w:t xml:space="preserve">MU30 </w:t>
            </w:r>
            <w:r>
              <w:rPr>
                <w:rFonts w:ascii="Times New Roman" w:eastAsia="宋体" w:hAnsi="Times New Roman" w:cs="Times New Roman"/>
              </w:rPr>
              <w:t>块石，底部采用</w:t>
            </w:r>
            <w:r>
              <w:rPr>
                <w:rFonts w:ascii="Times New Roman" w:eastAsia="宋体" w:hAnsi="Times New Roman" w:cs="Times New Roman"/>
              </w:rPr>
              <w:t xml:space="preserve">C15 </w:t>
            </w:r>
            <w:r>
              <w:rPr>
                <w:rFonts w:ascii="Times New Roman" w:eastAsia="宋体" w:hAnsi="Times New Roman" w:cs="Times New Roman"/>
              </w:rPr>
              <w:t>混凝土垫层，并用水泥砂浆抹面和勾缝。库区北面截洪沟断面尺寸为</w:t>
            </w:r>
            <w:r>
              <w:rPr>
                <w:rFonts w:ascii="Times New Roman" w:eastAsia="宋体" w:hAnsi="Times New Roman" w:cs="Times New Roman"/>
              </w:rPr>
              <w:t>B×H=0.7×0.7m</w:t>
            </w:r>
            <w:r>
              <w:rPr>
                <w:rFonts w:ascii="Times New Roman" w:eastAsia="宋体" w:hAnsi="Times New Roman" w:cs="Times New Roman"/>
              </w:rPr>
              <w:t>，长度</w:t>
            </w:r>
            <w:r>
              <w:rPr>
                <w:rFonts w:ascii="Times New Roman" w:eastAsia="宋体" w:hAnsi="Times New Roman" w:cs="Times New Roman"/>
              </w:rPr>
              <w:t>L=575.13m</w:t>
            </w:r>
            <w:r>
              <w:rPr>
                <w:rFonts w:ascii="Times New Roman" w:eastAsia="宋体" w:hAnsi="Times New Roman" w:cs="Times New Roman"/>
              </w:rPr>
              <w:t>。库区南面截洪沟断面尺寸为</w:t>
            </w:r>
            <w:r>
              <w:rPr>
                <w:rFonts w:ascii="Times New Roman" w:eastAsia="宋体" w:hAnsi="Times New Roman" w:cs="Times New Roman"/>
              </w:rPr>
              <w:t>B×H=0.7×0.7m</w:t>
            </w:r>
            <w:r>
              <w:rPr>
                <w:rFonts w:ascii="Times New Roman" w:eastAsia="宋体" w:hAnsi="Times New Roman" w:cs="Times New Roman"/>
              </w:rPr>
              <w:t>，长度</w:t>
            </w:r>
            <w:r>
              <w:rPr>
                <w:rFonts w:ascii="Times New Roman" w:eastAsia="宋体" w:hAnsi="Times New Roman" w:cs="Times New Roman"/>
              </w:rPr>
              <w:t>L=1094.8m</w:t>
            </w:r>
            <w:r>
              <w:rPr>
                <w:rFonts w:ascii="Times New Roman" w:eastAsia="宋体" w:hAnsi="Times New Roman" w:cs="Times New Roman"/>
              </w:rPr>
              <w:t>。库区东南面截洪沟断面尺寸为</w:t>
            </w:r>
            <w:r>
              <w:rPr>
                <w:rFonts w:ascii="Times New Roman" w:eastAsia="宋体" w:hAnsi="Times New Roman" w:cs="Times New Roman"/>
              </w:rPr>
              <w:t>B×H=1.0×1.0m</w:t>
            </w:r>
            <w:r>
              <w:rPr>
                <w:rFonts w:ascii="Times New Roman" w:eastAsia="宋体" w:hAnsi="Times New Roman" w:cs="Times New Roman"/>
              </w:rPr>
              <w:t>，长度</w:t>
            </w:r>
            <w:r>
              <w:rPr>
                <w:rFonts w:ascii="Times New Roman" w:eastAsia="宋体" w:hAnsi="Times New Roman" w:cs="Times New Roman"/>
              </w:rPr>
              <w:t>L=492.66m</w:t>
            </w:r>
            <w:r>
              <w:rPr>
                <w:rFonts w:ascii="Times New Roman" w:eastAsia="宋体" w:hAnsi="Times New Roman" w:cs="Times New Roman"/>
              </w:rPr>
              <w:t>。在截洪沟的出口断面处，设置消力池。</w:t>
            </w:r>
          </w:p>
        </w:tc>
      </w:tr>
      <w:tr w:rsidR="00D12939" w14:paraId="783D2CE5" w14:textId="77777777">
        <w:trPr>
          <w:trHeight w:val="969"/>
          <w:jc w:val="center"/>
        </w:trPr>
        <w:tc>
          <w:tcPr>
            <w:tcW w:w="847" w:type="dxa"/>
            <w:vMerge/>
            <w:vAlign w:val="center"/>
          </w:tcPr>
          <w:p w14:paraId="43E13CEB" w14:textId="77777777" w:rsidR="00D12939" w:rsidRDefault="00D12939">
            <w:pPr>
              <w:pStyle w:val="affffd"/>
              <w:rPr>
                <w:rFonts w:ascii="Times New Roman" w:eastAsia="宋体" w:hAnsi="Times New Roman" w:cs="Times New Roman"/>
              </w:rPr>
            </w:pPr>
          </w:p>
        </w:tc>
        <w:tc>
          <w:tcPr>
            <w:tcW w:w="1700" w:type="dxa"/>
            <w:gridSpan w:val="2"/>
            <w:vAlign w:val="center"/>
          </w:tcPr>
          <w:p w14:paraId="32EADB6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地下水收集导排系统</w:t>
            </w:r>
          </w:p>
        </w:tc>
        <w:tc>
          <w:tcPr>
            <w:tcW w:w="7371" w:type="dxa"/>
            <w:vAlign w:val="center"/>
          </w:tcPr>
          <w:p w14:paraId="76F03564"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库底设置一条地下水导排主盲沟对场地地下水进行收集，地下水盲沟位于防渗系统以下，为梯型断面，底宽</w:t>
            </w:r>
            <w:r>
              <w:rPr>
                <w:rFonts w:ascii="Times New Roman" w:eastAsia="宋体" w:hAnsi="Times New Roman" w:cs="Times New Roman"/>
              </w:rPr>
              <w:t>1.0m</w:t>
            </w:r>
            <w:r>
              <w:rPr>
                <w:rFonts w:ascii="Times New Roman" w:eastAsia="宋体" w:hAnsi="Times New Roman" w:cs="Times New Roman"/>
              </w:rPr>
              <w:t>，沟深</w:t>
            </w:r>
            <w:r>
              <w:rPr>
                <w:rFonts w:ascii="Times New Roman" w:eastAsia="宋体" w:hAnsi="Times New Roman" w:cs="Times New Roman"/>
              </w:rPr>
              <w:t>1.0m</w:t>
            </w:r>
            <w:r>
              <w:rPr>
                <w:rFonts w:ascii="Times New Roman" w:eastAsia="宋体" w:hAnsi="Times New Roman" w:cs="Times New Roman"/>
              </w:rPr>
              <w:t>，盲沟内埋设一根</w:t>
            </w:r>
            <w:r>
              <w:rPr>
                <w:rFonts w:ascii="Times New Roman" w:eastAsia="宋体" w:hAnsi="Times New Roman" w:cs="Times New Roman"/>
              </w:rPr>
              <w:t xml:space="preserve">dn250HDPE </w:t>
            </w:r>
            <w:r>
              <w:rPr>
                <w:rFonts w:ascii="Times New Roman" w:eastAsia="宋体" w:hAnsi="Times New Roman" w:cs="Times New Roman"/>
              </w:rPr>
              <w:t>穿孔花管，花管周围用卵石填充，盲沟用</w:t>
            </w:r>
            <w:r>
              <w:rPr>
                <w:rFonts w:ascii="Times New Roman" w:eastAsia="宋体" w:hAnsi="Times New Roman" w:cs="Times New Roman"/>
              </w:rPr>
              <w:t>200g/m²</w:t>
            </w:r>
            <w:r>
              <w:rPr>
                <w:rFonts w:ascii="Times New Roman" w:eastAsia="宋体" w:hAnsi="Times New Roman" w:cs="Times New Roman"/>
              </w:rPr>
              <w:t>土工滤网包裹。</w:t>
            </w:r>
          </w:p>
        </w:tc>
      </w:tr>
      <w:tr w:rsidR="00D12939" w14:paraId="552D38E8" w14:textId="77777777">
        <w:trPr>
          <w:trHeight w:val="1425"/>
          <w:jc w:val="center"/>
        </w:trPr>
        <w:tc>
          <w:tcPr>
            <w:tcW w:w="847" w:type="dxa"/>
            <w:vMerge/>
            <w:vAlign w:val="center"/>
          </w:tcPr>
          <w:p w14:paraId="5DF038DD" w14:textId="77777777" w:rsidR="00D12939" w:rsidRDefault="00D12939">
            <w:pPr>
              <w:pStyle w:val="affffd"/>
              <w:rPr>
                <w:rFonts w:ascii="Times New Roman" w:eastAsia="宋体" w:hAnsi="Times New Roman" w:cs="Times New Roman"/>
              </w:rPr>
            </w:pPr>
          </w:p>
        </w:tc>
        <w:tc>
          <w:tcPr>
            <w:tcW w:w="1700" w:type="dxa"/>
            <w:gridSpan w:val="2"/>
            <w:vAlign w:val="center"/>
          </w:tcPr>
          <w:p w14:paraId="63C250D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渗滤液收集导排系统</w:t>
            </w:r>
          </w:p>
        </w:tc>
        <w:tc>
          <w:tcPr>
            <w:tcW w:w="7371" w:type="dxa"/>
            <w:vAlign w:val="center"/>
          </w:tcPr>
          <w:p w14:paraId="30A56C01"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渗沥液导排系统是由渗沥液导流层和各种导渗盲沟等共同组成，渗沥液导流层在防渗保护层上铺设</w:t>
            </w:r>
            <w:r>
              <w:rPr>
                <w:rFonts w:ascii="Times New Roman" w:eastAsia="宋体" w:hAnsi="Times New Roman" w:cs="Times New Roman"/>
              </w:rPr>
              <w:t xml:space="preserve">300mm </w:t>
            </w:r>
            <w:r>
              <w:rPr>
                <w:rFonts w:ascii="Times New Roman" w:eastAsia="宋体" w:hAnsi="Times New Roman" w:cs="Times New Roman"/>
              </w:rPr>
              <w:t>厚的卵石层，粒径</w:t>
            </w:r>
            <w:r>
              <w:rPr>
                <w:rFonts w:ascii="Times New Roman" w:eastAsia="宋体" w:hAnsi="Times New Roman" w:cs="Times New Roman"/>
              </w:rPr>
              <w:t>20~60mm</w:t>
            </w:r>
            <w:r>
              <w:rPr>
                <w:rFonts w:ascii="Times New Roman" w:eastAsia="宋体" w:hAnsi="Times New Roman" w:cs="Times New Roman"/>
              </w:rPr>
              <w:t>，按上细下粗进行铺设，并在导流层上铺设一层</w:t>
            </w:r>
            <w:r>
              <w:rPr>
                <w:rFonts w:ascii="Times New Roman" w:eastAsia="宋体" w:hAnsi="Times New Roman" w:cs="Times New Roman"/>
              </w:rPr>
              <w:t>200g/m</w:t>
            </w:r>
            <w:r>
              <w:rPr>
                <w:rFonts w:ascii="Times New Roman" w:eastAsia="宋体" w:hAnsi="Times New Roman" w:cs="Times New Roman"/>
                <w:vertAlign w:val="superscript"/>
              </w:rPr>
              <w:t>2</w:t>
            </w:r>
            <w:r>
              <w:rPr>
                <w:rFonts w:ascii="Times New Roman" w:eastAsia="宋体" w:hAnsi="Times New Roman" w:cs="Times New Roman"/>
              </w:rPr>
              <w:t xml:space="preserve"> </w:t>
            </w:r>
            <w:r>
              <w:rPr>
                <w:rFonts w:ascii="Times New Roman" w:eastAsia="宋体" w:hAnsi="Times New Roman" w:cs="Times New Roman"/>
              </w:rPr>
              <w:t>土工滤网。在场底中心设置渗沥液导排主盲沟，内设直径为</w:t>
            </w:r>
            <w:r>
              <w:rPr>
                <w:rFonts w:ascii="Times New Roman" w:eastAsia="宋体" w:hAnsi="Times New Roman" w:cs="Times New Roman"/>
              </w:rPr>
              <w:t xml:space="preserve">dn355mm </w:t>
            </w:r>
            <w:r>
              <w:rPr>
                <w:rFonts w:ascii="Times New Roman" w:eastAsia="宋体" w:hAnsi="Times New Roman" w:cs="Times New Roman"/>
              </w:rPr>
              <w:t>的</w:t>
            </w:r>
            <w:r>
              <w:rPr>
                <w:rFonts w:ascii="Times New Roman" w:eastAsia="宋体" w:hAnsi="Times New Roman" w:cs="Times New Roman"/>
              </w:rPr>
              <w:t xml:space="preserve">HDPE </w:t>
            </w:r>
            <w:r>
              <w:rPr>
                <w:rFonts w:ascii="Times New Roman" w:eastAsia="宋体" w:hAnsi="Times New Roman" w:cs="Times New Roman"/>
              </w:rPr>
              <w:t>穿孔花管，盲沟由导流层形成盲沟断面，并用</w:t>
            </w:r>
            <w:r>
              <w:rPr>
                <w:rFonts w:ascii="Times New Roman" w:eastAsia="宋体" w:hAnsi="Times New Roman" w:cs="Times New Roman"/>
              </w:rPr>
              <w:t>200g/m</w:t>
            </w:r>
            <w:r>
              <w:rPr>
                <w:rFonts w:ascii="Times New Roman" w:eastAsia="宋体" w:hAnsi="Times New Roman" w:cs="Times New Roman"/>
                <w:vertAlign w:val="superscript"/>
              </w:rPr>
              <w:t>2</w:t>
            </w:r>
            <w:r>
              <w:rPr>
                <w:rFonts w:ascii="Times New Roman" w:eastAsia="宋体" w:hAnsi="Times New Roman" w:cs="Times New Roman"/>
              </w:rPr>
              <w:t xml:space="preserve"> </w:t>
            </w:r>
            <w:r>
              <w:rPr>
                <w:rFonts w:ascii="Times New Roman" w:eastAsia="宋体" w:hAnsi="Times New Roman" w:cs="Times New Roman"/>
              </w:rPr>
              <w:t>土工滤网包裹。主盲沟将收集的渗沥液最终排入渗沥液调节池。调节池的有效容积为</w:t>
            </w:r>
            <w:r>
              <w:rPr>
                <w:rFonts w:ascii="Times New Roman" w:eastAsia="宋体" w:hAnsi="Times New Roman" w:cs="Times New Roman"/>
              </w:rPr>
              <w:t>1800m</w:t>
            </w:r>
            <w:r>
              <w:rPr>
                <w:rFonts w:ascii="Times New Roman" w:eastAsia="宋体" w:hAnsi="Times New Roman" w:cs="Times New Roman"/>
                <w:vertAlign w:val="superscript"/>
              </w:rPr>
              <w:t>3</w:t>
            </w:r>
            <w:r>
              <w:rPr>
                <w:rFonts w:ascii="Times New Roman" w:eastAsia="宋体" w:hAnsi="Times New Roman" w:cs="Times New Roman"/>
              </w:rPr>
              <w:t>。</w:t>
            </w:r>
          </w:p>
        </w:tc>
      </w:tr>
      <w:tr w:rsidR="00D12939" w14:paraId="1E376144" w14:textId="77777777">
        <w:trPr>
          <w:trHeight w:val="88"/>
          <w:jc w:val="center"/>
        </w:trPr>
        <w:tc>
          <w:tcPr>
            <w:tcW w:w="847" w:type="dxa"/>
            <w:vMerge/>
            <w:vAlign w:val="center"/>
          </w:tcPr>
          <w:p w14:paraId="42ECEE41" w14:textId="77777777" w:rsidR="00D12939" w:rsidRDefault="00D12939">
            <w:pPr>
              <w:pStyle w:val="affffd"/>
              <w:rPr>
                <w:rFonts w:ascii="Times New Roman" w:eastAsia="宋体" w:hAnsi="Times New Roman" w:cs="Times New Roman"/>
              </w:rPr>
            </w:pPr>
          </w:p>
        </w:tc>
        <w:tc>
          <w:tcPr>
            <w:tcW w:w="1700" w:type="dxa"/>
            <w:gridSpan w:val="2"/>
            <w:vAlign w:val="center"/>
          </w:tcPr>
          <w:p w14:paraId="167D028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填埋气导排系统</w:t>
            </w:r>
          </w:p>
        </w:tc>
        <w:tc>
          <w:tcPr>
            <w:tcW w:w="7371" w:type="dxa"/>
            <w:vAlign w:val="center"/>
          </w:tcPr>
          <w:p w14:paraId="54D63FB1" w14:textId="2AFAFD01" w:rsidR="00D12939" w:rsidRDefault="004F47F5" w:rsidP="00B82E3E">
            <w:pPr>
              <w:pStyle w:val="affffd"/>
              <w:jc w:val="both"/>
              <w:rPr>
                <w:rFonts w:ascii="Times New Roman" w:eastAsia="宋体" w:hAnsi="Times New Roman" w:cs="Times New Roman"/>
              </w:rPr>
            </w:pPr>
            <w:r>
              <w:rPr>
                <w:rFonts w:ascii="Times New Roman" w:eastAsia="宋体" w:hAnsi="Times New Roman" w:cs="Times New Roman"/>
              </w:rPr>
              <w:t>生活垃圾填埋库区内设导气石笼，垃圾堆体中部的导气石笼间距不大于</w:t>
            </w:r>
            <w:r>
              <w:rPr>
                <w:rFonts w:ascii="Times New Roman" w:eastAsia="宋体" w:hAnsi="Times New Roman" w:cs="Times New Roman"/>
              </w:rPr>
              <w:t>50m</w:t>
            </w:r>
            <w:r>
              <w:rPr>
                <w:rFonts w:ascii="Times New Roman" w:eastAsia="宋体" w:hAnsi="Times New Roman" w:cs="Times New Roman"/>
              </w:rPr>
              <w:t>，沿堆体边缘布置的导气井间距不大于</w:t>
            </w:r>
            <w:r>
              <w:rPr>
                <w:rFonts w:ascii="Times New Roman" w:eastAsia="宋体" w:hAnsi="Times New Roman" w:cs="Times New Roman"/>
              </w:rPr>
              <w:t>25 m</w:t>
            </w:r>
            <w:r>
              <w:rPr>
                <w:rFonts w:ascii="Times New Roman" w:eastAsia="宋体" w:hAnsi="Times New Roman" w:cs="Times New Roman"/>
              </w:rPr>
              <w:t>。导气石笼直径</w:t>
            </w:r>
            <w:r>
              <w:rPr>
                <w:rFonts w:ascii="Times New Roman" w:eastAsia="宋体" w:hAnsi="Times New Roman" w:cs="Times New Roman"/>
              </w:rPr>
              <w:t>1.2</w:t>
            </w:r>
            <w:r>
              <w:rPr>
                <w:rFonts w:ascii="Times New Roman" w:eastAsia="宋体" w:hAnsi="Times New Roman" w:cs="Times New Roman"/>
              </w:rPr>
              <w:t>米，由土工网围成，内装粒径</w:t>
            </w:r>
            <w:r>
              <w:rPr>
                <w:rFonts w:ascii="Times New Roman" w:eastAsia="宋体" w:hAnsi="Times New Roman" w:cs="Times New Roman"/>
              </w:rPr>
              <w:t xml:space="preserve">40~100 </w:t>
            </w:r>
            <w:r>
              <w:rPr>
                <w:rFonts w:ascii="Times New Roman" w:eastAsia="宋体" w:hAnsi="Times New Roman" w:cs="Times New Roman"/>
              </w:rPr>
              <w:t>毫米的卵石，中心设置</w:t>
            </w:r>
            <w:r>
              <w:rPr>
                <w:rFonts w:ascii="Times New Roman" w:eastAsia="宋体" w:hAnsi="Times New Roman" w:cs="Times New Roman"/>
              </w:rPr>
              <w:t xml:space="preserve">dn160 </w:t>
            </w:r>
            <w:r>
              <w:rPr>
                <w:rFonts w:ascii="Times New Roman" w:eastAsia="宋体" w:hAnsi="Times New Roman" w:cs="Times New Roman"/>
              </w:rPr>
              <w:t>内支撑型排水管材管，待垃圾堆体厚度大于</w:t>
            </w:r>
            <w:r>
              <w:rPr>
                <w:rFonts w:ascii="Times New Roman" w:eastAsia="宋体" w:hAnsi="Times New Roman" w:cs="Times New Roman"/>
              </w:rPr>
              <w:t xml:space="preserve">5m </w:t>
            </w:r>
            <w:r>
              <w:rPr>
                <w:rFonts w:ascii="Times New Roman" w:eastAsia="宋体" w:hAnsi="Times New Roman" w:cs="Times New Roman"/>
              </w:rPr>
              <w:t>时，垃圾表面即作为导气石笼的建设基础面，初期建设高度为</w:t>
            </w:r>
            <w:r>
              <w:rPr>
                <w:rFonts w:ascii="Times New Roman" w:eastAsia="宋体" w:hAnsi="Times New Roman" w:cs="Times New Roman"/>
              </w:rPr>
              <w:t xml:space="preserve">1.5 </w:t>
            </w:r>
            <w:r>
              <w:rPr>
                <w:rFonts w:ascii="Times New Roman" w:eastAsia="宋体" w:hAnsi="Times New Roman" w:cs="Times New Roman"/>
              </w:rPr>
              <w:t>米，随垃圾堆层的升高逐渐加高，直至终场高度，中心导气管顶端</w:t>
            </w:r>
            <w:r>
              <w:rPr>
                <w:rFonts w:ascii="Times New Roman" w:eastAsia="宋体" w:hAnsi="Times New Roman" w:cs="Times New Roman"/>
              </w:rPr>
              <w:lastRenderedPageBreak/>
              <w:t>设置三通导气，防止杂物落入。填埋气通过导气井直接排放，填埋区定时喷洒除臭剂，采用便捷式甲烷测定仪定期对填埋区和填埋区气体进行监测。若发现导气管排放口甲烷体积分数大于</w:t>
            </w:r>
            <w:r>
              <w:rPr>
                <w:rFonts w:ascii="Times New Roman" w:eastAsia="宋体" w:hAnsi="Times New Roman" w:cs="Times New Roman"/>
              </w:rPr>
              <w:t>5%</w:t>
            </w:r>
            <w:r>
              <w:rPr>
                <w:rFonts w:ascii="Times New Roman" w:eastAsia="宋体" w:hAnsi="Times New Roman" w:cs="Times New Roman"/>
              </w:rPr>
              <w:t>时，采用火炬燃烧方式进行处理。</w:t>
            </w:r>
          </w:p>
        </w:tc>
      </w:tr>
      <w:tr w:rsidR="00D12939" w14:paraId="48687526" w14:textId="77777777">
        <w:trPr>
          <w:trHeight w:val="224"/>
          <w:jc w:val="center"/>
        </w:trPr>
        <w:tc>
          <w:tcPr>
            <w:tcW w:w="847" w:type="dxa"/>
            <w:vMerge/>
            <w:vAlign w:val="center"/>
          </w:tcPr>
          <w:p w14:paraId="4D9B2287" w14:textId="77777777" w:rsidR="00D12939" w:rsidRDefault="00D12939">
            <w:pPr>
              <w:pStyle w:val="affffd"/>
              <w:rPr>
                <w:rFonts w:ascii="Times New Roman" w:eastAsia="宋体" w:hAnsi="Times New Roman" w:cs="Times New Roman"/>
              </w:rPr>
            </w:pPr>
          </w:p>
        </w:tc>
        <w:tc>
          <w:tcPr>
            <w:tcW w:w="1700" w:type="dxa"/>
            <w:gridSpan w:val="2"/>
            <w:vAlign w:val="center"/>
          </w:tcPr>
          <w:p w14:paraId="5388710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封场覆盖系统</w:t>
            </w:r>
          </w:p>
        </w:tc>
        <w:tc>
          <w:tcPr>
            <w:tcW w:w="7371" w:type="dxa"/>
            <w:vAlign w:val="center"/>
          </w:tcPr>
          <w:p w14:paraId="34660206"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生活垃圾填埋场顶部封场覆盖系统由上至下分别为</w:t>
            </w:r>
            <w:r>
              <w:rPr>
                <w:rFonts w:ascii="Times New Roman" w:eastAsia="宋体" w:hAnsi="Times New Roman" w:cs="Times New Roman"/>
              </w:rPr>
              <w:t xml:space="preserve">500mm </w:t>
            </w:r>
            <w:r>
              <w:rPr>
                <w:rFonts w:ascii="Times New Roman" w:eastAsia="宋体" w:hAnsi="Times New Roman" w:cs="Times New Roman"/>
              </w:rPr>
              <w:t>厚营养土、</w:t>
            </w:r>
            <w:r>
              <w:rPr>
                <w:rFonts w:ascii="Times New Roman" w:eastAsia="宋体" w:hAnsi="Times New Roman" w:cs="Times New Roman"/>
              </w:rPr>
              <w:t xml:space="preserve">500mm </w:t>
            </w:r>
            <w:r>
              <w:rPr>
                <w:rFonts w:ascii="Times New Roman" w:eastAsia="宋体" w:hAnsi="Times New Roman" w:cs="Times New Roman"/>
              </w:rPr>
              <w:t>厚覆盖支持土、</w:t>
            </w:r>
            <w:r>
              <w:rPr>
                <w:rFonts w:ascii="Times New Roman" w:eastAsia="宋体" w:hAnsi="Times New Roman" w:cs="Times New Roman"/>
              </w:rPr>
              <w:t xml:space="preserve">6.0mm </w:t>
            </w:r>
            <w:r>
              <w:rPr>
                <w:rFonts w:ascii="Times New Roman" w:eastAsia="宋体" w:hAnsi="Times New Roman" w:cs="Times New Roman"/>
              </w:rPr>
              <w:t>土工复合排水网、</w:t>
            </w:r>
            <w:r>
              <w:rPr>
                <w:rFonts w:ascii="Times New Roman" w:eastAsia="宋体" w:hAnsi="Times New Roman" w:cs="Times New Roman"/>
              </w:rPr>
              <w:t xml:space="preserve">1.0mm </w:t>
            </w:r>
            <w:r>
              <w:rPr>
                <w:rFonts w:ascii="Times New Roman" w:eastAsia="宋体" w:hAnsi="Times New Roman" w:cs="Times New Roman"/>
              </w:rPr>
              <w:t>光面</w:t>
            </w:r>
            <w:r>
              <w:rPr>
                <w:rFonts w:ascii="Times New Roman" w:eastAsia="宋体" w:hAnsi="Times New Roman" w:cs="Times New Roman"/>
              </w:rPr>
              <w:t xml:space="preserve">HDPE </w:t>
            </w:r>
            <w:r>
              <w:rPr>
                <w:rFonts w:ascii="Times New Roman" w:eastAsia="宋体" w:hAnsi="Times New Roman" w:cs="Times New Roman"/>
              </w:rPr>
              <w:t>土工膜、</w:t>
            </w:r>
            <w:r>
              <w:rPr>
                <w:rFonts w:ascii="Times New Roman" w:eastAsia="宋体" w:hAnsi="Times New Roman" w:cs="Times New Roman"/>
              </w:rPr>
              <w:t>4800g/m</w:t>
            </w:r>
            <w:r>
              <w:rPr>
                <w:rFonts w:ascii="Times New Roman" w:eastAsia="宋体" w:hAnsi="Times New Roman" w:cs="Times New Roman"/>
                <w:vertAlign w:val="superscript"/>
              </w:rPr>
              <w:t>2</w:t>
            </w:r>
            <w:r>
              <w:rPr>
                <w:rFonts w:ascii="Times New Roman" w:eastAsia="宋体" w:hAnsi="Times New Roman" w:cs="Times New Roman"/>
              </w:rPr>
              <w:t xml:space="preserve">GCL </w:t>
            </w:r>
            <w:r>
              <w:rPr>
                <w:rFonts w:ascii="Times New Roman" w:eastAsia="宋体" w:hAnsi="Times New Roman" w:cs="Times New Roman"/>
              </w:rPr>
              <w:t>钠基膨润土垫、</w:t>
            </w:r>
            <w:r>
              <w:rPr>
                <w:rFonts w:ascii="Times New Roman" w:eastAsia="宋体" w:hAnsi="Times New Roman" w:cs="Times New Roman"/>
              </w:rPr>
              <w:t xml:space="preserve">30cm </w:t>
            </w:r>
            <w:r>
              <w:rPr>
                <w:rFonts w:ascii="Times New Roman" w:eastAsia="宋体" w:hAnsi="Times New Roman" w:cs="Times New Roman"/>
              </w:rPr>
              <w:t>厚砾石（或碎石）。边坡封场覆盖系统由上至下分别为</w:t>
            </w:r>
            <w:r>
              <w:rPr>
                <w:rFonts w:ascii="Times New Roman" w:eastAsia="宋体" w:hAnsi="Times New Roman" w:cs="Times New Roman"/>
              </w:rPr>
              <w:t xml:space="preserve">500mm </w:t>
            </w:r>
            <w:r>
              <w:rPr>
                <w:rFonts w:ascii="Times New Roman" w:eastAsia="宋体" w:hAnsi="Times New Roman" w:cs="Times New Roman"/>
              </w:rPr>
              <w:t>厚营养土、</w:t>
            </w:r>
            <w:r>
              <w:rPr>
                <w:rFonts w:ascii="Times New Roman" w:eastAsia="宋体" w:hAnsi="Times New Roman" w:cs="Times New Roman"/>
              </w:rPr>
              <w:t xml:space="preserve">500mm </w:t>
            </w:r>
            <w:r>
              <w:rPr>
                <w:rFonts w:ascii="Times New Roman" w:eastAsia="宋体" w:hAnsi="Times New Roman" w:cs="Times New Roman"/>
              </w:rPr>
              <w:t>厚覆盖支持土、</w:t>
            </w:r>
            <w:r>
              <w:rPr>
                <w:rFonts w:ascii="Times New Roman" w:eastAsia="宋体" w:hAnsi="Times New Roman" w:cs="Times New Roman"/>
              </w:rPr>
              <w:t xml:space="preserve">6.0mm </w:t>
            </w:r>
            <w:r>
              <w:rPr>
                <w:rFonts w:ascii="Times New Roman" w:eastAsia="宋体" w:hAnsi="Times New Roman" w:cs="Times New Roman"/>
              </w:rPr>
              <w:t>土工复合排水网、</w:t>
            </w:r>
            <w:r>
              <w:rPr>
                <w:rFonts w:ascii="Times New Roman" w:eastAsia="宋体" w:hAnsi="Times New Roman" w:cs="Times New Roman"/>
              </w:rPr>
              <w:t xml:space="preserve">1.0mm </w:t>
            </w:r>
            <w:r>
              <w:rPr>
                <w:rFonts w:ascii="Times New Roman" w:eastAsia="宋体" w:hAnsi="Times New Roman" w:cs="Times New Roman"/>
              </w:rPr>
              <w:t>双糙面</w:t>
            </w:r>
            <w:r>
              <w:rPr>
                <w:rFonts w:ascii="Times New Roman" w:eastAsia="宋体" w:hAnsi="Times New Roman" w:cs="Times New Roman"/>
              </w:rPr>
              <w:t xml:space="preserve">HDPE </w:t>
            </w:r>
            <w:r>
              <w:rPr>
                <w:rFonts w:ascii="Times New Roman" w:eastAsia="宋体" w:hAnsi="Times New Roman" w:cs="Times New Roman"/>
              </w:rPr>
              <w:t>土工膜、</w:t>
            </w:r>
            <w:r>
              <w:rPr>
                <w:rFonts w:ascii="Times New Roman" w:eastAsia="宋体" w:hAnsi="Times New Roman" w:cs="Times New Roman"/>
              </w:rPr>
              <w:t>4800g/m</w:t>
            </w:r>
            <w:r>
              <w:rPr>
                <w:rFonts w:ascii="Times New Roman" w:eastAsia="宋体" w:hAnsi="Times New Roman" w:cs="Times New Roman"/>
                <w:vertAlign w:val="superscript"/>
              </w:rPr>
              <w:t>2</w:t>
            </w:r>
            <w:r>
              <w:rPr>
                <w:rFonts w:ascii="Times New Roman" w:eastAsia="宋体" w:hAnsi="Times New Roman" w:cs="Times New Roman"/>
              </w:rPr>
              <w:t xml:space="preserve">GCL </w:t>
            </w:r>
            <w:r>
              <w:rPr>
                <w:rFonts w:ascii="Times New Roman" w:eastAsia="宋体" w:hAnsi="Times New Roman" w:cs="Times New Roman"/>
              </w:rPr>
              <w:t>钠基膨润土垫、</w:t>
            </w:r>
            <w:r>
              <w:rPr>
                <w:rFonts w:ascii="Times New Roman" w:eastAsia="宋体" w:hAnsi="Times New Roman" w:cs="Times New Roman"/>
              </w:rPr>
              <w:t xml:space="preserve">6.0mm </w:t>
            </w:r>
            <w:r>
              <w:rPr>
                <w:rFonts w:ascii="Times New Roman" w:eastAsia="宋体" w:hAnsi="Times New Roman" w:cs="Times New Roman"/>
              </w:rPr>
              <w:t>土工复合排气网。</w:t>
            </w:r>
          </w:p>
        </w:tc>
      </w:tr>
      <w:tr w:rsidR="00D12939" w14:paraId="530140DF" w14:textId="77777777">
        <w:trPr>
          <w:trHeight w:val="88"/>
          <w:jc w:val="center"/>
        </w:trPr>
        <w:tc>
          <w:tcPr>
            <w:tcW w:w="847" w:type="dxa"/>
            <w:vMerge w:val="restart"/>
            <w:vAlign w:val="center"/>
          </w:tcPr>
          <w:p w14:paraId="6A630BE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辅助工程</w:t>
            </w:r>
          </w:p>
        </w:tc>
        <w:tc>
          <w:tcPr>
            <w:tcW w:w="1700" w:type="dxa"/>
            <w:gridSpan w:val="2"/>
            <w:vAlign w:val="center"/>
          </w:tcPr>
          <w:p w14:paraId="74CC28E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填埋场道路</w:t>
            </w:r>
          </w:p>
        </w:tc>
        <w:tc>
          <w:tcPr>
            <w:tcW w:w="7371" w:type="dxa"/>
            <w:vAlign w:val="center"/>
          </w:tcPr>
          <w:p w14:paraId="574A2884"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填埋场场道路全长</w:t>
            </w:r>
            <w:r>
              <w:rPr>
                <w:rFonts w:ascii="Times New Roman" w:eastAsia="宋体" w:hAnsi="Times New Roman" w:cs="Times New Roman"/>
              </w:rPr>
              <w:t>83m</w:t>
            </w:r>
            <w:r>
              <w:rPr>
                <w:rFonts w:ascii="Times New Roman" w:eastAsia="宋体" w:hAnsi="Times New Roman" w:cs="Times New Roman"/>
              </w:rPr>
              <w:t>，路面宽</w:t>
            </w:r>
            <w:r>
              <w:rPr>
                <w:rFonts w:ascii="Times New Roman" w:eastAsia="宋体" w:hAnsi="Times New Roman" w:cs="Times New Roman"/>
              </w:rPr>
              <w:t>6.5m</w:t>
            </w:r>
            <w:r>
              <w:rPr>
                <w:rFonts w:ascii="Times New Roman" w:eastAsia="宋体" w:hAnsi="Times New Roman" w:cs="Times New Roman"/>
              </w:rPr>
              <w:t>，路面结构由上向下为：</w:t>
            </w:r>
            <w:r>
              <w:rPr>
                <w:rFonts w:ascii="Times New Roman" w:eastAsia="宋体" w:hAnsi="Times New Roman" w:cs="Times New Roman"/>
              </w:rPr>
              <w:t xml:space="preserve">20cm C30 </w:t>
            </w:r>
            <w:r>
              <w:rPr>
                <w:rFonts w:ascii="Times New Roman" w:eastAsia="宋体" w:hAnsi="Times New Roman" w:cs="Times New Roman"/>
              </w:rPr>
              <w:t>水泥混凝土路面、</w:t>
            </w:r>
            <w:r>
              <w:rPr>
                <w:rFonts w:ascii="Times New Roman" w:eastAsia="宋体" w:hAnsi="Times New Roman" w:cs="Times New Roman"/>
              </w:rPr>
              <w:t xml:space="preserve">20cm </w:t>
            </w:r>
            <w:r>
              <w:rPr>
                <w:rFonts w:ascii="Times New Roman" w:eastAsia="宋体" w:hAnsi="Times New Roman" w:cs="Times New Roman"/>
              </w:rPr>
              <w:t>水泥稳定碎石（水泥含量</w:t>
            </w:r>
            <w:r>
              <w:rPr>
                <w:rFonts w:ascii="Times New Roman" w:eastAsia="宋体" w:hAnsi="Times New Roman" w:cs="Times New Roman"/>
              </w:rPr>
              <w:t>5%</w:t>
            </w:r>
            <w:r>
              <w:rPr>
                <w:rFonts w:ascii="Times New Roman" w:eastAsia="宋体" w:hAnsi="Times New Roman" w:cs="Times New Roman"/>
              </w:rPr>
              <w:t>）和</w:t>
            </w:r>
            <w:r>
              <w:rPr>
                <w:rFonts w:ascii="Times New Roman" w:eastAsia="宋体" w:hAnsi="Times New Roman" w:cs="Times New Roman"/>
              </w:rPr>
              <w:t xml:space="preserve">20cm </w:t>
            </w:r>
            <w:r>
              <w:rPr>
                <w:rFonts w:ascii="Times New Roman" w:eastAsia="宋体" w:hAnsi="Times New Roman" w:cs="Times New Roman"/>
              </w:rPr>
              <w:t>水泥稳定砂砾（水泥含量</w:t>
            </w:r>
            <w:r>
              <w:rPr>
                <w:rFonts w:ascii="Times New Roman" w:eastAsia="宋体" w:hAnsi="Times New Roman" w:cs="Times New Roman"/>
              </w:rPr>
              <w:t>4.5%</w:t>
            </w:r>
            <w:r>
              <w:rPr>
                <w:rFonts w:ascii="Times New Roman" w:eastAsia="宋体" w:hAnsi="Times New Roman" w:cs="Times New Roman"/>
              </w:rPr>
              <w:t>）。</w:t>
            </w:r>
          </w:p>
        </w:tc>
      </w:tr>
      <w:tr w:rsidR="00D12939" w14:paraId="7C7E17F2" w14:textId="77777777">
        <w:trPr>
          <w:trHeight w:val="224"/>
          <w:jc w:val="center"/>
        </w:trPr>
        <w:tc>
          <w:tcPr>
            <w:tcW w:w="847" w:type="dxa"/>
            <w:vMerge/>
          </w:tcPr>
          <w:p w14:paraId="72227A95" w14:textId="77777777" w:rsidR="00D12939" w:rsidRDefault="00D12939">
            <w:pPr>
              <w:pStyle w:val="affffd"/>
              <w:rPr>
                <w:rFonts w:ascii="Times New Roman" w:eastAsia="宋体" w:hAnsi="Times New Roman" w:cs="Times New Roman"/>
              </w:rPr>
            </w:pPr>
          </w:p>
        </w:tc>
        <w:tc>
          <w:tcPr>
            <w:tcW w:w="1700" w:type="dxa"/>
            <w:gridSpan w:val="2"/>
            <w:vAlign w:val="center"/>
          </w:tcPr>
          <w:p w14:paraId="2FC5A29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综合楼</w:t>
            </w:r>
          </w:p>
        </w:tc>
        <w:tc>
          <w:tcPr>
            <w:tcW w:w="7371" w:type="dxa"/>
          </w:tcPr>
          <w:p w14:paraId="4BFB2317"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2F</w:t>
            </w:r>
            <w:r>
              <w:rPr>
                <w:rFonts w:ascii="Times New Roman" w:eastAsia="宋体" w:hAnsi="Times New Roman" w:cs="Times New Roman"/>
              </w:rPr>
              <w:t>，建筑面积</w:t>
            </w:r>
            <w:r>
              <w:rPr>
                <w:rFonts w:ascii="Times New Roman" w:eastAsia="宋体" w:hAnsi="Times New Roman" w:cs="Times New Roman"/>
              </w:rPr>
              <w:t>290m</w:t>
            </w:r>
            <w:r>
              <w:rPr>
                <w:rFonts w:ascii="Times New Roman" w:eastAsia="宋体" w:hAnsi="Times New Roman" w:cs="Times New Roman"/>
                <w:vertAlign w:val="superscript"/>
              </w:rPr>
              <w:t>2</w:t>
            </w:r>
            <w:r>
              <w:rPr>
                <w:rFonts w:ascii="Times New Roman" w:eastAsia="宋体" w:hAnsi="Times New Roman" w:cs="Times New Roman"/>
              </w:rPr>
              <w:t>，框架结构，位于库区东南侧</w:t>
            </w:r>
          </w:p>
        </w:tc>
      </w:tr>
      <w:tr w:rsidR="00D12939" w14:paraId="400D7B9F" w14:textId="77777777">
        <w:trPr>
          <w:trHeight w:val="224"/>
          <w:jc w:val="center"/>
        </w:trPr>
        <w:tc>
          <w:tcPr>
            <w:tcW w:w="847" w:type="dxa"/>
            <w:vMerge/>
          </w:tcPr>
          <w:p w14:paraId="0C69A304" w14:textId="77777777" w:rsidR="00D12939" w:rsidRDefault="00D12939">
            <w:pPr>
              <w:pStyle w:val="affffd"/>
              <w:rPr>
                <w:rFonts w:ascii="Times New Roman" w:eastAsia="宋体" w:hAnsi="Times New Roman" w:cs="Times New Roman"/>
              </w:rPr>
            </w:pPr>
          </w:p>
        </w:tc>
        <w:tc>
          <w:tcPr>
            <w:tcW w:w="1700" w:type="dxa"/>
            <w:gridSpan w:val="2"/>
            <w:vAlign w:val="center"/>
          </w:tcPr>
          <w:p w14:paraId="4B9F8CE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门房及地磅房</w:t>
            </w:r>
          </w:p>
        </w:tc>
        <w:tc>
          <w:tcPr>
            <w:tcW w:w="7371" w:type="dxa"/>
          </w:tcPr>
          <w:p w14:paraId="42EE039D"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1F</w:t>
            </w:r>
            <w:r>
              <w:rPr>
                <w:rFonts w:ascii="Times New Roman" w:eastAsia="宋体" w:hAnsi="Times New Roman" w:cs="Times New Roman"/>
              </w:rPr>
              <w:t>，建筑面积</w:t>
            </w:r>
            <w:r>
              <w:rPr>
                <w:rFonts w:ascii="Times New Roman" w:eastAsia="宋体" w:hAnsi="Times New Roman" w:cs="Times New Roman"/>
              </w:rPr>
              <w:t>17m</w:t>
            </w:r>
            <w:r>
              <w:rPr>
                <w:rFonts w:ascii="Times New Roman" w:eastAsia="宋体" w:hAnsi="Times New Roman" w:cs="Times New Roman"/>
                <w:vertAlign w:val="superscript"/>
              </w:rPr>
              <w:t>2</w:t>
            </w:r>
            <w:r>
              <w:rPr>
                <w:rFonts w:ascii="Times New Roman" w:eastAsia="宋体" w:hAnsi="Times New Roman" w:cs="Times New Roman"/>
              </w:rPr>
              <w:t>，框架结构，位于库区东南侧</w:t>
            </w:r>
          </w:p>
        </w:tc>
      </w:tr>
      <w:tr w:rsidR="00D12939" w14:paraId="0DF85D2D" w14:textId="77777777">
        <w:trPr>
          <w:trHeight w:val="224"/>
          <w:jc w:val="center"/>
        </w:trPr>
        <w:tc>
          <w:tcPr>
            <w:tcW w:w="847" w:type="dxa"/>
            <w:vMerge/>
          </w:tcPr>
          <w:p w14:paraId="604C5794" w14:textId="77777777" w:rsidR="00D12939" w:rsidRDefault="00D12939">
            <w:pPr>
              <w:pStyle w:val="affffd"/>
              <w:rPr>
                <w:rFonts w:ascii="Times New Roman" w:eastAsia="宋体" w:hAnsi="Times New Roman" w:cs="Times New Roman"/>
              </w:rPr>
            </w:pPr>
          </w:p>
        </w:tc>
        <w:tc>
          <w:tcPr>
            <w:tcW w:w="1700" w:type="dxa"/>
            <w:gridSpan w:val="2"/>
            <w:vAlign w:val="center"/>
          </w:tcPr>
          <w:p w14:paraId="6BC8BA4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机修间</w:t>
            </w:r>
          </w:p>
        </w:tc>
        <w:tc>
          <w:tcPr>
            <w:tcW w:w="7371" w:type="dxa"/>
          </w:tcPr>
          <w:p w14:paraId="0E9F3D1E"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1F</w:t>
            </w:r>
            <w:r>
              <w:rPr>
                <w:rFonts w:ascii="Times New Roman" w:eastAsia="宋体" w:hAnsi="Times New Roman" w:cs="Times New Roman"/>
              </w:rPr>
              <w:t>，建筑面积</w:t>
            </w:r>
            <w:r>
              <w:rPr>
                <w:rFonts w:ascii="Times New Roman" w:eastAsia="宋体" w:hAnsi="Times New Roman" w:cs="Times New Roman"/>
              </w:rPr>
              <w:t>190m</w:t>
            </w:r>
            <w:r>
              <w:rPr>
                <w:rFonts w:ascii="Times New Roman" w:eastAsia="宋体" w:hAnsi="Times New Roman" w:cs="Times New Roman"/>
                <w:vertAlign w:val="superscript"/>
              </w:rPr>
              <w:t>2</w:t>
            </w:r>
            <w:r>
              <w:rPr>
                <w:rFonts w:ascii="Times New Roman" w:eastAsia="宋体" w:hAnsi="Times New Roman" w:cs="Times New Roman"/>
              </w:rPr>
              <w:t>，框架结构，位于库区东南侧</w:t>
            </w:r>
          </w:p>
        </w:tc>
      </w:tr>
      <w:tr w:rsidR="00D12939" w14:paraId="2FEEB8EE" w14:textId="77777777">
        <w:trPr>
          <w:trHeight w:val="224"/>
          <w:jc w:val="center"/>
        </w:trPr>
        <w:tc>
          <w:tcPr>
            <w:tcW w:w="847" w:type="dxa"/>
            <w:vMerge/>
          </w:tcPr>
          <w:p w14:paraId="0C1B4072" w14:textId="77777777" w:rsidR="00D12939" w:rsidRDefault="00D12939">
            <w:pPr>
              <w:pStyle w:val="affffd"/>
              <w:rPr>
                <w:rFonts w:ascii="Times New Roman" w:eastAsia="宋体" w:hAnsi="Times New Roman" w:cs="Times New Roman"/>
              </w:rPr>
            </w:pPr>
          </w:p>
        </w:tc>
        <w:tc>
          <w:tcPr>
            <w:tcW w:w="1700" w:type="dxa"/>
            <w:gridSpan w:val="2"/>
            <w:vAlign w:val="center"/>
          </w:tcPr>
          <w:p w14:paraId="0C8418A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渗滤液处理车间</w:t>
            </w:r>
          </w:p>
        </w:tc>
        <w:tc>
          <w:tcPr>
            <w:tcW w:w="7371" w:type="dxa"/>
            <w:vAlign w:val="center"/>
          </w:tcPr>
          <w:p w14:paraId="42B18957"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1F</w:t>
            </w:r>
            <w:r>
              <w:rPr>
                <w:rFonts w:ascii="Times New Roman" w:eastAsia="宋体" w:hAnsi="Times New Roman" w:cs="Times New Roman"/>
              </w:rPr>
              <w:t>，建筑面积</w:t>
            </w:r>
            <w:r>
              <w:rPr>
                <w:rFonts w:ascii="Times New Roman" w:eastAsia="宋体" w:hAnsi="Times New Roman" w:cs="Times New Roman"/>
              </w:rPr>
              <w:t>600m</w:t>
            </w:r>
            <w:r>
              <w:rPr>
                <w:rFonts w:ascii="Times New Roman" w:eastAsia="宋体" w:hAnsi="Times New Roman" w:cs="Times New Roman"/>
                <w:vertAlign w:val="superscript"/>
              </w:rPr>
              <w:t>2</w:t>
            </w:r>
            <w:r>
              <w:rPr>
                <w:rFonts w:ascii="Times New Roman" w:eastAsia="宋体" w:hAnsi="Times New Roman" w:cs="Times New Roman"/>
              </w:rPr>
              <w:t>，框架结构，位于库区东南侧，处理规模为</w:t>
            </w:r>
            <w:r>
              <w:rPr>
                <w:rFonts w:ascii="Times New Roman" w:eastAsia="宋体" w:hAnsi="Times New Roman" w:cs="Times New Roman"/>
              </w:rPr>
              <w:t>65t/d</w:t>
            </w:r>
            <w:r>
              <w:rPr>
                <w:rFonts w:ascii="Times New Roman" w:eastAsia="宋体" w:hAnsi="Times New Roman" w:cs="Times New Roman"/>
              </w:rPr>
              <w:t>，处理工艺为预处理</w:t>
            </w:r>
            <w:r>
              <w:rPr>
                <w:rFonts w:ascii="Times New Roman" w:eastAsia="宋体" w:hAnsi="Times New Roman" w:cs="Times New Roman"/>
              </w:rPr>
              <w:t>-</w:t>
            </w:r>
            <w:r>
              <w:rPr>
                <w:rFonts w:ascii="Times New Roman" w:eastAsia="宋体" w:hAnsi="Times New Roman" w:cs="Times New Roman"/>
              </w:rPr>
              <w:t>一体化反应池</w:t>
            </w:r>
            <w:r>
              <w:rPr>
                <w:rFonts w:ascii="Times New Roman" w:eastAsia="宋体" w:hAnsi="Times New Roman" w:cs="Times New Roman"/>
              </w:rPr>
              <w:t>-</w:t>
            </w:r>
            <w:r>
              <w:rPr>
                <w:rFonts w:ascii="Times New Roman" w:eastAsia="宋体" w:hAnsi="Times New Roman" w:cs="Times New Roman"/>
              </w:rPr>
              <w:t>气浮</w:t>
            </w:r>
            <w:r>
              <w:rPr>
                <w:rFonts w:ascii="Times New Roman" w:eastAsia="宋体" w:hAnsi="Times New Roman" w:cs="Times New Roman"/>
              </w:rPr>
              <w:t>-</w:t>
            </w:r>
            <w:r>
              <w:rPr>
                <w:rFonts w:ascii="Times New Roman" w:eastAsia="宋体" w:hAnsi="Times New Roman" w:cs="Times New Roman"/>
              </w:rPr>
              <w:t>斜板沉淀</w:t>
            </w:r>
            <w:r>
              <w:rPr>
                <w:rFonts w:ascii="Times New Roman" w:eastAsia="宋体" w:hAnsi="Times New Roman" w:cs="Times New Roman"/>
              </w:rPr>
              <w:t>-A</w:t>
            </w:r>
            <w:r>
              <w:rPr>
                <w:rFonts w:ascii="Times New Roman" w:eastAsia="宋体" w:hAnsi="Times New Roman" w:cs="Times New Roman"/>
                <w:vertAlign w:val="superscript"/>
              </w:rPr>
              <w:t>2</w:t>
            </w:r>
            <w:r>
              <w:rPr>
                <w:rFonts w:ascii="Times New Roman" w:eastAsia="宋体" w:hAnsi="Times New Roman" w:cs="Times New Roman"/>
              </w:rPr>
              <w:t>/O-MBR</w:t>
            </w:r>
            <w:r>
              <w:rPr>
                <w:rFonts w:ascii="Times New Roman" w:eastAsia="宋体" w:hAnsi="Times New Roman" w:cs="Times New Roman"/>
              </w:rPr>
              <w:t>膜池</w:t>
            </w:r>
            <w:r>
              <w:rPr>
                <w:rFonts w:ascii="Times New Roman" w:eastAsia="宋体" w:hAnsi="Times New Roman" w:cs="Times New Roman"/>
              </w:rPr>
              <w:t>-</w:t>
            </w:r>
            <w:r>
              <w:rPr>
                <w:rFonts w:ascii="Times New Roman" w:eastAsia="宋体" w:hAnsi="Times New Roman" w:cs="Times New Roman"/>
              </w:rPr>
              <w:t>纳滤</w:t>
            </w:r>
            <w:r>
              <w:rPr>
                <w:rFonts w:ascii="Times New Roman" w:eastAsia="宋体" w:hAnsi="Times New Roman" w:cs="Times New Roman"/>
              </w:rPr>
              <w:t>-</w:t>
            </w:r>
            <w:r>
              <w:rPr>
                <w:rFonts w:ascii="Times New Roman" w:eastAsia="宋体" w:hAnsi="Times New Roman" w:cs="Times New Roman"/>
              </w:rPr>
              <w:t>反渗透，填埋场渗沥液经收集处理达标后，</w:t>
            </w:r>
            <w:r>
              <w:rPr>
                <w:rFonts w:ascii="Times New Roman" w:eastAsia="宋体" w:hAnsi="Times New Roman" w:cs="Times New Roman" w:hint="eastAsia"/>
              </w:rPr>
              <w:t>部分</w:t>
            </w:r>
            <w:r>
              <w:rPr>
                <w:rFonts w:ascii="Times New Roman" w:eastAsia="宋体" w:hAnsi="Times New Roman" w:cs="Times New Roman"/>
              </w:rPr>
              <w:t>用于场内自用，</w:t>
            </w:r>
            <w:r>
              <w:rPr>
                <w:rFonts w:ascii="Times New Roman" w:eastAsia="宋体" w:hAnsi="Times New Roman" w:cs="Times New Roman" w:hint="eastAsia"/>
              </w:rPr>
              <w:t>剩余尾水</w:t>
            </w:r>
            <w:r>
              <w:rPr>
                <w:rFonts w:ascii="Times New Roman" w:eastAsia="宋体" w:hAnsi="Times New Roman" w:cs="Times New Roman"/>
              </w:rPr>
              <w:t>采用槽罐车运输方式，运至柞水县污水处理厂。</w:t>
            </w:r>
          </w:p>
        </w:tc>
      </w:tr>
      <w:tr w:rsidR="00D12939" w14:paraId="716DA6D1" w14:textId="77777777">
        <w:trPr>
          <w:trHeight w:val="224"/>
          <w:jc w:val="center"/>
        </w:trPr>
        <w:tc>
          <w:tcPr>
            <w:tcW w:w="847" w:type="dxa"/>
            <w:vMerge w:val="restart"/>
            <w:vAlign w:val="center"/>
          </w:tcPr>
          <w:p w14:paraId="743952A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公用工程</w:t>
            </w:r>
          </w:p>
        </w:tc>
        <w:tc>
          <w:tcPr>
            <w:tcW w:w="1700" w:type="dxa"/>
            <w:gridSpan w:val="2"/>
            <w:vAlign w:val="center"/>
          </w:tcPr>
          <w:p w14:paraId="5623F85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供水</w:t>
            </w:r>
          </w:p>
        </w:tc>
        <w:tc>
          <w:tcPr>
            <w:tcW w:w="7371" w:type="dxa"/>
            <w:vAlign w:val="center"/>
          </w:tcPr>
          <w:p w14:paraId="3CFA8283"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渗沥液处理区和管理区用水</w:t>
            </w:r>
            <w:r>
              <w:rPr>
                <w:rFonts w:ascii="Times New Roman" w:eastAsia="宋体" w:hAnsi="Times New Roman" w:cs="Times New Roman" w:hint="eastAsia"/>
              </w:rPr>
              <w:t>引自自来水管网，自来水水源为山泉水。</w:t>
            </w:r>
          </w:p>
        </w:tc>
      </w:tr>
      <w:tr w:rsidR="00D12939" w14:paraId="0D550D5E" w14:textId="77777777">
        <w:trPr>
          <w:trHeight w:val="224"/>
          <w:jc w:val="center"/>
        </w:trPr>
        <w:tc>
          <w:tcPr>
            <w:tcW w:w="847" w:type="dxa"/>
            <w:vMerge/>
          </w:tcPr>
          <w:p w14:paraId="16A587DB" w14:textId="77777777" w:rsidR="00D12939" w:rsidRDefault="00D12939">
            <w:pPr>
              <w:pStyle w:val="affffd"/>
              <w:rPr>
                <w:rFonts w:ascii="Times New Roman" w:eastAsia="宋体" w:hAnsi="Times New Roman" w:cs="Times New Roman"/>
              </w:rPr>
            </w:pPr>
          </w:p>
        </w:tc>
        <w:tc>
          <w:tcPr>
            <w:tcW w:w="1700" w:type="dxa"/>
            <w:gridSpan w:val="2"/>
            <w:vAlign w:val="center"/>
          </w:tcPr>
          <w:p w14:paraId="67598DA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排水</w:t>
            </w:r>
          </w:p>
        </w:tc>
        <w:tc>
          <w:tcPr>
            <w:tcW w:w="7371" w:type="dxa"/>
            <w:vAlign w:val="center"/>
          </w:tcPr>
          <w:p w14:paraId="719B7F14" w14:textId="006ECDA8" w:rsidR="00D12939" w:rsidRDefault="004F47F5">
            <w:pPr>
              <w:pStyle w:val="affffd"/>
              <w:jc w:val="both"/>
              <w:rPr>
                <w:rFonts w:ascii="Times New Roman" w:eastAsia="宋体" w:hAnsi="Times New Roman" w:cs="Times New Roman"/>
              </w:rPr>
            </w:pPr>
            <w:r>
              <w:rPr>
                <w:rFonts w:ascii="Times New Roman" w:eastAsia="宋体" w:hAnsi="Times New Roman" w:cs="Times New Roman"/>
              </w:rPr>
              <w:t>车辆冲洗废水经沉淀处理后回用于填埋场洒水降尘。生活污水经化粪池处理后排至填埋场调节池内，进入渗沥液处理站处理。渗沥液处理车间地面冲洗废水进入渗沥液处理站处理。渗沥液处理车间</w:t>
            </w:r>
            <w:r>
              <w:rPr>
                <w:rFonts w:ascii="Times New Roman" w:eastAsia="宋体" w:hAnsi="Times New Roman" w:cs="Times New Roman"/>
                <w:kern w:val="0"/>
              </w:rPr>
              <w:t>处理达标后的尾水</w:t>
            </w:r>
            <w:r w:rsidR="009C1DA4" w:rsidRPr="009C1DA4">
              <w:rPr>
                <w:rFonts w:ascii="Times New Roman" w:eastAsia="宋体" w:hAnsi="Times New Roman" w:cs="Times New Roman" w:hint="eastAsia"/>
                <w:color w:val="FF0000"/>
                <w:kern w:val="0"/>
              </w:rPr>
              <w:t>少量</w:t>
            </w:r>
            <w:r w:rsidRPr="009C1DA4">
              <w:rPr>
                <w:rFonts w:ascii="Times New Roman" w:eastAsia="宋体" w:hAnsi="Times New Roman" w:cs="Times New Roman"/>
                <w:color w:val="FF0000"/>
                <w:kern w:val="0"/>
              </w:rPr>
              <w:t>用于场内</w:t>
            </w:r>
            <w:r w:rsidR="009C1DA4" w:rsidRPr="009C1DA4">
              <w:rPr>
                <w:rFonts w:ascii="Times New Roman" w:eastAsia="宋体" w:hAnsi="Times New Roman" w:cs="Times New Roman" w:hint="eastAsia"/>
                <w:color w:val="FF0000"/>
                <w:kern w:val="0"/>
              </w:rPr>
              <w:t>库区洒水抑尘</w:t>
            </w:r>
            <w:r w:rsidRPr="009C1DA4">
              <w:rPr>
                <w:rFonts w:ascii="Times New Roman" w:eastAsia="宋体" w:hAnsi="Times New Roman" w:cs="Times New Roman"/>
                <w:color w:val="FF0000"/>
                <w:kern w:val="0"/>
              </w:rPr>
              <w:t>，</w:t>
            </w:r>
            <w:r>
              <w:rPr>
                <w:rFonts w:ascii="Times New Roman" w:eastAsia="宋体" w:hAnsi="Times New Roman" w:cs="Times New Roman" w:hint="eastAsia"/>
                <w:kern w:val="0"/>
              </w:rPr>
              <w:t>剩余尾水</w:t>
            </w:r>
            <w:r>
              <w:rPr>
                <w:rFonts w:ascii="Times New Roman" w:eastAsia="宋体" w:hAnsi="Times New Roman" w:cs="Times New Roman"/>
                <w:kern w:val="0"/>
              </w:rPr>
              <w:t>采用槽罐车运输方式，运至柞水县污水处理厂进一步处理。</w:t>
            </w:r>
          </w:p>
        </w:tc>
      </w:tr>
      <w:tr w:rsidR="00D12939" w14:paraId="15334F2E" w14:textId="77777777">
        <w:trPr>
          <w:trHeight w:val="224"/>
          <w:jc w:val="center"/>
        </w:trPr>
        <w:tc>
          <w:tcPr>
            <w:tcW w:w="847" w:type="dxa"/>
            <w:vMerge/>
          </w:tcPr>
          <w:p w14:paraId="12EE7930" w14:textId="77777777" w:rsidR="00D12939" w:rsidRDefault="00D12939">
            <w:pPr>
              <w:pStyle w:val="affffd"/>
              <w:rPr>
                <w:rFonts w:ascii="Times New Roman" w:eastAsia="宋体" w:hAnsi="Times New Roman" w:cs="Times New Roman"/>
              </w:rPr>
            </w:pPr>
          </w:p>
        </w:tc>
        <w:tc>
          <w:tcPr>
            <w:tcW w:w="1700" w:type="dxa"/>
            <w:gridSpan w:val="2"/>
            <w:vAlign w:val="center"/>
          </w:tcPr>
          <w:p w14:paraId="61ABD61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供电</w:t>
            </w:r>
          </w:p>
        </w:tc>
        <w:tc>
          <w:tcPr>
            <w:tcW w:w="7371" w:type="dxa"/>
            <w:vAlign w:val="center"/>
          </w:tcPr>
          <w:p w14:paraId="18411E47"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依托市政供电，在管理区设杆上变电站一座，内设容量为</w:t>
            </w:r>
            <w:r>
              <w:rPr>
                <w:rFonts w:ascii="Times New Roman" w:eastAsia="宋体" w:hAnsi="Times New Roman" w:cs="Times New Roman"/>
              </w:rPr>
              <w:t xml:space="preserve">150kVA </w:t>
            </w:r>
            <w:r>
              <w:rPr>
                <w:rFonts w:ascii="Times New Roman" w:eastAsia="宋体" w:hAnsi="Times New Roman" w:cs="Times New Roman"/>
              </w:rPr>
              <w:t>的干式变压器一台供管理区和渗沥液处理区使用，外部</w:t>
            </w:r>
            <w:r>
              <w:rPr>
                <w:rFonts w:ascii="Times New Roman" w:eastAsia="宋体" w:hAnsi="Times New Roman" w:cs="Times New Roman"/>
              </w:rPr>
              <w:t xml:space="preserve">10kV </w:t>
            </w:r>
            <w:r>
              <w:rPr>
                <w:rFonts w:ascii="Times New Roman" w:eastAsia="宋体" w:hAnsi="Times New Roman" w:cs="Times New Roman"/>
              </w:rPr>
              <w:t>架空线路在合适的地方改为电缆进入，经变压器降压后配给用电负荷。</w:t>
            </w:r>
          </w:p>
        </w:tc>
      </w:tr>
      <w:tr w:rsidR="00D12939" w14:paraId="00192839" w14:textId="77777777">
        <w:trPr>
          <w:trHeight w:val="224"/>
          <w:jc w:val="center"/>
        </w:trPr>
        <w:tc>
          <w:tcPr>
            <w:tcW w:w="847" w:type="dxa"/>
            <w:vMerge/>
          </w:tcPr>
          <w:p w14:paraId="6C7152D4" w14:textId="77777777" w:rsidR="00D12939" w:rsidRDefault="00D12939">
            <w:pPr>
              <w:pStyle w:val="affffd"/>
              <w:rPr>
                <w:rFonts w:ascii="Times New Roman" w:eastAsia="宋体" w:hAnsi="Times New Roman" w:cs="Times New Roman"/>
              </w:rPr>
            </w:pPr>
          </w:p>
        </w:tc>
        <w:tc>
          <w:tcPr>
            <w:tcW w:w="1700" w:type="dxa"/>
            <w:gridSpan w:val="2"/>
            <w:vAlign w:val="center"/>
          </w:tcPr>
          <w:p w14:paraId="528374E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供暖</w:t>
            </w:r>
          </w:p>
        </w:tc>
        <w:tc>
          <w:tcPr>
            <w:tcW w:w="7371" w:type="dxa"/>
            <w:vAlign w:val="center"/>
          </w:tcPr>
          <w:p w14:paraId="1829366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办公室、值班室等均采用分体空调</w:t>
            </w:r>
          </w:p>
        </w:tc>
      </w:tr>
      <w:tr w:rsidR="00D12939" w14:paraId="56F90882" w14:textId="77777777">
        <w:trPr>
          <w:trHeight w:val="224"/>
          <w:jc w:val="center"/>
        </w:trPr>
        <w:tc>
          <w:tcPr>
            <w:tcW w:w="847" w:type="dxa"/>
            <w:vMerge w:val="restart"/>
            <w:vAlign w:val="center"/>
          </w:tcPr>
          <w:p w14:paraId="6028D08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环保工程</w:t>
            </w:r>
          </w:p>
        </w:tc>
        <w:tc>
          <w:tcPr>
            <w:tcW w:w="566" w:type="dxa"/>
            <w:vMerge w:val="restart"/>
            <w:vAlign w:val="center"/>
          </w:tcPr>
          <w:p w14:paraId="2A2EFD5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废气</w:t>
            </w:r>
          </w:p>
        </w:tc>
        <w:tc>
          <w:tcPr>
            <w:tcW w:w="1134" w:type="dxa"/>
            <w:vAlign w:val="center"/>
          </w:tcPr>
          <w:p w14:paraId="67B936F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填埋气体</w:t>
            </w:r>
          </w:p>
        </w:tc>
        <w:tc>
          <w:tcPr>
            <w:tcW w:w="7371" w:type="dxa"/>
            <w:vAlign w:val="center"/>
          </w:tcPr>
          <w:p w14:paraId="477E6517" w14:textId="7D401381" w:rsidR="00D12939" w:rsidRDefault="004F47F5" w:rsidP="00B82E3E">
            <w:pPr>
              <w:pStyle w:val="affffd"/>
              <w:jc w:val="both"/>
              <w:rPr>
                <w:rFonts w:ascii="Times New Roman" w:eastAsia="宋体" w:hAnsi="Times New Roman" w:cs="Times New Roman"/>
              </w:rPr>
            </w:pPr>
            <w:r>
              <w:rPr>
                <w:rFonts w:ascii="Times New Roman" w:eastAsia="宋体" w:hAnsi="Times New Roman" w:cs="Times New Roman"/>
                <w:kern w:val="0"/>
              </w:rPr>
              <w:t>分单元作业，当日压实覆膜；</w:t>
            </w:r>
            <w:r>
              <w:rPr>
                <w:rFonts w:ascii="Times New Roman" w:eastAsia="宋体" w:hAnsi="Times New Roman" w:cs="Times New Roman"/>
              </w:rPr>
              <w:t>填埋气通过导气井直接排放，填埋区定时喷洒除臭剂，采用便捷式甲烷测定仪定期对填埋区和填埋区气体进行监测。若发现导气管排放口甲烷体积分数大于</w:t>
            </w:r>
            <w:r>
              <w:rPr>
                <w:rFonts w:ascii="Times New Roman" w:eastAsia="宋体" w:hAnsi="Times New Roman" w:cs="Times New Roman"/>
              </w:rPr>
              <w:t>5%</w:t>
            </w:r>
            <w:r>
              <w:rPr>
                <w:rFonts w:ascii="Times New Roman" w:eastAsia="宋体" w:hAnsi="Times New Roman" w:cs="Times New Roman"/>
              </w:rPr>
              <w:t>时，采用火炬燃烧方式进行处理。</w:t>
            </w:r>
          </w:p>
        </w:tc>
      </w:tr>
      <w:tr w:rsidR="00D12939" w14:paraId="3A1C8B2B" w14:textId="77777777">
        <w:trPr>
          <w:trHeight w:val="518"/>
          <w:jc w:val="center"/>
        </w:trPr>
        <w:tc>
          <w:tcPr>
            <w:tcW w:w="847" w:type="dxa"/>
            <w:vMerge/>
          </w:tcPr>
          <w:p w14:paraId="2AC8454F" w14:textId="77777777" w:rsidR="00D12939" w:rsidRDefault="00D12939">
            <w:pPr>
              <w:pStyle w:val="affffd"/>
              <w:rPr>
                <w:rFonts w:ascii="Times New Roman" w:eastAsia="宋体" w:hAnsi="Times New Roman" w:cs="Times New Roman"/>
              </w:rPr>
            </w:pPr>
          </w:p>
        </w:tc>
        <w:tc>
          <w:tcPr>
            <w:tcW w:w="566" w:type="dxa"/>
            <w:vMerge/>
            <w:vAlign w:val="center"/>
          </w:tcPr>
          <w:p w14:paraId="6017B89F" w14:textId="77777777" w:rsidR="00D12939" w:rsidRDefault="00D12939">
            <w:pPr>
              <w:pStyle w:val="affffd"/>
              <w:rPr>
                <w:rFonts w:ascii="Times New Roman" w:eastAsia="宋体" w:hAnsi="Times New Roman" w:cs="Times New Roman"/>
              </w:rPr>
            </w:pPr>
          </w:p>
        </w:tc>
        <w:tc>
          <w:tcPr>
            <w:tcW w:w="1134" w:type="dxa"/>
            <w:vAlign w:val="center"/>
          </w:tcPr>
          <w:p w14:paraId="09128C3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渗滤液收集池恶臭</w:t>
            </w:r>
          </w:p>
        </w:tc>
        <w:tc>
          <w:tcPr>
            <w:tcW w:w="7371" w:type="dxa"/>
            <w:vAlign w:val="center"/>
          </w:tcPr>
          <w:p w14:paraId="27992B3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收集池密闭加盖，定期喷洒除臭剂</w:t>
            </w:r>
          </w:p>
        </w:tc>
      </w:tr>
      <w:tr w:rsidR="00D12939" w14:paraId="0259842B" w14:textId="77777777">
        <w:trPr>
          <w:trHeight w:val="423"/>
          <w:jc w:val="center"/>
        </w:trPr>
        <w:tc>
          <w:tcPr>
            <w:tcW w:w="847" w:type="dxa"/>
            <w:vMerge/>
          </w:tcPr>
          <w:p w14:paraId="7413B973" w14:textId="77777777" w:rsidR="00D12939" w:rsidRDefault="00D12939">
            <w:pPr>
              <w:pStyle w:val="affffd"/>
              <w:rPr>
                <w:rFonts w:ascii="Times New Roman" w:eastAsia="宋体" w:hAnsi="Times New Roman" w:cs="Times New Roman"/>
              </w:rPr>
            </w:pPr>
          </w:p>
        </w:tc>
        <w:tc>
          <w:tcPr>
            <w:tcW w:w="566" w:type="dxa"/>
            <w:vMerge/>
            <w:vAlign w:val="center"/>
          </w:tcPr>
          <w:p w14:paraId="33BE5FE6" w14:textId="77777777" w:rsidR="00D12939" w:rsidRDefault="00D12939">
            <w:pPr>
              <w:pStyle w:val="affffd"/>
              <w:rPr>
                <w:rFonts w:ascii="Times New Roman" w:eastAsia="宋体" w:hAnsi="Times New Roman" w:cs="Times New Roman"/>
              </w:rPr>
            </w:pPr>
          </w:p>
        </w:tc>
        <w:tc>
          <w:tcPr>
            <w:tcW w:w="1134" w:type="dxa"/>
            <w:vAlign w:val="center"/>
          </w:tcPr>
          <w:p w14:paraId="2971BC6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扬尘</w:t>
            </w:r>
          </w:p>
        </w:tc>
        <w:tc>
          <w:tcPr>
            <w:tcW w:w="7371" w:type="dxa"/>
            <w:vAlign w:val="center"/>
          </w:tcPr>
          <w:p w14:paraId="0B5621C0"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机械推平、压实、覆土及运输车辆等产生的扬尘采用洒水抑尘，设置防护网，</w:t>
            </w:r>
            <w:r>
              <w:rPr>
                <w:rFonts w:ascii="Times New Roman" w:eastAsia="宋体" w:hAnsi="Times New Roman" w:cs="Times New Roman"/>
                <w:kern w:val="0"/>
              </w:rPr>
              <w:t>封场后表面及时绿化</w:t>
            </w:r>
          </w:p>
        </w:tc>
      </w:tr>
      <w:tr w:rsidR="00D12939" w14:paraId="2B2A99BC" w14:textId="77777777">
        <w:trPr>
          <w:trHeight w:val="224"/>
          <w:jc w:val="center"/>
        </w:trPr>
        <w:tc>
          <w:tcPr>
            <w:tcW w:w="847" w:type="dxa"/>
            <w:vMerge/>
          </w:tcPr>
          <w:p w14:paraId="3F3008B0" w14:textId="77777777" w:rsidR="00D12939" w:rsidRDefault="00D12939">
            <w:pPr>
              <w:pStyle w:val="affffd"/>
              <w:rPr>
                <w:rFonts w:ascii="Times New Roman" w:eastAsia="宋体" w:hAnsi="Times New Roman" w:cs="Times New Roman"/>
              </w:rPr>
            </w:pPr>
          </w:p>
        </w:tc>
        <w:tc>
          <w:tcPr>
            <w:tcW w:w="566" w:type="dxa"/>
            <w:vMerge w:val="restart"/>
            <w:vAlign w:val="center"/>
          </w:tcPr>
          <w:p w14:paraId="30CA221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废水</w:t>
            </w:r>
          </w:p>
        </w:tc>
        <w:tc>
          <w:tcPr>
            <w:tcW w:w="1134" w:type="dxa"/>
            <w:vAlign w:val="center"/>
          </w:tcPr>
          <w:p w14:paraId="558A377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w:t>
            </w:r>
          </w:p>
        </w:tc>
        <w:tc>
          <w:tcPr>
            <w:tcW w:w="7371" w:type="dxa"/>
            <w:vAlign w:val="center"/>
          </w:tcPr>
          <w:p w14:paraId="327E1CFB"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项目新建一座渗滤液处理车间，处理规模为</w:t>
            </w:r>
            <w:r>
              <w:rPr>
                <w:rFonts w:ascii="Times New Roman" w:eastAsia="宋体" w:hAnsi="Times New Roman" w:cs="Times New Roman"/>
              </w:rPr>
              <w:t>65t/d</w:t>
            </w:r>
            <w:r>
              <w:rPr>
                <w:rFonts w:ascii="Times New Roman" w:eastAsia="宋体" w:hAnsi="Times New Roman" w:cs="Times New Roman"/>
              </w:rPr>
              <w:t>，处理工艺为预处理</w:t>
            </w:r>
            <w:r>
              <w:rPr>
                <w:rFonts w:ascii="Times New Roman" w:eastAsia="宋体" w:hAnsi="Times New Roman" w:cs="Times New Roman"/>
              </w:rPr>
              <w:t>-</w:t>
            </w:r>
            <w:r>
              <w:rPr>
                <w:rFonts w:ascii="Times New Roman" w:eastAsia="宋体" w:hAnsi="Times New Roman" w:cs="Times New Roman"/>
              </w:rPr>
              <w:t>一体化反应池</w:t>
            </w:r>
            <w:r>
              <w:rPr>
                <w:rFonts w:ascii="Times New Roman" w:eastAsia="宋体" w:hAnsi="Times New Roman" w:cs="Times New Roman"/>
              </w:rPr>
              <w:t>-</w:t>
            </w:r>
            <w:r>
              <w:rPr>
                <w:rFonts w:ascii="Times New Roman" w:eastAsia="宋体" w:hAnsi="Times New Roman" w:cs="Times New Roman"/>
              </w:rPr>
              <w:t>气浮</w:t>
            </w:r>
            <w:r>
              <w:rPr>
                <w:rFonts w:ascii="Times New Roman" w:eastAsia="宋体" w:hAnsi="Times New Roman" w:cs="Times New Roman"/>
              </w:rPr>
              <w:t>-</w:t>
            </w:r>
            <w:r>
              <w:rPr>
                <w:rFonts w:ascii="Times New Roman" w:eastAsia="宋体" w:hAnsi="Times New Roman" w:cs="Times New Roman"/>
              </w:rPr>
              <w:t>斜板沉淀</w:t>
            </w:r>
            <w:r>
              <w:rPr>
                <w:rFonts w:ascii="Times New Roman" w:eastAsia="宋体" w:hAnsi="Times New Roman" w:cs="Times New Roman"/>
              </w:rPr>
              <w:t>-A</w:t>
            </w:r>
            <w:r>
              <w:rPr>
                <w:rFonts w:ascii="Times New Roman" w:eastAsia="宋体" w:hAnsi="Times New Roman" w:cs="Times New Roman"/>
                <w:vertAlign w:val="superscript"/>
              </w:rPr>
              <w:t>2</w:t>
            </w:r>
            <w:r>
              <w:rPr>
                <w:rFonts w:ascii="Times New Roman" w:eastAsia="宋体" w:hAnsi="Times New Roman" w:cs="Times New Roman"/>
              </w:rPr>
              <w:t>/O-MBR</w:t>
            </w:r>
            <w:r>
              <w:rPr>
                <w:rFonts w:ascii="Times New Roman" w:eastAsia="宋体" w:hAnsi="Times New Roman" w:cs="Times New Roman"/>
              </w:rPr>
              <w:t>膜池</w:t>
            </w:r>
            <w:r>
              <w:rPr>
                <w:rFonts w:ascii="Times New Roman" w:eastAsia="宋体" w:hAnsi="Times New Roman" w:cs="Times New Roman"/>
              </w:rPr>
              <w:t>-</w:t>
            </w:r>
            <w:r>
              <w:rPr>
                <w:rFonts w:ascii="Times New Roman" w:eastAsia="宋体" w:hAnsi="Times New Roman" w:cs="Times New Roman"/>
              </w:rPr>
              <w:t>纳滤</w:t>
            </w:r>
            <w:r>
              <w:rPr>
                <w:rFonts w:ascii="Times New Roman" w:eastAsia="宋体" w:hAnsi="Times New Roman" w:cs="Times New Roman"/>
              </w:rPr>
              <w:t>-</w:t>
            </w:r>
            <w:r>
              <w:rPr>
                <w:rFonts w:ascii="Times New Roman" w:eastAsia="宋体" w:hAnsi="Times New Roman" w:cs="Times New Roman"/>
              </w:rPr>
              <w:t>反渗透，</w:t>
            </w:r>
            <w:r>
              <w:rPr>
                <w:rFonts w:ascii="Times New Roman" w:eastAsia="宋体" w:hAnsi="Times New Roman" w:cs="Times New Roman"/>
                <w:kern w:val="0"/>
              </w:rPr>
              <w:t>填埋场渗沥液经收集处理达标后，</w:t>
            </w:r>
            <w:r>
              <w:rPr>
                <w:rFonts w:ascii="Times New Roman" w:eastAsia="宋体" w:hAnsi="Times New Roman" w:cs="Times New Roman" w:hint="eastAsia"/>
                <w:kern w:val="0"/>
              </w:rPr>
              <w:t>部分</w:t>
            </w:r>
            <w:r>
              <w:rPr>
                <w:rFonts w:ascii="Times New Roman" w:eastAsia="宋体" w:hAnsi="Times New Roman" w:cs="Times New Roman"/>
                <w:kern w:val="0"/>
              </w:rPr>
              <w:t>用于场内自用，</w:t>
            </w:r>
            <w:r>
              <w:rPr>
                <w:rFonts w:ascii="Times New Roman" w:eastAsia="宋体" w:hAnsi="Times New Roman" w:cs="Times New Roman" w:hint="eastAsia"/>
                <w:kern w:val="0"/>
              </w:rPr>
              <w:t>剩余尾水</w:t>
            </w:r>
            <w:r>
              <w:rPr>
                <w:rFonts w:ascii="Times New Roman" w:eastAsia="宋体" w:hAnsi="Times New Roman" w:cs="Times New Roman"/>
                <w:kern w:val="0"/>
              </w:rPr>
              <w:t>采用槽罐车运输方式，运至柞水县污水处理厂</w:t>
            </w:r>
          </w:p>
        </w:tc>
      </w:tr>
      <w:tr w:rsidR="009C1DA4" w14:paraId="4FBA559F" w14:textId="77777777">
        <w:trPr>
          <w:trHeight w:val="224"/>
          <w:jc w:val="center"/>
        </w:trPr>
        <w:tc>
          <w:tcPr>
            <w:tcW w:w="847" w:type="dxa"/>
            <w:vMerge/>
          </w:tcPr>
          <w:p w14:paraId="5F6CF108" w14:textId="77777777" w:rsidR="009C1DA4" w:rsidRDefault="009C1DA4">
            <w:pPr>
              <w:pStyle w:val="affffd"/>
              <w:rPr>
                <w:rFonts w:ascii="Times New Roman" w:eastAsia="宋体" w:hAnsi="Times New Roman" w:cs="Times New Roman"/>
              </w:rPr>
            </w:pPr>
          </w:p>
        </w:tc>
        <w:tc>
          <w:tcPr>
            <w:tcW w:w="566" w:type="dxa"/>
            <w:vMerge/>
            <w:vAlign w:val="center"/>
          </w:tcPr>
          <w:p w14:paraId="7167B1DF" w14:textId="77777777" w:rsidR="009C1DA4" w:rsidRDefault="009C1DA4">
            <w:pPr>
              <w:pStyle w:val="affffd"/>
              <w:rPr>
                <w:rFonts w:ascii="Times New Roman" w:eastAsia="宋体" w:hAnsi="Times New Roman" w:cs="Times New Roman"/>
              </w:rPr>
            </w:pPr>
          </w:p>
        </w:tc>
        <w:tc>
          <w:tcPr>
            <w:tcW w:w="1134" w:type="dxa"/>
            <w:vAlign w:val="center"/>
          </w:tcPr>
          <w:p w14:paraId="321F9C6B" w14:textId="546DB301" w:rsidR="009C1DA4" w:rsidRPr="009C1DA4" w:rsidRDefault="009C1DA4">
            <w:pPr>
              <w:pStyle w:val="affffd"/>
              <w:rPr>
                <w:rFonts w:ascii="Times New Roman" w:eastAsia="宋体" w:hAnsi="Times New Roman" w:cs="Times New Roman"/>
                <w:color w:val="FF0000"/>
              </w:rPr>
            </w:pPr>
            <w:r w:rsidRPr="009C1DA4">
              <w:rPr>
                <w:rFonts w:ascii="Times New Roman" w:eastAsia="宋体" w:hAnsi="Times New Roman" w:cs="Times New Roman" w:hint="eastAsia"/>
                <w:color w:val="FF0000"/>
              </w:rPr>
              <w:t>纳滤和反渗透浓液</w:t>
            </w:r>
          </w:p>
        </w:tc>
        <w:tc>
          <w:tcPr>
            <w:tcW w:w="7371" w:type="dxa"/>
            <w:vAlign w:val="center"/>
          </w:tcPr>
          <w:p w14:paraId="01C077A3" w14:textId="2DD12FD5" w:rsidR="009C1DA4" w:rsidRPr="009C1DA4" w:rsidRDefault="009C1DA4" w:rsidP="009C1DA4">
            <w:pPr>
              <w:pStyle w:val="affffd"/>
              <w:rPr>
                <w:rFonts w:ascii="Times New Roman" w:eastAsia="宋体" w:hAnsi="Times New Roman" w:cs="Times New Roman"/>
                <w:color w:val="FF0000"/>
              </w:rPr>
            </w:pPr>
            <w:r w:rsidRPr="009C1DA4">
              <w:rPr>
                <w:rFonts w:ascii="Times New Roman" w:eastAsia="宋体" w:hAnsi="Times New Roman" w:cs="Times New Roman" w:hint="eastAsia"/>
                <w:color w:val="FF0000"/>
              </w:rPr>
              <w:t>纳滤和反渗透产生的浓缩液回灌于填埋区</w:t>
            </w:r>
          </w:p>
        </w:tc>
      </w:tr>
      <w:tr w:rsidR="00D12939" w14:paraId="6618E129" w14:textId="77777777">
        <w:trPr>
          <w:trHeight w:val="224"/>
          <w:jc w:val="center"/>
        </w:trPr>
        <w:tc>
          <w:tcPr>
            <w:tcW w:w="847" w:type="dxa"/>
            <w:vMerge/>
          </w:tcPr>
          <w:p w14:paraId="1C587EE4" w14:textId="77777777" w:rsidR="00D12939" w:rsidRDefault="00D12939">
            <w:pPr>
              <w:pStyle w:val="affffd"/>
              <w:rPr>
                <w:rFonts w:ascii="Times New Roman" w:eastAsia="宋体" w:hAnsi="Times New Roman" w:cs="Times New Roman"/>
              </w:rPr>
            </w:pPr>
          </w:p>
        </w:tc>
        <w:tc>
          <w:tcPr>
            <w:tcW w:w="566" w:type="dxa"/>
            <w:vMerge/>
            <w:vAlign w:val="center"/>
          </w:tcPr>
          <w:p w14:paraId="0A08B025" w14:textId="77777777" w:rsidR="00D12939" w:rsidRDefault="00D12939">
            <w:pPr>
              <w:pStyle w:val="affffd"/>
              <w:rPr>
                <w:rFonts w:ascii="Times New Roman" w:eastAsia="宋体" w:hAnsi="Times New Roman" w:cs="Times New Roman"/>
              </w:rPr>
            </w:pPr>
          </w:p>
        </w:tc>
        <w:tc>
          <w:tcPr>
            <w:tcW w:w="1134" w:type="dxa"/>
            <w:vAlign w:val="center"/>
          </w:tcPr>
          <w:p w14:paraId="0A5A419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生活污水</w:t>
            </w:r>
          </w:p>
        </w:tc>
        <w:tc>
          <w:tcPr>
            <w:tcW w:w="7371" w:type="dxa"/>
            <w:vAlign w:val="center"/>
          </w:tcPr>
          <w:p w14:paraId="43927ED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生活污水经化粪池处理后排至填埋场调节池内，进入渗沥液处理站处理</w:t>
            </w:r>
          </w:p>
        </w:tc>
      </w:tr>
      <w:tr w:rsidR="00D12939" w14:paraId="228FBD8A" w14:textId="77777777">
        <w:trPr>
          <w:trHeight w:val="224"/>
          <w:jc w:val="center"/>
        </w:trPr>
        <w:tc>
          <w:tcPr>
            <w:tcW w:w="847" w:type="dxa"/>
            <w:vMerge/>
          </w:tcPr>
          <w:p w14:paraId="6382C0AD" w14:textId="77777777" w:rsidR="00D12939" w:rsidRDefault="00D12939">
            <w:pPr>
              <w:pStyle w:val="affffd"/>
              <w:rPr>
                <w:rFonts w:ascii="Times New Roman" w:eastAsia="宋体" w:hAnsi="Times New Roman" w:cs="Times New Roman"/>
              </w:rPr>
            </w:pPr>
          </w:p>
        </w:tc>
        <w:tc>
          <w:tcPr>
            <w:tcW w:w="566" w:type="dxa"/>
            <w:vMerge/>
            <w:vAlign w:val="center"/>
          </w:tcPr>
          <w:p w14:paraId="2A26A46F" w14:textId="77777777" w:rsidR="00D12939" w:rsidRDefault="00D12939">
            <w:pPr>
              <w:pStyle w:val="affffd"/>
              <w:rPr>
                <w:rFonts w:ascii="Times New Roman" w:eastAsia="宋体" w:hAnsi="Times New Roman" w:cs="Times New Roman"/>
              </w:rPr>
            </w:pPr>
          </w:p>
        </w:tc>
        <w:tc>
          <w:tcPr>
            <w:tcW w:w="1134" w:type="dxa"/>
            <w:vAlign w:val="center"/>
          </w:tcPr>
          <w:p w14:paraId="277F0C45"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反冲洗废水</w:t>
            </w:r>
          </w:p>
        </w:tc>
        <w:tc>
          <w:tcPr>
            <w:tcW w:w="7371" w:type="dxa"/>
            <w:vAlign w:val="center"/>
          </w:tcPr>
          <w:p w14:paraId="500673A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进入渗沥液处理站处理</w:t>
            </w:r>
          </w:p>
        </w:tc>
      </w:tr>
      <w:tr w:rsidR="00D12939" w14:paraId="4B70C0BD" w14:textId="77777777">
        <w:trPr>
          <w:trHeight w:val="224"/>
          <w:jc w:val="center"/>
        </w:trPr>
        <w:tc>
          <w:tcPr>
            <w:tcW w:w="847" w:type="dxa"/>
            <w:vMerge/>
          </w:tcPr>
          <w:p w14:paraId="7F6711E0" w14:textId="77777777" w:rsidR="00D12939" w:rsidRDefault="00D12939">
            <w:pPr>
              <w:pStyle w:val="affffd"/>
              <w:rPr>
                <w:rFonts w:ascii="Times New Roman" w:eastAsia="宋体" w:hAnsi="Times New Roman" w:cs="Times New Roman"/>
              </w:rPr>
            </w:pPr>
          </w:p>
        </w:tc>
        <w:tc>
          <w:tcPr>
            <w:tcW w:w="566" w:type="dxa"/>
            <w:vMerge/>
            <w:vAlign w:val="center"/>
          </w:tcPr>
          <w:p w14:paraId="3025A7CD" w14:textId="77777777" w:rsidR="00D12939" w:rsidRDefault="00D12939">
            <w:pPr>
              <w:pStyle w:val="affffd"/>
              <w:rPr>
                <w:rFonts w:ascii="Times New Roman" w:eastAsia="宋体" w:hAnsi="Times New Roman" w:cs="Times New Roman"/>
              </w:rPr>
            </w:pPr>
          </w:p>
        </w:tc>
        <w:tc>
          <w:tcPr>
            <w:tcW w:w="1134" w:type="dxa"/>
            <w:vAlign w:val="center"/>
          </w:tcPr>
          <w:p w14:paraId="2FA32CD4"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渗滤液处理车间地面冲洗废水</w:t>
            </w:r>
          </w:p>
        </w:tc>
        <w:tc>
          <w:tcPr>
            <w:tcW w:w="7371" w:type="dxa"/>
            <w:vAlign w:val="center"/>
          </w:tcPr>
          <w:p w14:paraId="21FB943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进入渗沥液处理站处理</w:t>
            </w:r>
          </w:p>
        </w:tc>
      </w:tr>
      <w:tr w:rsidR="00D12939" w14:paraId="18C749E3" w14:textId="77777777">
        <w:trPr>
          <w:trHeight w:val="513"/>
          <w:jc w:val="center"/>
        </w:trPr>
        <w:tc>
          <w:tcPr>
            <w:tcW w:w="847" w:type="dxa"/>
            <w:vMerge/>
          </w:tcPr>
          <w:p w14:paraId="3F9F018E" w14:textId="77777777" w:rsidR="00D12939" w:rsidRDefault="00D12939">
            <w:pPr>
              <w:pStyle w:val="affffd"/>
              <w:rPr>
                <w:rFonts w:ascii="Times New Roman" w:eastAsia="宋体" w:hAnsi="Times New Roman" w:cs="Times New Roman"/>
              </w:rPr>
            </w:pPr>
          </w:p>
        </w:tc>
        <w:tc>
          <w:tcPr>
            <w:tcW w:w="566" w:type="dxa"/>
            <w:vMerge/>
            <w:vAlign w:val="center"/>
          </w:tcPr>
          <w:p w14:paraId="520B77D5" w14:textId="77777777" w:rsidR="00D12939" w:rsidRDefault="00D12939">
            <w:pPr>
              <w:pStyle w:val="affffd"/>
              <w:rPr>
                <w:rFonts w:ascii="Times New Roman" w:eastAsia="宋体" w:hAnsi="Times New Roman" w:cs="Times New Roman"/>
              </w:rPr>
            </w:pPr>
          </w:p>
        </w:tc>
        <w:tc>
          <w:tcPr>
            <w:tcW w:w="1134" w:type="dxa"/>
            <w:vAlign w:val="center"/>
          </w:tcPr>
          <w:p w14:paraId="1D00F8A7"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洗车</w:t>
            </w:r>
            <w:r>
              <w:rPr>
                <w:rFonts w:ascii="Times New Roman" w:eastAsia="宋体" w:hAnsi="Times New Roman" w:cs="Times New Roman"/>
              </w:rPr>
              <w:t>废水</w:t>
            </w:r>
          </w:p>
        </w:tc>
        <w:tc>
          <w:tcPr>
            <w:tcW w:w="7371" w:type="dxa"/>
            <w:vAlign w:val="center"/>
          </w:tcPr>
          <w:p w14:paraId="494FE31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项目洗车废水经自然沉淀处理后全部回用于填埋场洒水降尘</w:t>
            </w:r>
          </w:p>
        </w:tc>
      </w:tr>
      <w:tr w:rsidR="00D12939" w14:paraId="00EA20A4" w14:textId="77777777">
        <w:trPr>
          <w:trHeight w:val="513"/>
          <w:jc w:val="center"/>
        </w:trPr>
        <w:tc>
          <w:tcPr>
            <w:tcW w:w="847" w:type="dxa"/>
            <w:vMerge/>
          </w:tcPr>
          <w:p w14:paraId="306A5837" w14:textId="77777777" w:rsidR="00D12939" w:rsidRDefault="00D12939">
            <w:pPr>
              <w:pStyle w:val="affffd"/>
              <w:rPr>
                <w:rFonts w:ascii="Times New Roman" w:eastAsia="宋体" w:hAnsi="Times New Roman" w:cs="Times New Roman"/>
              </w:rPr>
            </w:pPr>
          </w:p>
        </w:tc>
        <w:tc>
          <w:tcPr>
            <w:tcW w:w="566" w:type="dxa"/>
            <w:vMerge w:val="restart"/>
            <w:vAlign w:val="center"/>
          </w:tcPr>
          <w:p w14:paraId="7AC70C2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固体废物</w:t>
            </w:r>
          </w:p>
        </w:tc>
        <w:tc>
          <w:tcPr>
            <w:tcW w:w="1134" w:type="dxa"/>
            <w:vAlign w:val="center"/>
          </w:tcPr>
          <w:p w14:paraId="4129E34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污泥</w:t>
            </w:r>
          </w:p>
        </w:tc>
        <w:tc>
          <w:tcPr>
            <w:tcW w:w="7371" w:type="dxa"/>
            <w:vAlign w:val="center"/>
          </w:tcPr>
          <w:p w14:paraId="7F01BE3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经脱水处理后，进入生活垃圾填埋场填埋处理</w:t>
            </w:r>
          </w:p>
        </w:tc>
      </w:tr>
      <w:tr w:rsidR="00D12939" w14:paraId="792079A6" w14:textId="77777777">
        <w:trPr>
          <w:trHeight w:val="513"/>
          <w:jc w:val="center"/>
        </w:trPr>
        <w:tc>
          <w:tcPr>
            <w:tcW w:w="847" w:type="dxa"/>
            <w:vMerge/>
          </w:tcPr>
          <w:p w14:paraId="30F2E7F4" w14:textId="77777777" w:rsidR="00D12939" w:rsidRDefault="00D12939">
            <w:pPr>
              <w:pStyle w:val="affffd"/>
              <w:rPr>
                <w:rFonts w:ascii="Times New Roman" w:eastAsia="宋体" w:hAnsi="Times New Roman" w:cs="Times New Roman"/>
              </w:rPr>
            </w:pPr>
          </w:p>
        </w:tc>
        <w:tc>
          <w:tcPr>
            <w:tcW w:w="566" w:type="dxa"/>
            <w:vMerge/>
            <w:vAlign w:val="center"/>
          </w:tcPr>
          <w:p w14:paraId="71B95434" w14:textId="77777777" w:rsidR="00D12939" w:rsidRDefault="00D12939">
            <w:pPr>
              <w:pStyle w:val="affffd"/>
              <w:rPr>
                <w:rFonts w:ascii="Times New Roman" w:eastAsia="宋体" w:hAnsi="Times New Roman" w:cs="Times New Roman"/>
              </w:rPr>
            </w:pPr>
          </w:p>
        </w:tc>
        <w:tc>
          <w:tcPr>
            <w:tcW w:w="1134" w:type="dxa"/>
            <w:vAlign w:val="center"/>
          </w:tcPr>
          <w:p w14:paraId="6DE04F0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废滤膜</w:t>
            </w:r>
          </w:p>
        </w:tc>
        <w:tc>
          <w:tcPr>
            <w:tcW w:w="7371" w:type="dxa"/>
            <w:vAlign w:val="center"/>
          </w:tcPr>
          <w:p w14:paraId="5145AD9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收集后暂存于危废间，定期交有资质单位进行处理</w:t>
            </w:r>
          </w:p>
        </w:tc>
      </w:tr>
      <w:tr w:rsidR="00D12939" w14:paraId="0385E8D1" w14:textId="77777777">
        <w:trPr>
          <w:trHeight w:val="513"/>
          <w:jc w:val="center"/>
        </w:trPr>
        <w:tc>
          <w:tcPr>
            <w:tcW w:w="847" w:type="dxa"/>
            <w:vMerge/>
          </w:tcPr>
          <w:p w14:paraId="6DE7DDAC" w14:textId="77777777" w:rsidR="00D12939" w:rsidRDefault="00D12939">
            <w:pPr>
              <w:pStyle w:val="affffd"/>
              <w:rPr>
                <w:rFonts w:ascii="Times New Roman" w:eastAsia="宋体" w:hAnsi="Times New Roman" w:cs="Times New Roman"/>
              </w:rPr>
            </w:pPr>
          </w:p>
        </w:tc>
        <w:tc>
          <w:tcPr>
            <w:tcW w:w="566" w:type="dxa"/>
            <w:vMerge/>
            <w:vAlign w:val="center"/>
          </w:tcPr>
          <w:p w14:paraId="732FFFCD" w14:textId="77777777" w:rsidR="00D12939" w:rsidRDefault="00D12939">
            <w:pPr>
              <w:pStyle w:val="affffd"/>
              <w:rPr>
                <w:rFonts w:ascii="Times New Roman" w:eastAsia="宋体" w:hAnsi="Times New Roman" w:cs="Times New Roman"/>
              </w:rPr>
            </w:pPr>
          </w:p>
        </w:tc>
        <w:tc>
          <w:tcPr>
            <w:tcW w:w="1134" w:type="dxa"/>
            <w:vAlign w:val="center"/>
          </w:tcPr>
          <w:p w14:paraId="1375401B"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废机油</w:t>
            </w:r>
          </w:p>
        </w:tc>
        <w:tc>
          <w:tcPr>
            <w:tcW w:w="7371" w:type="dxa"/>
            <w:vAlign w:val="center"/>
          </w:tcPr>
          <w:p w14:paraId="1428FD3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收集后暂存于危废间，定期交有资质单位进行处理</w:t>
            </w:r>
          </w:p>
        </w:tc>
      </w:tr>
      <w:tr w:rsidR="00D12939" w14:paraId="49E7420D" w14:textId="77777777">
        <w:trPr>
          <w:trHeight w:val="513"/>
          <w:jc w:val="center"/>
        </w:trPr>
        <w:tc>
          <w:tcPr>
            <w:tcW w:w="847" w:type="dxa"/>
            <w:vMerge/>
          </w:tcPr>
          <w:p w14:paraId="43414D40" w14:textId="77777777" w:rsidR="00D12939" w:rsidRDefault="00D12939">
            <w:pPr>
              <w:pStyle w:val="affffd"/>
              <w:rPr>
                <w:rFonts w:ascii="Times New Roman" w:eastAsia="宋体" w:hAnsi="Times New Roman" w:cs="Times New Roman"/>
              </w:rPr>
            </w:pPr>
          </w:p>
        </w:tc>
        <w:tc>
          <w:tcPr>
            <w:tcW w:w="566" w:type="dxa"/>
            <w:vMerge/>
            <w:vAlign w:val="center"/>
          </w:tcPr>
          <w:p w14:paraId="3B3D7A59" w14:textId="77777777" w:rsidR="00D12939" w:rsidRDefault="00D12939">
            <w:pPr>
              <w:pStyle w:val="affffd"/>
              <w:rPr>
                <w:rFonts w:ascii="Times New Roman" w:eastAsia="宋体" w:hAnsi="Times New Roman" w:cs="Times New Roman"/>
              </w:rPr>
            </w:pPr>
          </w:p>
        </w:tc>
        <w:tc>
          <w:tcPr>
            <w:tcW w:w="1134" w:type="dxa"/>
            <w:vAlign w:val="center"/>
          </w:tcPr>
          <w:p w14:paraId="408B89F7"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药剂废包装</w:t>
            </w:r>
          </w:p>
        </w:tc>
        <w:tc>
          <w:tcPr>
            <w:tcW w:w="7371" w:type="dxa"/>
            <w:vAlign w:val="center"/>
          </w:tcPr>
          <w:p w14:paraId="4438963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收集后暂存于危废间，定期交有资质单位进行处理</w:t>
            </w:r>
          </w:p>
        </w:tc>
      </w:tr>
      <w:tr w:rsidR="00D12939" w14:paraId="52EBAF04" w14:textId="77777777">
        <w:trPr>
          <w:trHeight w:val="513"/>
          <w:jc w:val="center"/>
        </w:trPr>
        <w:tc>
          <w:tcPr>
            <w:tcW w:w="847" w:type="dxa"/>
            <w:vMerge/>
          </w:tcPr>
          <w:p w14:paraId="47DDBB8C" w14:textId="77777777" w:rsidR="00D12939" w:rsidRDefault="00D12939">
            <w:pPr>
              <w:pStyle w:val="affffd"/>
              <w:rPr>
                <w:rFonts w:ascii="Times New Roman" w:eastAsia="宋体" w:hAnsi="Times New Roman" w:cs="Times New Roman"/>
              </w:rPr>
            </w:pPr>
          </w:p>
        </w:tc>
        <w:tc>
          <w:tcPr>
            <w:tcW w:w="566" w:type="dxa"/>
            <w:vMerge/>
            <w:vAlign w:val="center"/>
          </w:tcPr>
          <w:p w14:paraId="2070C6FF" w14:textId="77777777" w:rsidR="00D12939" w:rsidRDefault="00D12939">
            <w:pPr>
              <w:pStyle w:val="affffd"/>
              <w:rPr>
                <w:rFonts w:ascii="Times New Roman" w:eastAsia="宋体" w:hAnsi="Times New Roman" w:cs="Times New Roman"/>
              </w:rPr>
            </w:pPr>
          </w:p>
        </w:tc>
        <w:tc>
          <w:tcPr>
            <w:tcW w:w="1134" w:type="dxa"/>
            <w:vAlign w:val="center"/>
          </w:tcPr>
          <w:p w14:paraId="218EF60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生活垃圾</w:t>
            </w:r>
          </w:p>
        </w:tc>
        <w:tc>
          <w:tcPr>
            <w:tcW w:w="7371" w:type="dxa"/>
            <w:vAlign w:val="center"/>
          </w:tcPr>
          <w:p w14:paraId="04808E9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进入生活垃圾填埋场填埋处理</w:t>
            </w:r>
          </w:p>
        </w:tc>
      </w:tr>
      <w:tr w:rsidR="002A4A5F" w14:paraId="60475F1A" w14:textId="77777777">
        <w:trPr>
          <w:trHeight w:val="187"/>
          <w:jc w:val="center"/>
        </w:trPr>
        <w:tc>
          <w:tcPr>
            <w:tcW w:w="847" w:type="dxa"/>
            <w:vMerge/>
          </w:tcPr>
          <w:p w14:paraId="36A61D12" w14:textId="77777777" w:rsidR="002A4A5F" w:rsidRDefault="002A4A5F" w:rsidP="002A4A5F">
            <w:pPr>
              <w:pStyle w:val="affffd"/>
              <w:rPr>
                <w:rFonts w:ascii="Times New Roman" w:eastAsia="宋体" w:hAnsi="Times New Roman" w:cs="Times New Roman"/>
              </w:rPr>
            </w:pPr>
          </w:p>
        </w:tc>
        <w:tc>
          <w:tcPr>
            <w:tcW w:w="1700" w:type="dxa"/>
            <w:gridSpan w:val="2"/>
            <w:vAlign w:val="center"/>
          </w:tcPr>
          <w:p w14:paraId="1DB6159B" w14:textId="2BAE95DF" w:rsidR="002A4A5F" w:rsidRDefault="002A4A5F" w:rsidP="002A4A5F">
            <w:pPr>
              <w:pStyle w:val="affffd"/>
              <w:rPr>
                <w:rFonts w:ascii="Times New Roman" w:eastAsia="宋体" w:hAnsi="Times New Roman" w:cs="Times New Roman"/>
              </w:rPr>
            </w:pPr>
            <w:r>
              <w:rPr>
                <w:rFonts w:ascii="Times New Roman" w:eastAsia="宋体" w:hAnsi="Times New Roman" w:cs="Times New Roman"/>
                <w:color w:val="FF0000"/>
              </w:rPr>
              <w:t>地下水监测</w:t>
            </w:r>
          </w:p>
        </w:tc>
        <w:tc>
          <w:tcPr>
            <w:tcW w:w="7371" w:type="dxa"/>
            <w:vAlign w:val="center"/>
          </w:tcPr>
          <w:p w14:paraId="3AC630B5" w14:textId="2F00C93B" w:rsidR="002A4A5F" w:rsidRDefault="002A4A5F" w:rsidP="002A4A5F">
            <w:pPr>
              <w:pStyle w:val="affffd"/>
              <w:jc w:val="both"/>
              <w:rPr>
                <w:rFonts w:ascii="Times New Roman" w:eastAsia="宋体" w:hAnsi="Times New Roman" w:cs="Times New Roman"/>
                <w:highlight w:val="yellow"/>
              </w:rPr>
            </w:pPr>
            <w:r>
              <w:rPr>
                <w:rFonts w:ascii="Times New Roman" w:eastAsia="宋体" w:hAnsi="Times New Roman" w:cs="Times New Roman"/>
                <w:color w:val="FF0000"/>
              </w:rPr>
              <w:t>在</w:t>
            </w:r>
            <w:r>
              <w:rPr>
                <w:rFonts w:ascii="Times New Roman" w:eastAsia="宋体" w:hAnsi="Times New Roman" w:cs="Times New Roman" w:hint="eastAsia"/>
                <w:color w:val="FF0000"/>
              </w:rPr>
              <w:t>小六里沟附近泉水露头设</w:t>
            </w:r>
            <w:r>
              <w:rPr>
                <w:rFonts w:ascii="Times New Roman" w:eastAsia="宋体" w:hAnsi="Times New Roman" w:cs="Times New Roman" w:hint="eastAsia"/>
                <w:color w:val="FF0000"/>
              </w:rPr>
              <w:t>1</w:t>
            </w:r>
            <w:r>
              <w:rPr>
                <w:rFonts w:ascii="Times New Roman" w:eastAsia="宋体" w:hAnsi="Times New Roman" w:cs="Times New Roman" w:hint="eastAsia"/>
                <w:color w:val="FF0000"/>
              </w:rPr>
              <w:t>座本底井，在渗滤液调节池下游新建</w:t>
            </w:r>
            <w:r>
              <w:rPr>
                <w:rFonts w:ascii="Times New Roman" w:eastAsia="宋体" w:hAnsi="Times New Roman" w:cs="Times New Roman" w:hint="eastAsia"/>
                <w:color w:val="FF0000"/>
              </w:rPr>
              <w:t>3</w:t>
            </w:r>
            <w:r>
              <w:rPr>
                <w:rFonts w:ascii="Times New Roman" w:eastAsia="宋体" w:hAnsi="Times New Roman" w:cs="Times New Roman"/>
                <w:color w:val="FF0000"/>
              </w:rPr>
              <w:t>0</w:t>
            </w:r>
            <w:r>
              <w:rPr>
                <w:rFonts w:ascii="Times New Roman" w:eastAsia="宋体" w:hAnsi="Times New Roman" w:cs="Times New Roman" w:hint="eastAsia"/>
                <w:color w:val="FF0000"/>
              </w:rPr>
              <w:t>m</w:t>
            </w:r>
            <w:r>
              <w:rPr>
                <w:rFonts w:ascii="Times New Roman" w:eastAsia="宋体" w:hAnsi="Times New Roman" w:cs="Times New Roman" w:hint="eastAsia"/>
                <w:color w:val="FF0000"/>
              </w:rPr>
              <w:t>设</w:t>
            </w:r>
            <w:r>
              <w:rPr>
                <w:rFonts w:ascii="Times New Roman" w:eastAsia="宋体" w:hAnsi="Times New Roman" w:cs="Times New Roman" w:hint="eastAsia"/>
                <w:color w:val="FF0000"/>
              </w:rPr>
              <w:t>1</w:t>
            </w:r>
            <w:r>
              <w:rPr>
                <w:rFonts w:ascii="Times New Roman" w:eastAsia="宋体" w:hAnsi="Times New Roman" w:cs="Times New Roman" w:hint="eastAsia"/>
                <w:color w:val="FF0000"/>
              </w:rPr>
              <w:t>座跟踪监测井，在填埋场区新建</w:t>
            </w:r>
            <w:r>
              <w:rPr>
                <w:rFonts w:ascii="Times New Roman" w:eastAsia="宋体" w:hAnsi="Times New Roman" w:cs="Times New Roman" w:hint="eastAsia"/>
                <w:color w:val="FF0000"/>
              </w:rPr>
              <w:t>2</w:t>
            </w:r>
            <w:r>
              <w:rPr>
                <w:rFonts w:ascii="Times New Roman" w:eastAsia="宋体" w:hAnsi="Times New Roman" w:cs="Times New Roman" w:hint="eastAsia"/>
                <w:color w:val="FF0000"/>
              </w:rPr>
              <w:t>座污染扩散井，在松林村附近新建</w:t>
            </w:r>
            <w:r>
              <w:rPr>
                <w:rFonts w:ascii="Times New Roman" w:eastAsia="宋体" w:hAnsi="Times New Roman" w:cs="Times New Roman"/>
                <w:color w:val="FF0000"/>
              </w:rPr>
              <w:t>2</w:t>
            </w:r>
            <w:r>
              <w:rPr>
                <w:rFonts w:ascii="Times New Roman" w:eastAsia="宋体" w:hAnsi="Times New Roman" w:cs="Times New Roman" w:hint="eastAsia"/>
                <w:color w:val="FF0000"/>
              </w:rPr>
              <w:t>座污染监视井。</w:t>
            </w:r>
          </w:p>
        </w:tc>
      </w:tr>
      <w:tr w:rsidR="009C1DA4" w14:paraId="229335DA" w14:textId="77777777">
        <w:trPr>
          <w:trHeight w:val="187"/>
          <w:jc w:val="center"/>
        </w:trPr>
        <w:tc>
          <w:tcPr>
            <w:tcW w:w="847" w:type="dxa"/>
            <w:vMerge/>
          </w:tcPr>
          <w:p w14:paraId="0734A270" w14:textId="77777777" w:rsidR="009C1DA4" w:rsidRDefault="009C1DA4">
            <w:pPr>
              <w:pStyle w:val="affffd"/>
              <w:rPr>
                <w:rFonts w:ascii="Times New Roman" w:eastAsia="宋体" w:hAnsi="Times New Roman" w:cs="Times New Roman"/>
              </w:rPr>
            </w:pPr>
          </w:p>
        </w:tc>
        <w:tc>
          <w:tcPr>
            <w:tcW w:w="1700" w:type="dxa"/>
            <w:gridSpan w:val="2"/>
            <w:vAlign w:val="center"/>
          </w:tcPr>
          <w:p w14:paraId="0948562B" w14:textId="13E5235C" w:rsidR="009C1DA4" w:rsidRPr="009C1DA4" w:rsidRDefault="009C1DA4">
            <w:pPr>
              <w:pStyle w:val="affffd"/>
              <w:rPr>
                <w:rFonts w:ascii="Times New Roman" w:eastAsia="宋体" w:hAnsi="Times New Roman" w:cs="Times New Roman"/>
                <w:color w:val="FF0000"/>
              </w:rPr>
            </w:pPr>
            <w:r w:rsidRPr="009C1DA4">
              <w:rPr>
                <w:rFonts w:ascii="Times New Roman" w:eastAsia="宋体" w:hAnsi="Times New Roman" w:cs="Times New Roman" w:hint="eastAsia"/>
                <w:color w:val="FF0000"/>
              </w:rPr>
              <w:t>风险</w:t>
            </w:r>
          </w:p>
        </w:tc>
        <w:tc>
          <w:tcPr>
            <w:tcW w:w="7371" w:type="dxa"/>
            <w:vAlign w:val="center"/>
          </w:tcPr>
          <w:p w14:paraId="371E5AEE" w14:textId="79DE49F4" w:rsidR="009C1DA4" w:rsidRPr="009C1DA4" w:rsidRDefault="009C1DA4" w:rsidP="009C1DA4">
            <w:pPr>
              <w:pStyle w:val="affffd"/>
              <w:jc w:val="both"/>
              <w:rPr>
                <w:rFonts w:ascii="Times New Roman" w:eastAsia="宋体" w:hAnsi="Times New Roman" w:cs="Times New Roman"/>
                <w:color w:val="FF0000"/>
              </w:rPr>
            </w:pPr>
            <w:r w:rsidRPr="009C1DA4">
              <w:rPr>
                <w:rFonts w:ascii="Times New Roman" w:eastAsia="宋体" w:hAnsi="Times New Roman" w:cs="Times New Roman" w:hint="eastAsia"/>
                <w:color w:val="FF0000"/>
              </w:rPr>
              <w:t>项目设有一座</w:t>
            </w:r>
            <w:r w:rsidRPr="009C1DA4">
              <w:rPr>
                <w:rFonts w:ascii="Times New Roman" w:eastAsia="宋体" w:hAnsi="Times New Roman" w:cs="Times New Roman"/>
                <w:color w:val="FF0000"/>
              </w:rPr>
              <w:t>有效容积为</w:t>
            </w:r>
            <w:r w:rsidRPr="009C1DA4">
              <w:rPr>
                <w:rFonts w:ascii="Times New Roman" w:eastAsia="宋体" w:hAnsi="Times New Roman" w:cs="Times New Roman"/>
                <w:color w:val="FF0000"/>
              </w:rPr>
              <w:t>1800m</w:t>
            </w:r>
            <w:r w:rsidRPr="009C1DA4">
              <w:rPr>
                <w:rFonts w:ascii="Times New Roman" w:eastAsia="宋体" w:hAnsi="Times New Roman" w:cs="Times New Roman"/>
                <w:color w:val="FF0000"/>
                <w:vertAlign w:val="superscript"/>
              </w:rPr>
              <w:t>3</w:t>
            </w:r>
            <w:r w:rsidRPr="009C1DA4">
              <w:rPr>
                <w:rFonts w:ascii="Times New Roman" w:eastAsia="宋体" w:hAnsi="Times New Roman" w:cs="Times New Roman"/>
                <w:color w:val="FF0000"/>
              </w:rPr>
              <w:t>的调节池</w:t>
            </w:r>
            <w:r w:rsidRPr="009C1DA4">
              <w:rPr>
                <w:rFonts w:ascii="Times New Roman" w:eastAsia="宋体" w:hAnsi="Times New Roman" w:cs="Times New Roman" w:hint="eastAsia"/>
                <w:color w:val="FF0000"/>
              </w:rPr>
              <w:t>，调节池兼做渗滤液收集池和事故池。</w:t>
            </w:r>
          </w:p>
        </w:tc>
      </w:tr>
      <w:tr w:rsidR="00D12939" w14:paraId="1527E423" w14:textId="77777777">
        <w:trPr>
          <w:trHeight w:val="224"/>
          <w:jc w:val="center"/>
        </w:trPr>
        <w:tc>
          <w:tcPr>
            <w:tcW w:w="847" w:type="dxa"/>
            <w:vMerge/>
          </w:tcPr>
          <w:p w14:paraId="2D184FFF" w14:textId="77777777" w:rsidR="00D12939" w:rsidRDefault="00D12939">
            <w:pPr>
              <w:pStyle w:val="affffd"/>
              <w:rPr>
                <w:rFonts w:ascii="Times New Roman" w:eastAsia="宋体" w:hAnsi="Times New Roman" w:cs="Times New Roman"/>
              </w:rPr>
            </w:pPr>
          </w:p>
        </w:tc>
        <w:tc>
          <w:tcPr>
            <w:tcW w:w="1700" w:type="dxa"/>
            <w:gridSpan w:val="2"/>
            <w:vAlign w:val="center"/>
          </w:tcPr>
          <w:p w14:paraId="18C1C48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噪声</w:t>
            </w:r>
          </w:p>
        </w:tc>
        <w:tc>
          <w:tcPr>
            <w:tcW w:w="7371" w:type="dxa"/>
            <w:vAlign w:val="center"/>
          </w:tcPr>
          <w:p w14:paraId="5C9D2F2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选用低噪声设备，加强管理。</w:t>
            </w:r>
          </w:p>
        </w:tc>
      </w:tr>
      <w:tr w:rsidR="00D12939" w14:paraId="0716C153" w14:textId="77777777">
        <w:trPr>
          <w:trHeight w:val="224"/>
          <w:jc w:val="center"/>
        </w:trPr>
        <w:tc>
          <w:tcPr>
            <w:tcW w:w="847" w:type="dxa"/>
            <w:vMerge/>
          </w:tcPr>
          <w:p w14:paraId="3667BFD3" w14:textId="77777777" w:rsidR="00D12939" w:rsidRDefault="00D12939">
            <w:pPr>
              <w:pStyle w:val="affffd"/>
              <w:rPr>
                <w:rFonts w:ascii="Times New Roman" w:eastAsia="宋体" w:hAnsi="Times New Roman" w:cs="Times New Roman"/>
              </w:rPr>
            </w:pPr>
          </w:p>
        </w:tc>
        <w:tc>
          <w:tcPr>
            <w:tcW w:w="1700" w:type="dxa"/>
            <w:gridSpan w:val="2"/>
            <w:vAlign w:val="center"/>
          </w:tcPr>
          <w:p w14:paraId="4536C27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场界四周绿化</w:t>
            </w:r>
          </w:p>
        </w:tc>
        <w:tc>
          <w:tcPr>
            <w:tcW w:w="7371" w:type="dxa"/>
            <w:vAlign w:val="center"/>
          </w:tcPr>
          <w:p w14:paraId="60CF2DA3" w14:textId="77777777" w:rsidR="00D12939" w:rsidRDefault="004F47F5">
            <w:pPr>
              <w:pStyle w:val="affffd"/>
              <w:jc w:val="both"/>
              <w:rPr>
                <w:rFonts w:ascii="Times New Roman" w:eastAsia="宋体" w:hAnsi="Times New Roman" w:cs="Times New Roman"/>
              </w:rPr>
            </w:pPr>
            <w:r>
              <w:rPr>
                <w:rFonts w:ascii="Times New Roman" w:eastAsia="宋体" w:hAnsi="Times New Roman" w:cs="Times New Roman"/>
              </w:rPr>
              <w:t>环库区设置绿化隔离带，在填埋区旁、渗沥液调节池、场区空地及填埋场形成的最终平台及坡面上进行绿化。</w:t>
            </w:r>
          </w:p>
        </w:tc>
      </w:tr>
    </w:tbl>
    <w:p w14:paraId="0F035157" w14:textId="77777777" w:rsidR="00D12939" w:rsidRDefault="004F47F5">
      <w:pPr>
        <w:pStyle w:val="2"/>
        <w:spacing w:line="360" w:lineRule="auto"/>
        <w:ind w:firstLineChars="165" w:firstLine="462"/>
        <w:rPr>
          <w:sz w:val="28"/>
        </w:rPr>
      </w:pPr>
      <w:bookmarkStart w:id="312" w:name="_Toc121411710"/>
      <w:r>
        <w:rPr>
          <w:sz w:val="28"/>
        </w:rPr>
        <w:t>3.3</w:t>
      </w:r>
      <w:r>
        <w:rPr>
          <w:sz w:val="28"/>
        </w:rPr>
        <w:t>垃圾收运范围、产生量及</w:t>
      </w:r>
      <w:r>
        <w:rPr>
          <w:rFonts w:hint="eastAsia"/>
          <w:sz w:val="28"/>
        </w:rPr>
        <w:t>入厂要求</w:t>
      </w:r>
      <w:bookmarkEnd w:id="312"/>
    </w:p>
    <w:p w14:paraId="0D543553" w14:textId="77777777" w:rsidR="00D12939" w:rsidRDefault="004F47F5">
      <w:pPr>
        <w:spacing w:line="360" w:lineRule="auto"/>
        <w:ind w:firstLine="462"/>
        <w:rPr>
          <w:rFonts w:ascii="Times New Roman" w:eastAsia="宋体" w:hAnsi="Times New Roman" w:cs="Times New Roman"/>
        </w:rPr>
      </w:pPr>
      <w:r>
        <w:rPr>
          <w:rFonts w:ascii="Times New Roman" w:eastAsia="宋体" w:hAnsi="Times New Roman" w:cs="Times New Roman" w:hint="eastAsia"/>
          <w:sz w:val="24"/>
          <w:szCs w:val="24"/>
          <w:lang w:bidi="ar"/>
        </w:rPr>
        <w:t>（</w:t>
      </w:r>
      <w:r>
        <w:rPr>
          <w:rFonts w:ascii="Times New Roman" w:eastAsia="宋体" w:hAnsi="Times New Roman" w:cs="Times New Roman" w:hint="eastAsia"/>
          <w:sz w:val="24"/>
          <w:szCs w:val="24"/>
          <w:lang w:bidi="ar"/>
        </w:rPr>
        <w:t>1</w:t>
      </w:r>
      <w:r>
        <w:rPr>
          <w:rFonts w:ascii="Times New Roman" w:eastAsia="宋体" w:hAnsi="Times New Roman" w:cs="Times New Roman" w:hint="eastAsia"/>
          <w:sz w:val="24"/>
          <w:szCs w:val="24"/>
          <w:lang w:bidi="ar"/>
        </w:rPr>
        <w:t>）</w:t>
      </w:r>
      <w:r>
        <w:rPr>
          <w:rFonts w:ascii="Times New Roman" w:eastAsia="宋体" w:hAnsi="Times New Roman" w:cs="Times New Roman"/>
          <w:sz w:val="24"/>
          <w:szCs w:val="24"/>
          <w:lang w:bidi="ar"/>
        </w:rPr>
        <w:t>垃圾处理现状</w:t>
      </w:r>
    </w:p>
    <w:p w14:paraId="728E65E6" w14:textId="77777777" w:rsidR="00D12939" w:rsidRDefault="004F47F5">
      <w:pPr>
        <w:widowControl/>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本项目建设前，</w:t>
      </w:r>
      <w:r>
        <w:rPr>
          <w:rFonts w:ascii="Times New Roman" w:eastAsia="宋体" w:hAnsi="Times New Roman" w:cs="Times New Roman" w:hint="eastAsia"/>
          <w:sz w:val="24"/>
        </w:rPr>
        <w:t>柞水县</w:t>
      </w:r>
      <w:r>
        <w:rPr>
          <w:rFonts w:ascii="Times New Roman" w:eastAsia="宋体" w:hAnsi="Times New Roman" w:cs="Times New Roman"/>
          <w:sz w:val="24"/>
        </w:rPr>
        <w:t>产生的生活垃圾</w:t>
      </w:r>
      <w:r>
        <w:rPr>
          <w:rFonts w:ascii="Times New Roman" w:eastAsia="宋体" w:hAnsi="Times New Roman" w:cs="Times New Roman" w:hint="eastAsia"/>
          <w:sz w:val="24"/>
        </w:rPr>
        <w:t>运至柞水县县城生活垃圾填埋场进行填埋处理</w:t>
      </w:r>
      <w:r>
        <w:rPr>
          <w:rFonts w:ascii="Times New Roman" w:eastAsia="宋体" w:hAnsi="Times New Roman" w:cs="Times New Roman"/>
          <w:sz w:val="24"/>
        </w:rPr>
        <w:t>，</w:t>
      </w:r>
      <w:r>
        <w:rPr>
          <w:rFonts w:ascii="Times New Roman" w:eastAsia="宋体" w:hAnsi="Times New Roman" w:cs="Times New Roman" w:hint="eastAsia"/>
          <w:sz w:val="24"/>
        </w:rPr>
        <w:t>该填埋场位于柞水县下梁镇明星社区冷水沟，始建于</w:t>
      </w:r>
      <w:r>
        <w:rPr>
          <w:rFonts w:ascii="Times New Roman" w:eastAsia="宋体" w:hAnsi="Times New Roman" w:cs="Times New Roman"/>
          <w:sz w:val="24"/>
        </w:rPr>
        <w:t xml:space="preserve">2004 </w:t>
      </w:r>
      <w:r>
        <w:rPr>
          <w:rFonts w:ascii="Times New Roman" w:eastAsia="宋体" w:hAnsi="Times New Roman" w:cs="Times New Roman"/>
          <w:sz w:val="24"/>
        </w:rPr>
        <w:t>年，</w:t>
      </w:r>
      <w:r>
        <w:rPr>
          <w:rFonts w:ascii="Times New Roman" w:eastAsia="宋体" w:hAnsi="Times New Roman" w:cs="Times New Roman"/>
          <w:sz w:val="24"/>
        </w:rPr>
        <w:t xml:space="preserve">2010 </w:t>
      </w:r>
      <w:r>
        <w:rPr>
          <w:rFonts w:ascii="Times New Roman" w:eastAsia="宋体" w:hAnsi="Times New Roman" w:cs="Times New Roman"/>
          <w:sz w:val="24"/>
        </w:rPr>
        <w:t>年和</w:t>
      </w:r>
      <w:r>
        <w:rPr>
          <w:rFonts w:ascii="Times New Roman" w:eastAsia="宋体" w:hAnsi="Times New Roman" w:cs="Times New Roman"/>
          <w:sz w:val="24"/>
        </w:rPr>
        <w:t xml:space="preserve">2014 </w:t>
      </w:r>
      <w:r>
        <w:rPr>
          <w:rFonts w:ascii="Times New Roman" w:eastAsia="宋体" w:hAnsi="Times New Roman" w:cs="Times New Roman"/>
          <w:sz w:val="24"/>
        </w:rPr>
        <w:t>年进行了扩建，设计总库容</w:t>
      </w:r>
      <w:r>
        <w:rPr>
          <w:rFonts w:ascii="Times New Roman" w:eastAsia="宋体" w:hAnsi="Times New Roman" w:cs="Times New Roman"/>
          <w:sz w:val="24"/>
        </w:rPr>
        <w:t xml:space="preserve">90.58 </w:t>
      </w:r>
      <w:r>
        <w:rPr>
          <w:rFonts w:ascii="Times New Roman" w:eastAsia="宋体" w:hAnsi="Times New Roman" w:cs="Times New Roman"/>
          <w:sz w:val="24"/>
        </w:rPr>
        <w:t>万</w:t>
      </w:r>
      <w:r>
        <w:rPr>
          <w:rFonts w:ascii="Times New Roman" w:eastAsia="宋体" w:hAnsi="Times New Roman" w:cs="Times New Roman"/>
          <w:sz w:val="24"/>
        </w:rPr>
        <w:t>m</w:t>
      </w:r>
      <w:r>
        <w:rPr>
          <w:rFonts w:ascii="Times New Roman" w:eastAsia="宋体" w:hAnsi="Times New Roman" w:cs="Times New Roman"/>
          <w:sz w:val="24"/>
          <w:vertAlign w:val="superscript"/>
        </w:rPr>
        <w:t>3</w:t>
      </w:r>
      <w:r>
        <w:rPr>
          <w:rFonts w:ascii="Times New Roman" w:eastAsia="宋体" w:hAnsi="Times New Roman" w:cs="Times New Roman"/>
          <w:sz w:val="24"/>
        </w:rPr>
        <w:t>，生活垃圾填</w:t>
      </w:r>
      <w:r>
        <w:rPr>
          <w:rFonts w:ascii="Times New Roman" w:eastAsia="宋体" w:hAnsi="Times New Roman" w:cs="Times New Roman" w:hint="eastAsia"/>
          <w:sz w:val="24"/>
        </w:rPr>
        <w:t>埋场总用地面积</w:t>
      </w:r>
      <w:r>
        <w:rPr>
          <w:rFonts w:ascii="Times New Roman" w:eastAsia="宋体" w:hAnsi="Times New Roman" w:cs="Times New Roman"/>
          <w:sz w:val="24"/>
        </w:rPr>
        <w:t>54083.661m</w:t>
      </w:r>
      <w:r>
        <w:rPr>
          <w:rFonts w:ascii="Times New Roman" w:eastAsia="宋体" w:hAnsi="Times New Roman" w:cs="Times New Roman"/>
          <w:sz w:val="24"/>
          <w:vertAlign w:val="superscript"/>
        </w:rPr>
        <w:t>2</w:t>
      </w:r>
      <w:r>
        <w:rPr>
          <w:rFonts w:ascii="Times New Roman" w:eastAsia="宋体" w:hAnsi="Times New Roman" w:cs="Times New Roman"/>
          <w:sz w:val="24"/>
        </w:rPr>
        <w:t>（</w:t>
      </w:r>
      <w:r>
        <w:rPr>
          <w:rFonts w:ascii="Times New Roman" w:eastAsia="宋体" w:hAnsi="Times New Roman" w:cs="Times New Roman"/>
          <w:sz w:val="24"/>
        </w:rPr>
        <w:t xml:space="preserve">81.13 </w:t>
      </w:r>
      <w:r>
        <w:rPr>
          <w:rFonts w:ascii="Times New Roman" w:eastAsia="宋体" w:hAnsi="Times New Roman" w:cs="Times New Roman"/>
          <w:sz w:val="24"/>
        </w:rPr>
        <w:t>亩），填埋库区用地面积</w:t>
      </w:r>
      <w:r>
        <w:rPr>
          <w:rFonts w:ascii="Times New Roman" w:eastAsia="宋体" w:hAnsi="Times New Roman" w:cs="Times New Roman"/>
          <w:sz w:val="24"/>
        </w:rPr>
        <w:t>32294.427m</w:t>
      </w:r>
      <w:r>
        <w:rPr>
          <w:rFonts w:ascii="Times New Roman" w:eastAsia="宋体" w:hAnsi="Times New Roman" w:cs="Times New Roman"/>
          <w:sz w:val="24"/>
          <w:vertAlign w:val="superscript"/>
        </w:rPr>
        <w:t>2</w:t>
      </w:r>
      <w:r>
        <w:rPr>
          <w:rFonts w:ascii="Times New Roman" w:eastAsia="宋体" w:hAnsi="Times New Roman" w:cs="Times New Roman" w:hint="eastAsia"/>
          <w:sz w:val="24"/>
        </w:rPr>
        <w:t>（</w:t>
      </w:r>
      <w:r>
        <w:rPr>
          <w:rFonts w:ascii="Times New Roman" w:eastAsia="宋体" w:hAnsi="Times New Roman" w:cs="Times New Roman"/>
          <w:sz w:val="24"/>
        </w:rPr>
        <w:t xml:space="preserve">48.44 </w:t>
      </w:r>
      <w:r>
        <w:rPr>
          <w:rFonts w:ascii="Times New Roman" w:eastAsia="宋体" w:hAnsi="Times New Roman" w:cs="Times New Roman"/>
          <w:sz w:val="24"/>
        </w:rPr>
        <w:t>亩），自</w:t>
      </w:r>
      <w:r>
        <w:rPr>
          <w:rFonts w:ascii="Times New Roman" w:eastAsia="宋体" w:hAnsi="Times New Roman" w:cs="Times New Roman"/>
          <w:sz w:val="24"/>
        </w:rPr>
        <w:t xml:space="preserve">2017 </w:t>
      </w:r>
      <w:r>
        <w:rPr>
          <w:rFonts w:ascii="Times New Roman" w:eastAsia="宋体" w:hAnsi="Times New Roman" w:cs="Times New Roman"/>
          <w:sz w:val="24"/>
        </w:rPr>
        <w:t>年柞水县实施清洁城镇工作后，各乡镇垃圾通过村镇收集</w:t>
      </w:r>
      <w:r>
        <w:rPr>
          <w:rFonts w:ascii="Times New Roman" w:eastAsia="宋体" w:hAnsi="Times New Roman" w:cs="Times New Roman" w:hint="eastAsia"/>
          <w:sz w:val="24"/>
        </w:rPr>
        <w:t>转运至县城生活垃圾填埋场进行填埋，致使垃圾量剧增，由原来的每日</w:t>
      </w:r>
      <w:r>
        <w:rPr>
          <w:rFonts w:ascii="Times New Roman" w:eastAsia="宋体" w:hAnsi="Times New Roman" w:cs="Times New Roman"/>
          <w:sz w:val="24"/>
        </w:rPr>
        <w:t xml:space="preserve">40 </w:t>
      </w:r>
      <w:r>
        <w:rPr>
          <w:rFonts w:ascii="Times New Roman" w:eastAsia="宋体" w:hAnsi="Times New Roman" w:cs="Times New Roman"/>
          <w:sz w:val="24"/>
        </w:rPr>
        <w:t>多吨</w:t>
      </w:r>
      <w:r>
        <w:rPr>
          <w:rFonts w:ascii="Times New Roman" w:eastAsia="宋体" w:hAnsi="Times New Roman" w:cs="Times New Roman" w:hint="eastAsia"/>
          <w:sz w:val="24"/>
        </w:rPr>
        <w:t>激增至</w:t>
      </w:r>
      <w:r>
        <w:rPr>
          <w:rFonts w:ascii="Times New Roman" w:eastAsia="宋体" w:hAnsi="Times New Roman" w:cs="Times New Roman"/>
          <w:sz w:val="24"/>
        </w:rPr>
        <w:t xml:space="preserve">90 </w:t>
      </w:r>
      <w:r>
        <w:rPr>
          <w:rFonts w:ascii="Times New Roman" w:eastAsia="宋体" w:hAnsi="Times New Roman" w:cs="Times New Roman"/>
          <w:sz w:val="24"/>
        </w:rPr>
        <w:t>多吨每日，库容被迅速占用，该填埋场即将填满。</w:t>
      </w:r>
    </w:p>
    <w:p w14:paraId="5BE823F6"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sz w:val="24"/>
        </w:rPr>
        <w:t>垃圾收运范围</w:t>
      </w:r>
    </w:p>
    <w:p w14:paraId="73B8747F"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全县设置</w:t>
      </w:r>
      <w:r>
        <w:rPr>
          <w:rFonts w:ascii="Times New Roman" w:eastAsia="宋体" w:hAnsi="Times New Roman" w:cs="Times New Roman"/>
          <w:sz w:val="24"/>
        </w:rPr>
        <w:t xml:space="preserve">7 </w:t>
      </w:r>
      <w:r>
        <w:rPr>
          <w:rFonts w:ascii="Times New Roman" w:eastAsia="宋体" w:hAnsi="Times New Roman" w:cs="Times New Roman"/>
          <w:sz w:val="24"/>
        </w:rPr>
        <w:t>条清运路线，配置清运车辆</w:t>
      </w:r>
      <w:r>
        <w:rPr>
          <w:rFonts w:ascii="Times New Roman" w:eastAsia="宋体" w:hAnsi="Times New Roman" w:cs="Times New Roman"/>
          <w:sz w:val="24"/>
        </w:rPr>
        <w:t xml:space="preserve">25 </w:t>
      </w:r>
      <w:r>
        <w:rPr>
          <w:rFonts w:ascii="Times New Roman" w:eastAsia="宋体" w:hAnsi="Times New Roman" w:cs="Times New Roman"/>
          <w:sz w:val="24"/>
        </w:rPr>
        <w:t>辆，清运人员</w:t>
      </w:r>
      <w:r>
        <w:rPr>
          <w:rFonts w:ascii="Times New Roman" w:eastAsia="宋体" w:hAnsi="Times New Roman" w:cs="Times New Roman"/>
          <w:sz w:val="24"/>
        </w:rPr>
        <w:t xml:space="preserve">40 </w:t>
      </w:r>
      <w:r>
        <w:rPr>
          <w:rFonts w:ascii="Times New Roman" w:eastAsia="宋体" w:hAnsi="Times New Roman" w:cs="Times New Roman"/>
          <w:sz w:val="24"/>
        </w:rPr>
        <w:t>人，</w:t>
      </w:r>
      <w:r>
        <w:rPr>
          <w:rFonts w:ascii="Times New Roman" w:eastAsia="宋体" w:hAnsi="Times New Roman" w:cs="Times New Roman" w:hint="eastAsia"/>
          <w:sz w:val="24"/>
        </w:rPr>
        <w:t>经收集后的生活垃圾，沿现有乡村道路运至垃圾填埋场，经进场道路最终运至填埋场区进行填埋。</w:t>
      </w:r>
      <w:r>
        <w:rPr>
          <w:rFonts w:ascii="Times New Roman" w:eastAsia="宋体" w:hAnsi="Times New Roman" w:cs="Times New Roman"/>
          <w:sz w:val="24"/>
        </w:rPr>
        <w:t>具体设置情</w:t>
      </w:r>
      <w:r>
        <w:rPr>
          <w:rFonts w:ascii="Times New Roman" w:eastAsia="宋体" w:hAnsi="Times New Roman" w:cs="Times New Roman" w:hint="eastAsia"/>
          <w:sz w:val="24"/>
        </w:rPr>
        <w:t>况如下表：</w:t>
      </w:r>
    </w:p>
    <w:p w14:paraId="065A2E11" w14:textId="77777777" w:rsidR="00D12939" w:rsidRDefault="004F47F5">
      <w:pPr>
        <w:ind w:firstLine="462"/>
        <w:jc w:val="center"/>
        <w:rPr>
          <w:rFonts w:ascii="黑体" w:eastAsia="黑体" w:hAnsi="黑体" w:cs="Times New Roman"/>
          <w:sz w:val="24"/>
        </w:rPr>
      </w:pPr>
      <w:r>
        <w:rPr>
          <w:rFonts w:ascii="黑体" w:eastAsia="黑体" w:hAnsi="黑体" w:cs="Times New Roman" w:hint="eastAsia"/>
          <w:sz w:val="24"/>
        </w:rPr>
        <w:t>表</w:t>
      </w:r>
      <w:r>
        <w:rPr>
          <w:rFonts w:ascii="黑体" w:eastAsia="黑体" w:hAnsi="黑体" w:cs="Times New Roman"/>
          <w:sz w:val="24"/>
        </w:rPr>
        <w:t>3.3-1   生活垃圾收运路线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559"/>
        <w:gridCol w:w="7473"/>
      </w:tblGrid>
      <w:tr w:rsidR="00D12939" w14:paraId="15357C9F" w14:textId="77777777">
        <w:tc>
          <w:tcPr>
            <w:tcW w:w="704" w:type="dxa"/>
            <w:vAlign w:val="center"/>
          </w:tcPr>
          <w:p w14:paraId="4CA5F474" w14:textId="77777777" w:rsidR="00D12939" w:rsidRDefault="004F47F5">
            <w:pPr>
              <w:jc w:val="center"/>
              <w:rPr>
                <w:szCs w:val="21"/>
              </w:rPr>
            </w:pPr>
            <w:r>
              <w:rPr>
                <w:szCs w:val="21"/>
              </w:rPr>
              <w:t>序号</w:t>
            </w:r>
          </w:p>
        </w:tc>
        <w:tc>
          <w:tcPr>
            <w:tcW w:w="1559" w:type="dxa"/>
            <w:vAlign w:val="center"/>
          </w:tcPr>
          <w:p w14:paraId="159FDB69" w14:textId="77777777" w:rsidR="00D12939" w:rsidRDefault="004F47F5">
            <w:pPr>
              <w:jc w:val="center"/>
              <w:rPr>
                <w:szCs w:val="21"/>
              </w:rPr>
            </w:pPr>
            <w:r>
              <w:rPr>
                <w:szCs w:val="21"/>
              </w:rPr>
              <w:t>清运路线区域</w:t>
            </w:r>
          </w:p>
        </w:tc>
        <w:tc>
          <w:tcPr>
            <w:tcW w:w="7473" w:type="dxa"/>
            <w:vAlign w:val="center"/>
          </w:tcPr>
          <w:p w14:paraId="30B119BF" w14:textId="77777777" w:rsidR="00D12939" w:rsidRDefault="004F47F5">
            <w:pPr>
              <w:jc w:val="center"/>
              <w:rPr>
                <w:szCs w:val="21"/>
              </w:rPr>
            </w:pPr>
            <w:r>
              <w:rPr>
                <w:szCs w:val="21"/>
              </w:rPr>
              <w:t>承运任务覆盖地点片区</w:t>
            </w:r>
          </w:p>
        </w:tc>
      </w:tr>
      <w:tr w:rsidR="00D12939" w14:paraId="3BE10E56" w14:textId="77777777">
        <w:tc>
          <w:tcPr>
            <w:tcW w:w="704" w:type="dxa"/>
            <w:vAlign w:val="center"/>
          </w:tcPr>
          <w:p w14:paraId="3FFA9722" w14:textId="77777777" w:rsidR="00D12939" w:rsidRDefault="004F47F5">
            <w:pPr>
              <w:jc w:val="center"/>
              <w:rPr>
                <w:szCs w:val="21"/>
              </w:rPr>
            </w:pPr>
            <w:r>
              <w:rPr>
                <w:rFonts w:hint="eastAsia"/>
                <w:szCs w:val="21"/>
              </w:rPr>
              <w:t>1</w:t>
            </w:r>
          </w:p>
        </w:tc>
        <w:tc>
          <w:tcPr>
            <w:tcW w:w="1559" w:type="dxa"/>
            <w:vAlign w:val="center"/>
          </w:tcPr>
          <w:p w14:paraId="0B84D61C" w14:textId="77777777" w:rsidR="00D12939" w:rsidRDefault="004F47F5">
            <w:pPr>
              <w:autoSpaceDE w:val="0"/>
              <w:autoSpaceDN w:val="0"/>
              <w:adjustRightInd w:val="0"/>
              <w:jc w:val="center"/>
              <w:rPr>
                <w:szCs w:val="21"/>
              </w:rPr>
            </w:pPr>
            <w:r>
              <w:rPr>
                <w:rFonts w:ascii="宋体" w:cs="宋体" w:hint="eastAsia"/>
                <w:szCs w:val="21"/>
              </w:rPr>
              <w:t>营盘片区线路</w:t>
            </w:r>
          </w:p>
        </w:tc>
        <w:tc>
          <w:tcPr>
            <w:tcW w:w="7473" w:type="dxa"/>
            <w:vAlign w:val="center"/>
          </w:tcPr>
          <w:p w14:paraId="0216B316" w14:textId="77777777" w:rsidR="00D12939" w:rsidRDefault="004F47F5">
            <w:pPr>
              <w:autoSpaceDE w:val="0"/>
              <w:autoSpaceDN w:val="0"/>
              <w:adjustRightInd w:val="0"/>
              <w:jc w:val="left"/>
              <w:rPr>
                <w:szCs w:val="21"/>
              </w:rPr>
            </w:pPr>
            <w:r>
              <w:rPr>
                <w:rFonts w:ascii="宋体" w:cs="宋体" w:hint="eastAsia"/>
                <w:szCs w:val="21"/>
              </w:rPr>
              <w:t>清运北关老加油站桥头至老林水厂公路沿线所有街镇、院落、居民小区、移民点的生活垃圾。还要带芦才沟、七里沟、沙沟、药王沟、龙潭沟、太河、梨园、三星、西川、老庵寺、高垣等地的生活垃圾。勾臂车清运丰北河、曹店、两河等村的生活垃圾清运任务。</w:t>
            </w:r>
          </w:p>
        </w:tc>
      </w:tr>
      <w:tr w:rsidR="00D12939" w14:paraId="4E0E30D8" w14:textId="77777777">
        <w:tc>
          <w:tcPr>
            <w:tcW w:w="704" w:type="dxa"/>
            <w:vAlign w:val="center"/>
          </w:tcPr>
          <w:p w14:paraId="43EFCDB0" w14:textId="77777777" w:rsidR="00D12939" w:rsidRDefault="004F47F5">
            <w:pPr>
              <w:jc w:val="center"/>
              <w:rPr>
                <w:szCs w:val="21"/>
              </w:rPr>
            </w:pPr>
            <w:r>
              <w:rPr>
                <w:rFonts w:hint="eastAsia"/>
                <w:szCs w:val="21"/>
              </w:rPr>
              <w:t>2</w:t>
            </w:r>
          </w:p>
        </w:tc>
        <w:tc>
          <w:tcPr>
            <w:tcW w:w="1559" w:type="dxa"/>
            <w:vAlign w:val="center"/>
          </w:tcPr>
          <w:p w14:paraId="61B2BE9D" w14:textId="77777777" w:rsidR="00D12939" w:rsidRDefault="004F47F5">
            <w:pPr>
              <w:jc w:val="center"/>
              <w:rPr>
                <w:szCs w:val="21"/>
              </w:rPr>
            </w:pPr>
            <w:r>
              <w:rPr>
                <w:rFonts w:ascii="宋体" w:cs="宋体" w:hint="eastAsia"/>
                <w:szCs w:val="21"/>
              </w:rPr>
              <w:t>新城片区线路</w:t>
            </w:r>
          </w:p>
        </w:tc>
        <w:tc>
          <w:tcPr>
            <w:tcW w:w="7473" w:type="dxa"/>
            <w:vAlign w:val="center"/>
          </w:tcPr>
          <w:p w14:paraId="21477989" w14:textId="77777777" w:rsidR="00D12939" w:rsidRDefault="004F47F5">
            <w:pPr>
              <w:autoSpaceDE w:val="0"/>
              <w:autoSpaceDN w:val="0"/>
              <w:adjustRightInd w:val="0"/>
              <w:jc w:val="left"/>
              <w:rPr>
                <w:szCs w:val="21"/>
              </w:rPr>
            </w:pPr>
            <w:r>
              <w:rPr>
                <w:rFonts w:ascii="宋体" w:cs="宋体" w:hint="eastAsia"/>
                <w:szCs w:val="21"/>
              </w:rPr>
              <w:t>清运下梁镇乾佑河公路沿线所有景区、小区、村庄院落、社区，包括下梁街道、沙坪社区范围内企事业机关单位的生活垃圾。小勾臂车清运城区周边的生活垃圾。</w:t>
            </w:r>
          </w:p>
        </w:tc>
      </w:tr>
      <w:tr w:rsidR="00D12939" w14:paraId="53B9C615" w14:textId="77777777">
        <w:tc>
          <w:tcPr>
            <w:tcW w:w="704" w:type="dxa"/>
            <w:vAlign w:val="center"/>
          </w:tcPr>
          <w:p w14:paraId="1174B187" w14:textId="77777777" w:rsidR="00D12939" w:rsidRDefault="004F47F5">
            <w:pPr>
              <w:jc w:val="center"/>
              <w:rPr>
                <w:szCs w:val="21"/>
              </w:rPr>
            </w:pPr>
            <w:r>
              <w:rPr>
                <w:rFonts w:hint="eastAsia"/>
                <w:szCs w:val="21"/>
              </w:rPr>
              <w:t>3</w:t>
            </w:r>
          </w:p>
        </w:tc>
        <w:tc>
          <w:tcPr>
            <w:tcW w:w="1559" w:type="dxa"/>
            <w:vAlign w:val="center"/>
          </w:tcPr>
          <w:p w14:paraId="44CB4077" w14:textId="77777777" w:rsidR="00D12939" w:rsidRDefault="004F47F5">
            <w:pPr>
              <w:autoSpaceDE w:val="0"/>
              <w:autoSpaceDN w:val="0"/>
              <w:adjustRightInd w:val="0"/>
              <w:jc w:val="center"/>
              <w:rPr>
                <w:szCs w:val="21"/>
              </w:rPr>
            </w:pPr>
            <w:r>
              <w:rPr>
                <w:rFonts w:ascii="宋体" w:cs="宋体" w:hint="eastAsia"/>
                <w:szCs w:val="21"/>
              </w:rPr>
              <w:t>凤镇片区线路</w:t>
            </w:r>
          </w:p>
        </w:tc>
        <w:tc>
          <w:tcPr>
            <w:tcW w:w="7473" w:type="dxa"/>
            <w:vAlign w:val="center"/>
          </w:tcPr>
          <w:p w14:paraId="4474E674" w14:textId="77777777" w:rsidR="00D12939" w:rsidRDefault="004F47F5">
            <w:pPr>
              <w:autoSpaceDE w:val="0"/>
              <w:autoSpaceDN w:val="0"/>
              <w:adjustRightInd w:val="0"/>
              <w:jc w:val="left"/>
              <w:rPr>
                <w:szCs w:val="21"/>
              </w:rPr>
            </w:pPr>
            <w:r>
              <w:rPr>
                <w:rFonts w:ascii="宋体" w:cs="宋体" w:hint="eastAsia"/>
                <w:szCs w:val="21"/>
              </w:rPr>
              <w:t>清运小岭胡家沟口至柴庄到山阳交界处公路沿线的街镇、小区、居民点、移民</w:t>
            </w:r>
            <w:r>
              <w:rPr>
                <w:rFonts w:ascii="宋体" w:cs="宋体" w:hint="eastAsia"/>
                <w:szCs w:val="21"/>
              </w:rPr>
              <w:lastRenderedPageBreak/>
              <w:t>点、村庄院落所产生的生活垃圾。还要清运菜籽沟、胡家沟、黄花沟、皂河村、双河村甘沟等地的生活垃圾。</w:t>
            </w:r>
            <w:r>
              <w:rPr>
                <w:rFonts w:ascii="Arial" w:hAnsi="Arial" w:cs="Arial"/>
                <w:szCs w:val="21"/>
              </w:rPr>
              <w:t xml:space="preserve">8 </w:t>
            </w:r>
            <w:r>
              <w:rPr>
                <w:rFonts w:ascii="宋体" w:cs="宋体" w:hint="eastAsia"/>
                <w:szCs w:val="21"/>
              </w:rPr>
              <w:t>吨小压缩车清运杏坪镇云蒙、泠水沟、刘婆沟、张氏沟、凤凰镇万盏沟、龙潭、大寺沟等大压缩不能到达的地方的生活垃圾。</w:t>
            </w:r>
          </w:p>
        </w:tc>
      </w:tr>
      <w:tr w:rsidR="00D12939" w14:paraId="277A726E" w14:textId="77777777">
        <w:tc>
          <w:tcPr>
            <w:tcW w:w="704" w:type="dxa"/>
            <w:vAlign w:val="center"/>
          </w:tcPr>
          <w:p w14:paraId="18F0FA95" w14:textId="77777777" w:rsidR="00D12939" w:rsidRDefault="004F47F5">
            <w:pPr>
              <w:jc w:val="center"/>
              <w:rPr>
                <w:szCs w:val="21"/>
              </w:rPr>
            </w:pPr>
            <w:r>
              <w:rPr>
                <w:rFonts w:hint="eastAsia"/>
                <w:szCs w:val="21"/>
              </w:rPr>
              <w:lastRenderedPageBreak/>
              <w:t>4</w:t>
            </w:r>
          </w:p>
        </w:tc>
        <w:tc>
          <w:tcPr>
            <w:tcW w:w="1559" w:type="dxa"/>
            <w:vAlign w:val="center"/>
          </w:tcPr>
          <w:p w14:paraId="6FC9EFA2" w14:textId="77777777" w:rsidR="00D12939" w:rsidRDefault="004F47F5">
            <w:pPr>
              <w:autoSpaceDE w:val="0"/>
              <w:autoSpaceDN w:val="0"/>
              <w:adjustRightInd w:val="0"/>
              <w:jc w:val="center"/>
              <w:rPr>
                <w:szCs w:val="21"/>
              </w:rPr>
            </w:pPr>
            <w:r>
              <w:rPr>
                <w:rFonts w:ascii="宋体" w:cs="宋体" w:hint="eastAsia"/>
                <w:szCs w:val="21"/>
              </w:rPr>
              <w:t>红岩寺片区线路</w:t>
            </w:r>
          </w:p>
        </w:tc>
        <w:tc>
          <w:tcPr>
            <w:tcW w:w="7473" w:type="dxa"/>
            <w:vAlign w:val="center"/>
          </w:tcPr>
          <w:p w14:paraId="30FAFAF6" w14:textId="77777777" w:rsidR="00D12939" w:rsidRDefault="004F47F5">
            <w:pPr>
              <w:autoSpaceDE w:val="0"/>
              <w:autoSpaceDN w:val="0"/>
              <w:adjustRightInd w:val="0"/>
              <w:jc w:val="left"/>
              <w:rPr>
                <w:szCs w:val="21"/>
              </w:rPr>
            </w:pPr>
            <w:r>
              <w:rPr>
                <w:rFonts w:ascii="宋体" w:cs="宋体" w:hint="eastAsia"/>
                <w:szCs w:val="21"/>
              </w:rPr>
              <w:t>清运下梁镇东平三叉路口至小岭金米沟口沿线所有生活垃圾，包括笊篱沟、任家沟、小岭沟、磨沟、大西沟、正沟、肖台村、牛槽沟和红岩寺辖区内所有产生的生活垃圾。</w:t>
            </w:r>
          </w:p>
        </w:tc>
      </w:tr>
      <w:tr w:rsidR="00D12939" w14:paraId="02B2E5CC" w14:textId="77777777">
        <w:tc>
          <w:tcPr>
            <w:tcW w:w="704" w:type="dxa"/>
            <w:vAlign w:val="center"/>
          </w:tcPr>
          <w:p w14:paraId="1F84AF3E" w14:textId="77777777" w:rsidR="00D12939" w:rsidRDefault="004F47F5">
            <w:pPr>
              <w:jc w:val="center"/>
              <w:rPr>
                <w:szCs w:val="21"/>
              </w:rPr>
            </w:pPr>
            <w:r>
              <w:rPr>
                <w:rFonts w:hint="eastAsia"/>
                <w:szCs w:val="21"/>
              </w:rPr>
              <w:t>5</w:t>
            </w:r>
          </w:p>
        </w:tc>
        <w:tc>
          <w:tcPr>
            <w:tcW w:w="1559" w:type="dxa"/>
            <w:vAlign w:val="center"/>
          </w:tcPr>
          <w:p w14:paraId="4043A9BA" w14:textId="77777777" w:rsidR="00D12939" w:rsidRDefault="004F47F5">
            <w:pPr>
              <w:autoSpaceDE w:val="0"/>
              <w:autoSpaceDN w:val="0"/>
              <w:adjustRightInd w:val="0"/>
              <w:jc w:val="center"/>
              <w:rPr>
                <w:rFonts w:ascii="宋体" w:cs="宋体"/>
                <w:szCs w:val="21"/>
              </w:rPr>
            </w:pPr>
            <w:r>
              <w:rPr>
                <w:rFonts w:ascii="宋体" w:cs="宋体" w:hint="eastAsia"/>
                <w:szCs w:val="21"/>
              </w:rPr>
              <w:t>瓦房口片区线路</w:t>
            </w:r>
          </w:p>
        </w:tc>
        <w:tc>
          <w:tcPr>
            <w:tcW w:w="7473" w:type="dxa"/>
            <w:vAlign w:val="center"/>
          </w:tcPr>
          <w:p w14:paraId="7ED313FE" w14:textId="77777777" w:rsidR="00D12939" w:rsidRDefault="004F47F5">
            <w:pPr>
              <w:autoSpaceDE w:val="0"/>
              <w:autoSpaceDN w:val="0"/>
              <w:adjustRightInd w:val="0"/>
              <w:jc w:val="left"/>
              <w:rPr>
                <w:rFonts w:ascii="宋体" w:cs="宋体"/>
                <w:szCs w:val="21"/>
              </w:rPr>
            </w:pPr>
            <w:r>
              <w:rPr>
                <w:rFonts w:ascii="宋体" w:cs="宋体" w:hint="eastAsia"/>
                <w:szCs w:val="21"/>
              </w:rPr>
              <w:t>清运李砭村、金米村、马房湾村、大河村、穆家庄和瓦房口街道至马台小学公路沿线的生活垃圾。</w:t>
            </w:r>
            <w:r>
              <w:rPr>
                <w:rFonts w:ascii="Arial" w:hAnsi="Arial" w:cs="Arial"/>
                <w:szCs w:val="21"/>
              </w:rPr>
              <w:t xml:space="preserve">8 </w:t>
            </w:r>
            <w:r>
              <w:rPr>
                <w:rFonts w:ascii="宋体" w:cs="宋体" w:hint="eastAsia"/>
                <w:szCs w:val="21"/>
              </w:rPr>
              <w:t>吨小压缩车清运瓦房沟、磨沟、红石沟、凉水沟、庙沟等大压缩车不能达到的地方的生活垃圾。</w:t>
            </w:r>
          </w:p>
        </w:tc>
      </w:tr>
      <w:tr w:rsidR="00D12939" w14:paraId="5CBAACB7" w14:textId="77777777">
        <w:tc>
          <w:tcPr>
            <w:tcW w:w="704" w:type="dxa"/>
            <w:vAlign w:val="center"/>
          </w:tcPr>
          <w:p w14:paraId="24267397" w14:textId="77777777" w:rsidR="00D12939" w:rsidRDefault="004F47F5">
            <w:pPr>
              <w:jc w:val="center"/>
              <w:rPr>
                <w:szCs w:val="21"/>
              </w:rPr>
            </w:pPr>
            <w:r>
              <w:rPr>
                <w:rFonts w:hint="eastAsia"/>
                <w:szCs w:val="21"/>
              </w:rPr>
              <w:t>6</w:t>
            </w:r>
          </w:p>
        </w:tc>
        <w:tc>
          <w:tcPr>
            <w:tcW w:w="1559" w:type="dxa"/>
            <w:vAlign w:val="center"/>
          </w:tcPr>
          <w:p w14:paraId="722D2F56" w14:textId="77777777" w:rsidR="00D12939" w:rsidRDefault="004F47F5">
            <w:pPr>
              <w:autoSpaceDE w:val="0"/>
              <w:autoSpaceDN w:val="0"/>
              <w:adjustRightInd w:val="0"/>
              <w:jc w:val="center"/>
              <w:rPr>
                <w:rFonts w:ascii="宋体" w:cs="宋体"/>
                <w:szCs w:val="21"/>
              </w:rPr>
            </w:pPr>
            <w:r>
              <w:rPr>
                <w:rFonts w:ascii="宋体" w:cs="宋体" w:hint="eastAsia"/>
                <w:szCs w:val="21"/>
              </w:rPr>
              <w:t>曹坪片区线路</w:t>
            </w:r>
          </w:p>
        </w:tc>
        <w:tc>
          <w:tcPr>
            <w:tcW w:w="7473" w:type="dxa"/>
            <w:vAlign w:val="center"/>
          </w:tcPr>
          <w:p w14:paraId="4A7DF206" w14:textId="77777777" w:rsidR="00D12939" w:rsidRDefault="004F47F5">
            <w:pPr>
              <w:autoSpaceDE w:val="0"/>
              <w:autoSpaceDN w:val="0"/>
              <w:adjustRightInd w:val="0"/>
              <w:jc w:val="left"/>
              <w:rPr>
                <w:rFonts w:ascii="宋体" w:cs="宋体"/>
                <w:szCs w:val="21"/>
              </w:rPr>
            </w:pPr>
            <w:r>
              <w:rPr>
                <w:rFonts w:ascii="宋体" w:cs="宋体" w:hint="eastAsia"/>
                <w:szCs w:val="21"/>
              </w:rPr>
              <w:t>峡口至曹坪街道及九间房文公岭沿途所有生活垃圾。包括银碗沟、湘子沟、中坪社区、马台村、狮子沟、塔儿坪、西北沟、颜家庄等地的生活垃圾。</w:t>
            </w:r>
          </w:p>
        </w:tc>
      </w:tr>
      <w:tr w:rsidR="00D12939" w14:paraId="18DF7488" w14:textId="77777777">
        <w:tc>
          <w:tcPr>
            <w:tcW w:w="704" w:type="dxa"/>
            <w:vAlign w:val="center"/>
          </w:tcPr>
          <w:p w14:paraId="0080CED6" w14:textId="77777777" w:rsidR="00D12939" w:rsidRDefault="004F47F5">
            <w:pPr>
              <w:jc w:val="center"/>
              <w:rPr>
                <w:szCs w:val="21"/>
              </w:rPr>
            </w:pPr>
            <w:r>
              <w:rPr>
                <w:rFonts w:hint="eastAsia"/>
                <w:szCs w:val="21"/>
              </w:rPr>
              <w:t>7</w:t>
            </w:r>
          </w:p>
        </w:tc>
        <w:tc>
          <w:tcPr>
            <w:tcW w:w="1559" w:type="dxa"/>
            <w:vAlign w:val="center"/>
          </w:tcPr>
          <w:p w14:paraId="688B9FDD" w14:textId="77777777" w:rsidR="00D12939" w:rsidRDefault="004F47F5">
            <w:pPr>
              <w:autoSpaceDE w:val="0"/>
              <w:autoSpaceDN w:val="0"/>
              <w:adjustRightInd w:val="0"/>
              <w:jc w:val="center"/>
              <w:rPr>
                <w:rFonts w:ascii="宋体" w:cs="宋体"/>
                <w:szCs w:val="21"/>
              </w:rPr>
            </w:pPr>
            <w:r>
              <w:rPr>
                <w:rFonts w:ascii="宋体" w:cs="宋体" w:hint="eastAsia"/>
                <w:szCs w:val="21"/>
              </w:rPr>
              <w:t>老城区片区线路</w:t>
            </w:r>
          </w:p>
        </w:tc>
        <w:tc>
          <w:tcPr>
            <w:tcW w:w="7473" w:type="dxa"/>
            <w:vAlign w:val="center"/>
          </w:tcPr>
          <w:p w14:paraId="4F80BCFF" w14:textId="77777777" w:rsidR="00D12939" w:rsidRDefault="004F47F5">
            <w:pPr>
              <w:autoSpaceDE w:val="0"/>
              <w:autoSpaceDN w:val="0"/>
              <w:adjustRightInd w:val="0"/>
              <w:jc w:val="left"/>
              <w:rPr>
                <w:rFonts w:ascii="宋体" w:cs="宋体"/>
                <w:szCs w:val="21"/>
              </w:rPr>
            </w:pPr>
            <w:r>
              <w:rPr>
                <w:rFonts w:ascii="宋体" w:cs="宋体" w:hint="eastAsia"/>
                <w:szCs w:val="21"/>
              </w:rPr>
              <w:t>清运石镇桥头至县城北关老城区范围内所有的生活垃圾</w:t>
            </w:r>
          </w:p>
        </w:tc>
      </w:tr>
    </w:tbl>
    <w:p w14:paraId="4F863C7A" w14:textId="77777777" w:rsidR="00D12939" w:rsidRDefault="004F47F5">
      <w:pPr>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sz w:val="24"/>
        </w:rPr>
        <w:t>生活垃圾产生量预测</w:t>
      </w:r>
    </w:p>
    <w:p w14:paraId="6BCB0190"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项目</w:t>
      </w:r>
      <w:r>
        <w:rPr>
          <w:rFonts w:ascii="Times New Roman" w:eastAsia="宋体" w:hAnsi="Times New Roman" w:cs="Times New Roman"/>
          <w:kern w:val="0"/>
          <w:sz w:val="24"/>
          <w:szCs w:val="24"/>
        </w:rPr>
        <w:t>一期</w:t>
      </w:r>
      <w:r>
        <w:rPr>
          <w:rFonts w:ascii="Times New Roman" w:eastAsia="宋体" w:hAnsi="Times New Roman" w:cs="Times New Roman" w:hint="eastAsia"/>
          <w:kern w:val="0"/>
          <w:sz w:val="24"/>
          <w:szCs w:val="24"/>
        </w:rPr>
        <w:t>工程</w:t>
      </w:r>
      <w:r>
        <w:rPr>
          <w:rFonts w:ascii="Times New Roman" w:eastAsia="宋体" w:hAnsi="Times New Roman" w:cs="Times New Roman"/>
          <w:kern w:val="0"/>
          <w:sz w:val="24"/>
          <w:szCs w:val="24"/>
        </w:rPr>
        <w:t>生活垃圾填埋总设计库容约</w:t>
      </w:r>
      <w:r>
        <w:rPr>
          <w:rFonts w:ascii="Times New Roman" w:eastAsia="宋体" w:hAnsi="Times New Roman" w:cs="Times New Roman"/>
          <w:kern w:val="0"/>
          <w:sz w:val="24"/>
          <w:szCs w:val="24"/>
        </w:rPr>
        <w:t>65.49</w:t>
      </w:r>
      <w:r>
        <w:rPr>
          <w:rFonts w:ascii="Times New Roman" w:eastAsia="宋体" w:hAnsi="Times New Roman" w:cs="Times New Roman"/>
          <w:kern w:val="0"/>
          <w:sz w:val="24"/>
          <w:szCs w:val="24"/>
        </w:rPr>
        <w:t>万</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，使用年限为</w:t>
      </w:r>
      <w:r>
        <w:rPr>
          <w:rFonts w:ascii="Times New Roman" w:eastAsia="宋体" w:hAnsi="Times New Roman" w:cs="Times New Roman"/>
          <w:kern w:val="0"/>
          <w:sz w:val="24"/>
          <w:szCs w:val="24"/>
        </w:rPr>
        <w:t>13</w:t>
      </w:r>
      <w:r>
        <w:rPr>
          <w:rFonts w:ascii="Times New Roman" w:eastAsia="宋体" w:hAnsi="Times New Roman" w:cs="Times New Roman"/>
          <w:kern w:val="0"/>
          <w:sz w:val="24"/>
          <w:szCs w:val="24"/>
        </w:rPr>
        <w:t>年</w:t>
      </w:r>
      <w:r>
        <w:rPr>
          <w:rFonts w:ascii="Times New Roman" w:eastAsia="宋体" w:hAnsi="Times New Roman" w:cs="Times New Roman"/>
          <w:sz w:val="24"/>
          <w:szCs w:val="24"/>
        </w:rPr>
        <w:t>。</w:t>
      </w:r>
      <w:r>
        <w:rPr>
          <w:rFonts w:ascii="Times New Roman" w:eastAsia="宋体" w:hAnsi="Times New Roman" w:cs="Times New Roman" w:hint="eastAsia"/>
          <w:sz w:val="24"/>
          <w:szCs w:val="24"/>
        </w:rPr>
        <w:t>根据《柞水县固体废弃物综合处置场项目·可行性研究报告》，结合现有垃圾量和人口增长率等数据，计算出未来十三年（</w:t>
      </w:r>
      <w:r>
        <w:rPr>
          <w:rFonts w:ascii="Times New Roman" w:eastAsia="宋体" w:hAnsi="Times New Roman" w:cs="Times New Roman"/>
          <w:sz w:val="24"/>
          <w:szCs w:val="24"/>
        </w:rPr>
        <w:t xml:space="preserve">2024 </w:t>
      </w:r>
      <w:r>
        <w:rPr>
          <w:rFonts w:ascii="Times New Roman" w:eastAsia="宋体" w:hAnsi="Times New Roman" w:cs="Times New Roman"/>
          <w:sz w:val="24"/>
          <w:szCs w:val="24"/>
        </w:rPr>
        <w:t>年</w:t>
      </w:r>
      <w:r>
        <w:rPr>
          <w:rFonts w:ascii="Times New Roman" w:eastAsia="宋体" w:hAnsi="Times New Roman" w:cs="Times New Roman"/>
          <w:sz w:val="24"/>
          <w:szCs w:val="24"/>
        </w:rPr>
        <w:t xml:space="preserve">~2036 </w:t>
      </w:r>
      <w:r>
        <w:rPr>
          <w:rFonts w:ascii="Times New Roman" w:eastAsia="宋体" w:hAnsi="Times New Roman" w:cs="Times New Roman"/>
          <w:sz w:val="24"/>
          <w:szCs w:val="24"/>
        </w:rPr>
        <w:t>年）</w:t>
      </w:r>
      <w:r>
        <w:rPr>
          <w:rFonts w:ascii="Times New Roman" w:eastAsia="宋体" w:hAnsi="Times New Roman" w:cs="Times New Roman" w:hint="eastAsia"/>
          <w:sz w:val="24"/>
          <w:szCs w:val="24"/>
        </w:rPr>
        <w:t>柞水县</w:t>
      </w:r>
      <w:r>
        <w:rPr>
          <w:rFonts w:ascii="Times New Roman" w:eastAsia="宋体" w:hAnsi="Times New Roman" w:cs="Times New Roman"/>
          <w:sz w:val="24"/>
          <w:szCs w:val="24"/>
        </w:rPr>
        <w:t>生活垃圾平均</w:t>
      </w:r>
      <w:r>
        <w:rPr>
          <w:rFonts w:ascii="Times New Roman" w:eastAsia="宋体" w:hAnsi="Times New Roman" w:cs="Times New Roman" w:hint="eastAsia"/>
          <w:sz w:val="24"/>
          <w:szCs w:val="24"/>
        </w:rPr>
        <w:t>填埋规模</w:t>
      </w:r>
      <w:r>
        <w:rPr>
          <w:rFonts w:ascii="Times New Roman" w:eastAsia="宋体" w:hAnsi="Times New Roman" w:cs="Times New Roman"/>
          <w:sz w:val="24"/>
          <w:szCs w:val="24"/>
        </w:rPr>
        <w:t>109.20 t/d</w:t>
      </w:r>
      <w:r>
        <w:rPr>
          <w:rFonts w:ascii="Times New Roman" w:eastAsia="宋体" w:hAnsi="Times New Roman" w:cs="Times New Roman"/>
          <w:sz w:val="24"/>
          <w:szCs w:val="24"/>
        </w:rPr>
        <w:t>，</w:t>
      </w:r>
      <w:r>
        <w:rPr>
          <w:rFonts w:ascii="Times New Roman" w:eastAsia="宋体" w:hAnsi="Times New Roman" w:cs="Times New Roman" w:hint="eastAsia"/>
          <w:kern w:val="0"/>
          <w:sz w:val="24"/>
          <w:szCs w:val="24"/>
        </w:rPr>
        <w:t>生活垃圾的产生量预测见表</w:t>
      </w:r>
      <w:r>
        <w:rPr>
          <w:rFonts w:ascii="Times New Roman" w:eastAsia="宋体" w:hAnsi="Times New Roman" w:cs="Times New Roman"/>
          <w:kern w:val="0"/>
          <w:sz w:val="24"/>
          <w:szCs w:val="24"/>
        </w:rPr>
        <w:t>3.3-2</w:t>
      </w:r>
      <w:r>
        <w:rPr>
          <w:rFonts w:ascii="Times New Roman" w:eastAsia="宋体" w:hAnsi="Times New Roman" w:cs="Times New Roman"/>
          <w:kern w:val="0"/>
          <w:sz w:val="24"/>
          <w:szCs w:val="24"/>
        </w:rPr>
        <w:t>。</w:t>
      </w:r>
    </w:p>
    <w:p w14:paraId="6607EB12" w14:textId="77777777" w:rsidR="00D12939" w:rsidRDefault="004F47F5">
      <w:pPr>
        <w:ind w:firstLine="462"/>
        <w:jc w:val="center"/>
        <w:rPr>
          <w:rFonts w:ascii="黑体" w:eastAsia="黑体" w:hAnsi="黑体" w:cs="Times New Roman"/>
          <w:sz w:val="24"/>
        </w:rPr>
      </w:pPr>
      <w:r>
        <w:rPr>
          <w:rFonts w:ascii="黑体" w:eastAsia="黑体" w:hAnsi="黑体" w:cs="Times New Roman" w:hint="eastAsia"/>
          <w:sz w:val="24"/>
        </w:rPr>
        <w:t>表</w:t>
      </w:r>
      <w:r>
        <w:rPr>
          <w:rFonts w:ascii="黑体" w:eastAsia="黑体" w:hAnsi="黑体" w:cs="Times New Roman"/>
          <w:sz w:val="24"/>
        </w:rPr>
        <w:t xml:space="preserve">3.3-2   </w:t>
      </w:r>
      <w:r>
        <w:rPr>
          <w:rFonts w:ascii="黑体" w:eastAsia="黑体" w:hAnsi="黑体" w:cs="Times New Roman" w:hint="eastAsia"/>
          <w:sz w:val="24"/>
        </w:rPr>
        <w:t>生活垃圾产生量预测表</w:t>
      </w:r>
    </w:p>
    <w:tbl>
      <w:tblPr>
        <w:tblW w:w="4070" w:type="pct"/>
        <w:jc w:val="center"/>
        <w:tblCellMar>
          <w:left w:w="0" w:type="dxa"/>
          <w:right w:w="0" w:type="dxa"/>
        </w:tblCellMar>
        <w:tblLook w:val="04A0" w:firstRow="1" w:lastRow="0" w:firstColumn="1" w:lastColumn="0" w:noHBand="0" w:noVBand="1"/>
      </w:tblPr>
      <w:tblGrid>
        <w:gridCol w:w="2176"/>
        <w:gridCol w:w="2693"/>
        <w:gridCol w:w="3056"/>
      </w:tblGrid>
      <w:tr w:rsidR="00D12939" w14:paraId="3AC08DEF" w14:textId="77777777">
        <w:trPr>
          <w:trHeight w:hRule="exact" w:val="470"/>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8D1F1D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年份</w:t>
            </w:r>
          </w:p>
        </w:tc>
        <w:tc>
          <w:tcPr>
            <w:tcW w:w="1699" w:type="pct"/>
            <w:tcBorders>
              <w:top w:val="single" w:sz="4" w:space="0" w:color="auto"/>
              <w:left w:val="single" w:sz="4" w:space="0" w:color="auto"/>
              <w:right w:val="single" w:sz="4" w:space="0" w:color="auto"/>
            </w:tcBorders>
            <w:tcMar>
              <w:top w:w="15" w:type="dxa"/>
              <w:left w:w="15" w:type="dxa"/>
              <w:right w:w="15" w:type="dxa"/>
            </w:tcMar>
            <w:vAlign w:val="center"/>
          </w:tcPr>
          <w:p w14:paraId="0936EEC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日</w:t>
            </w:r>
            <w:r>
              <w:rPr>
                <w:rFonts w:ascii="Times New Roman" w:eastAsia="宋体" w:hAnsi="Times New Roman" w:cs="Times New Roman" w:hint="eastAsia"/>
              </w:rPr>
              <w:t>产生</w:t>
            </w:r>
            <w:r>
              <w:rPr>
                <w:rFonts w:ascii="Times New Roman" w:eastAsia="宋体" w:hAnsi="Times New Roman" w:cs="Times New Roman"/>
              </w:rPr>
              <w:t>量（</w:t>
            </w:r>
            <w:r>
              <w:rPr>
                <w:rFonts w:ascii="Times New Roman" w:eastAsia="宋体" w:hAnsi="Times New Roman" w:cs="Times New Roman"/>
              </w:rPr>
              <w:t>t/d</w:t>
            </w:r>
            <w:r>
              <w:rPr>
                <w:rFonts w:ascii="Times New Roman" w:eastAsia="宋体" w:hAnsi="Times New Roman" w:cs="Times New Roman"/>
              </w:rPr>
              <w:t>）</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B738BA2"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年产生</w:t>
            </w:r>
            <w:r>
              <w:rPr>
                <w:rFonts w:ascii="Times New Roman" w:eastAsia="宋体" w:hAnsi="Times New Roman" w:cs="Times New Roman"/>
              </w:rPr>
              <w:t>量（万</w:t>
            </w:r>
            <w:r>
              <w:rPr>
                <w:rFonts w:ascii="Times New Roman" w:eastAsia="宋体" w:hAnsi="Times New Roman" w:cs="Times New Roman"/>
              </w:rPr>
              <w:t>t/a</w:t>
            </w:r>
            <w:r>
              <w:rPr>
                <w:rFonts w:ascii="Times New Roman" w:eastAsia="宋体" w:hAnsi="Times New Roman" w:cs="Times New Roman"/>
              </w:rPr>
              <w:t>）</w:t>
            </w:r>
          </w:p>
        </w:tc>
      </w:tr>
      <w:tr w:rsidR="00D12939" w14:paraId="5B8F82C0"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11D9A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2024</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FD693C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0.27</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5EF620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.29</w:t>
            </w:r>
          </w:p>
        </w:tc>
      </w:tr>
      <w:tr w:rsidR="00D12939" w14:paraId="4D74CCBB"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B97D70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2025</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B218BE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0.53</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101CF2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.30</w:t>
            </w:r>
          </w:p>
        </w:tc>
      </w:tr>
      <w:tr w:rsidR="00D12939" w14:paraId="52967FC6"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4DEF94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2026</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90ED0D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02.15</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86FC2F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.73</w:t>
            </w:r>
          </w:p>
        </w:tc>
      </w:tr>
      <w:tr w:rsidR="00D12939" w14:paraId="4BEA840F"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2B0C22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2027</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15D36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02.46</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A5BB99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.74</w:t>
            </w:r>
          </w:p>
        </w:tc>
      </w:tr>
      <w:tr w:rsidR="00D12939" w14:paraId="58B21E86"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ED90D8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2028</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7E8412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08.47</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418DBB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.96</w:t>
            </w:r>
          </w:p>
        </w:tc>
      </w:tr>
      <w:tr w:rsidR="00D12939" w14:paraId="656D6426"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49DE1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2029</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0DAB36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14.52</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1228C4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.18</w:t>
            </w:r>
          </w:p>
        </w:tc>
      </w:tr>
      <w:tr w:rsidR="00D12939" w14:paraId="53EA1D79"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0A8018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2030</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84ED42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14.86</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32DED0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.19</w:t>
            </w:r>
          </w:p>
        </w:tc>
      </w:tr>
      <w:tr w:rsidR="00D12939" w14:paraId="6CE6C242"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7798A3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2031</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CB74E7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15.20</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F4A352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.20</w:t>
            </w:r>
          </w:p>
        </w:tc>
      </w:tr>
      <w:tr w:rsidR="00D12939" w14:paraId="3BEF5FEB"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BB73FA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2032</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012F1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15.54</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1B51B9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.22</w:t>
            </w:r>
          </w:p>
        </w:tc>
      </w:tr>
      <w:tr w:rsidR="00D12939" w14:paraId="342647C1" w14:textId="77777777">
        <w:trPr>
          <w:trHeight w:hRule="exact" w:val="347"/>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93F96D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2033</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78A48C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15.88</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F16437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.23</w:t>
            </w:r>
          </w:p>
        </w:tc>
      </w:tr>
      <w:tr w:rsidR="00D12939" w14:paraId="1F08A425"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B9B7AB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2034</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6BEF8B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16.23</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758A6E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.24</w:t>
            </w:r>
          </w:p>
        </w:tc>
      </w:tr>
      <w:tr w:rsidR="00D12939" w14:paraId="3B8B0F77"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98DF56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2035</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60B978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16.57</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C1EC1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.25</w:t>
            </w:r>
          </w:p>
        </w:tc>
      </w:tr>
      <w:tr w:rsidR="00D12939" w14:paraId="7F53B84F" w14:textId="77777777">
        <w:trPr>
          <w:trHeight w:hRule="exact" w:val="352"/>
          <w:jc w:val="center"/>
        </w:trPr>
        <w:tc>
          <w:tcPr>
            <w:tcW w:w="1373"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0DD0B4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2036</w:t>
            </w:r>
          </w:p>
        </w:tc>
        <w:tc>
          <w:tcPr>
            <w:tcW w:w="169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B07058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16.92</w:t>
            </w:r>
          </w:p>
        </w:tc>
        <w:tc>
          <w:tcPr>
            <w:tcW w:w="19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76BD83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.27</w:t>
            </w:r>
          </w:p>
        </w:tc>
      </w:tr>
    </w:tbl>
    <w:p w14:paraId="49D29D38" w14:textId="77777777" w:rsidR="00D12939" w:rsidRDefault="004F47F5">
      <w:pPr>
        <w:spacing w:line="360" w:lineRule="auto"/>
        <w:ind w:firstLine="462"/>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w:t>
      </w:r>
      <w:r>
        <w:rPr>
          <w:rFonts w:ascii="Times New Roman" w:eastAsia="宋体" w:hAnsi="Times New Roman" w:cs="Times New Roman" w:hint="eastAsia"/>
          <w:kern w:val="0"/>
          <w:sz w:val="24"/>
          <w:szCs w:val="24"/>
        </w:rPr>
        <w:t>4</w:t>
      </w:r>
      <w:r>
        <w:rPr>
          <w:rFonts w:ascii="Times New Roman" w:eastAsia="宋体" w:hAnsi="Times New Roman" w:cs="Times New Roman" w:hint="eastAsia"/>
          <w:kern w:val="0"/>
          <w:sz w:val="24"/>
          <w:szCs w:val="24"/>
        </w:rPr>
        <w:t>）入厂要求</w:t>
      </w:r>
    </w:p>
    <w:p w14:paraId="2FE64430" w14:textId="77777777" w:rsidR="00D12939" w:rsidRDefault="004F47F5">
      <w:pPr>
        <w:spacing w:line="360" w:lineRule="auto"/>
        <w:ind w:firstLine="462"/>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本项目主要接收柞水县生活垃圾，不包括建筑垃圾、工业垃圾、城镇生活污水厂污泥、电子垃圾、医疗垃圾和其他特种垃圾及危险废弃物。</w:t>
      </w:r>
    </w:p>
    <w:p w14:paraId="2FD2ACEC" w14:textId="77777777" w:rsidR="00D12939" w:rsidRDefault="004F47F5">
      <w:pPr>
        <w:spacing w:line="360" w:lineRule="auto"/>
        <w:ind w:firstLine="462"/>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进入本综合处置场的填埋物应是满足《生活垃圾填埋场污染控制标准》（</w:t>
      </w:r>
      <w:r>
        <w:rPr>
          <w:rFonts w:ascii="Times New Roman" w:eastAsia="宋体" w:hAnsi="Times New Roman" w:cs="Times New Roman"/>
          <w:kern w:val="0"/>
          <w:sz w:val="24"/>
          <w:szCs w:val="24"/>
        </w:rPr>
        <w:t>GB16889-2008</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lastRenderedPageBreak/>
        <w:t>中进场要求的</w:t>
      </w:r>
      <w:r>
        <w:rPr>
          <w:rFonts w:ascii="Times New Roman" w:eastAsia="宋体" w:hAnsi="Times New Roman" w:cs="Times New Roman" w:hint="eastAsia"/>
          <w:kern w:val="0"/>
          <w:sz w:val="24"/>
          <w:szCs w:val="24"/>
        </w:rPr>
        <w:t>生活垃圾</w:t>
      </w:r>
      <w:r>
        <w:rPr>
          <w:rFonts w:ascii="Times New Roman" w:eastAsia="宋体" w:hAnsi="Times New Roman" w:cs="Times New Roman"/>
          <w:kern w:val="0"/>
          <w:sz w:val="24"/>
          <w:szCs w:val="24"/>
        </w:rPr>
        <w:t>，对于原生垃圾应为居民家庭垃圾、园林绿化废弃</w:t>
      </w:r>
      <w:r>
        <w:rPr>
          <w:rFonts w:ascii="Times New Roman" w:eastAsia="宋体" w:hAnsi="Times New Roman" w:cs="Times New Roman" w:hint="eastAsia"/>
          <w:kern w:val="0"/>
          <w:sz w:val="24"/>
          <w:szCs w:val="24"/>
        </w:rPr>
        <w:t>物、商务服务网点垃圾、清扫保洁垃圾、交通物流场站垃圾、企事业单位的生活垃圾及其他具有生活垃圾属性的一般固体废弃物，严禁混有下列物质的生活垃圾进入本处置场：</w:t>
      </w:r>
    </w:p>
    <w:p w14:paraId="40409826" w14:textId="77777777" w:rsidR="00D12939" w:rsidRDefault="004F47F5">
      <w:pPr>
        <w:spacing w:line="360" w:lineRule="auto"/>
        <w:ind w:firstLine="462"/>
        <w:rPr>
          <w:rFonts w:ascii="Times New Roman" w:eastAsia="宋体" w:hAnsi="Times New Roman" w:cs="Times New Roman"/>
          <w:kern w:val="0"/>
          <w:sz w:val="24"/>
          <w:szCs w:val="24"/>
        </w:rPr>
      </w:pPr>
      <w:r>
        <w:rPr>
          <w:rFonts w:ascii="宋体" w:eastAsia="宋体" w:cs="宋体" w:hint="eastAsia"/>
          <w:kern w:val="0"/>
          <w:sz w:val="24"/>
          <w:szCs w:val="24"/>
        </w:rPr>
        <w:t>①有毒工业制品及其残弃物；</w:t>
      </w:r>
    </w:p>
    <w:p w14:paraId="0919CF69" w14:textId="77777777" w:rsidR="00D12939" w:rsidRDefault="004F47F5">
      <w:pPr>
        <w:spacing w:line="360" w:lineRule="auto"/>
        <w:ind w:firstLine="462"/>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有毒试剂和药品；</w:t>
      </w:r>
    </w:p>
    <w:p w14:paraId="3E36AE4F" w14:textId="77777777" w:rsidR="00D12939" w:rsidRDefault="004F47F5">
      <w:pPr>
        <w:spacing w:line="360" w:lineRule="auto"/>
        <w:ind w:firstLine="462"/>
        <w:rPr>
          <w:rFonts w:ascii="Times New Roman" w:eastAsia="宋体" w:hAnsi="Times New Roman" w:cs="Times New Roman"/>
          <w:kern w:val="0"/>
          <w:sz w:val="24"/>
          <w:szCs w:val="24"/>
        </w:rPr>
      </w:pPr>
      <w:r>
        <w:rPr>
          <w:rFonts w:ascii="宋体" w:eastAsia="宋体" w:hAnsi="宋体" w:cs="宋体" w:hint="eastAsia"/>
          <w:kern w:val="0"/>
          <w:sz w:val="24"/>
          <w:szCs w:val="24"/>
        </w:rPr>
        <w:t>③</w:t>
      </w:r>
      <w:r>
        <w:rPr>
          <w:rFonts w:ascii="Times New Roman" w:eastAsia="宋体" w:hAnsi="Times New Roman" w:cs="Times New Roman"/>
          <w:kern w:val="0"/>
          <w:sz w:val="24"/>
          <w:szCs w:val="24"/>
        </w:rPr>
        <w:t>有化学反应并产生有害物质的物质；</w:t>
      </w:r>
    </w:p>
    <w:p w14:paraId="52C9EB42" w14:textId="77777777" w:rsidR="00D12939" w:rsidRDefault="004F47F5">
      <w:pPr>
        <w:spacing w:line="360" w:lineRule="auto"/>
        <w:ind w:firstLine="462"/>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有腐蚀性或有放射性的物质；</w:t>
      </w:r>
      <w:r>
        <w:rPr>
          <w:rFonts w:ascii="Times New Roman" w:eastAsia="Wingdings-Regular" w:hAnsi="Times New Roman" w:cs="Times New Roman"/>
          <w:kern w:val="0"/>
          <w:sz w:val="24"/>
          <w:szCs w:val="24"/>
        </w:rPr>
        <w:t xml:space="preserve"> </w:t>
      </w:r>
    </w:p>
    <w:p w14:paraId="275325A9" w14:textId="77777777" w:rsidR="00D12939" w:rsidRDefault="004F47F5">
      <w:pPr>
        <w:spacing w:line="360" w:lineRule="auto"/>
        <w:ind w:firstLine="462"/>
        <w:rPr>
          <w:rFonts w:ascii="Times New Roman" w:eastAsia="宋体" w:hAnsi="Times New Roman" w:cs="Times New Roman"/>
          <w:kern w:val="0"/>
          <w:sz w:val="24"/>
          <w:szCs w:val="24"/>
        </w:rPr>
      </w:pPr>
      <w:r>
        <w:rPr>
          <w:rFonts w:ascii="宋体" w:eastAsia="宋体" w:hAnsi="宋体" w:cs="宋体" w:hint="eastAsia"/>
          <w:kern w:val="0"/>
          <w:sz w:val="24"/>
          <w:szCs w:val="24"/>
        </w:rPr>
        <w:t>⑤</w:t>
      </w:r>
      <w:r>
        <w:rPr>
          <w:rFonts w:ascii="Times New Roman" w:eastAsia="宋体" w:hAnsi="Times New Roman" w:cs="Times New Roman"/>
          <w:kern w:val="0"/>
          <w:sz w:val="24"/>
          <w:szCs w:val="24"/>
        </w:rPr>
        <w:t>易燃、易爆等危险品；</w:t>
      </w:r>
    </w:p>
    <w:p w14:paraId="3BD88056" w14:textId="77777777" w:rsidR="00D12939" w:rsidRDefault="004F47F5">
      <w:pPr>
        <w:spacing w:line="360" w:lineRule="auto"/>
        <w:ind w:firstLine="462"/>
        <w:rPr>
          <w:rFonts w:ascii="Times New Roman" w:eastAsia="宋体" w:hAnsi="Times New Roman" w:cs="Times New Roman"/>
          <w:kern w:val="0"/>
          <w:sz w:val="24"/>
          <w:szCs w:val="24"/>
        </w:rPr>
      </w:pPr>
      <w:r>
        <w:rPr>
          <w:rFonts w:ascii="宋体" w:eastAsia="宋体" w:hAnsi="宋体" w:cs="宋体" w:hint="eastAsia"/>
          <w:kern w:val="0"/>
          <w:sz w:val="24"/>
          <w:szCs w:val="24"/>
        </w:rPr>
        <w:t>⑥</w:t>
      </w:r>
      <w:r>
        <w:rPr>
          <w:rFonts w:ascii="Times New Roman" w:eastAsia="宋体" w:hAnsi="Times New Roman" w:cs="Times New Roman"/>
          <w:kern w:val="0"/>
          <w:sz w:val="24"/>
          <w:szCs w:val="24"/>
        </w:rPr>
        <w:t>生物危险品和医院垃圾；</w:t>
      </w:r>
    </w:p>
    <w:p w14:paraId="7BC04911" w14:textId="77777777" w:rsidR="00D12939" w:rsidRDefault="004F47F5">
      <w:pPr>
        <w:spacing w:line="360" w:lineRule="auto"/>
        <w:ind w:firstLine="462"/>
        <w:rPr>
          <w:rFonts w:ascii="Times New Roman" w:eastAsia="宋体" w:hAnsi="Times New Roman" w:cs="Times New Roman"/>
          <w:kern w:val="0"/>
          <w:sz w:val="24"/>
          <w:szCs w:val="24"/>
        </w:rPr>
      </w:pPr>
      <w:r>
        <w:rPr>
          <w:rFonts w:ascii="宋体" w:eastAsia="宋体" w:hAnsi="宋体" w:cs="宋体" w:hint="eastAsia"/>
          <w:kern w:val="0"/>
          <w:sz w:val="24"/>
          <w:szCs w:val="24"/>
        </w:rPr>
        <w:t>⑦</w:t>
      </w:r>
      <w:r>
        <w:rPr>
          <w:rFonts w:ascii="Times New Roman" w:eastAsia="宋体" w:hAnsi="Times New Roman" w:cs="Times New Roman"/>
          <w:kern w:val="0"/>
          <w:sz w:val="24"/>
          <w:szCs w:val="24"/>
        </w:rPr>
        <w:t>其它严重污染环境的危险废物。</w:t>
      </w:r>
    </w:p>
    <w:p w14:paraId="1AC00B9C" w14:textId="77777777" w:rsidR="00D12939" w:rsidRDefault="004F47F5">
      <w:pPr>
        <w:spacing w:line="360" w:lineRule="auto"/>
        <w:ind w:firstLine="462"/>
        <w:rPr>
          <w:rFonts w:ascii="Times New Roman" w:eastAsia="宋体" w:hAnsi="Times New Roman" w:cs="Times New Roman"/>
          <w:kern w:val="0"/>
          <w:sz w:val="24"/>
          <w:szCs w:val="24"/>
        </w:rPr>
      </w:pPr>
      <w:r>
        <w:rPr>
          <w:rFonts w:ascii="Times New Roman" w:eastAsia="宋体" w:hAnsi="Times New Roman" w:cs="Times New Roman"/>
          <w:kern w:val="0"/>
          <w:sz w:val="24"/>
          <w:szCs w:val="24"/>
        </w:rPr>
        <w:t>为了保证以上物质不进入填埋场，应定期组织对入场垃圾进行抽样检查。另外填埋物含水量、可生物降解物、外形尺寸应符合具体填埋工艺设计的要求，有条件的填埋场宜采取机械</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生物预处理减量化措施，而且填埋物应按重量进行计量、统计与核定。</w:t>
      </w:r>
    </w:p>
    <w:p w14:paraId="548A3204" w14:textId="77777777" w:rsidR="00D12939" w:rsidRDefault="004F47F5">
      <w:pPr>
        <w:pStyle w:val="2"/>
        <w:spacing w:line="360" w:lineRule="auto"/>
        <w:ind w:firstLineChars="165" w:firstLine="462"/>
        <w:rPr>
          <w:sz w:val="28"/>
        </w:rPr>
      </w:pPr>
      <w:bookmarkStart w:id="313" w:name="_Toc121411711"/>
      <w:r>
        <w:rPr>
          <w:sz w:val="28"/>
        </w:rPr>
        <w:t>3.4</w:t>
      </w:r>
      <w:r>
        <w:rPr>
          <w:rFonts w:hint="eastAsia"/>
          <w:sz w:val="28"/>
        </w:rPr>
        <w:t>原辅材料消耗</w:t>
      </w:r>
      <w:bookmarkEnd w:id="313"/>
    </w:p>
    <w:p w14:paraId="54ADB531" w14:textId="77777777" w:rsidR="00D12939" w:rsidRDefault="004F47F5">
      <w:pPr>
        <w:pStyle w:val="afff0"/>
        <w:adjustRightInd w:val="0"/>
        <w:snapToGrid w:val="0"/>
        <w:spacing w:before="0" w:beforeAutospacing="0" w:after="0" w:afterAutospacing="0" w:line="360" w:lineRule="auto"/>
        <w:ind w:firstLine="480"/>
      </w:pPr>
      <w:r>
        <w:t>项目原辅材料及动力消耗情况见表</w:t>
      </w:r>
      <w:r>
        <w:t>3.4-1</w:t>
      </w:r>
      <w:r>
        <w:t>。</w:t>
      </w:r>
    </w:p>
    <w:p w14:paraId="270D0EAA" w14:textId="77777777" w:rsidR="00D12939" w:rsidRDefault="004F47F5">
      <w:pPr>
        <w:pStyle w:val="a5"/>
        <w:ind w:firstLine="480"/>
        <w:rPr>
          <w:rFonts w:ascii="黑体" w:eastAsia="黑体" w:hAnsi="黑体"/>
          <w:sz w:val="24"/>
          <w:szCs w:val="21"/>
        </w:rPr>
      </w:pPr>
      <w:r>
        <w:rPr>
          <w:rFonts w:ascii="黑体" w:eastAsia="黑体" w:hAnsi="黑体"/>
          <w:sz w:val="24"/>
          <w:szCs w:val="21"/>
        </w:rPr>
        <w:t>表3.4-1    主要原辅材料及动力消耗统计表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85"/>
        <w:gridCol w:w="2229"/>
        <w:gridCol w:w="3214"/>
        <w:gridCol w:w="2588"/>
      </w:tblGrid>
      <w:tr w:rsidR="00D12939" w14:paraId="5B66C5D7" w14:textId="77777777">
        <w:trPr>
          <w:trHeight w:val="284"/>
        </w:trPr>
        <w:tc>
          <w:tcPr>
            <w:tcW w:w="867" w:type="pct"/>
            <w:vAlign w:val="center"/>
          </w:tcPr>
          <w:p w14:paraId="3AF85EE2"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147" w:type="pct"/>
            <w:vAlign w:val="center"/>
          </w:tcPr>
          <w:p w14:paraId="655CD6BF"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名称</w:t>
            </w:r>
          </w:p>
        </w:tc>
        <w:tc>
          <w:tcPr>
            <w:tcW w:w="1654" w:type="pct"/>
            <w:vAlign w:val="center"/>
          </w:tcPr>
          <w:p w14:paraId="35A744A4"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单位</w:t>
            </w:r>
          </w:p>
        </w:tc>
        <w:tc>
          <w:tcPr>
            <w:tcW w:w="1332" w:type="pct"/>
            <w:vAlign w:val="center"/>
          </w:tcPr>
          <w:p w14:paraId="6D010697"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使用量</w:t>
            </w:r>
          </w:p>
        </w:tc>
      </w:tr>
      <w:tr w:rsidR="00D12939" w14:paraId="3DA88466" w14:textId="77777777">
        <w:trPr>
          <w:trHeight w:val="284"/>
        </w:trPr>
        <w:tc>
          <w:tcPr>
            <w:tcW w:w="867" w:type="pct"/>
            <w:vAlign w:val="center"/>
          </w:tcPr>
          <w:p w14:paraId="10C0B408"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1147" w:type="pct"/>
            <w:vAlign w:val="center"/>
          </w:tcPr>
          <w:p w14:paraId="4BC75219"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除臭剂</w:t>
            </w:r>
          </w:p>
        </w:tc>
        <w:tc>
          <w:tcPr>
            <w:tcW w:w="1654" w:type="pct"/>
            <w:vAlign w:val="center"/>
          </w:tcPr>
          <w:p w14:paraId="38A575F4"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t/a</w:t>
            </w:r>
          </w:p>
        </w:tc>
        <w:tc>
          <w:tcPr>
            <w:tcW w:w="1332" w:type="pct"/>
            <w:vAlign w:val="center"/>
          </w:tcPr>
          <w:p w14:paraId="3EAAE88F"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25</w:t>
            </w:r>
          </w:p>
        </w:tc>
      </w:tr>
      <w:tr w:rsidR="00D12939" w14:paraId="4495B13C" w14:textId="77777777">
        <w:trPr>
          <w:trHeight w:val="285"/>
        </w:trPr>
        <w:tc>
          <w:tcPr>
            <w:tcW w:w="867" w:type="pct"/>
            <w:vAlign w:val="center"/>
          </w:tcPr>
          <w:p w14:paraId="04EC1DB7" w14:textId="77777777" w:rsidR="00D12939" w:rsidRDefault="004F47F5">
            <w:pPr>
              <w:adjustRightInd w:val="0"/>
              <w:snapToGrid w:val="0"/>
              <w:jc w:val="center"/>
              <w:rPr>
                <w:rFonts w:ascii="Times New Roman" w:eastAsia="宋体" w:hAnsi="Times New Roman" w:cs="Times New Roman"/>
              </w:rPr>
            </w:pPr>
            <w:r>
              <w:rPr>
                <w:rFonts w:ascii="Times New Roman" w:eastAsia="宋体" w:hAnsi="Times New Roman" w:cs="Times New Roman"/>
              </w:rPr>
              <w:t>2</w:t>
            </w:r>
          </w:p>
        </w:tc>
        <w:tc>
          <w:tcPr>
            <w:tcW w:w="1147" w:type="pct"/>
            <w:vAlign w:val="center"/>
          </w:tcPr>
          <w:p w14:paraId="713CB518"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电</w:t>
            </w:r>
          </w:p>
        </w:tc>
        <w:tc>
          <w:tcPr>
            <w:tcW w:w="1654" w:type="pct"/>
            <w:vAlign w:val="center"/>
          </w:tcPr>
          <w:p w14:paraId="40FC3BBA" w14:textId="77777777" w:rsidR="00D12939" w:rsidRDefault="004F47F5">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szCs w:val="21"/>
                <w:lang w:bidi="ar-BH"/>
              </w:rPr>
              <w:t>万</w:t>
            </w:r>
            <w:r>
              <w:rPr>
                <w:rFonts w:ascii="Times New Roman" w:eastAsia="宋体" w:hAnsi="Times New Roman" w:cs="Times New Roman"/>
                <w:szCs w:val="21"/>
                <w:lang w:bidi="ar-BH"/>
              </w:rPr>
              <w:t>Kwh/a</w:t>
            </w:r>
          </w:p>
        </w:tc>
        <w:tc>
          <w:tcPr>
            <w:tcW w:w="1332" w:type="pct"/>
            <w:vAlign w:val="center"/>
          </w:tcPr>
          <w:p w14:paraId="278C1887" w14:textId="77777777" w:rsidR="00D12939" w:rsidRDefault="004F47F5">
            <w:pPr>
              <w:adjustRightInd w:val="0"/>
              <w:snapToGrid w:val="0"/>
              <w:jc w:val="center"/>
              <w:rPr>
                <w:rFonts w:ascii="Times New Roman" w:eastAsia="宋体" w:hAnsi="Times New Roman" w:cs="Times New Roman"/>
              </w:rPr>
            </w:pPr>
            <w:r>
              <w:rPr>
                <w:rFonts w:ascii="Times New Roman" w:eastAsia="宋体" w:hAnsi="Times New Roman" w:cs="Times New Roman"/>
              </w:rPr>
              <w:t>35.2</w:t>
            </w:r>
          </w:p>
        </w:tc>
      </w:tr>
      <w:tr w:rsidR="00D12939" w14:paraId="26B629C2" w14:textId="77777777">
        <w:trPr>
          <w:trHeight w:val="284"/>
        </w:trPr>
        <w:tc>
          <w:tcPr>
            <w:tcW w:w="867" w:type="pct"/>
            <w:vAlign w:val="center"/>
          </w:tcPr>
          <w:p w14:paraId="3DBD1B7F" w14:textId="77777777" w:rsidR="00D12939" w:rsidRDefault="004F47F5">
            <w:pPr>
              <w:adjustRightInd w:val="0"/>
              <w:snapToGrid w:val="0"/>
              <w:jc w:val="center"/>
              <w:rPr>
                <w:rFonts w:ascii="Times New Roman" w:eastAsia="宋体" w:hAnsi="Times New Roman" w:cs="Times New Roman"/>
              </w:rPr>
            </w:pPr>
            <w:r>
              <w:rPr>
                <w:rFonts w:ascii="Times New Roman" w:eastAsia="宋体" w:hAnsi="Times New Roman" w:cs="Times New Roman"/>
              </w:rPr>
              <w:t>3</w:t>
            </w:r>
          </w:p>
        </w:tc>
        <w:tc>
          <w:tcPr>
            <w:tcW w:w="1147" w:type="pct"/>
            <w:vAlign w:val="center"/>
          </w:tcPr>
          <w:p w14:paraId="1AD4A2AB"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新鲜水</w:t>
            </w:r>
          </w:p>
        </w:tc>
        <w:tc>
          <w:tcPr>
            <w:tcW w:w="1654" w:type="pct"/>
            <w:vAlign w:val="center"/>
          </w:tcPr>
          <w:p w14:paraId="6A713131" w14:textId="77777777" w:rsidR="00D12939" w:rsidRDefault="004F47F5">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/a</w:t>
            </w:r>
          </w:p>
        </w:tc>
        <w:tc>
          <w:tcPr>
            <w:tcW w:w="1332" w:type="pct"/>
            <w:vAlign w:val="center"/>
          </w:tcPr>
          <w:p w14:paraId="1379120D" w14:textId="77777777" w:rsidR="00D12939" w:rsidRDefault="004F47F5">
            <w:pPr>
              <w:adjustRightInd w:val="0"/>
              <w:snapToGrid w:val="0"/>
              <w:jc w:val="center"/>
              <w:rPr>
                <w:rFonts w:ascii="Times New Roman" w:eastAsia="宋体" w:hAnsi="Times New Roman" w:cs="Times New Roman"/>
                <w:bCs/>
              </w:rPr>
            </w:pPr>
            <w:r>
              <w:rPr>
                <w:rFonts w:ascii="Times New Roman" w:eastAsia="宋体" w:hAnsi="Times New Roman" w:cs="Times New Roman"/>
                <w:bCs/>
                <w:szCs w:val="21"/>
              </w:rPr>
              <w:t>12048.65</w:t>
            </w:r>
          </w:p>
        </w:tc>
      </w:tr>
      <w:tr w:rsidR="00D12939" w14:paraId="62BB8E57" w14:textId="77777777">
        <w:trPr>
          <w:trHeight w:val="285"/>
        </w:trPr>
        <w:tc>
          <w:tcPr>
            <w:tcW w:w="867" w:type="pct"/>
            <w:vAlign w:val="center"/>
          </w:tcPr>
          <w:p w14:paraId="356CB152" w14:textId="77777777" w:rsidR="00D12939" w:rsidRDefault="004F47F5">
            <w:pPr>
              <w:adjustRightInd w:val="0"/>
              <w:snapToGrid w:val="0"/>
              <w:jc w:val="center"/>
              <w:rPr>
                <w:rFonts w:ascii="Times New Roman" w:eastAsia="宋体" w:hAnsi="Times New Roman" w:cs="Times New Roman"/>
              </w:rPr>
            </w:pPr>
            <w:r>
              <w:rPr>
                <w:rFonts w:ascii="Times New Roman" w:eastAsia="宋体" w:hAnsi="Times New Roman" w:cs="Times New Roman"/>
              </w:rPr>
              <w:t>4</w:t>
            </w:r>
          </w:p>
        </w:tc>
        <w:tc>
          <w:tcPr>
            <w:tcW w:w="1147" w:type="pct"/>
            <w:vAlign w:val="center"/>
          </w:tcPr>
          <w:p w14:paraId="25DB795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柴油</w:t>
            </w:r>
          </w:p>
        </w:tc>
        <w:tc>
          <w:tcPr>
            <w:tcW w:w="1654" w:type="pct"/>
            <w:vAlign w:val="center"/>
          </w:tcPr>
          <w:p w14:paraId="6FCA1328" w14:textId="77777777" w:rsidR="00D12939" w:rsidRDefault="004F47F5">
            <w:pPr>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t/a</w:t>
            </w:r>
          </w:p>
        </w:tc>
        <w:tc>
          <w:tcPr>
            <w:tcW w:w="1332" w:type="pct"/>
            <w:vAlign w:val="center"/>
          </w:tcPr>
          <w:p w14:paraId="364DD39A" w14:textId="77777777" w:rsidR="00D12939" w:rsidRDefault="004F47F5">
            <w:pPr>
              <w:adjustRightInd w:val="0"/>
              <w:snapToGrid w:val="0"/>
              <w:jc w:val="center"/>
              <w:rPr>
                <w:rFonts w:ascii="Times New Roman" w:eastAsia="宋体" w:hAnsi="Times New Roman" w:cs="Times New Roman"/>
                <w:bCs/>
                <w:szCs w:val="21"/>
              </w:rPr>
            </w:pPr>
            <w:r>
              <w:rPr>
                <w:rFonts w:ascii="Times New Roman" w:eastAsia="宋体" w:hAnsi="Times New Roman" w:cs="Times New Roman"/>
                <w:bCs/>
                <w:szCs w:val="21"/>
              </w:rPr>
              <w:t>32.64</w:t>
            </w:r>
          </w:p>
        </w:tc>
      </w:tr>
    </w:tbl>
    <w:p w14:paraId="50507FD0" w14:textId="77777777" w:rsidR="00D12939" w:rsidRDefault="004F47F5">
      <w:pPr>
        <w:pStyle w:val="2"/>
        <w:spacing w:line="360" w:lineRule="auto"/>
        <w:ind w:firstLineChars="165" w:firstLine="462"/>
        <w:rPr>
          <w:sz w:val="28"/>
        </w:rPr>
      </w:pPr>
      <w:bookmarkStart w:id="314" w:name="_Toc27530"/>
      <w:bookmarkStart w:id="315" w:name="_Toc121411712"/>
      <w:bookmarkStart w:id="316" w:name="_Toc7893"/>
      <w:r>
        <w:rPr>
          <w:sz w:val="28"/>
        </w:rPr>
        <w:t>3.5</w:t>
      </w:r>
      <w:r>
        <w:rPr>
          <w:rFonts w:hint="eastAsia"/>
          <w:sz w:val="28"/>
        </w:rPr>
        <w:t>主要</w:t>
      </w:r>
      <w:r>
        <w:rPr>
          <w:sz w:val="28"/>
        </w:rPr>
        <w:t>设备</w:t>
      </w:r>
      <w:bookmarkEnd w:id="314"/>
      <w:bookmarkEnd w:id="315"/>
      <w:bookmarkEnd w:id="316"/>
    </w:p>
    <w:p w14:paraId="3B443118" w14:textId="77777777" w:rsidR="00D12939" w:rsidRDefault="004F47F5">
      <w:pPr>
        <w:pStyle w:val="afff0"/>
        <w:adjustRightInd w:val="0"/>
        <w:snapToGrid w:val="0"/>
        <w:spacing w:before="0" w:beforeAutospacing="0" w:after="0" w:afterAutospacing="0" w:line="360" w:lineRule="auto"/>
        <w:ind w:firstLine="480"/>
      </w:pPr>
      <w:r>
        <w:rPr>
          <w:rFonts w:hint="eastAsia"/>
        </w:rPr>
        <w:t>本项目主要作业机械配置具体如下。</w:t>
      </w:r>
    </w:p>
    <w:p w14:paraId="421C3A17" w14:textId="77777777" w:rsidR="00D12939" w:rsidRDefault="004F47F5">
      <w:pPr>
        <w:pStyle w:val="a5"/>
        <w:ind w:firstLine="480"/>
        <w:rPr>
          <w:rFonts w:ascii="黑体" w:eastAsia="黑体" w:hAnsi="黑体"/>
          <w:sz w:val="24"/>
          <w:szCs w:val="21"/>
        </w:rPr>
      </w:pPr>
      <w:r>
        <w:rPr>
          <w:rFonts w:ascii="黑体" w:eastAsia="黑体" w:hAnsi="黑体"/>
          <w:sz w:val="24"/>
          <w:szCs w:val="21"/>
        </w:rPr>
        <w:t>表3.5-1    主要</w:t>
      </w:r>
      <w:r>
        <w:rPr>
          <w:rFonts w:ascii="黑体" w:eastAsia="黑体" w:hAnsi="黑体" w:hint="eastAsia"/>
          <w:sz w:val="24"/>
          <w:szCs w:val="21"/>
        </w:rPr>
        <w:t>设备一览表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85"/>
        <w:gridCol w:w="2229"/>
        <w:gridCol w:w="3214"/>
        <w:gridCol w:w="2588"/>
      </w:tblGrid>
      <w:tr w:rsidR="00D12939" w14:paraId="2D38BC39" w14:textId="77777777">
        <w:trPr>
          <w:trHeight w:val="284"/>
        </w:trPr>
        <w:tc>
          <w:tcPr>
            <w:tcW w:w="867" w:type="pct"/>
            <w:vAlign w:val="center"/>
          </w:tcPr>
          <w:p w14:paraId="4FED4C10"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147" w:type="pct"/>
            <w:vAlign w:val="center"/>
          </w:tcPr>
          <w:p w14:paraId="5D8BD522"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设备名称</w:t>
            </w:r>
          </w:p>
        </w:tc>
        <w:tc>
          <w:tcPr>
            <w:tcW w:w="1654" w:type="pct"/>
            <w:vAlign w:val="center"/>
          </w:tcPr>
          <w:p w14:paraId="587C5297"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单位</w:t>
            </w:r>
          </w:p>
        </w:tc>
        <w:tc>
          <w:tcPr>
            <w:tcW w:w="1332" w:type="pct"/>
            <w:vAlign w:val="center"/>
          </w:tcPr>
          <w:p w14:paraId="34795182"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数量</w:t>
            </w:r>
          </w:p>
        </w:tc>
      </w:tr>
      <w:tr w:rsidR="00D12939" w14:paraId="011821EF" w14:textId="77777777">
        <w:trPr>
          <w:trHeight w:val="284"/>
        </w:trPr>
        <w:tc>
          <w:tcPr>
            <w:tcW w:w="867" w:type="pct"/>
            <w:vAlign w:val="center"/>
          </w:tcPr>
          <w:p w14:paraId="7499A1EF"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1147" w:type="pct"/>
            <w:vAlign w:val="center"/>
          </w:tcPr>
          <w:p w14:paraId="44E635C0"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推土机</w:t>
            </w:r>
          </w:p>
        </w:tc>
        <w:tc>
          <w:tcPr>
            <w:tcW w:w="1654" w:type="pct"/>
            <w:vAlign w:val="center"/>
          </w:tcPr>
          <w:p w14:paraId="4EA8DE31"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辆</w:t>
            </w:r>
          </w:p>
        </w:tc>
        <w:tc>
          <w:tcPr>
            <w:tcW w:w="1332" w:type="pct"/>
            <w:vAlign w:val="center"/>
          </w:tcPr>
          <w:p w14:paraId="3F60D6AB"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r>
      <w:tr w:rsidR="00D12939" w14:paraId="22DD8368" w14:textId="77777777">
        <w:trPr>
          <w:trHeight w:val="284"/>
        </w:trPr>
        <w:tc>
          <w:tcPr>
            <w:tcW w:w="867" w:type="pct"/>
            <w:vAlign w:val="center"/>
          </w:tcPr>
          <w:p w14:paraId="15DA9010"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2</w:t>
            </w:r>
          </w:p>
        </w:tc>
        <w:tc>
          <w:tcPr>
            <w:tcW w:w="1147" w:type="pct"/>
            <w:vAlign w:val="center"/>
          </w:tcPr>
          <w:p w14:paraId="7CD57F2A"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自卸卡车</w:t>
            </w:r>
          </w:p>
        </w:tc>
        <w:tc>
          <w:tcPr>
            <w:tcW w:w="1654" w:type="pct"/>
            <w:vAlign w:val="center"/>
          </w:tcPr>
          <w:p w14:paraId="257C734C"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辆</w:t>
            </w:r>
          </w:p>
        </w:tc>
        <w:tc>
          <w:tcPr>
            <w:tcW w:w="1332" w:type="pct"/>
            <w:vAlign w:val="center"/>
          </w:tcPr>
          <w:p w14:paraId="325FDE3C"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1</w:t>
            </w:r>
          </w:p>
        </w:tc>
      </w:tr>
      <w:tr w:rsidR="00D12939" w14:paraId="5B3918B4" w14:textId="77777777">
        <w:trPr>
          <w:trHeight w:val="284"/>
        </w:trPr>
        <w:tc>
          <w:tcPr>
            <w:tcW w:w="867" w:type="pct"/>
            <w:vAlign w:val="center"/>
          </w:tcPr>
          <w:p w14:paraId="2706FDEE"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3</w:t>
            </w:r>
          </w:p>
        </w:tc>
        <w:tc>
          <w:tcPr>
            <w:tcW w:w="1147" w:type="pct"/>
            <w:vAlign w:val="center"/>
          </w:tcPr>
          <w:p w14:paraId="5248626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压实机</w:t>
            </w:r>
          </w:p>
        </w:tc>
        <w:tc>
          <w:tcPr>
            <w:tcW w:w="1654" w:type="pct"/>
            <w:vAlign w:val="center"/>
          </w:tcPr>
          <w:p w14:paraId="3DF52766"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辆</w:t>
            </w:r>
          </w:p>
        </w:tc>
        <w:tc>
          <w:tcPr>
            <w:tcW w:w="1332" w:type="pct"/>
            <w:vAlign w:val="center"/>
          </w:tcPr>
          <w:p w14:paraId="00F53D30"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1</w:t>
            </w:r>
          </w:p>
        </w:tc>
      </w:tr>
      <w:tr w:rsidR="00D12939" w14:paraId="48934030" w14:textId="77777777">
        <w:trPr>
          <w:trHeight w:val="284"/>
        </w:trPr>
        <w:tc>
          <w:tcPr>
            <w:tcW w:w="867" w:type="pct"/>
            <w:vAlign w:val="center"/>
          </w:tcPr>
          <w:p w14:paraId="3875890F"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4</w:t>
            </w:r>
          </w:p>
        </w:tc>
        <w:tc>
          <w:tcPr>
            <w:tcW w:w="1147" w:type="pct"/>
            <w:vAlign w:val="center"/>
          </w:tcPr>
          <w:p w14:paraId="1017D753"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转载机</w:t>
            </w:r>
          </w:p>
        </w:tc>
        <w:tc>
          <w:tcPr>
            <w:tcW w:w="1654" w:type="pct"/>
            <w:vAlign w:val="center"/>
          </w:tcPr>
          <w:p w14:paraId="7DAC3A94"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辆</w:t>
            </w:r>
          </w:p>
        </w:tc>
        <w:tc>
          <w:tcPr>
            <w:tcW w:w="1332" w:type="pct"/>
            <w:vAlign w:val="center"/>
          </w:tcPr>
          <w:p w14:paraId="53503F25"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1</w:t>
            </w:r>
          </w:p>
        </w:tc>
      </w:tr>
      <w:tr w:rsidR="00D12939" w14:paraId="149685C5" w14:textId="77777777">
        <w:trPr>
          <w:trHeight w:val="284"/>
        </w:trPr>
        <w:tc>
          <w:tcPr>
            <w:tcW w:w="867" w:type="pct"/>
            <w:vAlign w:val="center"/>
          </w:tcPr>
          <w:p w14:paraId="541251CB"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5</w:t>
            </w:r>
          </w:p>
        </w:tc>
        <w:tc>
          <w:tcPr>
            <w:tcW w:w="1147" w:type="pct"/>
            <w:vAlign w:val="center"/>
          </w:tcPr>
          <w:p w14:paraId="5DD8C936"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洒水车</w:t>
            </w:r>
          </w:p>
        </w:tc>
        <w:tc>
          <w:tcPr>
            <w:tcW w:w="1654" w:type="pct"/>
            <w:vAlign w:val="center"/>
          </w:tcPr>
          <w:p w14:paraId="60AC0F1B"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辆</w:t>
            </w:r>
          </w:p>
        </w:tc>
        <w:tc>
          <w:tcPr>
            <w:tcW w:w="1332" w:type="pct"/>
            <w:vAlign w:val="center"/>
          </w:tcPr>
          <w:p w14:paraId="43CC6DA1"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1</w:t>
            </w:r>
          </w:p>
        </w:tc>
      </w:tr>
      <w:tr w:rsidR="00D12939" w14:paraId="47BEBBB4" w14:textId="77777777">
        <w:trPr>
          <w:trHeight w:val="284"/>
        </w:trPr>
        <w:tc>
          <w:tcPr>
            <w:tcW w:w="867" w:type="pct"/>
            <w:vAlign w:val="center"/>
          </w:tcPr>
          <w:p w14:paraId="6D968698"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6</w:t>
            </w:r>
          </w:p>
        </w:tc>
        <w:tc>
          <w:tcPr>
            <w:tcW w:w="1147" w:type="pct"/>
            <w:vAlign w:val="center"/>
          </w:tcPr>
          <w:p w14:paraId="42B65F9E"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管理用车</w:t>
            </w:r>
          </w:p>
        </w:tc>
        <w:tc>
          <w:tcPr>
            <w:tcW w:w="1654" w:type="pct"/>
            <w:vAlign w:val="center"/>
          </w:tcPr>
          <w:p w14:paraId="697F078A"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辆</w:t>
            </w:r>
          </w:p>
        </w:tc>
        <w:tc>
          <w:tcPr>
            <w:tcW w:w="1332" w:type="pct"/>
            <w:vAlign w:val="center"/>
          </w:tcPr>
          <w:p w14:paraId="49511C7D"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1</w:t>
            </w:r>
          </w:p>
        </w:tc>
      </w:tr>
      <w:tr w:rsidR="00D12939" w14:paraId="7916F011" w14:textId="77777777">
        <w:trPr>
          <w:trHeight w:val="284"/>
        </w:trPr>
        <w:tc>
          <w:tcPr>
            <w:tcW w:w="867" w:type="pct"/>
            <w:vAlign w:val="center"/>
          </w:tcPr>
          <w:p w14:paraId="7B33CF7D" w14:textId="77777777" w:rsidR="00D12939" w:rsidRDefault="004F47F5">
            <w:pPr>
              <w:snapToGrid w:val="0"/>
              <w:jc w:val="center"/>
              <w:rPr>
                <w:rFonts w:ascii="Times New Roman" w:eastAsia="宋体" w:hAnsi="Times New Roman" w:cs="Times New Roman"/>
                <w:szCs w:val="21"/>
              </w:rPr>
            </w:pPr>
            <w:r>
              <w:rPr>
                <w:rFonts w:ascii="Times New Roman" w:eastAsia="宋体" w:hAnsi="Times New Roman" w:cs="Times New Roman"/>
                <w:szCs w:val="21"/>
              </w:rPr>
              <w:t>7</w:t>
            </w:r>
          </w:p>
        </w:tc>
        <w:tc>
          <w:tcPr>
            <w:tcW w:w="1147" w:type="pct"/>
            <w:vAlign w:val="center"/>
          </w:tcPr>
          <w:p w14:paraId="0DABEC38"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槽罐车</w:t>
            </w:r>
          </w:p>
        </w:tc>
        <w:tc>
          <w:tcPr>
            <w:tcW w:w="1654" w:type="pct"/>
            <w:vAlign w:val="center"/>
          </w:tcPr>
          <w:p w14:paraId="1791D2EC"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辆</w:t>
            </w:r>
          </w:p>
        </w:tc>
        <w:tc>
          <w:tcPr>
            <w:tcW w:w="1332" w:type="pct"/>
            <w:vAlign w:val="center"/>
          </w:tcPr>
          <w:p w14:paraId="50557283"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1</w:t>
            </w:r>
          </w:p>
        </w:tc>
      </w:tr>
    </w:tbl>
    <w:p w14:paraId="0004AC46" w14:textId="77777777" w:rsidR="00D12939" w:rsidRDefault="004F47F5">
      <w:pPr>
        <w:pStyle w:val="2"/>
        <w:spacing w:line="360" w:lineRule="auto"/>
        <w:ind w:firstLineChars="165" w:firstLine="462"/>
        <w:rPr>
          <w:sz w:val="28"/>
        </w:rPr>
      </w:pPr>
      <w:bookmarkStart w:id="317" w:name="_Toc121411713"/>
      <w:bookmarkStart w:id="318" w:name="_Toc20279"/>
      <w:r>
        <w:rPr>
          <w:sz w:val="28"/>
        </w:rPr>
        <w:lastRenderedPageBreak/>
        <w:t>3.6</w:t>
      </w:r>
      <w:r>
        <w:rPr>
          <w:rFonts w:hint="eastAsia"/>
          <w:sz w:val="28"/>
        </w:rPr>
        <w:t>填埋场工程建设内容</w:t>
      </w:r>
      <w:bookmarkEnd w:id="317"/>
    </w:p>
    <w:p w14:paraId="2CDC238B"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19" w:name="_Toc121411714"/>
      <w:r>
        <w:rPr>
          <w:rFonts w:ascii="Times New Roman" w:eastAsia="黑体" w:hAnsi="Times New Roman" w:cs="Times New Roman"/>
          <w:b w:val="0"/>
          <w:sz w:val="24"/>
        </w:rPr>
        <w:t xml:space="preserve">3.6.1 </w:t>
      </w:r>
      <w:r>
        <w:rPr>
          <w:rFonts w:ascii="Times New Roman" w:eastAsia="黑体" w:hAnsi="Times New Roman" w:cs="Times New Roman" w:hint="eastAsia"/>
          <w:b w:val="0"/>
          <w:sz w:val="24"/>
        </w:rPr>
        <w:t>场地整治</w:t>
      </w:r>
      <w:bookmarkEnd w:id="319"/>
    </w:p>
    <w:p w14:paraId="144C63C4"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填埋库区内的场地应进行必要的处理，以为其上的防渗衬层提供良好的基础构建面，并为垃圾堆体提供足够的承载力。</w:t>
      </w:r>
      <w:r>
        <w:rPr>
          <w:rFonts w:ascii="Times New Roman" w:eastAsia="宋体" w:hAnsi="Times New Roman" w:cs="Times New Roman"/>
          <w:sz w:val="24"/>
        </w:rPr>
        <w:t>场地整治时应该清除所有植被即表层耕植土；确保所有软土、有机土和其它所有可能降低防渗性能的异物被去除；确保所有的裂缝和坑洞被堵塞；配合场底收集系统的布设，形成一定的排水坡度；需要挖除腐殖土、淤泥等软土，回填土方并应按有关规定分层回填夯实。</w:t>
      </w:r>
    </w:p>
    <w:p w14:paraId="519C08A1"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最终形成的基础构建面应该达到下列要求：</w:t>
      </w:r>
    </w:p>
    <w:p w14:paraId="6A03EBB1"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1</w:t>
      </w:r>
      <w:r>
        <w:rPr>
          <w:rFonts w:ascii="Times New Roman" w:eastAsia="宋体" w:hAnsi="Times New Roman" w:cs="Times New Roman"/>
          <w:sz w:val="24"/>
        </w:rPr>
        <w:t>、平整、坚实、无裂缝、无松土；</w:t>
      </w:r>
    </w:p>
    <w:p w14:paraId="3375D206"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2</w:t>
      </w:r>
      <w:r>
        <w:rPr>
          <w:rFonts w:ascii="Times New Roman" w:eastAsia="宋体" w:hAnsi="Times New Roman" w:cs="Times New Roman"/>
          <w:sz w:val="24"/>
        </w:rPr>
        <w:t>、基地表面无积水、树根及其它任何有害的杂物；</w:t>
      </w:r>
    </w:p>
    <w:p w14:paraId="4A06F929"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3</w:t>
      </w:r>
      <w:r>
        <w:rPr>
          <w:rFonts w:ascii="Times New Roman" w:eastAsia="宋体" w:hAnsi="Times New Roman" w:cs="Times New Roman"/>
          <w:sz w:val="24"/>
        </w:rPr>
        <w:t>、坡面稳定，过渡平缓。</w:t>
      </w:r>
    </w:p>
    <w:p w14:paraId="6D06201F" w14:textId="3714B771" w:rsidR="003B6FD1" w:rsidRPr="001B1820" w:rsidRDefault="003B6FD1" w:rsidP="003B6FD1">
      <w:pPr>
        <w:pStyle w:val="30"/>
        <w:spacing w:before="0" w:after="0" w:line="360" w:lineRule="auto"/>
        <w:ind w:firstLineChars="200" w:firstLine="480"/>
        <w:rPr>
          <w:rFonts w:ascii="Times New Roman" w:eastAsia="黑体" w:hAnsi="Times New Roman" w:cs="Times New Roman"/>
          <w:b w:val="0"/>
          <w:color w:val="FF0000"/>
          <w:sz w:val="24"/>
        </w:rPr>
      </w:pPr>
      <w:bookmarkStart w:id="320" w:name="_Toc121411715"/>
      <w:r w:rsidRPr="001B1820">
        <w:rPr>
          <w:rFonts w:ascii="Times New Roman" w:eastAsia="黑体" w:hAnsi="Times New Roman" w:cs="Times New Roman"/>
          <w:b w:val="0"/>
          <w:color w:val="FF0000"/>
          <w:sz w:val="24"/>
        </w:rPr>
        <w:t xml:space="preserve">3.6.2 </w:t>
      </w:r>
      <w:r w:rsidRPr="001B1820">
        <w:rPr>
          <w:rFonts w:ascii="Times New Roman" w:eastAsia="黑体" w:hAnsi="Times New Roman" w:cs="Times New Roman" w:hint="eastAsia"/>
          <w:b w:val="0"/>
          <w:color w:val="FF0000"/>
          <w:sz w:val="24"/>
        </w:rPr>
        <w:t>库容计算</w:t>
      </w:r>
    </w:p>
    <w:p w14:paraId="057540A6" w14:textId="77777777" w:rsidR="003B6FD1" w:rsidRPr="001B1820" w:rsidRDefault="003B6FD1" w:rsidP="003B6FD1">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本工程采用“切片法”对填埋库容进行计算。卫生填埋场的库容通常是将设计的填埋堆体按不同高程，水平分成若干个切片，计算每个切片的体积，然后累加得到总的设计堆体体积，即为填埋库容，也叫“切片法”。每个切片可视为台体，按以下台体计算公式加以计算：</w:t>
      </w:r>
    </w:p>
    <w:p w14:paraId="40990B64" w14:textId="49E8DD0E" w:rsidR="003B6FD1" w:rsidRPr="001B1820" w:rsidRDefault="003B6FD1" w:rsidP="003B6FD1">
      <w:pPr>
        <w:autoSpaceDE w:val="0"/>
        <w:autoSpaceDN w:val="0"/>
        <w:adjustRightInd w:val="0"/>
        <w:spacing w:line="360" w:lineRule="auto"/>
        <w:ind w:firstLineChars="200" w:firstLine="480"/>
        <w:jc w:val="center"/>
        <w:rPr>
          <w:rFonts w:ascii="Times New Roman" w:eastAsia="宋体" w:hAnsi="Times New Roman" w:cs="Times New Roman"/>
          <w:color w:val="FF0000"/>
          <w:sz w:val="24"/>
        </w:rPr>
      </w:pPr>
      <w:r w:rsidRPr="001B1820">
        <w:rPr>
          <w:rFonts w:ascii="Times New Roman" w:eastAsia="宋体" w:hAnsi="Times New Roman" w:cs="Times New Roman"/>
          <w:noProof/>
          <w:color w:val="FF0000"/>
          <w:sz w:val="24"/>
        </w:rPr>
        <w:drawing>
          <wp:inline distT="0" distB="0" distL="0" distR="0" wp14:anchorId="37A37077" wp14:editId="141E5FBF">
            <wp:extent cx="2038350" cy="428625"/>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38350" cy="428625"/>
                    </a:xfrm>
                    <a:prstGeom prst="rect">
                      <a:avLst/>
                    </a:prstGeom>
                  </pic:spPr>
                </pic:pic>
              </a:graphicData>
            </a:graphic>
          </wp:inline>
        </w:drawing>
      </w:r>
    </w:p>
    <w:p w14:paraId="161A4FE8" w14:textId="77777777" w:rsidR="003B6FD1" w:rsidRPr="001B1820" w:rsidRDefault="003B6FD1" w:rsidP="003B6FD1">
      <w:pPr>
        <w:autoSpaceDE w:val="0"/>
        <w:autoSpaceDN w:val="0"/>
        <w:adjustRightInd w:val="0"/>
        <w:spacing w:line="360" w:lineRule="auto"/>
        <w:jc w:val="left"/>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其中：</w:t>
      </w:r>
      <w:r w:rsidRPr="001B1820">
        <w:rPr>
          <w:rFonts w:ascii="Times New Roman" w:eastAsia="宋体" w:hAnsi="Times New Roman" w:cs="Times New Roman"/>
          <w:color w:val="FF0000"/>
          <w:sz w:val="24"/>
        </w:rPr>
        <w:t>V</w:t>
      </w:r>
      <w:r w:rsidRPr="001B1820">
        <w:rPr>
          <w:rFonts w:ascii="Times New Roman" w:eastAsia="宋体" w:hAnsi="Times New Roman" w:cs="Times New Roman" w:hint="eastAsia"/>
          <w:color w:val="FF0000"/>
          <w:sz w:val="24"/>
        </w:rPr>
        <w:t>——台体的体积，</w:t>
      </w:r>
      <w:r w:rsidRPr="001B1820">
        <w:rPr>
          <w:rFonts w:ascii="Times New Roman" w:eastAsia="宋体" w:hAnsi="Times New Roman" w:cs="Times New Roman"/>
          <w:color w:val="FF0000"/>
          <w:sz w:val="24"/>
        </w:rPr>
        <w:t>m</w:t>
      </w:r>
      <w:r w:rsidRPr="001B1820">
        <w:rPr>
          <w:rFonts w:ascii="Times New Roman" w:eastAsia="宋体" w:hAnsi="Times New Roman" w:cs="Times New Roman"/>
          <w:color w:val="FF0000"/>
          <w:sz w:val="24"/>
          <w:vertAlign w:val="superscript"/>
        </w:rPr>
        <w:t>3</w:t>
      </w:r>
      <w:r w:rsidRPr="001B1820">
        <w:rPr>
          <w:rFonts w:ascii="Times New Roman" w:eastAsia="宋体" w:hAnsi="Times New Roman" w:cs="Times New Roman" w:hint="eastAsia"/>
          <w:color w:val="FF0000"/>
          <w:sz w:val="24"/>
        </w:rPr>
        <w:t>；</w:t>
      </w:r>
    </w:p>
    <w:p w14:paraId="0A7839BF" w14:textId="77777777" w:rsidR="003B6FD1" w:rsidRPr="001B1820" w:rsidRDefault="003B6FD1" w:rsidP="003B6FD1">
      <w:pPr>
        <w:autoSpaceDE w:val="0"/>
        <w:autoSpaceDN w:val="0"/>
        <w:adjustRightInd w:val="0"/>
        <w:spacing w:line="360" w:lineRule="auto"/>
        <w:ind w:firstLineChars="300" w:firstLine="720"/>
        <w:jc w:val="left"/>
        <w:rPr>
          <w:rFonts w:ascii="Times New Roman" w:eastAsia="宋体" w:hAnsi="Times New Roman" w:cs="Times New Roman"/>
          <w:color w:val="FF0000"/>
          <w:sz w:val="24"/>
        </w:rPr>
      </w:pPr>
      <w:r w:rsidRPr="001B1820">
        <w:rPr>
          <w:rFonts w:ascii="Times New Roman" w:eastAsia="宋体" w:hAnsi="Times New Roman" w:cs="Times New Roman"/>
          <w:color w:val="FF0000"/>
          <w:sz w:val="24"/>
        </w:rPr>
        <w:t>H</w:t>
      </w:r>
      <w:r w:rsidRPr="001B1820">
        <w:rPr>
          <w:rFonts w:ascii="Times New Roman" w:eastAsia="宋体" w:hAnsi="Times New Roman" w:cs="Times New Roman" w:hint="eastAsia"/>
          <w:color w:val="FF0000"/>
          <w:sz w:val="24"/>
        </w:rPr>
        <w:t>——台体的高度，</w:t>
      </w:r>
      <w:r w:rsidRPr="001B1820">
        <w:rPr>
          <w:rFonts w:ascii="Times New Roman" w:eastAsia="宋体" w:hAnsi="Times New Roman" w:cs="Times New Roman"/>
          <w:color w:val="FF0000"/>
          <w:sz w:val="24"/>
        </w:rPr>
        <w:t>m</w:t>
      </w:r>
      <w:r w:rsidRPr="001B1820">
        <w:rPr>
          <w:rFonts w:ascii="Times New Roman" w:eastAsia="宋体" w:hAnsi="Times New Roman" w:cs="Times New Roman" w:hint="eastAsia"/>
          <w:color w:val="FF0000"/>
          <w:sz w:val="24"/>
        </w:rPr>
        <w:t>；</w:t>
      </w:r>
    </w:p>
    <w:p w14:paraId="1708269E" w14:textId="77777777" w:rsidR="003B6FD1" w:rsidRPr="001B1820" w:rsidRDefault="003B6FD1" w:rsidP="003B6FD1">
      <w:pPr>
        <w:autoSpaceDE w:val="0"/>
        <w:autoSpaceDN w:val="0"/>
        <w:adjustRightInd w:val="0"/>
        <w:spacing w:line="360" w:lineRule="auto"/>
        <w:ind w:firstLineChars="300" w:firstLine="720"/>
        <w:jc w:val="left"/>
        <w:rPr>
          <w:rFonts w:ascii="Times New Roman" w:eastAsia="宋体" w:hAnsi="Times New Roman" w:cs="Times New Roman"/>
          <w:color w:val="FF0000"/>
          <w:sz w:val="24"/>
        </w:rPr>
      </w:pPr>
      <w:r w:rsidRPr="001B1820">
        <w:rPr>
          <w:rFonts w:ascii="Times New Roman" w:eastAsia="宋体" w:hAnsi="Times New Roman" w:cs="Times New Roman"/>
          <w:color w:val="FF0000"/>
          <w:sz w:val="24"/>
        </w:rPr>
        <w:t>S</w:t>
      </w:r>
      <w:r w:rsidRPr="001B1820">
        <w:rPr>
          <w:rFonts w:ascii="Times New Roman" w:eastAsia="宋体" w:hAnsi="Times New Roman" w:cs="Times New Roman" w:hint="eastAsia"/>
          <w:color w:val="FF0000"/>
          <w:sz w:val="24"/>
          <w:vertAlign w:val="subscript"/>
        </w:rPr>
        <w:t>上</w:t>
      </w:r>
      <w:r w:rsidRPr="001B1820">
        <w:rPr>
          <w:rFonts w:ascii="Times New Roman" w:eastAsia="宋体" w:hAnsi="Times New Roman" w:cs="Times New Roman" w:hint="eastAsia"/>
          <w:color w:val="FF0000"/>
          <w:sz w:val="24"/>
        </w:rPr>
        <w:t>——台体上表面面积，</w:t>
      </w:r>
      <w:r w:rsidRPr="001B1820">
        <w:rPr>
          <w:rFonts w:ascii="Times New Roman" w:eastAsia="宋体" w:hAnsi="Times New Roman" w:cs="Times New Roman"/>
          <w:color w:val="FF0000"/>
          <w:sz w:val="24"/>
        </w:rPr>
        <w:t>m</w:t>
      </w:r>
      <w:r w:rsidRPr="001B1820">
        <w:rPr>
          <w:rFonts w:ascii="Times New Roman" w:eastAsia="宋体" w:hAnsi="Times New Roman" w:cs="Times New Roman"/>
          <w:color w:val="FF0000"/>
          <w:sz w:val="24"/>
          <w:vertAlign w:val="superscript"/>
        </w:rPr>
        <w:t>2</w:t>
      </w:r>
      <w:r w:rsidRPr="001B1820">
        <w:rPr>
          <w:rFonts w:ascii="Times New Roman" w:eastAsia="宋体" w:hAnsi="Times New Roman" w:cs="Times New Roman" w:hint="eastAsia"/>
          <w:color w:val="FF0000"/>
          <w:sz w:val="24"/>
        </w:rPr>
        <w:t>；</w:t>
      </w:r>
    </w:p>
    <w:p w14:paraId="5B93B3BF" w14:textId="77777777" w:rsidR="003B6FD1" w:rsidRPr="001B1820" w:rsidRDefault="003B6FD1" w:rsidP="003B6FD1">
      <w:pPr>
        <w:autoSpaceDE w:val="0"/>
        <w:autoSpaceDN w:val="0"/>
        <w:adjustRightInd w:val="0"/>
        <w:spacing w:line="360" w:lineRule="auto"/>
        <w:ind w:firstLineChars="300" w:firstLine="720"/>
        <w:jc w:val="left"/>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S</w:t>
      </w:r>
      <w:r w:rsidRPr="001B1820">
        <w:rPr>
          <w:rFonts w:ascii="Times New Roman" w:eastAsia="宋体" w:hAnsi="Times New Roman" w:cs="Times New Roman" w:hint="eastAsia"/>
          <w:color w:val="FF0000"/>
          <w:sz w:val="24"/>
          <w:vertAlign w:val="subscript"/>
        </w:rPr>
        <w:t>下</w:t>
      </w:r>
      <w:r w:rsidRPr="001B1820">
        <w:rPr>
          <w:rFonts w:ascii="Times New Roman" w:eastAsia="宋体" w:hAnsi="Times New Roman" w:cs="Times New Roman" w:hint="eastAsia"/>
          <w:color w:val="FF0000"/>
          <w:sz w:val="24"/>
        </w:rPr>
        <w:t>——台体下表面面积，</w:t>
      </w:r>
      <w:r w:rsidRPr="001B1820">
        <w:rPr>
          <w:rFonts w:ascii="Times New Roman" w:eastAsia="宋体" w:hAnsi="Times New Roman" w:cs="Times New Roman"/>
          <w:color w:val="FF0000"/>
          <w:sz w:val="24"/>
        </w:rPr>
        <w:t>m</w:t>
      </w:r>
      <w:r w:rsidRPr="001B1820">
        <w:rPr>
          <w:rFonts w:ascii="Times New Roman" w:eastAsia="宋体" w:hAnsi="Times New Roman" w:cs="Times New Roman"/>
          <w:color w:val="FF0000"/>
          <w:sz w:val="24"/>
          <w:vertAlign w:val="superscript"/>
        </w:rPr>
        <w:t>2</w:t>
      </w:r>
      <w:r w:rsidRPr="001B1820">
        <w:rPr>
          <w:rFonts w:ascii="Times New Roman" w:eastAsia="宋体" w:hAnsi="Times New Roman" w:cs="Times New Roman" w:hint="eastAsia"/>
          <w:color w:val="FF0000"/>
          <w:sz w:val="24"/>
        </w:rPr>
        <w:t>。</w:t>
      </w:r>
    </w:p>
    <w:p w14:paraId="2D533F3B" w14:textId="4BCEAD56" w:rsidR="003B6FD1" w:rsidRPr="001B1820" w:rsidRDefault="003B6FD1" w:rsidP="003B6FD1">
      <w:pPr>
        <w:autoSpaceDE w:val="0"/>
        <w:autoSpaceDN w:val="0"/>
        <w:adjustRightInd w:val="0"/>
        <w:spacing w:line="360" w:lineRule="auto"/>
        <w:ind w:firstLineChars="300" w:firstLine="720"/>
        <w:jc w:val="left"/>
        <w:rPr>
          <w:rFonts w:ascii="宋体" w:eastAsia="宋体" w:hAnsi="Times New Roman" w:cs="宋体"/>
          <w:color w:val="FF0000"/>
          <w:kern w:val="0"/>
          <w:sz w:val="24"/>
          <w:szCs w:val="24"/>
        </w:rPr>
      </w:pPr>
      <w:r w:rsidRPr="001B1820">
        <w:rPr>
          <w:rFonts w:ascii="宋体" w:eastAsia="宋体" w:hAnsi="Times New Roman" w:cs="宋体" w:hint="eastAsia"/>
          <w:color w:val="FF0000"/>
          <w:kern w:val="0"/>
          <w:sz w:val="24"/>
          <w:szCs w:val="24"/>
        </w:rPr>
        <w:t>具体计算过程如下：</w:t>
      </w:r>
    </w:p>
    <w:p w14:paraId="282A3CFD" w14:textId="77777777" w:rsidR="003B6FD1" w:rsidRPr="001B1820" w:rsidRDefault="003B6FD1" w:rsidP="003B6FD1">
      <w:pPr>
        <w:autoSpaceDE w:val="0"/>
        <w:autoSpaceDN w:val="0"/>
        <w:adjustRightInd w:val="0"/>
        <w:spacing w:line="360" w:lineRule="auto"/>
        <w:jc w:val="center"/>
        <w:rPr>
          <w:rFonts w:ascii="黑体" w:eastAsia="黑体" w:cs="黑体"/>
          <w:color w:val="FF0000"/>
          <w:kern w:val="0"/>
          <w:sz w:val="24"/>
          <w:szCs w:val="24"/>
        </w:rPr>
      </w:pPr>
      <w:r w:rsidRPr="001B1820">
        <w:rPr>
          <w:rFonts w:ascii="黑体" w:eastAsia="黑体" w:cs="黑体" w:hint="eastAsia"/>
          <w:color w:val="FF0000"/>
          <w:kern w:val="0"/>
          <w:sz w:val="24"/>
          <w:szCs w:val="24"/>
        </w:rPr>
        <w:t>表3.6</w:t>
      </w:r>
      <w:r w:rsidRPr="001B1820">
        <w:rPr>
          <w:rFonts w:ascii="黑体" w:eastAsia="黑体" w:cs="黑体"/>
          <w:color w:val="FF0000"/>
          <w:kern w:val="0"/>
          <w:sz w:val="24"/>
          <w:szCs w:val="24"/>
        </w:rPr>
        <w:t xml:space="preserve">-1 </w:t>
      </w:r>
      <w:r w:rsidRPr="001B1820">
        <w:rPr>
          <w:rFonts w:ascii="Times New Roman" w:eastAsia="宋体" w:hAnsi="Times New Roman" w:cs="Times New Roman"/>
          <w:color w:val="FF0000"/>
          <w:sz w:val="24"/>
        </w:rPr>
        <w:t xml:space="preserve"> </w:t>
      </w:r>
      <w:r w:rsidRPr="001B1820">
        <w:rPr>
          <w:rFonts w:ascii="黑体" w:eastAsia="黑体" w:cs="黑体" w:hint="eastAsia"/>
          <w:color w:val="FF0000"/>
          <w:kern w:val="0"/>
          <w:sz w:val="24"/>
          <w:szCs w:val="24"/>
        </w:rPr>
        <w:t>工程库容测算表</w:t>
      </w:r>
    </w:p>
    <w:tbl>
      <w:tblPr>
        <w:tblStyle w:val="afff8"/>
        <w:tblW w:w="0" w:type="auto"/>
        <w:tblLook w:val="04A0" w:firstRow="1" w:lastRow="0" w:firstColumn="1" w:lastColumn="0" w:noHBand="0" w:noVBand="1"/>
      </w:tblPr>
      <w:tblGrid>
        <w:gridCol w:w="1947"/>
        <w:gridCol w:w="1947"/>
        <w:gridCol w:w="1947"/>
        <w:gridCol w:w="1947"/>
        <w:gridCol w:w="1948"/>
      </w:tblGrid>
      <w:tr w:rsidR="003B6FD1" w:rsidRPr="001B1820" w14:paraId="7792BB01" w14:textId="77777777" w:rsidTr="003B6FD1">
        <w:tc>
          <w:tcPr>
            <w:tcW w:w="1947" w:type="dxa"/>
            <w:vAlign w:val="center"/>
          </w:tcPr>
          <w:p w14:paraId="3F9FB6AF" w14:textId="732E9E2E"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堆层标号</w:t>
            </w:r>
          </w:p>
        </w:tc>
        <w:tc>
          <w:tcPr>
            <w:tcW w:w="1947" w:type="dxa"/>
            <w:vAlign w:val="center"/>
          </w:tcPr>
          <w:p w14:paraId="6D303CF3" w14:textId="2A70A56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标高（</w:t>
            </w:r>
            <w:r w:rsidRPr="001B1820">
              <w:rPr>
                <w:rFonts w:ascii="Times New Roman" w:eastAsia="宋体" w:hAnsi="Times New Roman" w:cs="Times New Roman" w:hint="eastAsia"/>
                <w:color w:val="FF0000"/>
              </w:rPr>
              <w:t>m</w:t>
            </w:r>
            <w:r w:rsidRPr="001B1820">
              <w:rPr>
                <w:rFonts w:ascii="Times New Roman" w:eastAsia="宋体" w:hAnsi="Times New Roman" w:cs="Times New Roman" w:hint="eastAsia"/>
                <w:color w:val="FF0000"/>
              </w:rPr>
              <w:t>）</w:t>
            </w:r>
          </w:p>
        </w:tc>
        <w:tc>
          <w:tcPr>
            <w:tcW w:w="1947" w:type="dxa"/>
            <w:vAlign w:val="center"/>
          </w:tcPr>
          <w:p w14:paraId="6E9F2D43" w14:textId="5FFED821"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表面面积（</w:t>
            </w:r>
            <w:r w:rsidRPr="001B1820">
              <w:rPr>
                <w:rFonts w:ascii="Times New Roman" w:eastAsia="宋体" w:hAnsi="Times New Roman" w:cs="Times New Roman" w:hint="eastAsia"/>
                <w:color w:val="FF0000"/>
              </w:rPr>
              <w:t>m</w:t>
            </w:r>
            <w:r w:rsidRPr="001B1820">
              <w:rPr>
                <w:rFonts w:ascii="Times New Roman" w:eastAsia="宋体" w:hAnsi="Times New Roman" w:cs="Times New Roman"/>
                <w:color w:val="FF0000"/>
                <w:vertAlign w:val="superscript"/>
              </w:rPr>
              <w:t>2</w:t>
            </w:r>
            <w:r w:rsidRPr="001B1820">
              <w:rPr>
                <w:rFonts w:ascii="Times New Roman" w:eastAsia="宋体" w:hAnsi="Times New Roman" w:cs="Times New Roman" w:hint="eastAsia"/>
                <w:color w:val="FF0000"/>
              </w:rPr>
              <w:t>）</w:t>
            </w:r>
          </w:p>
        </w:tc>
        <w:tc>
          <w:tcPr>
            <w:tcW w:w="1947" w:type="dxa"/>
            <w:vAlign w:val="center"/>
          </w:tcPr>
          <w:p w14:paraId="6B984E43" w14:textId="04D9AC78"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堆层容积（</w:t>
            </w:r>
            <w:r w:rsidRPr="001B1820">
              <w:rPr>
                <w:rFonts w:ascii="Times New Roman" w:eastAsia="宋体" w:hAnsi="Times New Roman" w:cs="Times New Roman" w:hint="eastAsia"/>
                <w:color w:val="FF0000"/>
              </w:rPr>
              <w:t>m</w:t>
            </w:r>
            <w:r w:rsidRPr="001B1820">
              <w:rPr>
                <w:rFonts w:ascii="Times New Roman" w:eastAsia="宋体" w:hAnsi="Times New Roman" w:cs="Times New Roman"/>
                <w:color w:val="FF0000"/>
                <w:vertAlign w:val="superscript"/>
              </w:rPr>
              <w:t>3</w:t>
            </w:r>
            <w:r w:rsidRPr="001B1820">
              <w:rPr>
                <w:rFonts w:ascii="Times New Roman" w:eastAsia="宋体" w:hAnsi="Times New Roman" w:cs="Times New Roman" w:hint="eastAsia"/>
                <w:color w:val="FF0000"/>
              </w:rPr>
              <w:t>）</w:t>
            </w:r>
          </w:p>
        </w:tc>
        <w:tc>
          <w:tcPr>
            <w:tcW w:w="1948" w:type="dxa"/>
            <w:vAlign w:val="center"/>
          </w:tcPr>
          <w:p w14:paraId="4CFF41F9" w14:textId="34722A82"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累计容积（</w:t>
            </w:r>
            <w:r w:rsidRPr="001B1820">
              <w:rPr>
                <w:rFonts w:ascii="Times New Roman" w:eastAsia="宋体" w:hAnsi="Times New Roman" w:cs="Times New Roman" w:hint="eastAsia"/>
                <w:color w:val="FF0000"/>
              </w:rPr>
              <w:t>m</w:t>
            </w:r>
            <w:r w:rsidRPr="001B1820">
              <w:rPr>
                <w:rFonts w:ascii="Times New Roman" w:eastAsia="宋体" w:hAnsi="Times New Roman" w:cs="Times New Roman"/>
                <w:color w:val="FF0000"/>
                <w:vertAlign w:val="superscript"/>
              </w:rPr>
              <w:t>3</w:t>
            </w:r>
            <w:r w:rsidRPr="001B1820">
              <w:rPr>
                <w:rFonts w:ascii="Times New Roman" w:eastAsia="宋体" w:hAnsi="Times New Roman" w:cs="Times New Roman" w:hint="eastAsia"/>
                <w:color w:val="FF0000"/>
              </w:rPr>
              <w:t>）</w:t>
            </w:r>
          </w:p>
        </w:tc>
      </w:tr>
      <w:tr w:rsidR="003B6FD1" w:rsidRPr="001B1820" w14:paraId="6988D412" w14:textId="77777777" w:rsidTr="003B6FD1">
        <w:tc>
          <w:tcPr>
            <w:tcW w:w="1947" w:type="dxa"/>
            <w:vMerge w:val="restart"/>
            <w:vAlign w:val="center"/>
          </w:tcPr>
          <w:p w14:paraId="531D157D" w14:textId="0200F4BD"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p>
        </w:tc>
        <w:tc>
          <w:tcPr>
            <w:tcW w:w="1947" w:type="dxa"/>
            <w:vAlign w:val="center"/>
          </w:tcPr>
          <w:p w14:paraId="1DCE4DA1" w14:textId="3D3F1CAD"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142</w:t>
            </w:r>
          </w:p>
        </w:tc>
        <w:tc>
          <w:tcPr>
            <w:tcW w:w="1947" w:type="dxa"/>
            <w:vAlign w:val="center"/>
          </w:tcPr>
          <w:p w14:paraId="0E84DE93" w14:textId="78F1032C"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0</w:t>
            </w:r>
          </w:p>
        </w:tc>
        <w:tc>
          <w:tcPr>
            <w:tcW w:w="1947" w:type="dxa"/>
            <w:vMerge w:val="restart"/>
            <w:vAlign w:val="center"/>
          </w:tcPr>
          <w:p w14:paraId="1A5B7303" w14:textId="7D96C818"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7</w:t>
            </w:r>
            <w:r w:rsidRPr="001B1820">
              <w:rPr>
                <w:rFonts w:ascii="Times New Roman" w:eastAsia="宋体" w:hAnsi="Times New Roman" w:cs="Times New Roman"/>
                <w:color w:val="FF0000"/>
              </w:rPr>
              <w:t>49.57</w:t>
            </w:r>
          </w:p>
        </w:tc>
        <w:tc>
          <w:tcPr>
            <w:tcW w:w="1948" w:type="dxa"/>
            <w:vMerge w:val="restart"/>
            <w:vAlign w:val="center"/>
          </w:tcPr>
          <w:p w14:paraId="41580A1D" w14:textId="659DE259"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7</w:t>
            </w:r>
            <w:r w:rsidRPr="001B1820">
              <w:rPr>
                <w:rFonts w:ascii="Times New Roman" w:eastAsia="宋体" w:hAnsi="Times New Roman" w:cs="Times New Roman"/>
                <w:color w:val="FF0000"/>
              </w:rPr>
              <w:t>49.57</w:t>
            </w:r>
          </w:p>
        </w:tc>
      </w:tr>
      <w:tr w:rsidR="003B6FD1" w:rsidRPr="001B1820" w14:paraId="104AC528" w14:textId="77777777" w:rsidTr="003B6FD1">
        <w:trPr>
          <w:trHeight w:val="60"/>
        </w:trPr>
        <w:tc>
          <w:tcPr>
            <w:tcW w:w="1947" w:type="dxa"/>
            <w:vMerge/>
            <w:vAlign w:val="center"/>
          </w:tcPr>
          <w:p w14:paraId="413CB910" w14:textId="77777777"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519484AF" w14:textId="11303BC7"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145</w:t>
            </w:r>
          </w:p>
        </w:tc>
        <w:tc>
          <w:tcPr>
            <w:tcW w:w="1947" w:type="dxa"/>
            <w:vAlign w:val="center"/>
          </w:tcPr>
          <w:p w14:paraId="49B320AA" w14:textId="752766D1"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6</w:t>
            </w:r>
            <w:r w:rsidRPr="001B1820">
              <w:rPr>
                <w:rFonts w:ascii="Times New Roman" w:eastAsia="宋体" w:hAnsi="Times New Roman" w:cs="Times New Roman"/>
                <w:color w:val="FF0000"/>
              </w:rPr>
              <w:t>58</w:t>
            </w:r>
          </w:p>
        </w:tc>
        <w:tc>
          <w:tcPr>
            <w:tcW w:w="1947" w:type="dxa"/>
            <w:vMerge/>
            <w:vAlign w:val="center"/>
          </w:tcPr>
          <w:p w14:paraId="77F8F398"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24A60642"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1C7F8FF5" w14:textId="77777777" w:rsidTr="003B6FD1">
        <w:tc>
          <w:tcPr>
            <w:tcW w:w="1947" w:type="dxa"/>
            <w:vMerge w:val="restart"/>
            <w:vAlign w:val="center"/>
          </w:tcPr>
          <w:p w14:paraId="1F7A4555" w14:textId="44759D1A"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p>
        </w:tc>
        <w:tc>
          <w:tcPr>
            <w:tcW w:w="1947" w:type="dxa"/>
            <w:vAlign w:val="center"/>
          </w:tcPr>
          <w:p w14:paraId="30C29164" w14:textId="5329FE22"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145</w:t>
            </w:r>
          </w:p>
        </w:tc>
        <w:tc>
          <w:tcPr>
            <w:tcW w:w="1947" w:type="dxa"/>
            <w:vAlign w:val="center"/>
          </w:tcPr>
          <w:p w14:paraId="3350760E" w14:textId="60ECA2D1"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6</w:t>
            </w:r>
            <w:r w:rsidRPr="001B1820">
              <w:rPr>
                <w:rFonts w:ascii="Times New Roman" w:eastAsia="宋体" w:hAnsi="Times New Roman" w:cs="Times New Roman"/>
                <w:color w:val="FF0000"/>
              </w:rPr>
              <w:t>58</w:t>
            </w:r>
          </w:p>
        </w:tc>
        <w:tc>
          <w:tcPr>
            <w:tcW w:w="1947" w:type="dxa"/>
            <w:vMerge w:val="restart"/>
            <w:vAlign w:val="center"/>
          </w:tcPr>
          <w:p w14:paraId="30CDD0ED" w14:textId="1F6FFF33"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9</w:t>
            </w:r>
            <w:r w:rsidRPr="001B1820">
              <w:rPr>
                <w:rFonts w:ascii="Times New Roman" w:eastAsia="宋体" w:hAnsi="Times New Roman" w:cs="Times New Roman"/>
                <w:color w:val="FF0000"/>
              </w:rPr>
              <w:t>758.45</w:t>
            </w:r>
          </w:p>
        </w:tc>
        <w:tc>
          <w:tcPr>
            <w:tcW w:w="1948" w:type="dxa"/>
            <w:vMerge w:val="restart"/>
            <w:vAlign w:val="center"/>
          </w:tcPr>
          <w:p w14:paraId="62D4E5C5" w14:textId="3982AEB2"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0508.02</w:t>
            </w:r>
          </w:p>
        </w:tc>
      </w:tr>
      <w:tr w:rsidR="003B6FD1" w:rsidRPr="001B1820" w14:paraId="1D28217A" w14:textId="77777777" w:rsidTr="003B6FD1">
        <w:tc>
          <w:tcPr>
            <w:tcW w:w="1947" w:type="dxa"/>
            <w:vMerge/>
            <w:vAlign w:val="center"/>
          </w:tcPr>
          <w:p w14:paraId="64C2783A" w14:textId="77777777"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138B3B30" w14:textId="0AB76C0D"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150</w:t>
            </w:r>
          </w:p>
        </w:tc>
        <w:tc>
          <w:tcPr>
            <w:tcW w:w="1947" w:type="dxa"/>
            <w:vAlign w:val="center"/>
          </w:tcPr>
          <w:p w14:paraId="5F6A6C6A" w14:textId="09A13B9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3</w:t>
            </w:r>
            <w:r w:rsidRPr="001B1820">
              <w:rPr>
                <w:rFonts w:ascii="Times New Roman" w:eastAsia="宋体" w:hAnsi="Times New Roman" w:cs="Times New Roman"/>
                <w:color w:val="FF0000"/>
              </w:rPr>
              <w:t>647</w:t>
            </w:r>
          </w:p>
        </w:tc>
        <w:tc>
          <w:tcPr>
            <w:tcW w:w="1947" w:type="dxa"/>
            <w:vMerge/>
            <w:vAlign w:val="center"/>
          </w:tcPr>
          <w:p w14:paraId="10CDFF65"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49CB73D9"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592C6D64" w14:textId="77777777" w:rsidTr="003B6FD1">
        <w:tc>
          <w:tcPr>
            <w:tcW w:w="1947" w:type="dxa"/>
            <w:vMerge w:val="restart"/>
            <w:vAlign w:val="center"/>
          </w:tcPr>
          <w:p w14:paraId="27991066" w14:textId="2BEF0454"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3</w:t>
            </w:r>
          </w:p>
        </w:tc>
        <w:tc>
          <w:tcPr>
            <w:tcW w:w="1947" w:type="dxa"/>
            <w:vAlign w:val="center"/>
          </w:tcPr>
          <w:p w14:paraId="3616F30B" w14:textId="3F380965"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150</w:t>
            </w:r>
          </w:p>
        </w:tc>
        <w:tc>
          <w:tcPr>
            <w:tcW w:w="1947" w:type="dxa"/>
            <w:vAlign w:val="center"/>
          </w:tcPr>
          <w:p w14:paraId="2976CC9B" w14:textId="6AE80C4D"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3</w:t>
            </w:r>
            <w:r w:rsidRPr="001B1820">
              <w:rPr>
                <w:rFonts w:ascii="Times New Roman" w:eastAsia="宋体" w:hAnsi="Times New Roman" w:cs="Times New Roman"/>
                <w:color w:val="FF0000"/>
              </w:rPr>
              <w:t>647</w:t>
            </w:r>
          </w:p>
        </w:tc>
        <w:tc>
          <w:tcPr>
            <w:tcW w:w="1947" w:type="dxa"/>
            <w:vMerge w:val="restart"/>
            <w:vAlign w:val="center"/>
          </w:tcPr>
          <w:p w14:paraId="4D942775" w14:textId="383F71F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2923.8</w:t>
            </w:r>
          </w:p>
        </w:tc>
        <w:tc>
          <w:tcPr>
            <w:tcW w:w="1948" w:type="dxa"/>
            <w:vMerge w:val="restart"/>
            <w:vAlign w:val="center"/>
          </w:tcPr>
          <w:p w14:paraId="47BA827A" w14:textId="42652159"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3</w:t>
            </w:r>
            <w:r w:rsidRPr="001B1820">
              <w:rPr>
                <w:rFonts w:ascii="Times New Roman" w:eastAsia="宋体" w:hAnsi="Times New Roman" w:cs="Times New Roman"/>
                <w:color w:val="FF0000"/>
              </w:rPr>
              <w:t>3431.82</w:t>
            </w:r>
          </w:p>
        </w:tc>
      </w:tr>
      <w:tr w:rsidR="003B6FD1" w:rsidRPr="001B1820" w14:paraId="0DFAFBC7" w14:textId="77777777" w:rsidTr="003B6FD1">
        <w:tc>
          <w:tcPr>
            <w:tcW w:w="1947" w:type="dxa"/>
            <w:vMerge/>
            <w:vAlign w:val="center"/>
          </w:tcPr>
          <w:p w14:paraId="186D84D3" w14:textId="77777777"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3C8D50EB" w14:textId="4B84DA6E"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155</w:t>
            </w:r>
          </w:p>
        </w:tc>
        <w:tc>
          <w:tcPr>
            <w:tcW w:w="1947" w:type="dxa"/>
            <w:vAlign w:val="center"/>
          </w:tcPr>
          <w:p w14:paraId="14661F0A" w14:textId="5E35539B"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5</w:t>
            </w:r>
            <w:r w:rsidRPr="001B1820">
              <w:rPr>
                <w:rFonts w:ascii="Times New Roman" w:eastAsia="宋体" w:hAnsi="Times New Roman" w:cs="Times New Roman"/>
                <w:color w:val="FF0000"/>
              </w:rPr>
              <w:t>591</w:t>
            </w:r>
          </w:p>
        </w:tc>
        <w:tc>
          <w:tcPr>
            <w:tcW w:w="1947" w:type="dxa"/>
            <w:vMerge/>
            <w:vAlign w:val="center"/>
          </w:tcPr>
          <w:p w14:paraId="2CC18A0A"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17D97F72"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2A4C1B76" w14:textId="77777777" w:rsidTr="003B6FD1">
        <w:tc>
          <w:tcPr>
            <w:tcW w:w="1947" w:type="dxa"/>
            <w:vMerge w:val="restart"/>
            <w:vAlign w:val="center"/>
          </w:tcPr>
          <w:p w14:paraId="3EACCD86" w14:textId="7C4DDE04"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lastRenderedPageBreak/>
              <w:t>4</w:t>
            </w:r>
          </w:p>
        </w:tc>
        <w:tc>
          <w:tcPr>
            <w:tcW w:w="1947" w:type="dxa"/>
            <w:vAlign w:val="center"/>
          </w:tcPr>
          <w:p w14:paraId="065555B1" w14:textId="79E9FF7B"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155</w:t>
            </w:r>
          </w:p>
        </w:tc>
        <w:tc>
          <w:tcPr>
            <w:tcW w:w="1947" w:type="dxa"/>
            <w:vAlign w:val="center"/>
          </w:tcPr>
          <w:p w14:paraId="12C509C5" w14:textId="0CEB1EA4"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5</w:t>
            </w:r>
            <w:r w:rsidRPr="001B1820">
              <w:rPr>
                <w:rFonts w:ascii="Times New Roman" w:eastAsia="宋体" w:hAnsi="Times New Roman" w:cs="Times New Roman"/>
                <w:color w:val="FF0000"/>
              </w:rPr>
              <w:t>591</w:t>
            </w:r>
          </w:p>
        </w:tc>
        <w:tc>
          <w:tcPr>
            <w:tcW w:w="1947" w:type="dxa"/>
            <w:vMerge w:val="restart"/>
            <w:vAlign w:val="center"/>
          </w:tcPr>
          <w:p w14:paraId="2C149353" w14:textId="034AE4D2"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3</w:t>
            </w:r>
            <w:r w:rsidRPr="001B1820">
              <w:rPr>
                <w:rFonts w:ascii="Times New Roman" w:eastAsia="宋体" w:hAnsi="Times New Roman" w:cs="Times New Roman"/>
                <w:color w:val="FF0000"/>
              </w:rPr>
              <w:t>4476.6</w:t>
            </w:r>
          </w:p>
        </w:tc>
        <w:tc>
          <w:tcPr>
            <w:tcW w:w="1948" w:type="dxa"/>
            <w:vMerge w:val="restart"/>
            <w:vAlign w:val="center"/>
          </w:tcPr>
          <w:p w14:paraId="2C6498F1" w14:textId="7B8B800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6</w:t>
            </w:r>
            <w:r w:rsidRPr="001B1820">
              <w:rPr>
                <w:rFonts w:ascii="Times New Roman" w:eastAsia="宋体" w:hAnsi="Times New Roman" w:cs="Times New Roman"/>
                <w:color w:val="FF0000"/>
              </w:rPr>
              <w:t>7908.41</w:t>
            </w:r>
          </w:p>
        </w:tc>
      </w:tr>
      <w:tr w:rsidR="003B6FD1" w:rsidRPr="001B1820" w14:paraId="3217CB5C" w14:textId="77777777" w:rsidTr="003B6FD1">
        <w:tc>
          <w:tcPr>
            <w:tcW w:w="1947" w:type="dxa"/>
            <w:vMerge/>
            <w:vAlign w:val="center"/>
          </w:tcPr>
          <w:p w14:paraId="1ABEADA4" w14:textId="77777777"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201829A6" w14:textId="262B3F31"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160</w:t>
            </w:r>
          </w:p>
        </w:tc>
        <w:tc>
          <w:tcPr>
            <w:tcW w:w="1947" w:type="dxa"/>
            <w:vAlign w:val="center"/>
          </w:tcPr>
          <w:p w14:paraId="5A027A34" w14:textId="51F86E05"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8</w:t>
            </w:r>
            <w:r w:rsidRPr="001B1820">
              <w:rPr>
                <w:rFonts w:ascii="Times New Roman" w:eastAsia="宋体" w:hAnsi="Times New Roman" w:cs="Times New Roman"/>
                <w:color w:val="FF0000"/>
              </w:rPr>
              <w:t>287</w:t>
            </w:r>
          </w:p>
        </w:tc>
        <w:tc>
          <w:tcPr>
            <w:tcW w:w="1947" w:type="dxa"/>
            <w:vMerge/>
            <w:vAlign w:val="center"/>
          </w:tcPr>
          <w:p w14:paraId="2C16FFDF"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0962E5D5"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113248AF" w14:textId="77777777" w:rsidTr="003B6FD1">
        <w:tc>
          <w:tcPr>
            <w:tcW w:w="1947" w:type="dxa"/>
            <w:vMerge w:val="restart"/>
            <w:vAlign w:val="center"/>
          </w:tcPr>
          <w:p w14:paraId="1AA875E9" w14:textId="2891D01F"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5</w:t>
            </w:r>
          </w:p>
        </w:tc>
        <w:tc>
          <w:tcPr>
            <w:tcW w:w="1947" w:type="dxa"/>
            <w:vAlign w:val="center"/>
          </w:tcPr>
          <w:p w14:paraId="4BC024BD" w14:textId="2C1B00B0"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160</w:t>
            </w:r>
          </w:p>
        </w:tc>
        <w:tc>
          <w:tcPr>
            <w:tcW w:w="1947" w:type="dxa"/>
            <w:vAlign w:val="center"/>
          </w:tcPr>
          <w:p w14:paraId="254E503C" w14:textId="011D3675"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8</w:t>
            </w:r>
            <w:r w:rsidRPr="001B1820">
              <w:rPr>
                <w:rFonts w:ascii="Times New Roman" w:eastAsia="宋体" w:hAnsi="Times New Roman" w:cs="Times New Roman"/>
                <w:color w:val="FF0000"/>
              </w:rPr>
              <w:t>287</w:t>
            </w:r>
          </w:p>
        </w:tc>
        <w:tc>
          <w:tcPr>
            <w:tcW w:w="1947" w:type="dxa"/>
            <w:vMerge w:val="restart"/>
            <w:vAlign w:val="center"/>
          </w:tcPr>
          <w:p w14:paraId="4868E503" w14:textId="6431115B"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5</w:t>
            </w:r>
            <w:r w:rsidRPr="001B1820">
              <w:rPr>
                <w:rFonts w:ascii="Times New Roman" w:eastAsia="宋体" w:hAnsi="Times New Roman" w:cs="Times New Roman"/>
                <w:color w:val="FF0000"/>
              </w:rPr>
              <w:t>1174.67</w:t>
            </w:r>
          </w:p>
        </w:tc>
        <w:tc>
          <w:tcPr>
            <w:tcW w:w="1948" w:type="dxa"/>
            <w:vMerge w:val="restart"/>
            <w:vAlign w:val="center"/>
          </w:tcPr>
          <w:p w14:paraId="7B268E69" w14:textId="5E2F4B81"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19083.08</w:t>
            </w:r>
          </w:p>
        </w:tc>
      </w:tr>
      <w:tr w:rsidR="003B6FD1" w:rsidRPr="001B1820" w14:paraId="208F4EFA" w14:textId="77777777" w:rsidTr="003B6FD1">
        <w:tc>
          <w:tcPr>
            <w:tcW w:w="1947" w:type="dxa"/>
            <w:vMerge/>
            <w:vAlign w:val="center"/>
          </w:tcPr>
          <w:p w14:paraId="5B3DC2EF" w14:textId="7ADC9772"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6B6C3465" w14:textId="0AE011F4"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165</w:t>
            </w:r>
          </w:p>
        </w:tc>
        <w:tc>
          <w:tcPr>
            <w:tcW w:w="1947" w:type="dxa"/>
            <w:vAlign w:val="center"/>
          </w:tcPr>
          <w:p w14:paraId="31230446" w14:textId="0BF8483D"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2315</w:t>
            </w:r>
          </w:p>
        </w:tc>
        <w:tc>
          <w:tcPr>
            <w:tcW w:w="1947" w:type="dxa"/>
            <w:vMerge/>
            <w:vAlign w:val="center"/>
          </w:tcPr>
          <w:p w14:paraId="2767B564"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50A68D80"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5898775F" w14:textId="77777777" w:rsidTr="003B6FD1">
        <w:tc>
          <w:tcPr>
            <w:tcW w:w="1947" w:type="dxa"/>
            <w:vMerge w:val="restart"/>
            <w:vAlign w:val="center"/>
          </w:tcPr>
          <w:p w14:paraId="1AE36672" w14:textId="4F4D74A8"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6</w:t>
            </w:r>
          </w:p>
        </w:tc>
        <w:tc>
          <w:tcPr>
            <w:tcW w:w="1947" w:type="dxa"/>
            <w:vAlign w:val="center"/>
          </w:tcPr>
          <w:p w14:paraId="20DDDB17" w14:textId="2312AF2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165</w:t>
            </w:r>
          </w:p>
        </w:tc>
        <w:tc>
          <w:tcPr>
            <w:tcW w:w="1947" w:type="dxa"/>
            <w:vAlign w:val="center"/>
          </w:tcPr>
          <w:p w14:paraId="7A2AB341" w14:textId="52E4D0D9"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2315</w:t>
            </w:r>
          </w:p>
        </w:tc>
        <w:tc>
          <w:tcPr>
            <w:tcW w:w="1947" w:type="dxa"/>
            <w:vMerge w:val="restart"/>
            <w:vAlign w:val="center"/>
          </w:tcPr>
          <w:p w14:paraId="532BC3C4" w14:textId="77F841D3"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7</w:t>
            </w:r>
            <w:r w:rsidRPr="001B1820">
              <w:rPr>
                <w:rFonts w:ascii="Times New Roman" w:eastAsia="宋体" w:hAnsi="Times New Roman" w:cs="Times New Roman"/>
                <w:color w:val="FF0000"/>
              </w:rPr>
              <w:t>1781.69</w:t>
            </w:r>
          </w:p>
        </w:tc>
        <w:tc>
          <w:tcPr>
            <w:tcW w:w="1948" w:type="dxa"/>
            <w:vMerge w:val="restart"/>
            <w:vAlign w:val="center"/>
          </w:tcPr>
          <w:p w14:paraId="5102197B" w14:textId="71F04C45"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90864.78</w:t>
            </w:r>
          </w:p>
        </w:tc>
      </w:tr>
      <w:tr w:rsidR="003B6FD1" w:rsidRPr="001B1820" w14:paraId="094D2E27" w14:textId="77777777" w:rsidTr="003B6FD1">
        <w:tc>
          <w:tcPr>
            <w:tcW w:w="1947" w:type="dxa"/>
            <w:vMerge/>
            <w:vAlign w:val="center"/>
          </w:tcPr>
          <w:p w14:paraId="34D5A0BE" w14:textId="4136DE84"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02845D4A" w14:textId="37EAA8D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170</w:t>
            </w:r>
          </w:p>
        </w:tc>
        <w:tc>
          <w:tcPr>
            <w:tcW w:w="1947" w:type="dxa"/>
            <w:vAlign w:val="center"/>
          </w:tcPr>
          <w:p w14:paraId="2AFB7F34" w14:textId="3629D374"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6499</w:t>
            </w:r>
          </w:p>
        </w:tc>
        <w:tc>
          <w:tcPr>
            <w:tcW w:w="1947" w:type="dxa"/>
            <w:vMerge/>
            <w:vAlign w:val="center"/>
          </w:tcPr>
          <w:p w14:paraId="0D4BC4E3"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2ECCFE86"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363E6C1B" w14:textId="77777777" w:rsidTr="003B6FD1">
        <w:tc>
          <w:tcPr>
            <w:tcW w:w="1947" w:type="dxa"/>
            <w:vMerge w:val="restart"/>
            <w:vAlign w:val="center"/>
          </w:tcPr>
          <w:p w14:paraId="70F04EFA" w14:textId="698135CF"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7</w:t>
            </w:r>
          </w:p>
        </w:tc>
        <w:tc>
          <w:tcPr>
            <w:tcW w:w="1947" w:type="dxa"/>
            <w:vAlign w:val="center"/>
          </w:tcPr>
          <w:p w14:paraId="4E12D198" w14:textId="72959171"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170</w:t>
            </w:r>
          </w:p>
        </w:tc>
        <w:tc>
          <w:tcPr>
            <w:tcW w:w="1947" w:type="dxa"/>
            <w:vAlign w:val="center"/>
          </w:tcPr>
          <w:p w14:paraId="42FF88F6" w14:textId="610A37D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6499</w:t>
            </w:r>
          </w:p>
        </w:tc>
        <w:tc>
          <w:tcPr>
            <w:tcW w:w="1947" w:type="dxa"/>
            <w:vMerge w:val="restart"/>
            <w:vAlign w:val="center"/>
          </w:tcPr>
          <w:p w14:paraId="60362FEA" w14:textId="5B1989A4"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9</w:t>
            </w:r>
            <w:r w:rsidRPr="001B1820">
              <w:rPr>
                <w:rFonts w:ascii="Times New Roman" w:eastAsia="宋体" w:hAnsi="Times New Roman" w:cs="Times New Roman"/>
                <w:color w:val="FF0000"/>
              </w:rPr>
              <w:t>1990.36</w:t>
            </w:r>
          </w:p>
        </w:tc>
        <w:tc>
          <w:tcPr>
            <w:tcW w:w="1948" w:type="dxa"/>
            <w:vMerge w:val="restart"/>
            <w:vAlign w:val="center"/>
          </w:tcPr>
          <w:p w14:paraId="19D90917" w14:textId="64288F82"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82855.14</w:t>
            </w:r>
          </w:p>
        </w:tc>
      </w:tr>
      <w:tr w:rsidR="003B6FD1" w:rsidRPr="001B1820" w14:paraId="17C249AD" w14:textId="77777777" w:rsidTr="003B6FD1">
        <w:tc>
          <w:tcPr>
            <w:tcW w:w="1947" w:type="dxa"/>
            <w:vMerge/>
            <w:vAlign w:val="center"/>
          </w:tcPr>
          <w:p w14:paraId="13C61CDB" w14:textId="71034910"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324DB741" w14:textId="7E9D2F73"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175</w:t>
            </w:r>
          </w:p>
        </w:tc>
        <w:tc>
          <w:tcPr>
            <w:tcW w:w="1947" w:type="dxa"/>
            <w:vAlign w:val="center"/>
          </w:tcPr>
          <w:p w14:paraId="6A7C0D34" w14:textId="68875560"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0364</w:t>
            </w:r>
          </w:p>
        </w:tc>
        <w:tc>
          <w:tcPr>
            <w:tcW w:w="1947" w:type="dxa"/>
            <w:vMerge/>
            <w:vAlign w:val="center"/>
          </w:tcPr>
          <w:p w14:paraId="341386DE"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6C29B99A"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1A31A92E" w14:textId="77777777" w:rsidTr="003B6FD1">
        <w:tc>
          <w:tcPr>
            <w:tcW w:w="1947" w:type="dxa"/>
            <w:vMerge w:val="restart"/>
            <w:vAlign w:val="center"/>
          </w:tcPr>
          <w:p w14:paraId="5AC1179D" w14:textId="1CFA2BCE"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8</w:t>
            </w:r>
          </w:p>
        </w:tc>
        <w:tc>
          <w:tcPr>
            <w:tcW w:w="1947" w:type="dxa"/>
            <w:vAlign w:val="center"/>
          </w:tcPr>
          <w:p w14:paraId="3CB3D38D" w14:textId="0210FFA4"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175</w:t>
            </w:r>
          </w:p>
        </w:tc>
        <w:tc>
          <w:tcPr>
            <w:tcW w:w="1947" w:type="dxa"/>
            <w:vAlign w:val="center"/>
          </w:tcPr>
          <w:p w14:paraId="59C7A92E" w14:textId="00CE7274"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0364</w:t>
            </w:r>
          </w:p>
        </w:tc>
        <w:tc>
          <w:tcPr>
            <w:tcW w:w="1947" w:type="dxa"/>
            <w:vMerge w:val="restart"/>
            <w:vAlign w:val="center"/>
          </w:tcPr>
          <w:p w14:paraId="5BB22532" w14:textId="67E7FC73"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10111.25</w:t>
            </w:r>
          </w:p>
        </w:tc>
        <w:tc>
          <w:tcPr>
            <w:tcW w:w="1948" w:type="dxa"/>
            <w:vMerge w:val="restart"/>
            <w:vAlign w:val="center"/>
          </w:tcPr>
          <w:p w14:paraId="5C49E70C" w14:textId="2F339FE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3</w:t>
            </w:r>
            <w:r w:rsidRPr="001B1820">
              <w:rPr>
                <w:rFonts w:ascii="Times New Roman" w:eastAsia="宋体" w:hAnsi="Times New Roman" w:cs="Times New Roman"/>
                <w:color w:val="FF0000"/>
              </w:rPr>
              <w:t>92966.39</w:t>
            </w:r>
          </w:p>
        </w:tc>
      </w:tr>
      <w:tr w:rsidR="003B6FD1" w:rsidRPr="001B1820" w14:paraId="03B00D9E" w14:textId="77777777" w:rsidTr="003B6FD1">
        <w:tc>
          <w:tcPr>
            <w:tcW w:w="1947" w:type="dxa"/>
            <w:vMerge/>
            <w:vAlign w:val="center"/>
          </w:tcPr>
          <w:p w14:paraId="5C016569" w14:textId="2616E639"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3C9C657B" w14:textId="69295101"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180</w:t>
            </w:r>
          </w:p>
        </w:tc>
        <w:tc>
          <w:tcPr>
            <w:tcW w:w="1947" w:type="dxa"/>
            <w:vAlign w:val="center"/>
          </w:tcPr>
          <w:p w14:paraId="56EDEE95" w14:textId="0221FBC0"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3723</w:t>
            </w:r>
          </w:p>
        </w:tc>
        <w:tc>
          <w:tcPr>
            <w:tcW w:w="1947" w:type="dxa"/>
            <w:vMerge/>
            <w:vAlign w:val="center"/>
          </w:tcPr>
          <w:p w14:paraId="00E6AE3D"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2CB7010D"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5058481C" w14:textId="77777777" w:rsidTr="003B6FD1">
        <w:trPr>
          <w:trHeight w:val="177"/>
        </w:trPr>
        <w:tc>
          <w:tcPr>
            <w:tcW w:w="1947" w:type="dxa"/>
            <w:vMerge w:val="restart"/>
            <w:vAlign w:val="center"/>
          </w:tcPr>
          <w:p w14:paraId="12D8C8DB" w14:textId="446F3D00"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9</w:t>
            </w:r>
          </w:p>
        </w:tc>
        <w:tc>
          <w:tcPr>
            <w:tcW w:w="1947" w:type="dxa"/>
            <w:vAlign w:val="center"/>
          </w:tcPr>
          <w:p w14:paraId="219E2791" w14:textId="1400D637"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180</w:t>
            </w:r>
          </w:p>
        </w:tc>
        <w:tc>
          <w:tcPr>
            <w:tcW w:w="1947" w:type="dxa"/>
            <w:vAlign w:val="center"/>
          </w:tcPr>
          <w:p w14:paraId="4B60AD62" w14:textId="72899DCF"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3723</w:t>
            </w:r>
          </w:p>
        </w:tc>
        <w:tc>
          <w:tcPr>
            <w:tcW w:w="1947" w:type="dxa"/>
            <w:vMerge w:val="restart"/>
            <w:vAlign w:val="center"/>
          </w:tcPr>
          <w:p w14:paraId="56E85BEC" w14:textId="59E1A31E"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24767.01</w:t>
            </w:r>
          </w:p>
        </w:tc>
        <w:tc>
          <w:tcPr>
            <w:tcW w:w="1948" w:type="dxa"/>
            <w:vMerge w:val="restart"/>
            <w:vAlign w:val="center"/>
          </w:tcPr>
          <w:p w14:paraId="2B1B45FA" w14:textId="6156B13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5</w:t>
            </w:r>
            <w:r w:rsidRPr="001B1820">
              <w:rPr>
                <w:rFonts w:ascii="Times New Roman" w:eastAsia="宋体" w:hAnsi="Times New Roman" w:cs="Times New Roman"/>
                <w:color w:val="FF0000"/>
              </w:rPr>
              <w:t>17733.40</w:t>
            </w:r>
          </w:p>
        </w:tc>
      </w:tr>
      <w:tr w:rsidR="003B6FD1" w:rsidRPr="001B1820" w14:paraId="70D18212" w14:textId="77777777" w:rsidTr="003B6FD1">
        <w:tc>
          <w:tcPr>
            <w:tcW w:w="1947" w:type="dxa"/>
            <w:vMerge/>
            <w:vAlign w:val="center"/>
          </w:tcPr>
          <w:p w14:paraId="7A53C008" w14:textId="578AD27A"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79FAE565" w14:textId="76FDF9FB"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185</w:t>
            </w:r>
          </w:p>
        </w:tc>
        <w:tc>
          <w:tcPr>
            <w:tcW w:w="1947" w:type="dxa"/>
            <w:vAlign w:val="center"/>
          </w:tcPr>
          <w:p w14:paraId="293F4283" w14:textId="68574187"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6205</w:t>
            </w:r>
          </w:p>
        </w:tc>
        <w:tc>
          <w:tcPr>
            <w:tcW w:w="1947" w:type="dxa"/>
            <w:vMerge/>
            <w:vAlign w:val="center"/>
          </w:tcPr>
          <w:p w14:paraId="7AE767F0"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1A8B65EA" w14:textId="77777777" w:rsidR="003B6FD1" w:rsidRPr="001B1820" w:rsidRDefault="003B6FD1" w:rsidP="003B6FD1">
            <w:pPr>
              <w:jc w:val="center"/>
              <w:rPr>
                <w:rFonts w:ascii="Times New Roman" w:eastAsia="宋体" w:hAnsi="Times New Roman" w:cs="Times New Roman"/>
                <w:color w:val="FF0000"/>
              </w:rPr>
            </w:pPr>
          </w:p>
        </w:tc>
      </w:tr>
      <w:tr w:rsidR="003B6FD1" w:rsidRPr="001B1820" w14:paraId="2B96F83C" w14:textId="77777777" w:rsidTr="003B6FD1">
        <w:tc>
          <w:tcPr>
            <w:tcW w:w="1947" w:type="dxa"/>
            <w:vMerge w:val="restart"/>
            <w:vAlign w:val="center"/>
          </w:tcPr>
          <w:p w14:paraId="65A97122" w14:textId="4D7CE5C6"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0</w:t>
            </w:r>
          </w:p>
        </w:tc>
        <w:tc>
          <w:tcPr>
            <w:tcW w:w="1947" w:type="dxa"/>
            <w:vAlign w:val="center"/>
          </w:tcPr>
          <w:p w14:paraId="3066149F" w14:textId="7ABCFB08"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185</w:t>
            </w:r>
          </w:p>
        </w:tc>
        <w:tc>
          <w:tcPr>
            <w:tcW w:w="1947" w:type="dxa"/>
            <w:vAlign w:val="center"/>
          </w:tcPr>
          <w:p w14:paraId="5731E77C" w14:textId="374EAACD"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6205</w:t>
            </w:r>
          </w:p>
        </w:tc>
        <w:tc>
          <w:tcPr>
            <w:tcW w:w="1947" w:type="dxa"/>
            <w:vMerge w:val="restart"/>
            <w:vAlign w:val="center"/>
          </w:tcPr>
          <w:p w14:paraId="308A6414" w14:textId="1EF69BFE"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37197.63</w:t>
            </w:r>
          </w:p>
        </w:tc>
        <w:tc>
          <w:tcPr>
            <w:tcW w:w="1948" w:type="dxa"/>
            <w:vMerge w:val="restart"/>
            <w:vAlign w:val="center"/>
          </w:tcPr>
          <w:p w14:paraId="482E198C" w14:textId="157F6F5D"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6</w:t>
            </w:r>
            <w:r w:rsidRPr="001B1820">
              <w:rPr>
                <w:rFonts w:ascii="Times New Roman" w:eastAsia="宋体" w:hAnsi="Times New Roman" w:cs="Times New Roman"/>
                <w:color w:val="FF0000"/>
              </w:rPr>
              <w:t>54931.02</w:t>
            </w:r>
          </w:p>
        </w:tc>
      </w:tr>
      <w:tr w:rsidR="003B6FD1" w:rsidRPr="001B1820" w14:paraId="39AD270E" w14:textId="77777777" w:rsidTr="003B6FD1">
        <w:tc>
          <w:tcPr>
            <w:tcW w:w="1947" w:type="dxa"/>
            <w:vMerge/>
            <w:vAlign w:val="center"/>
          </w:tcPr>
          <w:p w14:paraId="34A70100" w14:textId="77777777" w:rsidR="003B6FD1" w:rsidRPr="001B1820" w:rsidRDefault="003B6FD1" w:rsidP="003B6FD1">
            <w:pPr>
              <w:jc w:val="center"/>
              <w:rPr>
                <w:rFonts w:ascii="Times New Roman" w:eastAsia="宋体" w:hAnsi="Times New Roman" w:cs="Times New Roman"/>
                <w:color w:val="FF0000"/>
              </w:rPr>
            </w:pPr>
          </w:p>
        </w:tc>
        <w:tc>
          <w:tcPr>
            <w:tcW w:w="1947" w:type="dxa"/>
            <w:vAlign w:val="center"/>
          </w:tcPr>
          <w:p w14:paraId="05DE2E14" w14:textId="4731BF49"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1</w:t>
            </w:r>
            <w:r w:rsidRPr="001B1820">
              <w:rPr>
                <w:rFonts w:ascii="Times New Roman" w:eastAsia="宋体" w:hAnsi="Times New Roman" w:cs="Times New Roman"/>
                <w:color w:val="FF0000"/>
              </w:rPr>
              <w:t>190</w:t>
            </w:r>
          </w:p>
        </w:tc>
        <w:tc>
          <w:tcPr>
            <w:tcW w:w="1947" w:type="dxa"/>
            <w:vAlign w:val="center"/>
          </w:tcPr>
          <w:p w14:paraId="379A56E9" w14:textId="1E67E7AD" w:rsidR="003B6FD1" w:rsidRPr="001B1820" w:rsidRDefault="003B6FD1" w:rsidP="003B6FD1">
            <w:pPr>
              <w:jc w:val="center"/>
              <w:rPr>
                <w:rFonts w:ascii="Times New Roman" w:eastAsia="宋体" w:hAnsi="Times New Roman" w:cs="Times New Roman"/>
                <w:color w:val="FF0000"/>
              </w:rPr>
            </w:pPr>
            <w:r w:rsidRPr="001B1820">
              <w:rPr>
                <w:rFonts w:ascii="Times New Roman" w:eastAsia="宋体" w:hAnsi="Times New Roman" w:cs="Times New Roman" w:hint="eastAsia"/>
                <w:color w:val="FF0000"/>
              </w:rPr>
              <w:t>2</w:t>
            </w:r>
            <w:r w:rsidRPr="001B1820">
              <w:rPr>
                <w:rFonts w:ascii="Times New Roman" w:eastAsia="宋体" w:hAnsi="Times New Roman" w:cs="Times New Roman"/>
                <w:color w:val="FF0000"/>
              </w:rPr>
              <w:t>8693</w:t>
            </w:r>
          </w:p>
        </w:tc>
        <w:tc>
          <w:tcPr>
            <w:tcW w:w="1947" w:type="dxa"/>
            <w:vMerge/>
            <w:vAlign w:val="center"/>
          </w:tcPr>
          <w:p w14:paraId="3704F17A" w14:textId="77777777" w:rsidR="003B6FD1" w:rsidRPr="001B1820" w:rsidRDefault="003B6FD1" w:rsidP="003B6FD1">
            <w:pPr>
              <w:jc w:val="center"/>
              <w:rPr>
                <w:rFonts w:ascii="Times New Roman" w:eastAsia="宋体" w:hAnsi="Times New Roman" w:cs="Times New Roman"/>
                <w:color w:val="FF0000"/>
              </w:rPr>
            </w:pPr>
          </w:p>
        </w:tc>
        <w:tc>
          <w:tcPr>
            <w:tcW w:w="1948" w:type="dxa"/>
            <w:vMerge/>
            <w:vAlign w:val="center"/>
          </w:tcPr>
          <w:p w14:paraId="53B09E13" w14:textId="77777777" w:rsidR="003B6FD1" w:rsidRPr="001B1820" w:rsidRDefault="003B6FD1" w:rsidP="003B6FD1">
            <w:pPr>
              <w:jc w:val="center"/>
              <w:rPr>
                <w:rFonts w:ascii="Times New Roman" w:eastAsia="宋体" w:hAnsi="Times New Roman" w:cs="Times New Roman"/>
                <w:color w:val="FF0000"/>
              </w:rPr>
            </w:pPr>
          </w:p>
        </w:tc>
      </w:tr>
    </w:tbl>
    <w:p w14:paraId="1C327CCB" w14:textId="77777777" w:rsidR="003B6FD1" w:rsidRPr="001B1820" w:rsidRDefault="003B6FD1" w:rsidP="003B6FD1">
      <w:pPr>
        <w:autoSpaceDE w:val="0"/>
        <w:autoSpaceDN w:val="0"/>
        <w:adjustRightInd w:val="0"/>
        <w:spacing w:line="360" w:lineRule="auto"/>
        <w:ind w:firstLineChars="200" w:firstLine="480"/>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根据以上计算可知，生活垃圾填埋区设计库容约</w:t>
      </w:r>
      <w:r w:rsidRPr="001B1820">
        <w:rPr>
          <w:rFonts w:ascii="Times New Roman" w:eastAsia="宋体" w:hAnsi="Times New Roman" w:cs="Times New Roman"/>
          <w:color w:val="FF0000"/>
          <w:sz w:val="24"/>
        </w:rPr>
        <w:t xml:space="preserve">65.49 </w:t>
      </w:r>
      <w:r w:rsidRPr="001B1820">
        <w:rPr>
          <w:rFonts w:ascii="Times New Roman" w:eastAsia="宋体" w:hAnsi="Times New Roman" w:cs="Times New Roman" w:hint="eastAsia"/>
          <w:color w:val="FF0000"/>
          <w:sz w:val="24"/>
        </w:rPr>
        <w:t>万立方米，结合国内类似工程经验，</w:t>
      </w:r>
      <w:r w:rsidRPr="001B1820">
        <w:rPr>
          <w:rFonts w:ascii="Times New Roman" w:eastAsia="宋体" w:hAnsi="Times New Roman" w:cs="Times New Roman"/>
          <w:color w:val="FF0000"/>
          <w:sz w:val="24"/>
        </w:rPr>
        <w:t>生活垃圾密度取</w:t>
      </w:r>
      <w:r w:rsidRPr="001B1820">
        <w:rPr>
          <w:rFonts w:ascii="Times New Roman" w:eastAsia="宋体" w:hAnsi="Times New Roman" w:cs="Times New Roman"/>
          <w:color w:val="FF0000"/>
          <w:sz w:val="24"/>
        </w:rPr>
        <w:t>0.85t/m</w:t>
      </w:r>
      <w:r w:rsidRPr="001B1820">
        <w:rPr>
          <w:rFonts w:ascii="Times New Roman" w:eastAsia="宋体" w:hAnsi="Times New Roman" w:cs="Times New Roman"/>
          <w:color w:val="FF0000"/>
          <w:sz w:val="24"/>
          <w:vertAlign w:val="superscript"/>
        </w:rPr>
        <w:t>3</w:t>
      </w:r>
      <w:r w:rsidRPr="001B1820">
        <w:rPr>
          <w:rFonts w:ascii="Times New Roman" w:eastAsia="宋体" w:hAnsi="Times New Roman" w:cs="Times New Roman"/>
          <w:color w:val="FF0000"/>
          <w:sz w:val="24"/>
        </w:rPr>
        <w:t>，填埋场逐年所需的库容按照下面的公式进行计算</w:t>
      </w:r>
      <w:r w:rsidRPr="001B1820">
        <w:rPr>
          <w:rFonts w:ascii="Times New Roman" w:eastAsia="宋体" w:hAnsi="Times New Roman" w:cs="Times New Roman" w:hint="eastAsia"/>
          <w:color w:val="FF0000"/>
          <w:sz w:val="24"/>
        </w:rPr>
        <w:t>：</w:t>
      </w:r>
    </w:p>
    <w:p w14:paraId="4910AAC2" w14:textId="07888A68" w:rsidR="003B6FD1" w:rsidRPr="001B1820" w:rsidRDefault="003B6FD1" w:rsidP="003B6FD1">
      <w:pPr>
        <w:autoSpaceDE w:val="0"/>
        <w:autoSpaceDN w:val="0"/>
        <w:adjustRightInd w:val="0"/>
        <w:spacing w:line="360" w:lineRule="auto"/>
        <w:ind w:firstLineChars="200" w:firstLine="420"/>
        <w:jc w:val="center"/>
        <w:rPr>
          <w:rFonts w:ascii="Times New Roman" w:eastAsia="宋体" w:hAnsi="Times New Roman" w:cs="Times New Roman"/>
          <w:color w:val="FF0000"/>
          <w:sz w:val="24"/>
        </w:rPr>
      </w:pPr>
      <w:r w:rsidRPr="001B1820">
        <w:rPr>
          <w:noProof/>
          <w:color w:val="FF0000"/>
        </w:rPr>
        <w:drawing>
          <wp:inline distT="0" distB="0" distL="0" distR="0" wp14:anchorId="35B2C12B" wp14:editId="25A95AC0">
            <wp:extent cx="2295525" cy="542925"/>
            <wp:effectExtent l="0" t="0" r="9525"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95525" cy="542925"/>
                    </a:xfrm>
                    <a:prstGeom prst="rect">
                      <a:avLst/>
                    </a:prstGeom>
                  </pic:spPr>
                </pic:pic>
              </a:graphicData>
            </a:graphic>
          </wp:inline>
        </w:drawing>
      </w:r>
    </w:p>
    <w:p w14:paraId="79059D1C" w14:textId="77777777" w:rsidR="003B6FD1" w:rsidRPr="001B1820" w:rsidRDefault="003B6FD1" w:rsidP="003B6FD1">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其中：</w:t>
      </w:r>
    </w:p>
    <w:p w14:paraId="67692DA9" w14:textId="77777777" w:rsidR="003B6FD1" w:rsidRPr="001B1820" w:rsidRDefault="003B6FD1" w:rsidP="003B6FD1">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color w:val="FF0000"/>
          <w:sz w:val="24"/>
        </w:rPr>
        <w:t>Vn</w:t>
      </w:r>
      <w:r w:rsidRPr="001B1820">
        <w:rPr>
          <w:rFonts w:ascii="Times New Roman" w:eastAsia="宋体" w:hAnsi="Times New Roman" w:cs="Times New Roman" w:hint="eastAsia"/>
          <w:color w:val="FF0000"/>
          <w:sz w:val="24"/>
        </w:rPr>
        <w:t>——填埋场逐年所需的库容；</w:t>
      </w:r>
    </w:p>
    <w:p w14:paraId="49099B37" w14:textId="77777777" w:rsidR="003B6FD1" w:rsidRPr="001B1820" w:rsidRDefault="003B6FD1" w:rsidP="003B6FD1">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color w:val="FF0000"/>
          <w:sz w:val="24"/>
        </w:rPr>
        <w:t>W</w:t>
      </w:r>
      <w:r w:rsidRPr="001B1820">
        <w:rPr>
          <w:rFonts w:ascii="Times New Roman" w:eastAsia="宋体" w:hAnsi="Times New Roman" w:cs="Times New Roman" w:hint="eastAsia"/>
          <w:color w:val="FF0000"/>
          <w:sz w:val="24"/>
        </w:rPr>
        <w:t>——填埋场日处理量，</w:t>
      </w:r>
      <w:r w:rsidRPr="001B1820">
        <w:rPr>
          <w:rFonts w:ascii="Times New Roman" w:eastAsia="宋体" w:hAnsi="Times New Roman" w:cs="Times New Roman"/>
          <w:color w:val="FF0000"/>
          <w:sz w:val="24"/>
        </w:rPr>
        <w:t>t/d</w:t>
      </w:r>
      <w:r w:rsidRPr="001B1820">
        <w:rPr>
          <w:rFonts w:ascii="Times New Roman" w:eastAsia="宋体" w:hAnsi="Times New Roman" w:cs="Times New Roman" w:hint="eastAsia"/>
          <w:color w:val="FF0000"/>
          <w:sz w:val="24"/>
        </w:rPr>
        <w:t>；</w:t>
      </w:r>
    </w:p>
    <w:p w14:paraId="10945943" w14:textId="58BA26E0" w:rsidR="003B6FD1" w:rsidRPr="001B1820" w:rsidRDefault="003B6FD1" w:rsidP="003B6FD1">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Φ——覆盖或填埋空隙占库容比率，生活垃圾取</w:t>
      </w:r>
      <w:r w:rsidRPr="001B1820">
        <w:rPr>
          <w:rFonts w:ascii="Times New Roman" w:eastAsia="宋体" w:hAnsi="Times New Roman" w:cs="Times New Roman"/>
          <w:color w:val="FF0000"/>
          <w:sz w:val="24"/>
        </w:rPr>
        <w:t>0.1</w:t>
      </w:r>
      <w:r w:rsidRPr="001B1820">
        <w:rPr>
          <w:rFonts w:ascii="Times New Roman" w:eastAsia="宋体" w:hAnsi="Times New Roman" w:cs="Times New Roman" w:hint="eastAsia"/>
          <w:color w:val="FF0000"/>
          <w:sz w:val="24"/>
        </w:rPr>
        <w:t>；</w:t>
      </w:r>
    </w:p>
    <w:p w14:paraId="26310F5F" w14:textId="6D199A18" w:rsidR="003B6FD1" w:rsidRPr="001B1820" w:rsidRDefault="003B6FD1" w:rsidP="003B6FD1">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ρ——填埋固废的密度，生活垃圾密度取</w:t>
      </w:r>
      <w:r w:rsidRPr="001B1820">
        <w:rPr>
          <w:rFonts w:ascii="Times New Roman" w:eastAsia="宋体" w:hAnsi="Times New Roman" w:cs="Times New Roman"/>
          <w:color w:val="FF0000"/>
          <w:sz w:val="24"/>
        </w:rPr>
        <w:t>0.85t/m</w:t>
      </w:r>
      <w:r w:rsidRPr="001B1820">
        <w:rPr>
          <w:rFonts w:ascii="Times New Roman" w:eastAsia="宋体" w:hAnsi="Times New Roman" w:cs="Times New Roman"/>
          <w:color w:val="FF0000"/>
          <w:sz w:val="24"/>
          <w:vertAlign w:val="superscript"/>
        </w:rPr>
        <w:t>3</w:t>
      </w:r>
      <w:r w:rsidRPr="001B1820">
        <w:rPr>
          <w:rFonts w:ascii="Times New Roman" w:eastAsia="宋体" w:hAnsi="Times New Roman" w:cs="Times New Roman" w:hint="eastAsia"/>
          <w:color w:val="FF0000"/>
          <w:sz w:val="24"/>
        </w:rPr>
        <w:t>；</w:t>
      </w:r>
    </w:p>
    <w:p w14:paraId="106B702E" w14:textId="625DBEA8" w:rsidR="003B6FD1" w:rsidRPr="001B1820" w:rsidRDefault="003B6FD1" w:rsidP="003B6FD1">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color w:val="FF0000"/>
          <w:sz w:val="24"/>
        </w:rPr>
        <w:t>f</w:t>
      </w:r>
      <w:r w:rsidRPr="001B1820">
        <w:rPr>
          <w:rFonts w:ascii="Times New Roman" w:eastAsia="宋体" w:hAnsi="Times New Roman" w:cs="Times New Roman" w:hint="eastAsia"/>
          <w:color w:val="FF0000"/>
          <w:sz w:val="24"/>
        </w:rPr>
        <w:t>——体积减小率，生活垃圾取</w:t>
      </w:r>
      <w:r w:rsidRPr="001B1820">
        <w:rPr>
          <w:rFonts w:ascii="Times New Roman" w:eastAsia="宋体" w:hAnsi="Times New Roman" w:cs="Times New Roman"/>
          <w:color w:val="FF0000"/>
          <w:sz w:val="24"/>
        </w:rPr>
        <w:t>0.1</w:t>
      </w:r>
      <w:r w:rsidRPr="001B1820">
        <w:rPr>
          <w:rFonts w:ascii="Times New Roman" w:eastAsia="宋体" w:hAnsi="Times New Roman" w:cs="Times New Roman" w:hint="eastAsia"/>
          <w:color w:val="FF0000"/>
          <w:sz w:val="24"/>
        </w:rPr>
        <w:t>。</w:t>
      </w:r>
    </w:p>
    <w:p w14:paraId="52DC87EB" w14:textId="251EBE52" w:rsidR="003B6FD1" w:rsidRPr="001B1820" w:rsidRDefault="003B6FD1" w:rsidP="003B6FD1">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根据上述公式可计算各类固废所需库容如下：</w:t>
      </w:r>
    </w:p>
    <w:p w14:paraId="67B12C9B" w14:textId="47C88F4C" w:rsidR="003B6FD1" w:rsidRPr="001B1820" w:rsidRDefault="003B6FD1" w:rsidP="003B6FD1">
      <w:pPr>
        <w:autoSpaceDE w:val="0"/>
        <w:autoSpaceDN w:val="0"/>
        <w:adjustRightInd w:val="0"/>
        <w:spacing w:line="360" w:lineRule="auto"/>
        <w:jc w:val="center"/>
        <w:rPr>
          <w:rFonts w:ascii="黑体" w:eastAsia="黑体" w:cs="黑体"/>
          <w:color w:val="FF0000"/>
          <w:kern w:val="0"/>
          <w:sz w:val="24"/>
          <w:szCs w:val="24"/>
        </w:rPr>
      </w:pPr>
      <w:r w:rsidRPr="001B1820">
        <w:rPr>
          <w:rFonts w:ascii="黑体" w:eastAsia="黑体" w:cs="黑体" w:hint="eastAsia"/>
          <w:color w:val="FF0000"/>
          <w:kern w:val="0"/>
          <w:sz w:val="24"/>
          <w:szCs w:val="24"/>
        </w:rPr>
        <w:t>表3.6</w:t>
      </w:r>
      <w:r w:rsidRPr="001B1820">
        <w:rPr>
          <w:rFonts w:ascii="黑体" w:eastAsia="黑体" w:cs="黑体"/>
          <w:color w:val="FF0000"/>
          <w:kern w:val="0"/>
          <w:sz w:val="24"/>
          <w:szCs w:val="24"/>
        </w:rPr>
        <w:t xml:space="preserve">-2 </w:t>
      </w:r>
      <w:r w:rsidRPr="001B1820">
        <w:rPr>
          <w:rFonts w:ascii="Times New Roman" w:eastAsia="宋体" w:hAnsi="Times New Roman" w:cs="Times New Roman"/>
          <w:color w:val="FF0000"/>
          <w:sz w:val="24"/>
        </w:rPr>
        <w:t xml:space="preserve"> </w:t>
      </w:r>
      <w:r w:rsidRPr="001B1820">
        <w:rPr>
          <w:rFonts w:ascii="黑体" w:eastAsia="黑体" w:hAnsi="Times New Roman" w:cs="黑体" w:hint="eastAsia"/>
          <w:color w:val="FF0000"/>
          <w:kern w:val="0"/>
          <w:sz w:val="24"/>
          <w:szCs w:val="24"/>
        </w:rPr>
        <w:t>生活垃圾所需库容测算表</w:t>
      </w:r>
    </w:p>
    <w:tbl>
      <w:tblPr>
        <w:tblStyle w:val="afff8"/>
        <w:tblW w:w="0" w:type="auto"/>
        <w:tblLook w:val="04A0" w:firstRow="1" w:lastRow="0" w:firstColumn="1" w:lastColumn="0" w:noHBand="0" w:noVBand="1"/>
      </w:tblPr>
      <w:tblGrid>
        <w:gridCol w:w="1271"/>
        <w:gridCol w:w="2268"/>
        <w:gridCol w:w="2977"/>
        <w:gridCol w:w="3220"/>
      </w:tblGrid>
      <w:tr w:rsidR="001B1820" w:rsidRPr="001B1820" w14:paraId="591E3F97" w14:textId="77777777" w:rsidTr="001B1820">
        <w:tc>
          <w:tcPr>
            <w:tcW w:w="1271" w:type="dxa"/>
            <w:vAlign w:val="center"/>
          </w:tcPr>
          <w:p w14:paraId="29D32B29" w14:textId="4D6DAD12" w:rsidR="003B6FD1" w:rsidRPr="001B1820" w:rsidRDefault="003B6FD1" w:rsidP="003B6FD1">
            <w:pPr>
              <w:pStyle w:val="2"/>
              <w:ind w:firstLineChars="0" w:firstLine="0"/>
              <w:jc w:val="center"/>
              <w:outlineLvl w:val="1"/>
              <w:rPr>
                <w:rFonts w:eastAsia="宋体"/>
                <w:color w:val="FF0000"/>
                <w:sz w:val="21"/>
              </w:rPr>
            </w:pPr>
            <w:r w:rsidRPr="001B1820">
              <w:rPr>
                <w:rFonts w:eastAsia="宋体" w:hint="eastAsia"/>
                <w:color w:val="FF0000"/>
                <w:sz w:val="21"/>
              </w:rPr>
              <w:lastRenderedPageBreak/>
              <w:t>年份</w:t>
            </w:r>
          </w:p>
        </w:tc>
        <w:tc>
          <w:tcPr>
            <w:tcW w:w="2268" w:type="dxa"/>
            <w:vAlign w:val="center"/>
          </w:tcPr>
          <w:p w14:paraId="252B85D5" w14:textId="1B4B481E" w:rsidR="003B6FD1" w:rsidRPr="001B1820" w:rsidRDefault="003B6FD1" w:rsidP="003B6FD1">
            <w:pPr>
              <w:pStyle w:val="2"/>
              <w:ind w:firstLineChars="0" w:firstLine="0"/>
              <w:jc w:val="center"/>
              <w:outlineLvl w:val="1"/>
              <w:rPr>
                <w:rFonts w:eastAsia="宋体"/>
                <w:color w:val="FF0000"/>
                <w:sz w:val="21"/>
              </w:rPr>
            </w:pPr>
            <w:r w:rsidRPr="001B1820">
              <w:rPr>
                <w:rFonts w:eastAsia="宋体" w:hint="eastAsia"/>
                <w:color w:val="FF0000"/>
                <w:sz w:val="21"/>
              </w:rPr>
              <w:t>填埋规模（万</w:t>
            </w:r>
            <w:r w:rsidRPr="001B1820">
              <w:rPr>
                <w:rFonts w:eastAsia="宋体" w:hint="eastAsia"/>
                <w:color w:val="FF0000"/>
                <w:sz w:val="21"/>
              </w:rPr>
              <w:t>t</w:t>
            </w:r>
            <w:r w:rsidRPr="001B1820">
              <w:rPr>
                <w:rFonts w:eastAsia="宋体"/>
                <w:color w:val="FF0000"/>
                <w:sz w:val="21"/>
              </w:rPr>
              <w:t>/</w:t>
            </w:r>
            <w:r w:rsidRPr="001B1820">
              <w:rPr>
                <w:rFonts w:eastAsia="宋体" w:hint="eastAsia"/>
                <w:color w:val="FF0000"/>
                <w:sz w:val="21"/>
              </w:rPr>
              <w:t>d</w:t>
            </w:r>
            <w:r w:rsidRPr="001B1820">
              <w:rPr>
                <w:rFonts w:eastAsia="宋体" w:hint="eastAsia"/>
                <w:color w:val="FF0000"/>
                <w:sz w:val="21"/>
              </w:rPr>
              <w:t>）</w:t>
            </w:r>
          </w:p>
        </w:tc>
        <w:tc>
          <w:tcPr>
            <w:tcW w:w="2977" w:type="dxa"/>
            <w:vAlign w:val="center"/>
          </w:tcPr>
          <w:p w14:paraId="11BA103A" w14:textId="08533292" w:rsidR="003B6FD1" w:rsidRPr="001B1820" w:rsidRDefault="003B6FD1" w:rsidP="003B6FD1">
            <w:pPr>
              <w:pStyle w:val="2"/>
              <w:ind w:firstLineChars="0" w:firstLine="0"/>
              <w:jc w:val="center"/>
              <w:outlineLvl w:val="1"/>
              <w:rPr>
                <w:rFonts w:eastAsia="宋体"/>
                <w:color w:val="FF0000"/>
                <w:sz w:val="21"/>
              </w:rPr>
            </w:pPr>
            <w:r w:rsidRPr="001B1820">
              <w:rPr>
                <w:rFonts w:eastAsia="宋体" w:hint="eastAsia"/>
                <w:color w:val="FF0000"/>
                <w:sz w:val="21"/>
              </w:rPr>
              <w:t>逐年所需库容（万</w:t>
            </w:r>
            <w:r w:rsidRPr="001B1820">
              <w:rPr>
                <w:rFonts w:eastAsia="宋体" w:hint="eastAsia"/>
                <w:color w:val="FF0000"/>
                <w:sz w:val="21"/>
              </w:rPr>
              <w:t>m</w:t>
            </w:r>
            <w:r w:rsidRPr="001B1820">
              <w:rPr>
                <w:rFonts w:eastAsia="宋体"/>
                <w:color w:val="FF0000"/>
                <w:sz w:val="21"/>
                <w:vertAlign w:val="superscript"/>
              </w:rPr>
              <w:t>3</w:t>
            </w:r>
            <w:r w:rsidRPr="001B1820">
              <w:rPr>
                <w:rFonts w:eastAsia="宋体" w:hint="eastAsia"/>
                <w:color w:val="FF0000"/>
                <w:sz w:val="21"/>
              </w:rPr>
              <w:t>）</w:t>
            </w:r>
          </w:p>
        </w:tc>
        <w:tc>
          <w:tcPr>
            <w:tcW w:w="3220" w:type="dxa"/>
            <w:vAlign w:val="center"/>
          </w:tcPr>
          <w:p w14:paraId="2A0D3E5D" w14:textId="289102F8" w:rsidR="003B6FD1" w:rsidRPr="001B1820" w:rsidRDefault="003B6FD1" w:rsidP="003B6FD1">
            <w:pPr>
              <w:pStyle w:val="2"/>
              <w:ind w:firstLineChars="0" w:firstLine="0"/>
              <w:jc w:val="center"/>
              <w:outlineLvl w:val="1"/>
              <w:rPr>
                <w:rFonts w:eastAsia="宋体"/>
                <w:color w:val="FF0000"/>
                <w:sz w:val="21"/>
              </w:rPr>
            </w:pPr>
            <w:r w:rsidRPr="001B1820">
              <w:rPr>
                <w:rFonts w:eastAsia="宋体" w:hint="eastAsia"/>
                <w:color w:val="FF0000"/>
                <w:sz w:val="21"/>
              </w:rPr>
              <w:t>逐年累计所需库容（万</w:t>
            </w:r>
            <w:r w:rsidRPr="001B1820">
              <w:rPr>
                <w:rFonts w:eastAsia="宋体" w:hint="eastAsia"/>
                <w:color w:val="FF0000"/>
                <w:sz w:val="21"/>
              </w:rPr>
              <w:t>m</w:t>
            </w:r>
            <w:r w:rsidRPr="001B1820">
              <w:rPr>
                <w:rFonts w:eastAsia="宋体"/>
                <w:color w:val="FF0000"/>
                <w:sz w:val="21"/>
                <w:vertAlign w:val="superscript"/>
              </w:rPr>
              <w:t>3</w:t>
            </w:r>
            <w:r w:rsidRPr="001B1820">
              <w:rPr>
                <w:rFonts w:eastAsia="宋体" w:hint="eastAsia"/>
                <w:color w:val="FF0000"/>
                <w:sz w:val="21"/>
              </w:rPr>
              <w:t>）</w:t>
            </w:r>
          </w:p>
        </w:tc>
      </w:tr>
      <w:tr w:rsidR="001B1820" w:rsidRPr="001B1820" w14:paraId="486FA80B" w14:textId="77777777" w:rsidTr="001B1820">
        <w:tc>
          <w:tcPr>
            <w:tcW w:w="1271" w:type="dxa"/>
            <w:vAlign w:val="center"/>
          </w:tcPr>
          <w:p w14:paraId="787A5A78" w14:textId="37E72C68"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024</w:t>
            </w:r>
          </w:p>
        </w:tc>
        <w:tc>
          <w:tcPr>
            <w:tcW w:w="2268" w:type="dxa"/>
            <w:vAlign w:val="center"/>
          </w:tcPr>
          <w:p w14:paraId="08EDACE7" w14:textId="56644618"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.29</w:t>
            </w:r>
          </w:p>
        </w:tc>
        <w:tc>
          <w:tcPr>
            <w:tcW w:w="2977" w:type="dxa"/>
            <w:vAlign w:val="center"/>
          </w:tcPr>
          <w:p w14:paraId="210EBE69" w14:textId="0B42A9BE"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.84</w:t>
            </w:r>
          </w:p>
        </w:tc>
        <w:tc>
          <w:tcPr>
            <w:tcW w:w="3220" w:type="dxa"/>
            <w:vAlign w:val="center"/>
          </w:tcPr>
          <w:p w14:paraId="4DAB873A" w14:textId="6D90AB2B"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.84</w:t>
            </w:r>
          </w:p>
        </w:tc>
      </w:tr>
      <w:tr w:rsidR="001B1820" w:rsidRPr="001B1820" w14:paraId="4B1082F6" w14:textId="77777777" w:rsidTr="001B1820">
        <w:tc>
          <w:tcPr>
            <w:tcW w:w="1271" w:type="dxa"/>
            <w:vAlign w:val="center"/>
          </w:tcPr>
          <w:p w14:paraId="7E8E7E04" w14:textId="451E7D23"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025</w:t>
            </w:r>
          </w:p>
        </w:tc>
        <w:tc>
          <w:tcPr>
            <w:tcW w:w="2268" w:type="dxa"/>
            <w:vAlign w:val="center"/>
          </w:tcPr>
          <w:p w14:paraId="3B855F5B" w14:textId="23E454C9"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.30</w:t>
            </w:r>
          </w:p>
        </w:tc>
        <w:tc>
          <w:tcPr>
            <w:tcW w:w="2977" w:type="dxa"/>
            <w:vAlign w:val="center"/>
          </w:tcPr>
          <w:p w14:paraId="06A8024D" w14:textId="2F291B8F"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.85</w:t>
            </w:r>
          </w:p>
        </w:tc>
        <w:tc>
          <w:tcPr>
            <w:tcW w:w="3220" w:type="dxa"/>
            <w:vAlign w:val="center"/>
          </w:tcPr>
          <w:p w14:paraId="766CE816" w14:textId="53A74764"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7</w:t>
            </w:r>
            <w:r w:rsidRPr="001B1820">
              <w:rPr>
                <w:rFonts w:eastAsia="宋体"/>
                <w:color w:val="FF0000"/>
                <w:sz w:val="21"/>
              </w:rPr>
              <w:t>.69</w:t>
            </w:r>
          </w:p>
        </w:tc>
      </w:tr>
      <w:tr w:rsidR="001B1820" w:rsidRPr="001B1820" w14:paraId="6F497A0D" w14:textId="77777777" w:rsidTr="001B1820">
        <w:tc>
          <w:tcPr>
            <w:tcW w:w="1271" w:type="dxa"/>
            <w:vAlign w:val="center"/>
          </w:tcPr>
          <w:p w14:paraId="537CF1A8" w14:textId="78FA7D22"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026</w:t>
            </w:r>
          </w:p>
        </w:tc>
        <w:tc>
          <w:tcPr>
            <w:tcW w:w="2268" w:type="dxa"/>
            <w:vAlign w:val="center"/>
          </w:tcPr>
          <w:p w14:paraId="7B4F8F26" w14:textId="79DFF75E"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.73</w:t>
            </w:r>
          </w:p>
        </w:tc>
        <w:tc>
          <w:tcPr>
            <w:tcW w:w="2977" w:type="dxa"/>
            <w:vAlign w:val="center"/>
          </w:tcPr>
          <w:p w14:paraId="36338BD5" w14:textId="5866B014"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.34</w:t>
            </w:r>
          </w:p>
        </w:tc>
        <w:tc>
          <w:tcPr>
            <w:tcW w:w="3220" w:type="dxa"/>
            <w:vAlign w:val="center"/>
          </w:tcPr>
          <w:p w14:paraId="72883AED" w14:textId="39B47C70" w:rsidR="003B6FD1" w:rsidRPr="001B1820" w:rsidRDefault="001B1820" w:rsidP="003B6FD1">
            <w:pPr>
              <w:pStyle w:val="2"/>
              <w:ind w:firstLineChars="0" w:firstLine="0"/>
              <w:jc w:val="center"/>
              <w:outlineLvl w:val="1"/>
              <w:rPr>
                <w:rFonts w:eastAsia="宋体"/>
                <w:color w:val="FF0000"/>
                <w:sz w:val="21"/>
              </w:rPr>
            </w:pPr>
            <w:r w:rsidRPr="001B1820">
              <w:rPr>
                <w:rFonts w:eastAsia="宋体" w:hint="eastAsia"/>
                <w:color w:val="FF0000"/>
                <w:sz w:val="21"/>
              </w:rPr>
              <w:t>1</w:t>
            </w:r>
            <w:r w:rsidRPr="001B1820">
              <w:rPr>
                <w:rFonts w:eastAsia="宋体"/>
                <w:color w:val="FF0000"/>
                <w:sz w:val="21"/>
              </w:rPr>
              <w:t>2.03</w:t>
            </w:r>
          </w:p>
        </w:tc>
      </w:tr>
      <w:tr w:rsidR="001B1820" w:rsidRPr="001B1820" w14:paraId="40421F81" w14:textId="77777777" w:rsidTr="001B1820">
        <w:tc>
          <w:tcPr>
            <w:tcW w:w="1271" w:type="dxa"/>
            <w:vAlign w:val="center"/>
          </w:tcPr>
          <w:p w14:paraId="2DAE3C5C" w14:textId="3F37BD8F"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027</w:t>
            </w:r>
          </w:p>
        </w:tc>
        <w:tc>
          <w:tcPr>
            <w:tcW w:w="2268" w:type="dxa"/>
            <w:vAlign w:val="center"/>
          </w:tcPr>
          <w:p w14:paraId="104E6F1D" w14:textId="7075C92C"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.74</w:t>
            </w:r>
          </w:p>
        </w:tc>
        <w:tc>
          <w:tcPr>
            <w:tcW w:w="2977" w:type="dxa"/>
            <w:vAlign w:val="center"/>
          </w:tcPr>
          <w:p w14:paraId="2C096F46" w14:textId="4DDBF96F"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.36</w:t>
            </w:r>
          </w:p>
        </w:tc>
        <w:tc>
          <w:tcPr>
            <w:tcW w:w="3220" w:type="dxa"/>
            <w:vAlign w:val="center"/>
          </w:tcPr>
          <w:p w14:paraId="00FE8BB4" w14:textId="75822515"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1</w:t>
            </w:r>
            <w:r w:rsidRPr="001B1820">
              <w:rPr>
                <w:rFonts w:eastAsia="宋体"/>
                <w:color w:val="FF0000"/>
                <w:sz w:val="21"/>
              </w:rPr>
              <w:t>6.38</w:t>
            </w:r>
          </w:p>
        </w:tc>
      </w:tr>
      <w:tr w:rsidR="001B1820" w:rsidRPr="001B1820" w14:paraId="706C68FC" w14:textId="77777777" w:rsidTr="001B1820">
        <w:tc>
          <w:tcPr>
            <w:tcW w:w="1271" w:type="dxa"/>
            <w:vAlign w:val="center"/>
          </w:tcPr>
          <w:p w14:paraId="43BF6AA9" w14:textId="20B946D1"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028</w:t>
            </w:r>
          </w:p>
        </w:tc>
        <w:tc>
          <w:tcPr>
            <w:tcW w:w="2268" w:type="dxa"/>
            <w:vAlign w:val="center"/>
          </w:tcPr>
          <w:p w14:paraId="216BAFAF" w14:textId="71B39491"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.96</w:t>
            </w:r>
          </w:p>
        </w:tc>
        <w:tc>
          <w:tcPr>
            <w:tcW w:w="2977" w:type="dxa"/>
            <w:vAlign w:val="center"/>
          </w:tcPr>
          <w:p w14:paraId="3B3FA1B2" w14:textId="5191560A"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.61</w:t>
            </w:r>
          </w:p>
        </w:tc>
        <w:tc>
          <w:tcPr>
            <w:tcW w:w="3220" w:type="dxa"/>
            <w:vAlign w:val="center"/>
          </w:tcPr>
          <w:p w14:paraId="132AEA55" w14:textId="6A959978"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1.00</w:t>
            </w:r>
          </w:p>
        </w:tc>
      </w:tr>
      <w:tr w:rsidR="001B1820" w:rsidRPr="001B1820" w14:paraId="13F44C27" w14:textId="77777777" w:rsidTr="001B1820">
        <w:tc>
          <w:tcPr>
            <w:tcW w:w="1271" w:type="dxa"/>
            <w:vAlign w:val="center"/>
          </w:tcPr>
          <w:p w14:paraId="0A048EE6" w14:textId="654A063E"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029</w:t>
            </w:r>
          </w:p>
        </w:tc>
        <w:tc>
          <w:tcPr>
            <w:tcW w:w="2268" w:type="dxa"/>
            <w:vAlign w:val="center"/>
          </w:tcPr>
          <w:p w14:paraId="6BEAD110" w14:textId="11577AFC"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.18</w:t>
            </w:r>
          </w:p>
        </w:tc>
        <w:tc>
          <w:tcPr>
            <w:tcW w:w="2977" w:type="dxa"/>
            <w:vAlign w:val="center"/>
          </w:tcPr>
          <w:p w14:paraId="2A6345E7" w14:textId="7592C78B"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.87</w:t>
            </w:r>
          </w:p>
        </w:tc>
        <w:tc>
          <w:tcPr>
            <w:tcW w:w="3220" w:type="dxa"/>
            <w:vAlign w:val="center"/>
          </w:tcPr>
          <w:p w14:paraId="3D7D88C2" w14:textId="411E2263"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5.86</w:t>
            </w:r>
          </w:p>
        </w:tc>
      </w:tr>
      <w:tr w:rsidR="001B1820" w:rsidRPr="001B1820" w14:paraId="48934EE5" w14:textId="77777777" w:rsidTr="001B1820">
        <w:tc>
          <w:tcPr>
            <w:tcW w:w="1271" w:type="dxa"/>
            <w:vAlign w:val="center"/>
          </w:tcPr>
          <w:p w14:paraId="3053C0BE" w14:textId="3BE0CA82"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030</w:t>
            </w:r>
          </w:p>
        </w:tc>
        <w:tc>
          <w:tcPr>
            <w:tcW w:w="2268" w:type="dxa"/>
            <w:vAlign w:val="center"/>
          </w:tcPr>
          <w:p w14:paraId="181617A9" w14:textId="6415D635"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.19</w:t>
            </w:r>
          </w:p>
        </w:tc>
        <w:tc>
          <w:tcPr>
            <w:tcW w:w="2977" w:type="dxa"/>
            <w:vAlign w:val="center"/>
          </w:tcPr>
          <w:p w14:paraId="229671AF" w14:textId="6706056E"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.88</w:t>
            </w:r>
          </w:p>
        </w:tc>
        <w:tc>
          <w:tcPr>
            <w:tcW w:w="3220" w:type="dxa"/>
            <w:vAlign w:val="center"/>
          </w:tcPr>
          <w:p w14:paraId="0093FE66" w14:textId="121DBD0D"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0.75</w:t>
            </w:r>
          </w:p>
        </w:tc>
      </w:tr>
      <w:tr w:rsidR="001B1820" w:rsidRPr="001B1820" w14:paraId="15817B80" w14:textId="77777777" w:rsidTr="001B1820">
        <w:tc>
          <w:tcPr>
            <w:tcW w:w="1271" w:type="dxa"/>
            <w:vAlign w:val="center"/>
          </w:tcPr>
          <w:p w14:paraId="564677BD" w14:textId="4F596E74"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031</w:t>
            </w:r>
          </w:p>
        </w:tc>
        <w:tc>
          <w:tcPr>
            <w:tcW w:w="2268" w:type="dxa"/>
            <w:vAlign w:val="center"/>
          </w:tcPr>
          <w:p w14:paraId="686C7D14" w14:textId="34C7A617"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.20</w:t>
            </w:r>
          </w:p>
        </w:tc>
        <w:tc>
          <w:tcPr>
            <w:tcW w:w="2977" w:type="dxa"/>
            <w:vAlign w:val="center"/>
          </w:tcPr>
          <w:p w14:paraId="250745EE" w14:textId="6794A98C"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.90</w:t>
            </w:r>
          </w:p>
        </w:tc>
        <w:tc>
          <w:tcPr>
            <w:tcW w:w="3220" w:type="dxa"/>
            <w:vAlign w:val="center"/>
          </w:tcPr>
          <w:p w14:paraId="231270E3" w14:textId="248650B9"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3</w:t>
            </w:r>
            <w:r w:rsidRPr="001B1820">
              <w:rPr>
                <w:rFonts w:eastAsia="宋体"/>
                <w:color w:val="FF0000"/>
                <w:sz w:val="21"/>
              </w:rPr>
              <w:t>5.64</w:t>
            </w:r>
          </w:p>
        </w:tc>
      </w:tr>
      <w:tr w:rsidR="001B1820" w:rsidRPr="001B1820" w14:paraId="75914191" w14:textId="77777777" w:rsidTr="001B1820">
        <w:tc>
          <w:tcPr>
            <w:tcW w:w="1271" w:type="dxa"/>
            <w:vAlign w:val="center"/>
          </w:tcPr>
          <w:p w14:paraId="236B9878" w14:textId="65A33B59"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032</w:t>
            </w:r>
          </w:p>
        </w:tc>
        <w:tc>
          <w:tcPr>
            <w:tcW w:w="2268" w:type="dxa"/>
            <w:vAlign w:val="center"/>
          </w:tcPr>
          <w:p w14:paraId="71C50B8F" w14:textId="6A3B9D57"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.22</w:t>
            </w:r>
          </w:p>
        </w:tc>
        <w:tc>
          <w:tcPr>
            <w:tcW w:w="2977" w:type="dxa"/>
            <w:vAlign w:val="center"/>
          </w:tcPr>
          <w:p w14:paraId="2F59503B" w14:textId="45D2053E"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.91</w:t>
            </w:r>
          </w:p>
        </w:tc>
        <w:tc>
          <w:tcPr>
            <w:tcW w:w="3220" w:type="dxa"/>
            <w:vAlign w:val="center"/>
          </w:tcPr>
          <w:p w14:paraId="1067B4D6" w14:textId="7D26CB7C" w:rsidR="001B1820" w:rsidRPr="001B1820" w:rsidRDefault="001B1820" w:rsidP="001B1820">
            <w:pPr>
              <w:pStyle w:val="2"/>
              <w:ind w:firstLineChars="0" w:firstLine="0"/>
              <w:jc w:val="center"/>
              <w:outlineLvl w:val="1"/>
              <w:rPr>
                <w:rFonts w:eastAsia="宋体"/>
                <w:color w:val="FF0000"/>
                <w:sz w:val="21"/>
              </w:rPr>
            </w:pPr>
            <w:r w:rsidRPr="001B1820">
              <w:rPr>
                <w:rFonts w:eastAsia="宋体"/>
                <w:color w:val="FF0000"/>
                <w:sz w:val="21"/>
              </w:rPr>
              <w:t>40.56</w:t>
            </w:r>
          </w:p>
        </w:tc>
      </w:tr>
      <w:tr w:rsidR="001B1820" w:rsidRPr="001B1820" w14:paraId="1E6B5B60" w14:textId="77777777" w:rsidTr="001B1820">
        <w:tc>
          <w:tcPr>
            <w:tcW w:w="1271" w:type="dxa"/>
            <w:vAlign w:val="center"/>
          </w:tcPr>
          <w:p w14:paraId="4923240F" w14:textId="79E13862"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033</w:t>
            </w:r>
          </w:p>
        </w:tc>
        <w:tc>
          <w:tcPr>
            <w:tcW w:w="2268" w:type="dxa"/>
            <w:vAlign w:val="center"/>
          </w:tcPr>
          <w:p w14:paraId="642B2079" w14:textId="0C0FFC68"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.23</w:t>
            </w:r>
          </w:p>
        </w:tc>
        <w:tc>
          <w:tcPr>
            <w:tcW w:w="2977" w:type="dxa"/>
            <w:vAlign w:val="center"/>
          </w:tcPr>
          <w:p w14:paraId="6589B7AB" w14:textId="642C1D1A"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.93</w:t>
            </w:r>
          </w:p>
        </w:tc>
        <w:tc>
          <w:tcPr>
            <w:tcW w:w="3220" w:type="dxa"/>
            <w:vAlign w:val="center"/>
          </w:tcPr>
          <w:p w14:paraId="6F5802AB" w14:textId="080E6B07"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5.48</w:t>
            </w:r>
          </w:p>
        </w:tc>
      </w:tr>
      <w:tr w:rsidR="001B1820" w:rsidRPr="001B1820" w14:paraId="046E878C" w14:textId="77777777" w:rsidTr="001B1820">
        <w:tc>
          <w:tcPr>
            <w:tcW w:w="1271" w:type="dxa"/>
            <w:vAlign w:val="center"/>
          </w:tcPr>
          <w:p w14:paraId="70DC2A8C" w14:textId="04282872"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034</w:t>
            </w:r>
          </w:p>
        </w:tc>
        <w:tc>
          <w:tcPr>
            <w:tcW w:w="2268" w:type="dxa"/>
            <w:vAlign w:val="center"/>
          </w:tcPr>
          <w:p w14:paraId="4959375E" w14:textId="5C52E78A"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.24</w:t>
            </w:r>
          </w:p>
        </w:tc>
        <w:tc>
          <w:tcPr>
            <w:tcW w:w="2977" w:type="dxa"/>
            <w:vAlign w:val="center"/>
          </w:tcPr>
          <w:p w14:paraId="7EADEA62" w14:textId="58A04875"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.94</w:t>
            </w:r>
          </w:p>
        </w:tc>
        <w:tc>
          <w:tcPr>
            <w:tcW w:w="3220" w:type="dxa"/>
            <w:vAlign w:val="center"/>
          </w:tcPr>
          <w:p w14:paraId="7105BE9D" w14:textId="22247E02"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5</w:t>
            </w:r>
            <w:r w:rsidRPr="001B1820">
              <w:rPr>
                <w:rFonts w:eastAsia="宋体"/>
                <w:color w:val="FF0000"/>
                <w:sz w:val="21"/>
              </w:rPr>
              <w:t>0.42</w:t>
            </w:r>
          </w:p>
        </w:tc>
      </w:tr>
      <w:tr w:rsidR="001B1820" w:rsidRPr="001B1820" w14:paraId="2C287CF5" w14:textId="77777777" w:rsidTr="001B1820">
        <w:tc>
          <w:tcPr>
            <w:tcW w:w="1271" w:type="dxa"/>
            <w:vAlign w:val="center"/>
          </w:tcPr>
          <w:p w14:paraId="1F52B8BD" w14:textId="6477A371"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035</w:t>
            </w:r>
          </w:p>
        </w:tc>
        <w:tc>
          <w:tcPr>
            <w:tcW w:w="2268" w:type="dxa"/>
            <w:vAlign w:val="center"/>
          </w:tcPr>
          <w:p w14:paraId="4385EAF3" w14:textId="73897717"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.25</w:t>
            </w:r>
          </w:p>
        </w:tc>
        <w:tc>
          <w:tcPr>
            <w:tcW w:w="2977" w:type="dxa"/>
            <w:vAlign w:val="center"/>
          </w:tcPr>
          <w:p w14:paraId="03934047" w14:textId="4FA4973C"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.96</w:t>
            </w:r>
          </w:p>
        </w:tc>
        <w:tc>
          <w:tcPr>
            <w:tcW w:w="3220" w:type="dxa"/>
            <w:vAlign w:val="center"/>
          </w:tcPr>
          <w:p w14:paraId="431588A8" w14:textId="68292296"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5</w:t>
            </w:r>
            <w:r w:rsidRPr="001B1820">
              <w:rPr>
                <w:rFonts w:eastAsia="宋体"/>
                <w:color w:val="FF0000"/>
                <w:sz w:val="21"/>
              </w:rPr>
              <w:t>5.38</w:t>
            </w:r>
          </w:p>
        </w:tc>
      </w:tr>
      <w:tr w:rsidR="001B1820" w:rsidRPr="001B1820" w14:paraId="15E17FDE" w14:textId="77777777" w:rsidTr="001B1820">
        <w:tc>
          <w:tcPr>
            <w:tcW w:w="1271" w:type="dxa"/>
            <w:vAlign w:val="center"/>
          </w:tcPr>
          <w:p w14:paraId="284E9A5F" w14:textId="2BE18008"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036</w:t>
            </w:r>
          </w:p>
        </w:tc>
        <w:tc>
          <w:tcPr>
            <w:tcW w:w="2268" w:type="dxa"/>
            <w:vAlign w:val="center"/>
          </w:tcPr>
          <w:p w14:paraId="6A850068" w14:textId="44069568"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.27</w:t>
            </w:r>
          </w:p>
        </w:tc>
        <w:tc>
          <w:tcPr>
            <w:tcW w:w="2977" w:type="dxa"/>
            <w:vAlign w:val="center"/>
          </w:tcPr>
          <w:p w14:paraId="0B6D8414" w14:textId="12D31DD2"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.97</w:t>
            </w:r>
          </w:p>
        </w:tc>
        <w:tc>
          <w:tcPr>
            <w:tcW w:w="3220" w:type="dxa"/>
            <w:vAlign w:val="center"/>
          </w:tcPr>
          <w:p w14:paraId="0370B522" w14:textId="76A1A6DE"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6</w:t>
            </w:r>
            <w:r w:rsidRPr="001B1820">
              <w:rPr>
                <w:rFonts w:eastAsia="宋体"/>
                <w:color w:val="FF0000"/>
                <w:sz w:val="21"/>
              </w:rPr>
              <w:t>0.35</w:t>
            </w:r>
          </w:p>
        </w:tc>
      </w:tr>
      <w:tr w:rsidR="001B1820" w:rsidRPr="001B1820" w14:paraId="581670E9" w14:textId="77777777" w:rsidTr="001B1820">
        <w:tc>
          <w:tcPr>
            <w:tcW w:w="1271" w:type="dxa"/>
            <w:vAlign w:val="center"/>
          </w:tcPr>
          <w:p w14:paraId="41CD197B" w14:textId="04EEB893"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2</w:t>
            </w:r>
            <w:r w:rsidRPr="001B1820">
              <w:rPr>
                <w:rFonts w:eastAsia="宋体"/>
                <w:color w:val="FF0000"/>
                <w:sz w:val="21"/>
              </w:rPr>
              <w:t>037</w:t>
            </w:r>
          </w:p>
        </w:tc>
        <w:tc>
          <w:tcPr>
            <w:tcW w:w="2268" w:type="dxa"/>
            <w:vAlign w:val="center"/>
          </w:tcPr>
          <w:p w14:paraId="74575E32" w14:textId="33AC1808"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.28</w:t>
            </w:r>
          </w:p>
        </w:tc>
        <w:tc>
          <w:tcPr>
            <w:tcW w:w="2977" w:type="dxa"/>
            <w:vAlign w:val="center"/>
          </w:tcPr>
          <w:p w14:paraId="56C58E30" w14:textId="62AA20BE"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4</w:t>
            </w:r>
            <w:r w:rsidRPr="001B1820">
              <w:rPr>
                <w:rFonts w:eastAsia="宋体"/>
                <w:color w:val="FF0000"/>
                <w:sz w:val="21"/>
              </w:rPr>
              <w:t>.99</w:t>
            </w:r>
          </w:p>
        </w:tc>
        <w:tc>
          <w:tcPr>
            <w:tcW w:w="3220" w:type="dxa"/>
            <w:vAlign w:val="center"/>
          </w:tcPr>
          <w:p w14:paraId="73ECA22C" w14:textId="699F9E5F" w:rsidR="001B1820" w:rsidRPr="001B1820" w:rsidRDefault="001B1820" w:rsidP="001B1820">
            <w:pPr>
              <w:pStyle w:val="2"/>
              <w:ind w:firstLineChars="0" w:firstLine="0"/>
              <w:jc w:val="center"/>
              <w:outlineLvl w:val="1"/>
              <w:rPr>
                <w:rFonts w:eastAsia="宋体"/>
                <w:color w:val="FF0000"/>
                <w:sz w:val="21"/>
              </w:rPr>
            </w:pPr>
            <w:r w:rsidRPr="001B1820">
              <w:rPr>
                <w:rFonts w:eastAsia="宋体" w:hint="eastAsia"/>
                <w:color w:val="FF0000"/>
                <w:sz w:val="21"/>
              </w:rPr>
              <w:t>6</w:t>
            </w:r>
            <w:r w:rsidRPr="001B1820">
              <w:rPr>
                <w:rFonts w:eastAsia="宋体"/>
                <w:color w:val="FF0000"/>
                <w:sz w:val="21"/>
              </w:rPr>
              <w:t>5.33</w:t>
            </w:r>
          </w:p>
        </w:tc>
      </w:tr>
    </w:tbl>
    <w:p w14:paraId="2778158D" w14:textId="213EED2C" w:rsidR="003B6FD1" w:rsidRPr="001B1820" w:rsidRDefault="001B1820" w:rsidP="001B1820">
      <w:pPr>
        <w:autoSpaceDE w:val="0"/>
        <w:autoSpaceDN w:val="0"/>
        <w:adjustRightInd w:val="0"/>
        <w:spacing w:line="360" w:lineRule="auto"/>
        <w:ind w:firstLineChars="200" w:firstLine="480"/>
        <w:jc w:val="left"/>
        <w:rPr>
          <w:rFonts w:ascii="Times New Roman" w:eastAsia="宋体" w:hAnsi="Times New Roman" w:cs="Times New Roman"/>
          <w:color w:val="FF0000"/>
          <w:sz w:val="24"/>
        </w:rPr>
      </w:pPr>
      <w:r w:rsidRPr="001B1820">
        <w:rPr>
          <w:rFonts w:ascii="Times New Roman" w:eastAsia="宋体" w:hAnsi="Times New Roman" w:cs="Times New Roman" w:hint="eastAsia"/>
          <w:color w:val="FF0000"/>
          <w:sz w:val="24"/>
        </w:rPr>
        <w:t>根据上述测算表和设计库容和规模数据，可预测得出：一期生活垃圾填埋区使用年限约为</w:t>
      </w:r>
      <w:r w:rsidRPr="001B1820">
        <w:rPr>
          <w:rFonts w:ascii="Times New Roman" w:eastAsia="宋体" w:hAnsi="Times New Roman" w:cs="Times New Roman"/>
          <w:color w:val="FF0000"/>
          <w:sz w:val="24"/>
        </w:rPr>
        <w:t xml:space="preserve">13 </w:t>
      </w:r>
      <w:r w:rsidRPr="001B1820">
        <w:rPr>
          <w:rFonts w:ascii="Times New Roman" w:eastAsia="宋体" w:hAnsi="Times New Roman" w:cs="Times New Roman" w:hint="eastAsia"/>
          <w:color w:val="FF0000"/>
          <w:sz w:val="24"/>
        </w:rPr>
        <w:t>年（</w:t>
      </w:r>
      <w:r w:rsidRPr="001B1820">
        <w:rPr>
          <w:rFonts w:ascii="Times New Roman" w:eastAsia="宋体" w:hAnsi="Times New Roman" w:cs="Times New Roman"/>
          <w:color w:val="FF0000"/>
          <w:sz w:val="24"/>
        </w:rPr>
        <w:t xml:space="preserve">2024 </w:t>
      </w:r>
      <w:r w:rsidRPr="001B1820">
        <w:rPr>
          <w:rFonts w:ascii="Times New Roman" w:eastAsia="宋体" w:hAnsi="Times New Roman" w:cs="Times New Roman" w:hint="eastAsia"/>
          <w:color w:val="FF0000"/>
          <w:sz w:val="24"/>
        </w:rPr>
        <w:t>年</w:t>
      </w:r>
      <w:r w:rsidRPr="001B1820">
        <w:rPr>
          <w:rFonts w:ascii="Times New Roman" w:eastAsia="宋体" w:hAnsi="Times New Roman" w:cs="Times New Roman"/>
          <w:color w:val="FF0000"/>
          <w:sz w:val="24"/>
        </w:rPr>
        <w:t xml:space="preserve">~2036 </w:t>
      </w:r>
      <w:r w:rsidRPr="001B1820">
        <w:rPr>
          <w:rFonts w:ascii="Times New Roman" w:eastAsia="宋体" w:hAnsi="Times New Roman" w:cs="Times New Roman" w:hint="eastAsia"/>
          <w:color w:val="FF0000"/>
          <w:sz w:val="24"/>
        </w:rPr>
        <w:t>年）。</w:t>
      </w:r>
    </w:p>
    <w:p w14:paraId="08917097" w14:textId="6E2A18B2" w:rsidR="00D12939" w:rsidRDefault="004F47F5">
      <w:pPr>
        <w:pStyle w:val="30"/>
        <w:spacing w:before="0" w:after="0" w:line="360" w:lineRule="auto"/>
        <w:ind w:firstLineChars="200" w:firstLine="480"/>
        <w:rPr>
          <w:rFonts w:ascii="Times New Roman" w:eastAsia="黑体" w:hAnsi="Times New Roman" w:cs="Times New Roman"/>
          <w:b w:val="0"/>
          <w:sz w:val="24"/>
        </w:rPr>
      </w:pPr>
      <w:r>
        <w:rPr>
          <w:rFonts w:ascii="Times New Roman" w:eastAsia="黑体" w:hAnsi="Times New Roman" w:cs="Times New Roman"/>
          <w:b w:val="0"/>
          <w:sz w:val="24"/>
        </w:rPr>
        <w:t>3.6.</w:t>
      </w:r>
      <w:r w:rsidR="001B1820">
        <w:rPr>
          <w:rFonts w:ascii="Times New Roman" w:eastAsia="黑体" w:hAnsi="Times New Roman" w:cs="Times New Roman"/>
          <w:b w:val="0"/>
          <w:sz w:val="24"/>
        </w:rPr>
        <w:t>3</w:t>
      </w:r>
      <w:r>
        <w:rPr>
          <w:rFonts w:ascii="Times New Roman" w:eastAsia="黑体" w:hAnsi="Times New Roman" w:cs="Times New Roman"/>
          <w:b w:val="0"/>
          <w:sz w:val="24"/>
        </w:rPr>
        <w:t xml:space="preserve"> </w:t>
      </w:r>
      <w:r>
        <w:rPr>
          <w:rFonts w:ascii="Times New Roman" w:eastAsia="黑体" w:hAnsi="Times New Roman" w:cs="Times New Roman" w:hint="eastAsia"/>
          <w:b w:val="0"/>
          <w:sz w:val="24"/>
        </w:rPr>
        <w:t>坝体工程</w:t>
      </w:r>
      <w:bookmarkEnd w:id="320"/>
    </w:p>
    <w:p w14:paraId="4E990A66" w14:textId="77777777" w:rsidR="00D12939" w:rsidRDefault="004F47F5" w:rsidP="003B6FD1">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本次工程拟于一期生活垃圾填埋库区最下游设置</w:t>
      </w:r>
      <w:r>
        <w:rPr>
          <w:rFonts w:ascii="Times New Roman" w:eastAsia="宋体" w:hAnsi="Times New Roman" w:cs="Times New Roman"/>
          <w:sz w:val="24"/>
        </w:rPr>
        <w:t xml:space="preserve">1 </w:t>
      </w:r>
      <w:r>
        <w:rPr>
          <w:rFonts w:ascii="Times New Roman" w:eastAsia="宋体" w:hAnsi="Times New Roman" w:cs="Times New Roman" w:hint="eastAsia"/>
          <w:sz w:val="24"/>
        </w:rPr>
        <w:t>座垃圾坝。垃圾坝设计中心轴线长</w:t>
      </w:r>
      <w:r>
        <w:rPr>
          <w:rFonts w:ascii="Times New Roman" w:eastAsia="宋体" w:hAnsi="Times New Roman" w:cs="Times New Roman"/>
          <w:sz w:val="24"/>
        </w:rPr>
        <w:t>49.30m</w:t>
      </w:r>
      <w:r>
        <w:rPr>
          <w:rFonts w:ascii="Times New Roman" w:eastAsia="宋体" w:hAnsi="Times New Roman" w:cs="Times New Roman" w:hint="eastAsia"/>
          <w:sz w:val="24"/>
        </w:rPr>
        <w:t>，坝顶标高为</w:t>
      </w:r>
      <w:r>
        <w:rPr>
          <w:rFonts w:ascii="Times New Roman" w:eastAsia="宋体" w:hAnsi="Times New Roman" w:cs="Times New Roman"/>
          <w:sz w:val="24"/>
        </w:rPr>
        <w:t>1150.00m</w:t>
      </w:r>
      <w:r>
        <w:rPr>
          <w:rFonts w:ascii="Times New Roman" w:eastAsia="宋体" w:hAnsi="Times New Roman" w:cs="Times New Roman" w:hint="eastAsia"/>
          <w:sz w:val="24"/>
        </w:rPr>
        <w:t>。坝顶宽度为</w:t>
      </w:r>
      <w:r>
        <w:rPr>
          <w:rFonts w:ascii="Times New Roman" w:eastAsia="宋体" w:hAnsi="Times New Roman" w:cs="Times New Roman"/>
          <w:sz w:val="24"/>
        </w:rPr>
        <w:t>5m</w:t>
      </w:r>
      <w:r>
        <w:rPr>
          <w:rFonts w:ascii="Times New Roman" w:eastAsia="宋体" w:hAnsi="Times New Roman" w:cs="Times New Roman" w:hint="eastAsia"/>
          <w:sz w:val="24"/>
        </w:rPr>
        <w:t>，最大坝高</w:t>
      </w:r>
      <w:r>
        <w:rPr>
          <w:rFonts w:ascii="Times New Roman" w:eastAsia="宋体" w:hAnsi="Times New Roman" w:cs="Times New Roman"/>
          <w:sz w:val="24"/>
        </w:rPr>
        <w:t>13m</w:t>
      </w:r>
      <w:r>
        <w:rPr>
          <w:rFonts w:ascii="Times New Roman" w:eastAsia="宋体" w:hAnsi="Times New Roman" w:cs="Times New Roman" w:hint="eastAsia"/>
          <w:sz w:val="24"/>
        </w:rPr>
        <w:t>，坝内外放坡均为</w:t>
      </w:r>
      <w:r>
        <w:rPr>
          <w:rFonts w:ascii="Times New Roman" w:eastAsia="宋体" w:hAnsi="Times New Roman" w:cs="Times New Roman"/>
          <w:sz w:val="24"/>
        </w:rPr>
        <w:t>1</w:t>
      </w:r>
      <w:r>
        <w:rPr>
          <w:rFonts w:ascii="Times New Roman" w:eastAsia="宋体" w:hAnsi="Times New Roman" w:cs="Times New Roman" w:hint="eastAsia"/>
          <w:sz w:val="24"/>
        </w:rPr>
        <w:t>：</w:t>
      </w:r>
      <w:r>
        <w:rPr>
          <w:rFonts w:ascii="Times New Roman" w:eastAsia="宋体" w:hAnsi="Times New Roman" w:cs="Times New Roman"/>
          <w:sz w:val="24"/>
        </w:rPr>
        <w:t>2.0</w:t>
      </w:r>
      <w:r>
        <w:rPr>
          <w:rFonts w:ascii="Times New Roman" w:eastAsia="宋体" w:hAnsi="Times New Roman" w:cs="Times New Roman" w:hint="eastAsia"/>
          <w:sz w:val="24"/>
        </w:rPr>
        <w:t>。坝体主要由开挖的土方填筑碾压而成，压实度要求≥</w:t>
      </w:r>
      <w:r>
        <w:rPr>
          <w:rFonts w:ascii="Times New Roman" w:eastAsia="宋体" w:hAnsi="Times New Roman" w:cs="Times New Roman"/>
          <w:sz w:val="24"/>
        </w:rPr>
        <w:t>96%</w:t>
      </w:r>
      <w:r>
        <w:rPr>
          <w:rFonts w:ascii="Times New Roman" w:eastAsia="宋体" w:hAnsi="Times New Roman" w:cs="Times New Roman" w:hint="eastAsia"/>
          <w:sz w:val="24"/>
        </w:rPr>
        <w:t>。为满足填埋作业的需要，垃圾坝内侧铺设防渗材料，外侧浆砌石护坡。</w:t>
      </w:r>
    </w:p>
    <w:p w14:paraId="6030D813" w14:textId="06E1053C"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21" w:name="_Toc121411716"/>
      <w:r>
        <w:rPr>
          <w:rFonts w:ascii="Times New Roman" w:eastAsia="黑体" w:hAnsi="Times New Roman" w:cs="Times New Roman"/>
          <w:b w:val="0"/>
          <w:sz w:val="24"/>
        </w:rPr>
        <w:t>3.6.</w:t>
      </w:r>
      <w:r w:rsidR="001B1820">
        <w:rPr>
          <w:rFonts w:ascii="Times New Roman" w:eastAsia="黑体" w:hAnsi="Times New Roman" w:cs="Times New Roman"/>
          <w:b w:val="0"/>
          <w:sz w:val="24"/>
        </w:rPr>
        <w:t>4</w:t>
      </w:r>
      <w:r>
        <w:rPr>
          <w:rFonts w:ascii="Times New Roman" w:eastAsia="黑体" w:hAnsi="Times New Roman" w:cs="Times New Roman"/>
          <w:b w:val="0"/>
          <w:sz w:val="24"/>
        </w:rPr>
        <w:t xml:space="preserve"> </w:t>
      </w:r>
      <w:r>
        <w:rPr>
          <w:rFonts w:ascii="Times New Roman" w:eastAsia="黑体" w:hAnsi="Times New Roman" w:cs="Times New Roman" w:hint="eastAsia"/>
          <w:b w:val="0"/>
          <w:sz w:val="24"/>
        </w:rPr>
        <w:t>地下水导排工程</w:t>
      </w:r>
      <w:bookmarkEnd w:id="321"/>
    </w:p>
    <w:p w14:paraId="4CDE35C1"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为了保证地下水的顺利排出，本工程设置地下水盲沟来收集、导排地下水。地下水盲沟位于防渗系统以下，为梯型断面，底宽</w:t>
      </w:r>
      <w:r>
        <w:rPr>
          <w:rFonts w:ascii="Times New Roman" w:eastAsia="宋体" w:hAnsi="Times New Roman" w:cs="Times New Roman"/>
          <w:sz w:val="24"/>
        </w:rPr>
        <w:t>1.0m</w:t>
      </w:r>
      <w:r>
        <w:rPr>
          <w:rFonts w:ascii="Times New Roman" w:eastAsia="宋体" w:hAnsi="Times New Roman" w:cs="Times New Roman" w:hint="eastAsia"/>
          <w:sz w:val="24"/>
        </w:rPr>
        <w:t>，沟深</w:t>
      </w:r>
      <w:r>
        <w:rPr>
          <w:rFonts w:ascii="Times New Roman" w:eastAsia="宋体" w:hAnsi="Times New Roman" w:cs="Times New Roman"/>
          <w:sz w:val="24"/>
        </w:rPr>
        <w:t>1.0m</w:t>
      </w:r>
      <w:r>
        <w:rPr>
          <w:rFonts w:ascii="Times New Roman" w:eastAsia="宋体" w:hAnsi="Times New Roman" w:cs="Times New Roman" w:hint="eastAsia"/>
          <w:sz w:val="24"/>
        </w:rPr>
        <w:t>，盲沟内埋设一根</w:t>
      </w:r>
      <w:r>
        <w:rPr>
          <w:rFonts w:ascii="Times New Roman" w:eastAsia="宋体" w:hAnsi="Times New Roman" w:cs="Times New Roman"/>
          <w:sz w:val="24"/>
        </w:rPr>
        <w:t xml:space="preserve">dn250HDPE </w:t>
      </w:r>
      <w:r>
        <w:rPr>
          <w:rFonts w:ascii="Times New Roman" w:eastAsia="宋体" w:hAnsi="Times New Roman" w:cs="Times New Roman" w:hint="eastAsia"/>
          <w:sz w:val="24"/>
        </w:rPr>
        <w:t>穿孔花管，花管周围用卵石填充，盲沟用</w:t>
      </w:r>
      <w:r>
        <w:rPr>
          <w:rFonts w:ascii="Times New Roman" w:eastAsia="宋体" w:hAnsi="Times New Roman" w:cs="Times New Roman"/>
          <w:sz w:val="24"/>
        </w:rPr>
        <w:t>200g/m²</w:t>
      </w:r>
      <w:r>
        <w:rPr>
          <w:rFonts w:ascii="Times New Roman" w:eastAsia="宋体" w:hAnsi="Times New Roman" w:cs="Times New Roman" w:hint="eastAsia"/>
          <w:sz w:val="24"/>
        </w:rPr>
        <w:t>土工滤网包裹，地下水盲沟断面图见下图。</w:t>
      </w:r>
    </w:p>
    <w:p w14:paraId="03C119B0" w14:textId="77777777" w:rsidR="00D12939" w:rsidRDefault="004F47F5">
      <w:pPr>
        <w:autoSpaceDE w:val="0"/>
        <w:autoSpaceDN w:val="0"/>
        <w:adjustRightInd w:val="0"/>
        <w:spacing w:line="360" w:lineRule="auto"/>
        <w:jc w:val="center"/>
        <w:rPr>
          <w:rFonts w:ascii="Times New Roman" w:eastAsia="宋体" w:hAnsi="Times New Roman" w:cs="Times New Roman"/>
          <w:sz w:val="24"/>
        </w:rPr>
      </w:pPr>
      <w:r>
        <w:rPr>
          <w:noProof/>
        </w:rPr>
        <w:lastRenderedPageBreak/>
        <w:drawing>
          <wp:inline distT="0" distB="0" distL="0" distR="0">
            <wp:extent cx="5361940" cy="282765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9"/>
                    <a:stretch>
                      <a:fillRect/>
                    </a:stretch>
                  </pic:blipFill>
                  <pic:spPr>
                    <a:xfrm>
                      <a:off x="0" y="0"/>
                      <a:ext cx="5369319" cy="2831756"/>
                    </a:xfrm>
                    <a:prstGeom prst="rect">
                      <a:avLst/>
                    </a:prstGeom>
                  </pic:spPr>
                </pic:pic>
              </a:graphicData>
            </a:graphic>
          </wp:inline>
        </w:drawing>
      </w:r>
    </w:p>
    <w:p w14:paraId="22032FFC" w14:textId="77777777" w:rsidR="00D12939" w:rsidRDefault="004F47F5">
      <w:pPr>
        <w:autoSpaceDE w:val="0"/>
        <w:autoSpaceDN w:val="0"/>
        <w:adjustRightInd w:val="0"/>
        <w:spacing w:line="360" w:lineRule="auto"/>
        <w:jc w:val="center"/>
        <w:rPr>
          <w:rFonts w:ascii="黑体" w:eastAsia="黑体" w:cs="黑体"/>
          <w:kern w:val="0"/>
          <w:sz w:val="24"/>
          <w:szCs w:val="24"/>
        </w:rPr>
      </w:pPr>
      <w:r>
        <w:rPr>
          <w:rFonts w:ascii="黑体" w:eastAsia="黑体" w:cs="黑体" w:hint="eastAsia"/>
          <w:kern w:val="0"/>
          <w:sz w:val="24"/>
          <w:szCs w:val="24"/>
        </w:rPr>
        <w:t>图3.6</w:t>
      </w:r>
      <w:r>
        <w:rPr>
          <w:rFonts w:ascii="黑体" w:eastAsia="黑体" w:cs="黑体"/>
          <w:kern w:val="0"/>
          <w:sz w:val="24"/>
          <w:szCs w:val="24"/>
        </w:rPr>
        <w:t xml:space="preserve">-1 </w:t>
      </w:r>
      <w:r>
        <w:rPr>
          <w:rFonts w:ascii="Times New Roman" w:eastAsia="宋体" w:hAnsi="Times New Roman" w:cs="Times New Roman"/>
          <w:sz w:val="24"/>
        </w:rPr>
        <w:t xml:space="preserve"> </w:t>
      </w:r>
      <w:r>
        <w:rPr>
          <w:rFonts w:ascii="黑体" w:eastAsia="黑体" w:cs="黑体" w:hint="eastAsia"/>
          <w:kern w:val="0"/>
          <w:sz w:val="24"/>
          <w:szCs w:val="24"/>
        </w:rPr>
        <w:t>地下水盲沟断面图</w:t>
      </w:r>
    </w:p>
    <w:p w14:paraId="6F548F1D" w14:textId="0ECABC9A"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22" w:name="_Toc121411717"/>
      <w:r>
        <w:rPr>
          <w:rFonts w:ascii="Times New Roman" w:eastAsia="黑体" w:hAnsi="Times New Roman" w:cs="Times New Roman"/>
          <w:b w:val="0"/>
          <w:sz w:val="24"/>
        </w:rPr>
        <w:t>3.6.</w:t>
      </w:r>
      <w:r w:rsidR="001B1820">
        <w:rPr>
          <w:rFonts w:ascii="Times New Roman" w:eastAsia="黑体" w:hAnsi="Times New Roman" w:cs="Times New Roman"/>
          <w:b w:val="0"/>
          <w:sz w:val="24"/>
        </w:rPr>
        <w:t>5</w:t>
      </w:r>
      <w:r>
        <w:rPr>
          <w:rFonts w:ascii="Times New Roman" w:eastAsia="黑体" w:hAnsi="Times New Roman" w:cs="Times New Roman"/>
          <w:b w:val="0"/>
          <w:sz w:val="24"/>
        </w:rPr>
        <w:t xml:space="preserve"> </w:t>
      </w:r>
      <w:r>
        <w:rPr>
          <w:rFonts w:ascii="Times New Roman" w:eastAsia="黑体" w:hAnsi="Times New Roman" w:cs="Times New Roman" w:hint="eastAsia"/>
          <w:b w:val="0"/>
          <w:sz w:val="24"/>
        </w:rPr>
        <w:t>地表水收集导排工程</w:t>
      </w:r>
      <w:bookmarkEnd w:id="322"/>
    </w:p>
    <w:p w14:paraId="0C497A4E" w14:textId="77777777" w:rsidR="00D12939" w:rsidRDefault="004F47F5">
      <w:pPr>
        <w:autoSpaceDE w:val="0"/>
        <w:autoSpaceDN w:val="0"/>
        <w:adjustRightInd w:val="0"/>
        <w:spacing w:line="360" w:lineRule="auto"/>
        <w:ind w:firstLineChars="200" w:firstLine="480"/>
        <w:jc w:val="left"/>
        <w:rPr>
          <w:rFonts w:ascii="宋体" w:eastAsia="宋体" w:cs="宋体"/>
          <w:kern w:val="0"/>
          <w:sz w:val="24"/>
          <w:szCs w:val="24"/>
        </w:rPr>
      </w:pPr>
      <w:r>
        <w:rPr>
          <w:rFonts w:ascii="宋体" w:eastAsia="宋体" w:cs="宋体" w:hint="eastAsia"/>
          <w:kern w:val="0"/>
          <w:sz w:val="24"/>
          <w:szCs w:val="24"/>
        </w:rPr>
        <w:t>为了把渗沥液水量降到最小，处置场必须设置独立的地表水导排系统，把降到库区外的雨水收集后向场外排放；填埋完毕后，进行最终覆盖，将表面径流迅速集中排放，减少渗透量，并设置永久性的排水沟，达到减少垃圾渗沥液流量的目的。</w:t>
      </w:r>
    </w:p>
    <w:p w14:paraId="79E5AB3E" w14:textId="77777777" w:rsidR="00D12939" w:rsidRDefault="004F47F5">
      <w:pPr>
        <w:autoSpaceDE w:val="0"/>
        <w:autoSpaceDN w:val="0"/>
        <w:adjustRightInd w:val="0"/>
        <w:spacing w:line="360" w:lineRule="auto"/>
        <w:ind w:firstLineChars="200" w:firstLine="480"/>
        <w:jc w:val="left"/>
        <w:rPr>
          <w:rFonts w:ascii="宋体" w:eastAsia="宋体" w:cs="宋体"/>
          <w:kern w:val="0"/>
          <w:sz w:val="24"/>
          <w:szCs w:val="24"/>
        </w:rPr>
      </w:pPr>
      <w:r>
        <w:rPr>
          <w:rFonts w:ascii="宋体" w:eastAsia="宋体" w:cs="宋体" w:hint="eastAsia"/>
          <w:kern w:val="0"/>
          <w:sz w:val="24"/>
          <w:szCs w:val="24"/>
        </w:rPr>
        <w:t>根据本工程地形特点及分区功能，库区终场锚固平台外修建环场截洪沟，用以收集库区地表水，最终汇入下游沟谷，在生活垃圾填埋场最上游设了雨水收集池，收集上游雨水，溢流到截洪沟，进场道路路堤坡脚处设置矩形排水沟，用以收集路堤坡面及侧地表水；调节池和处理站所处矩形区域外侧周边设置矩形排水沟，用以收集此区域内地表水。</w:t>
      </w:r>
    </w:p>
    <w:p w14:paraId="7AE77077" w14:textId="77777777" w:rsidR="00D12939" w:rsidRDefault="004F47F5">
      <w:pPr>
        <w:autoSpaceDE w:val="0"/>
        <w:autoSpaceDN w:val="0"/>
        <w:adjustRightInd w:val="0"/>
        <w:spacing w:line="360" w:lineRule="auto"/>
        <w:ind w:firstLineChars="200" w:firstLine="480"/>
        <w:jc w:val="left"/>
        <w:rPr>
          <w:rFonts w:ascii="宋体" w:eastAsia="宋体" w:cs="宋体"/>
          <w:kern w:val="0"/>
          <w:sz w:val="24"/>
          <w:szCs w:val="24"/>
        </w:rPr>
      </w:pPr>
      <w:r>
        <w:rPr>
          <w:rFonts w:ascii="宋体" w:eastAsia="宋体" w:cs="宋体" w:hint="eastAsia"/>
          <w:kern w:val="0"/>
          <w:sz w:val="24"/>
          <w:szCs w:val="24"/>
        </w:rPr>
        <w:t>一、防洪标准</w:t>
      </w:r>
    </w:p>
    <w:p w14:paraId="1BD28AAE"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参照《生活垃圾卫生填埋处理工程项目建设标准》（建标</w:t>
      </w:r>
      <w:r>
        <w:rPr>
          <w:rFonts w:ascii="Times New Roman" w:eastAsia="宋体" w:hAnsi="Times New Roman" w:cs="Times New Roman"/>
          <w:sz w:val="24"/>
        </w:rPr>
        <w:t>124-2009</w:t>
      </w:r>
      <w:r>
        <w:rPr>
          <w:rFonts w:ascii="Times New Roman" w:eastAsia="宋体" w:hAnsi="Times New Roman" w:cs="Times New Roman"/>
          <w:sz w:val="24"/>
        </w:rPr>
        <w:t>）有关设计</w:t>
      </w:r>
      <w:r>
        <w:rPr>
          <w:rFonts w:ascii="Times New Roman" w:eastAsia="宋体" w:hAnsi="Times New Roman" w:cs="Times New Roman" w:hint="eastAsia"/>
          <w:sz w:val="24"/>
        </w:rPr>
        <w:t>规定，本工程防洪标准按</w:t>
      </w:r>
      <w:r>
        <w:rPr>
          <w:rFonts w:ascii="Times New Roman" w:eastAsia="宋体" w:hAnsi="Times New Roman" w:cs="Times New Roman"/>
          <w:sz w:val="24"/>
        </w:rPr>
        <w:t xml:space="preserve">50 </w:t>
      </w:r>
      <w:r>
        <w:rPr>
          <w:rFonts w:ascii="Times New Roman" w:eastAsia="宋体" w:hAnsi="Times New Roman" w:cs="Times New Roman"/>
          <w:sz w:val="24"/>
        </w:rPr>
        <w:t>年一遇洪水设计，按</w:t>
      </w:r>
      <w:r>
        <w:rPr>
          <w:rFonts w:ascii="Times New Roman" w:eastAsia="宋体" w:hAnsi="Times New Roman" w:cs="Times New Roman"/>
          <w:sz w:val="24"/>
        </w:rPr>
        <w:t xml:space="preserve">100 </w:t>
      </w:r>
      <w:r>
        <w:rPr>
          <w:rFonts w:ascii="Times New Roman" w:eastAsia="宋体" w:hAnsi="Times New Roman" w:cs="Times New Roman"/>
          <w:sz w:val="24"/>
        </w:rPr>
        <w:t>年一遇洪水校核。</w:t>
      </w:r>
    </w:p>
    <w:p w14:paraId="771EFC04"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二、截洪沟</w:t>
      </w:r>
    </w:p>
    <w:p w14:paraId="7AB7183D"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根据地形实际情况，截洪沟各段要尽量顺接，在截洪沟的出口断面处，设置消力池。截洪沟上部采用</w:t>
      </w:r>
      <w:r>
        <w:rPr>
          <w:rFonts w:ascii="Times New Roman" w:eastAsia="宋体" w:hAnsi="Times New Roman" w:cs="Times New Roman"/>
          <w:sz w:val="24"/>
        </w:rPr>
        <w:t xml:space="preserve">M7.5 </w:t>
      </w:r>
      <w:r>
        <w:rPr>
          <w:rFonts w:ascii="Times New Roman" w:eastAsia="宋体" w:hAnsi="Times New Roman" w:cs="Times New Roman"/>
          <w:sz w:val="24"/>
        </w:rPr>
        <w:t>水泥砂浆砌</w:t>
      </w:r>
      <w:r>
        <w:rPr>
          <w:rFonts w:ascii="Times New Roman" w:eastAsia="宋体" w:hAnsi="Times New Roman" w:cs="Times New Roman"/>
          <w:sz w:val="24"/>
        </w:rPr>
        <w:t xml:space="preserve">MU30 </w:t>
      </w:r>
      <w:r>
        <w:rPr>
          <w:rFonts w:ascii="Times New Roman" w:eastAsia="宋体" w:hAnsi="Times New Roman" w:cs="Times New Roman"/>
          <w:sz w:val="24"/>
        </w:rPr>
        <w:t>块石，底部采用</w:t>
      </w:r>
      <w:r>
        <w:rPr>
          <w:rFonts w:ascii="Times New Roman" w:eastAsia="宋体" w:hAnsi="Times New Roman" w:cs="Times New Roman"/>
          <w:sz w:val="24"/>
        </w:rPr>
        <w:t xml:space="preserve">C15 </w:t>
      </w:r>
      <w:r>
        <w:rPr>
          <w:rFonts w:ascii="Times New Roman" w:eastAsia="宋体" w:hAnsi="Times New Roman" w:cs="Times New Roman"/>
          <w:sz w:val="24"/>
        </w:rPr>
        <w:t>混凝土垫层，</w:t>
      </w:r>
      <w:r>
        <w:rPr>
          <w:rFonts w:ascii="Times New Roman" w:eastAsia="宋体" w:hAnsi="Times New Roman" w:cs="Times New Roman" w:hint="eastAsia"/>
          <w:sz w:val="24"/>
        </w:rPr>
        <w:t>并用水泥砂浆抹面和勾缝。截洪沟每间隔</w:t>
      </w:r>
      <w:r>
        <w:rPr>
          <w:rFonts w:ascii="Times New Roman" w:eastAsia="宋体" w:hAnsi="Times New Roman" w:cs="Times New Roman"/>
          <w:sz w:val="24"/>
        </w:rPr>
        <w:t xml:space="preserve">10 </w:t>
      </w:r>
      <w:r>
        <w:rPr>
          <w:rFonts w:ascii="Times New Roman" w:eastAsia="宋体" w:hAnsi="Times New Roman" w:cs="Times New Roman"/>
          <w:sz w:val="24"/>
        </w:rPr>
        <w:t>米，设置一齿槽，主要用于防止不均</w:t>
      </w:r>
      <w:r>
        <w:rPr>
          <w:rFonts w:ascii="Times New Roman" w:eastAsia="宋体" w:hAnsi="Times New Roman" w:cs="Times New Roman" w:hint="eastAsia"/>
          <w:sz w:val="24"/>
        </w:rPr>
        <w:t>匀沉降和设置截洪沟伸缩缝，截洪沟断面图见下图。各截洪沟断面尺寸见表</w:t>
      </w:r>
      <w:r>
        <w:rPr>
          <w:rFonts w:ascii="Times New Roman" w:eastAsia="宋体" w:hAnsi="Times New Roman" w:cs="Times New Roman" w:hint="eastAsia"/>
          <w:sz w:val="24"/>
        </w:rPr>
        <w:t>3.6</w:t>
      </w:r>
      <w:r>
        <w:rPr>
          <w:rFonts w:ascii="Times New Roman" w:eastAsia="宋体" w:hAnsi="Times New Roman" w:cs="Times New Roman"/>
          <w:sz w:val="24"/>
        </w:rPr>
        <w:t>-1</w:t>
      </w:r>
      <w:r>
        <w:rPr>
          <w:rFonts w:ascii="Times New Roman" w:eastAsia="宋体" w:hAnsi="Times New Roman" w:cs="Times New Roman" w:hint="eastAsia"/>
          <w:sz w:val="24"/>
        </w:rPr>
        <w:t>。</w:t>
      </w:r>
    </w:p>
    <w:p w14:paraId="5D29E6DA" w14:textId="77777777" w:rsidR="00D12939" w:rsidRDefault="004F47F5">
      <w:pPr>
        <w:autoSpaceDE w:val="0"/>
        <w:autoSpaceDN w:val="0"/>
        <w:adjustRightInd w:val="0"/>
        <w:spacing w:line="360" w:lineRule="auto"/>
        <w:jc w:val="center"/>
        <w:rPr>
          <w:rFonts w:ascii="Times New Roman" w:eastAsia="宋体" w:hAnsi="Times New Roman" w:cs="Times New Roman"/>
          <w:b/>
          <w:bCs/>
          <w:sz w:val="24"/>
        </w:rPr>
      </w:pPr>
      <w:r>
        <w:rPr>
          <w:noProof/>
        </w:rPr>
        <w:lastRenderedPageBreak/>
        <w:drawing>
          <wp:inline distT="0" distB="0" distL="0" distR="0">
            <wp:extent cx="5164455" cy="32035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0"/>
                    <a:stretch>
                      <a:fillRect/>
                    </a:stretch>
                  </pic:blipFill>
                  <pic:spPr>
                    <a:xfrm>
                      <a:off x="0" y="0"/>
                      <a:ext cx="5170054" cy="3207279"/>
                    </a:xfrm>
                    <a:prstGeom prst="rect">
                      <a:avLst/>
                    </a:prstGeom>
                  </pic:spPr>
                </pic:pic>
              </a:graphicData>
            </a:graphic>
          </wp:inline>
        </w:drawing>
      </w:r>
    </w:p>
    <w:p w14:paraId="2B8A1B6E" w14:textId="77777777" w:rsidR="00D12939" w:rsidRDefault="004F47F5">
      <w:pPr>
        <w:autoSpaceDE w:val="0"/>
        <w:autoSpaceDN w:val="0"/>
        <w:adjustRightInd w:val="0"/>
        <w:spacing w:line="360" w:lineRule="auto"/>
        <w:jc w:val="center"/>
        <w:rPr>
          <w:rFonts w:ascii="黑体" w:eastAsia="黑体" w:cs="黑体"/>
          <w:kern w:val="0"/>
          <w:sz w:val="24"/>
          <w:szCs w:val="24"/>
        </w:rPr>
      </w:pPr>
      <w:r>
        <w:rPr>
          <w:rFonts w:ascii="黑体" w:eastAsia="黑体" w:cs="黑体" w:hint="eastAsia"/>
          <w:kern w:val="0"/>
          <w:sz w:val="24"/>
          <w:szCs w:val="24"/>
        </w:rPr>
        <w:t>图3.6</w:t>
      </w:r>
      <w:r>
        <w:rPr>
          <w:rFonts w:ascii="黑体" w:eastAsia="黑体" w:cs="黑体"/>
          <w:kern w:val="0"/>
          <w:sz w:val="24"/>
          <w:szCs w:val="24"/>
        </w:rPr>
        <w:t xml:space="preserve">-2 </w:t>
      </w:r>
      <w:r>
        <w:rPr>
          <w:rFonts w:ascii="Times New Roman" w:eastAsia="宋体" w:hAnsi="Times New Roman" w:cs="Times New Roman"/>
          <w:sz w:val="24"/>
        </w:rPr>
        <w:t xml:space="preserve"> </w:t>
      </w:r>
      <w:r>
        <w:rPr>
          <w:rFonts w:ascii="黑体" w:eastAsia="黑体" w:cs="黑体" w:hint="eastAsia"/>
          <w:kern w:val="0"/>
          <w:sz w:val="24"/>
          <w:szCs w:val="24"/>
        </w:rPr>
        <w:t>截洪沟横断面图</w:t>
      </w:r>
    </w:p>
    <w:p w14:paraId="6C4B0374" w14:textId="77777777" w:rsidR="00D12939" w:rsidRDefault="004F47F5">
      <w:pPr>
        <w:autoSpaceDE w:val="0"/>
        <w:autoSpaceDN w:val="0"/>
        <w:adjustRightInd w:val="0"/>
        <w:spacing w:line="360" w:lineRule="auto"/>
        <w:jc w:val="center"/>
        <w:rPr>
          <w:rFonts w:ascii="黑体" w:eastAsia="黑体" w:cs="黑体"/>
          <w:kern w:val="0"/>
          <w:sz w:val="24"/>
          <w:szCs w:val="24"/>
        </w:rPr>
      </w:pPr>
      <w:r>
        <w:rPr>
          <w:rFonts w:ascii="黑体" w:eastAsia="黑体" w:cs="黑体" w:hint="eastAsia"/>
          <w:kern w:val="0"/>
          <w:sz w:val="24"/>
          <w:szCs w:val="24"/>
        </w:rPr>
        <w:t>表3.6</w:t>
      </w:r>
      <w:r>
        <w:rPr>
          <w:rFonts w:ascii="黑体" w:eastAsia="黑体" w:cs="黑体"/>
          <w:kern w:val="0"/>
          <w:sz w:val="24"/>
          <w:szCs w:val="24"/>
        </w:rPr>
        <w:t xml:space="preserve">-1 </w:t>
      </w:r>
      <w:r>
        <w:rPr>
          <w:rFonts w:ascii="Times New Roman" w:eastAsia="宋体" w:hAnsi="Times New Roman" w:cs="Times New Roman"/>
          <w:sz w:val="24"/>
        </w:rPr>
        <w:t xml:space="preserve"> </w:t>
      </w:r>
      <w:r>
        <w:rPr>
          <w:rFonts w:ascii="黑体" w:eastAsia="黑体" w:cs="黑体" w:hint="eastAsia"/>
          <w:kern w:val="0"/>
          <w:sz w:val="24"/>
          <w:szCs w:val="24"/>
        </w:rPr>
        <w:t>各截洪沟断面尺寸表（单位：m）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5"/>
        <w:gridCol w:w="2780"/>
        <w:gridCol w:w="1863"/>
        <w:gridCol w:w="1863"/>
        <w:gridCol w:w="1863"/>
      </w:tblGrid>
      <w:tr w:rsidR="00D12939" w14:paraId="5B2002E6" w14:textId="77777777">
        <w:trPr>
          <w:trHeight w:val="271"/>
          <w:jc w:val="center"/>
        </w:trPr>
        <w:tc>
          <w:tcPr>
            <w:tcW w:w="945" w:type="dxa"/>
            <w:vAlign w:val="center"/>
          </w:tcPr>
          <w:p w14:paraId="14D077B3" w14:textId="77777777" w:rsidR="00D12939" w:rsidRDefault="004F47F5">
            <w:pPr>
              <w:jc w:val="center"/>
            </w:pPr>
            <w:r>
              <w:t>序号</w:t>
            </w:r>
          </w:p>
        </w:tc>
        <w:tc>
          <w:tcPr>
            <w:tcW w:w="2780" w:type="dxa"/>
            <w:vAlign w:val="center"/>
          </w:tcPr>
          <w:p w14:paraId="1C8CB990" w14:textId="77777777" w:rsidR="00D12939" w:rsidRDefault="004F47F5">
            <w:pPr>
              <w:jc w:val="center"/>
            </w:pPr>
            <w:r>
              <w:t>名称</w:t>
            </w:r>
          </w:p>
        </w:tc>
        <w:tc>
          <w:tcPr>
            <w:tcW w:w="1863" w:type="dxa"/>
            <w:vAlign w:val="center"/>
          </w:tcPr>
          <w:p w14:paraId="5DB7913E" w14:textId="77777777" w:rsidR="00D12939" w:rsidRDefault="004F47F5">
            <w:pPr>
              <w:jc w:val="center"/>
            </w:pPr>
            <w:r>
              <w:t>截洪沟长度</w:t>
            </w:r>
          </w:p>
        </w:tc>
        <w:tc>
          <w:tcPr>
            <w:tcW w:w="1863" w:type="dxa"/>
            <w:vAlign w:val="center"/>
          </w:tcPr>
          <w:p w14:paraId="664BDFBF" w14:textId="77777777" w:rsidR="00D12939" w:rsidRDefault="004F47F5">
            <w:pPr>
              <w:jc w:val="center"/>
            </w:pPr>
            <w:r>
              <w:t>截洪沟宽B</w:t>
            </w:r>
          </w:p>
        </w:tc>
        <w:tc>
          <w:tcPr>
            <w:tcW w:w="1863" w:type="dxa"/>
            <w:vAlign w:val="center"/>
          </w:tcPr>
          <w:p w14:paraId="07D395A1" w14:textId="77777777" w:rsidR="00D12939" w:rsidRDefault="004F47F5">
            <w:pPr>
              <w:jc w:val="center"/>
            </w:pPr>
            <w:r>
              <w:t>截洪沟高H</w:t>
            </w:r>
          </w:p>
        </w:tc>
      </w:tr>
      <w:tr w:rsidR="00D12939" w14:paraId="11B3511E" w14:textId="77777777">
        <w:trPr>
          <w:trHeight w:val="285"/>
          <w:jc w:val="center"/>
        </w:trPr>
        <w:tc>
          <w:tcPr>
            <w:tcW w:w="945" w:type="dxa"/>
            <w:vAlign w:val="center"/>
          </w:tcPr>
          <w:p w14:paraId="761C2158" w14:textId="77777777" w:rsidR="00D12939" w:rsidRDefault="004F47F5">
            <w:pPr>
              <w:jc w:val="center"/>
            </w:pPr>
            <w:r>
              <w:rPr>
                <w:rFonts w:hint="eastAsia"/>
              </w:rPr>
              <w:t>1</w:t>
            </w:r>
          </w:p>
        </w:tc>
        <w:tc>
          <w:tcPr>
            <w:tcW w:w="2780" w:type="dxa"/>
            <w:vAlign w:val="center"/>
          </w:tcPr>
          <w:p w14:paraId="30382D79" w14:textId="77777777" w:rsidR="00D12939" w:rsidRDefault="004F47F5">
            <w:pPr>
              <w:jc w:val="center"/>
            </w:pPr>
            <w:r>
              <w:rPr>
                <w:rFonts w:ascii="宋体" w:cs="宋体" w:hint="eastAsia"/>
                <w:szCs w:val="21"/>
              </w:rPr>
              <w:t>填埋库区一期北面</w:t>
            </w:r>
          </w:p>
        </w:tc>
        <w:tc>
          <w:tcPr>
            <w:tcW w:w="1863" w:type="dxa"/>
            <w:vAlign w:val="center"/>
          </w:tcPr>
          <w:p w14:paraId="76354236" w14:textId="77777777" w:rsidR="00D12939" w:rsidRDefault="004F47F5">
            <w:pPr>
              <w:jc w:val="center"/>
            </w:pPr>
            <w:r>
              <w:rPr>
                <w:rFonts w:hint="eastAsia"/>
              </w:rPr>
              <w:t>5</w:t>
            </w:r>
            <w:r>
              <w:t>75.13</w:t>
            </w:r>
          </w:p>
        </w:tc>
        <w:tc>
          <w:tcPr>
            <w:tcW w:w="1863" w:type="dxa"/>
            <w:vAlign w:val="center"/>
          </w:tcPr>
          <w:p w14:paraId="743A07DA" w14:textId="77777777" w:rsidR="00D12939" w:rsidRDefault="004F47F5">
            <w:pPr>
              <w:jc w:val="center"/>
            </w:pPr>
            <w:r>
              <w:rPr>
                <w:rFonts w:hint="eastAsia"/>
              </w:rPr>
              <w:t>0</w:t>
            </w:r>
            <w:r>
              <w:t>.7</w:t>
            </w:r>
          </w:p>
        </w:tc>
        <w:tc>
          <w:tcPr>
            <w:tcW w:w="1863" w:type="dxa"/>
            <w:vAlign w:val="center"/>
          </w:tcPr>
          <w:p w14:paraId="714C284F" w14:textId="77777777" w:rsidR="00D12939" w:rsidRDefault="004F47F5">
            <w:pPr>
              <w:jc w:val="center"/>
            </w:pPr>
            <w:r>
              <w:rPr>
                <w:rFonts w:hint="eastAsia"/>
              </w:rPr>
              <w:t>0</w:t>
            </w:r>
            <w:r>
              <w:t>.7</w:t>
            </w:r>
          </w:p>
        </w:tc>
      </w:tr>
      <w:tr w:rsidR="00D12939" w14:paraId="56F2235D" w14:textId="77777777">
        <w:trPr>
          <w:trHeight w:val="271"/>
          <w:jc w:val="center"/>
        </w:trPr>
        <w:tc>
          <w:tcPr>
            <w:tcW w:w="945" w:type="dxa"/>
            <w:vAlign w:val="center"/>
          </w:tcPr>
          <w:p w14:paraId="273BAD76" w14:textId="77777777" w:rsidR="00D12939" w:rsidRDefault="004F47F5">
            <w:pPr>
              <w:jc w:val="center"/>
            </w:pPr>
            <w:r>
              <w:rPr>
                <w:rFonts w:hint="eastAsia"/>
              </w:rPr>
              <w:t>2</w:t>
            </w:r>
          </w:p>
        </w:tc>
        <w:tc>
          <w:tcPr>
            <w:tcW w:w="2780" w:type="dxa"/>
            <w:vAlign w:val="center"/>
          </w:tcPr>
          <w:p w14:paraId="377A5F3C" w14:textId="77777777" w:rsidR="00D12939" w:rsidRDefault="004F47F5">
            <w:pPr>
              <w:jc w:val="center"/>
            </w:pPr>
            <w:r>
              <w:rPr>
                <w:rFonts w:ascii="宋体" w:cs="宋体" w:hint="eastAsia"/>
                <w:szCs w:val="21"/>
              </w:rPr>
              <w:t>填埋库区一期南面</w:t>
            </w:r>
          </w:p>
        </w:tc>
        <w:tc>
          <w:tcPr>
            <w:tcW w:w="1863" w:type="dxa"/>
            <w:vAlign w:val="center"/>
          </w:tcPr>
          <w:p w14:paraId="6CA452B1" w14:textId="77777777" w:rsidR="00D12939" w:rsidRDefault="004F47F5">
            <w:pPr>
              <w:jc w:val="center"/>
            </w:pPr>
            <w:r>
              <w:rPr>
                <w:rFonts w:hint="eastAsia"/>
              </w:rPr>
              <w:t>1</w:t>
            </w:r>
            <w:r>
              <w:t>094.80</w:t>
            </w:r>
          </w:p>
        </w:tc>
        <w:tc>
          <w:tcPr>
            <w:tcW w:w="1863" w:type="dxa"/>
            <w:vAlign w:val="center"/>
          </w:tcPr>
          <w:p w14:paraId="77053E98" w14:textId="77777777" w:rsidR="00D12939" w:rsidRDefault="004F47F5">
            <w:pPr>
              <w:jc w:val="center"/>
            </w:pPr>
            <w:r>
              <w:rPr>
                <w:rFonts w:hint="eastAsia"/>
              </w:rPr>
              <w:t>0</w:t>
            </w:r>
            <w:r>
              <w:t>.7</w:t>
            </w:r>
          </w:p>
        </w:tc>
        <w:tc>
          <w:tcPr>
            <w:tcW w:w="1863" w:type="dxa"/>
            <w:vAlign w:val="center"/>
          </w:tcPr>
          <w:p w14:paraId="1F3F3572" w14:textId="77777777" w:rsidR="00D12939" w:rsidRDefault="004F47F5">
            <w:pPr>
              <w:jc w:val="center"/>
            </w:pPr>
            <w:r>
              <w:rPr>
                <w:rFonts w:hint="eastAsia"/>
              </w:rPr>
              <w:t>0</w:t>
            </w:r>
            <w:r>
              <w:t>.7</w:t>
            </w:r>
          </w:p>
        </w:tc>
      </w:tr>
      <w:tr w:rsidR="00D12939" w14:paraId="1C827407" w14:textId="77777777">
        <w:trPr>
          <w:trHeight w:val="285"/>
          <w:jc w:val="center"/>
        </w:trPr>
        <w:tc>
          <w:tcPr>
            <w:tcW w:w="945" w:type="dxa"/>
            <w:vAlign w:val="center"/>
          </w:tcPr>
          <w:p w14:paraId="22439588" w14:textId="77777777" w:rsidR="00D12939" w:rsidRDefault="004F47F5">
            <w:pPr>
              <w:jc w:val="center"/>
            </w:pPr>
            <w:r>
              <w:rPr>
                <w:rFonts w:hint="eastAsia"/>
              </w:rPr>
              <w:t>3</w:t>
            </w:r>
          </w:p>
        </w:tc>
        <w:tc>
          <w:tcPr>
            <w:tcW w:w="2780" w:type="dxa"/>
            <w:vAlign w:val="center"/>
          </w:tcPr>
          <w:p w14:paraId="15CC47B8" w14:textId="77777777" w:rsidR="00D12939" w:rsidRDefault="004F47F5">
            <w:pPr>
              <w:jc w:val="center"/>
            </w:pPr>
            <w:r>
              <w:rPr>
                <w:rFonts w:ascii="宋体" w:cs="宋体" w:hint="eastAsia"/>
                <w:szCs w:val="21"/>
              </w:rPr>
              <w:t>填埋库区一期东南面</w:t>
            </w:r>
          </w:p>
        </w:tc>
        <w:tc>
          <w:tcPr>
            <w:tcW w:w="1863" w:type="dxa"/>
            <w:vAlign w:val="center"/>
          </w:tcPr>
          <w:p w14:paraId="58E811FE" w14:textId="77777777" w:rsidR="00D12939" w:rsidRDefault="004F47F5">
            <w:pPr>
              <w:jc w:val="center"/>
            </w:pPr>
            <w:r>
              <w:rPr>
                <w:rFonts w:hint="eastAsia"/>
              </w:rPr>
              <w:t>4</w:t>
            </w:r>
            <w:r>
              <w:t>92.66</w:t>
            </w:r>
          </w:p>
        </w:tc>
        <w:tc>
          <w:tcPr>
            <w:tcW w:w="1863" w:type="dxa"/>
            <w:vAlign w:val="center"/>
          </w:tcPr>
          <w:p w14:paraId="5A07274C" w14:textId="77777777" w:rsidR="00D12939" w:rsidRDefault="004F47F5">
            <w:pPr>
              <w:jc w:val="center"/>
            </w:pPr>
            <w:r>
              <w:rPr>
                <w:rFonts w:hint="eastAsia"/>
              </w:rPr>
              <w:t>1</w:t>
            </w:r>
            <w:r>
              <w:t>.0</w:t>
            </w:r>
          </w:p>
        </w:tc>
        <w:tc>
          <w:tcPr>
            <w:tcW w:w="1863" w:type="dxa"/>
            <w:vAlign w:val="center"/>
          </w:tcPr>
          <w:p w14:paraId="5F7B6945" w14:textId="77777777" w:rsidR="00D12939" w:rsidRDefault="004F47F5">
            <w:pPr>
              <w:jc w:val="center"/>
            </w:pPr>
            <w:r>
              <w:rPr>
                <w:rFonts w:hint="eastAsia"/>
              </w:rPr>
              <w:t>1</w:t>
            </w:r>
            <w:r>
              <w:t>.0</w:t>
            </w:r>
          </w:p>
        </w:tc>
      </w:tr>
    </w:tbl>
    <w:p w14:paraId="53AA02F7"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三、中间锚固平台排水沟</w:t>
      </w:r>
    </w:p>
    <w:p w14:paraId="3C409014"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中间锚固平台排水沟设置在锚固沟内，排水沟为矩形断面，宽为</w:t>
      </w:r>
      <w:r>
        <w:rPr>
          <w:rFonts w:ascii="Times New Roman" w:eastAsia="宋体" w:hAnsi="Times New Roman" w:cs="Times New Roman"/>
          <w:sz w:val="24"/>
        </w:rPr>
        <w:t xml:space="preserve">0.8 </w:t>
      </w:r>
      <w:r>
        <w:rPr>
          <w:rFonts w:ascii="Times New Roman" w:eastAsia="宋体" w:hAnsi="Times New Roman" w:cs="Times New Roman"/>
          <w:sz w:val="24"/>
        </w:rPr>
        <w:t>米，深度</w:t>
      </w:r>
      <w:r>
        <w:rPr>
          <w:rFonts w:ascii="Times New Roman" w:eastAsia="宋体" w:hAnsi="Times New Roman" w:cs="Times New Roman" w:hint="eastAsia"/>
          <w:sz w:val="24"/>
        </w:rPr>
        <w:t>为</w:t>
      </w:r>
      <w:r>
        <w:rPr>
          <w:rFonts w:ascii="Times New Roman" w:eastAsia="宋体" w:hAnsi="Times New Roman" w:cs="Times New Roman"/>
          <w:sz w:val="24"/>
        </w:rPr>
        <w:t xml:space="preserve">0.4 </w:t>
      </w:r>
      <w:r>
        <w:rPr>
          <w:rFonts w:ascii="Times New Roman" w:eastAsia="宋体" w:hAnsi="Times New Roman" w:cs="Times New Roman"/>
          <w:sz w:val="24"/>
        </w:rPr>
        <w:t>米。沟底标高沿锚固平台逐渐下降，并保持一定的坡度，最终汇入永久性截</w:t>
      </w:r>
      <w:r>
        <w:rPr>
          <w:rFonts w:ascii="Times New Roman" w:eastAsia="宋体" w:hAnsi="Times New Roman" w:cs="Times New Roman" w:hint="eastAsia"/>
          <w:sz w:val="24"/>
        </w:rPr>
        <w:t>洪沟。</w:t>
      </w:r>
    </w:p>
    <w:p w14:paraId="13E41AA6" w14:textId="76D88A75"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23" w:name="_Toc121411718"/>
      <w:r>
        <w:rPr>
          <w:rFonts w:ascii="Times New Roman" w:eastAsia="黑体" w:hAnsi="Times New Roman" w:cs="Times New Roman"/>
          <w:b w:val="0"/>
          <w:sz w:val="24"/>
        </w:rPr>
        <w:t>3.6.</w:t>
      </w:r>
      <w:r w:rsidR="001B1820">
        <w:rPr>
          <w:rFonts w:ascii="Times New Roman" w:eastAsia="黑体" w:hAnsi="Times New Roman" w:cs="Times New Roman"/>
          <w:b w:val="0"/>
          <w:sz w:val="24"/>
        </w:rPr>
        <w:t>6</w:t>
      </w:r>
      <w:r>
        <w:rPr>
          <w:rFonts w:ascii="Times New Roman" w:eastAsia="黑体" w:hAnsi="Times New Roman" w:cs="Times New Roman"/>
          <w:b w:val="0"/>
          <w:sz w:val="24"/>
        </w:rPr>
        <w:t xml:space="preserve"> </w:t>
      </w:r>
      <w:r>
        <w:rPr>
          <w:rFonts w:ascii="Times New Roman" w:eastAsia="黑体" w:hAnsi="Times New Roman" w:cs="Times New Roman" w:hint="eastAsia"/>
          <w:b w:val="0"/>
          <w:sz w:val="24"/>
        </w:rPr>
        <w:t>防渗系统</w:t>
      </w:r>
      <w:bookmarkEnd w:id="323"/>
    </w:p>
    <w:p w14:paraId="30DEFB71"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《生活垃圾卫生填埋处理技术规范》（</w:t>
      </w:r>
      <w:r>
        <w:rPr>
          <w:rFonts w:ascii="Times New Roman" w:eastAsia="宋体" w:hAnsi="Times New Roman" w:cs="Times New Roman"/>
          <w:sz w:val="24"/>
        </w:rPr>
        <w:t>GB 50869-2013</w:t>
      </w:r>
      <w:r>
        <w:rPr>
          <w:rFonts w:ascii="Times New Roman" w:eastAsia="宋体" w:hAnsi="Times New Roman" w:cs="Times New Roman" w:hint="eastAsia"/>
          <w:sz w:val="24"/>
        </w:rPr>
        <w:t>）强制要求：“填埋场必须进行防渗处理，防止对地下水和地表水的污染，同时还应防止地下水进入填埋区”。</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本项目生活垃圾填埋库区防渗系统确定为单层复合防渗结构。</w:t>
      </w:r>
      <w:r>
        <w:rPr>
          <w:rFonts w:ascii="宋体" w:eastAsia="宋体" w:cs="宋体" w:hint="eastAsia"/>
          <w:kern w:val="0"/>
          <w:sz w:val="24"/>
          <w:szCs w:val="24"/>
        </w:rPr>
        <w:t>衬层结构如下：</w:t>
      </w:r>
    </w:p>
    <w:p w14:paraId="7560ED2C"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、场底衬层结构</w:t>
      </w:r>
      <w:r>
        <w:rPr>
          <w:rFonts w:ascii="Times New Roman" w:eastAsia="宋体" w:hAnsi="Times New Roman" w:cs="Times New Roman" w:hint="eastAsia"/>
          <w:kern w:val="0"/>
          <w:sz w:val="24"/>
          <w:szCs w:val="24"/>
        </w:rPr>
        <w:t>（自上而下）</w:t>
      </w:r>
    </w:p>
    <w:p w14:paraId="2277A9FF"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 xml:space="preserve"> 200g/m</w:t>
      </w:r>
      <w:r>
        <w:rPr>
          <w:rFonts w:ascii="Times New Roman" w:eastAsia="宋体" w:hAnsi="Times New Roman" w:cs="Times New Roman"/>
          <w:kern w:val="0"/>
          <w:sz w:val="24"/>
          <w:szCs w:val="24"/>
          <w:vertAlign w:val="superscript"/>
        </w:rPr>
        <w:t xml:space="preserve">2 </w:t>
      </w:r>
      <w:r>
        <w:rPr>
          <w:rFonts w:ascii="Times New Roman" w:eastAsia="宋体" w:hAnsi="Times New Roman" w:cs="Times New Roman"/>
          <w:kern w:val="0"/>
          <w:sz w:val="24"/>
          <w:szCs w:val="24"/>
        </w:rPr>
        <w:t>土工滤网一层</w:t>
      </w:r>
    </w:p>
    <w:p w14:paraId="63C15C99"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 xml:space="preserve"> 30cm </w:t>
      </w:r>
      <w:r>
        <w:rPr>
          <w:rFonts w:ascii="Times New Roman" w:eastAsia="宋体" w:hAnsi="Times New Roman" w:cs="Times New Roman"/>
          <w:kern w:val="0"/>
          <w:sz w:val="24"/>
          <w:szCs w:val="24"/>
        </w:rPr>
        <w:t>厚卵石一层（粒径为</w:t>
      </w:r>
      <w:r>
        <w:rPr>
          <w:rFonts w:ascii="Times New Roman" w:eastAsia="宋体" w:hAnsi="Times New Roman" w:cs="Times New Roman"/>
          <w:kern w:val="0"/>
          <w:sz w:val="24"/>
          <w:szCs w:val="24"/>
        </w:rPr>
        <w:t>20~40mm</w:t>
      </w:r>
      <w:r>
        <w:rPr>
          <w:rFonts w:ascii="Times New Roman" w:eastAsia="宋体" w:hAnsi="Times New Roman" w:cs="Times New Roman"/>
          <w:kern w:val="0"/>
          <w:sz w:val="24"/>
          <w:szCs w:val="24"/>
        </w:rPr>
        <w:t>）</w:t>
      </w:r>
    </w:p>
    <w:p w14:paraId="0C0A45EF"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 xml:space="preserve"> 600g/m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的无纺土工布一层</w:t>
      </w:r>
    </w:p>
    <w:p w14:paraId="012987F8"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 xml:space="preserve">2.0mm </w:t>
      </w:r>
      <w:r>
        <w:rPr>
          <w:rFonts w:ascii="Times New Roman" w:eastAsia="宋体" w:hAnsi="Times New Roman" w:cs="Times New Roman"/>
          <w:kern w:val="0"/>
          <w:sz w:val="24"/>
          <w:szCs w:val="24"/>
        </w:rPr>
        <w:t>厚</w:t>
      </w:r>
      <w:r>
        <w:rPr>
          <w:rFonts w:ascii="Times New Roman" w:eastAsia="宋体" w:hAnsi="Times New Roman" w:cs="Times New Roman"/>
          <w:kern w:val="0"/>
          <w:sz w:val="24"/>
          <w:szCs w:val="24"/>
        </w:rPr>
        <w:t xml:space="preserve">HDPE </w:t>
      </w:r>
      <w:r>
        <w:rPr>
          <w:rFonts w:ascii="Times New Roman" w:eastAsia="宋体" w:hAnsi="Times New Roman" w:cs="Times New Roman"/>
          <w:kern w:val="0"/>
          <w:sz w:val="24"/>
          <w:szCs w:val="24"/>
        </w:rPr>
        <w:t>土工膜一层（光面）</w:t>
      </w:r>
    </w:p>
    <w:p w14:paraId="3151D3AA"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5000g/m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膨润土垫（</w:t>
      </w:r>
      <w:r>
        <w:rPr>
          <w:rFonts w:ascii="Times New Roman" w:eastAsia="宋体" w:hAnsi="Times New Roman" w:cs="Times New Roman"/>
          <w:kern w:val="0"/>
          <w:sz w:val="24"/>
          <w:szCs w:val="24"/>
        </w:rPr>
        <w:t>GCL</w:t>
      </w:r>
      <w:r>
        <w:rPr>
          <w:rFonts w:ascii="Times New Roman" w:eastAsia="宋体" w:hAnsi="Times New Roman" w:cs="Times New Roman"/>
          <w:kern w:val="0"/>
          <w:sz w:val="24"/>
          <w:szCs w:val="24"/>
        </w:rPr>
        <w:t>）</w:t>
      </w:r>
    </w:p>
    <w:p w14:paraId="2B31FECC"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压实基础层（压实度</w:t>
      </w:r>
      <w:r>
        <w:rPr>
          <w:rFonts w:ascii="Times New Roman" w:eastAsia="宋体" w:hAnsi="Times New Roman" w:cs="Times New Roman"/>
          <w:kern w:val="0"/>
          <w:sz w:val="24"/>
          <w:szCs w:val="24"/>
        </w:rPr>
        <w:t>≥93%</w:t>
      </w:r>
      <w:r>
        <w:rPr>
          <w:rFonts w:ascii="Times New Roman" w:eastAsia="宋体" w:hAnsi="Times New Roman" w:cs="Times New Roman"/>
          <w:kern w:val="0"/>
          <w:sz w:val="24"/>
          <w:szCs w:val="24"/>
        </w:rPr>
        <w:t>）</w:t>
      </w:r>
    </w:p>
    <w:p w14:paraId="38089584"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、边坡衬层结构</w:t>
      </w:r>
      <w:r>
        <w:rPr>
          <w:rFonts w:ascii="Times New Roman" w:eastAsia="宋体" w:hAnsi="Times New Roman" w:cs="Times New Roman" w:hint="eastAsia"/>
          <w:kern w:val="0"/>
          <w:sz w:val="24"/>
          <w:szCs w:val="24"/>
        </w:rPr>
        <w:t>（自上而下）</w:t>
      </w:r>
    </w:p>
    <w:p w14:paraId="3C5CAA07"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边坡保护层（</w:t>
      </w:r>
      <w:r>
        <w:rPr>
          <w:rFonts w:ascii="Times New Roman" w:eastAsia="宋体" w:hAnsi="Times New Roman" w:cs="Times New Roman"/>
          <w:kern w:val="0"/>
          <w:sz w:val="24"/>
          <w:szCs w:val="24"/>
        </w:rPr>
        <w:t xml:space="preserve">300mm </w:t>
      </w:r>
      <w:r>
        <w:rPr>
          <w:rFonts w:ascii="Times New Roman" w:eastAsia="宋体" w:hAnsi="Times New Roman" w:cs="Times New Roman"/>
          <w:kern w:val="0"/>
          <w:sz w:val="24"/>
          <w:szCs w:val="24"/>
        </w:rPr>
        <w:t>厚袋装砂石）</w:t>
      </w:r>
    </w:p>
    <w:p w14:paraId="49F3B233"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600g/m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的无纺土工布一层</w:t>
      </w:r>
    </w:p>
    <w:p w14:paraId="25081855"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 xml:space="preserve">2.0mm </w:t>
      </w:r>
      <w:r>
        <w:rPr>
          <w:rFonts w:ascii="Times New Roman" w:eastAsia="宋体" w:hAnsi="Times New Roman" w:cs="Times New Roman"/>
          <w:kern w:val="0"/>
          <w:sz w:val="24"/>
          <w:szCs w:val="24"/>
        </w:rPr>
        <w:t>厚</w:t>
      </w:r>
      <w:r>
        <w:rPr>
          <w:rFonts w:ascii="Times New Roman" w:eastAsia="宋体" w:hAnsi="Times New Roman" w:cs="Times New Roman"/>
          <w:kern w:val="0"/>
          <w:sz w:val="24"/>
          <w:szCs w:val="24"/>
        </w:rPr>
        <w:t xml:space="preserve">HDPE </w:t>
      </w:r>
      <w:r>
        <w:rPr>
          <w:rFonts w:ascii="Times New Roman" w:eastAsia="宋体" w:hAnsi="Times New Roman" w:cs="Times New Roman"/>
          <w:kern w:val="0"/>
          <w:sz w:val="24"/>
          <w:szCs w:val="24"/>
        </w:rPr>
        <w:t>土工膜一层（糙面）</w:t>
      </w:r>
    </w:p>
    <w:p w14:paraId="429A4B7F"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5000g/m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膨润土垫（</w:t>
      </w:r>
      <w:r>
        <w:rPr>
          <w:rFonts w:ascii="Times New Roman" w:eastAsia="宋体" w:hAnsi="Times New Roman" w:cs="Times New Roman"/>
          <w:kern w:val="0"/>
          <w:sz w:val="24"/>
          <w:szCs w:val="24"/>
        </w:rPr>
        <w:t>GCL</w:t>
      </w:r>
      <w:r>
        <w:rPr>
          <w:rFonts w:ascii="Times New Roman" w:eastAsia="宋体" w:hAnsi="Times New Roman" w:cs="Times New Roman"/>
          <w:kern w:val="0"/>
          <w:sz w:val="24"/>
          <w:szCs w:val="24"/>
        </w:rPr>
        <w:t>）</w:t>
      </w:r>
    </w:p>
    <w:p w14:paraId="344F2014"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压实基础层（压实度</w:t>
      </w:r>
      <w:r>
        <w:rPr>
          <w:rFonts w:ascii="Times New Roman" w:eastAsia="宋体" w:hAnsi="Times New Roman" w:cs="Times New Roman"/>
          <w:kern w:val="0"/>
          <w:sz w:val="24"/>
          <w:szCs w:val="24"/>
        </w:rPr>
        <w:t>≥90%</w:t>
      </w:r>
      <w:r>
        <w:rPr>
          <w:rFonts w:ascii="Times New Roman" w:eastAsia="宋体" w:hAnsi="Times New Roman" w:cs="Times New Roman"/>
          <w:kern w:val="0"/>
          <w:sz w:val="24"/>
          <w:szCs w:val="24"/>
        </w:rPr>
        <w:t>）</w:t>
      </w:r>
    </w:p>
    <w:p w14:paraId="5A8E6A0B" w14:textId="1BE33F6A"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24" w:name="_Toc121411719"/>
      <w:r>
        <w:rPr>
          <w:rFonts w:ascii="Times New Roman" w:eastAsia="黑体" w:hAnsi="Times New Roman" w:cs="Times New Roman"/>
          <w:b w:val="0"/>
          <w:sz w:val="24"/>
        </w:rPr>
        <w:t>3.6.</w:t>
      </w:r>
      <w:r w:rsidR="001B1820">
        <w:rPr>
          <w:rFonts w:ascii="Times New Roman" w:eastAsia="黑体" w:hAnsi="Times New Roman" w:cs="Times New Roman"/>
          <w:b w:val="0"/>
          <w:sz w:val="24"/>
        </w:rPr>
        <w:t>7</w:t>
      </w:r>
      <w:r>
        <w:rPr>
          <w:rFonts w:ascii="Times New Roman" w:eastAsia="黑体" w:hAnsi="Times New Roman" w:cs="Times New Roman"/>
          <w:b w:val="0"/>
          <w:sz w:val="24"/>
        </w:rPr>
        <w:t xml:space="preserve"> </w:t>
      </w:r>
      <w:r>
        <w:rPr>
          <w:rFonts w:ascii="Times New Roman" w:eastAsia="黑体" w:hAnsi="Times New Roman" w:cs="Times New Roman" w:hint="eastAsia"/>
          <w:b w:val="0"/>
          <w:sz w:val="24"/>
        </w:rPr>
        <w:t>渗滤液导排系统</w:t>
      </w:r>
      <w:bookmarkEnd w:id="324"/>
    </w:p>
    <w:p w14:paraId="24870C7A"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本渗沥液导排系统是由渗沥液导流层和各种导渗盲沟等共同组成。</w:t>
      </w:r>
    </w:p>
    <w:p w14:paraId="6BF66E0C"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一、渗滤液导流层</w:t>
      </w:r>
    </w:p>
    <w:p w14:paraId="67E8B85F"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在防渗保护层上铺设</w:t>
      </w:r>
      <w:r>
        <w:rPr>
          <w:rFonts w:ascii="Times New Roman" w:eastAsia="宋体" w:hAnsi="Times New Roman" w:cs="Times New Roman"/>
          <w:kern w:val="0"/>
          <w:sz w:val="24"/>
          <w:szCs w:val="24"/>
        </w:rPr>
        <w:t xml:space="preserve">300mm </w:t>
      </w:r>
      <w:r>
        <w:rPr>
          <w:rFonts w:ascii="Times New Roman" w:eastAsia="宋体" w:hAnsi="Times New Roman" w:cs="Times New Roman"/>
          <w:kern w:val="0"/>
          <w:sz w:val="24"/>
          <w:szCs w:val="24"/>
        </w:rPr>
        <w:t>厚的卵石层，粒径</w:t>
      </w:r>
      <w:r>
        <w:rPr>
          <w:rFonts w:ascii="Times New Roman" w:eastAsia="宋体" w:hAnsi="Times New Roman" w:cs="Times New Roman"/>
          <w:kern w:val="0"/>
          <w:sz w:val="24"/>
          <w:szCs w:val="24"/>
        </w:rPr>
        <w:t>20~60mm</w:t>
      </w:r>
      <w:r>
        <w:rPr>
          <w:rFonts w:ascii="Times New Roman" w:eastAsia="宋体" w:hAnsi="Times New Roman" w:cs="Times New Roman"/>
          <w:kern w:val="0"/>
          <w:sz w:val="24"/>
          <w:szCs w:val="24"/>
        </w:rPr>
        <w:t>，按上细下粗进行</w:t>
      </w:r>
      <w:r>
        <w:rPr>
          <w:rFonts w:ascii="Times New Roman" w:eastAsia="宋体" w:hAnsi="Times New Roman" w:cs="Times New Roman" w:hint="eastAsia"/>
          <w:kern w:val="0"/>
          <w:sz w:val="24"/>
          <w:szCs w:val="24"/>
        </w:rPr>
        <w:t>铺设，并在导流层上铺设一层</w:t>
      </w:r>
      <w:r>
        <w:rPr>
          <w:rFonts w:ascii="Times New Roman" w:eastAsia="宋体" w:hAnsi="Times New Roman" w:cs="Times New Roman"/>
          <w:kern w:val="0"/>
          <w:sz w:val="24"/>
          <w:szCs w:val="24"/>
        </w:rPr>
        <w:t>200g/m</w:t>
      </w:r>
      <w:r>
        <w:rPr>
          <w:rFonts w:ascii="Times New Roman" w:eastAsia="宋体" w:hAnsi="Times New Roman" w:cs="Times New Roman"/>
          <w:kern w:val="0"/>
          <w:sz w:val="24"/>
          <w:szCs w:val="24"/>
          <w:vertAlign w:val="superscript"/>
        </w:rPr>
        <w:t xml:space="preserve">2 </w:t>
      </w:r>
      <w:r>
        <w:rPr>
          <w:rFonts w:ascii="Times New Roman" w:eastAsia="宋体" w:hAnsi="Times New Roman" w:cs="Times New Roman"/>
          <w:kern w:val="0"/>
          <w:sz w:val="24"/>
          <w:szCs w:val="24"/>
        </w:rPr>
        <w:t>土工滤网，防止填埋物堵塞卵石缝从而影响</w:t>
      </w:r>
      <w:r>
        <w:rPr>
          <w:rFonts w:ascii="Times New Roman" w:eastAsia="宋体" w:hAnsi="Times New Roman" w:cs="Times New Roman" w:hint="eastAsia"/>
          <w:kern w:val="0"/>
          <w:sz w:val="24"/>
          <w:szCs w:val="24"/>
        </w:rPr>
        <w:t>渗沥液导流的效果。</w:t>
      </w:r>
    </w:p>
    <w:p w14:paraId="65F5F1A5"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二、渗滤液导渗盲沟</w:t>
      </w:r>
    </w:p>
    <w:p w14:paraId="27443EAE"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生活垃圾填埋区仅设一条渗滤液导渗主盲沟。主盲沟负责渗沥液的最终排放，将渗沥液从场区内导出填埋库区。飞灰填埋区和生活垃圾填埋区的主盲沟中铺设直径为</w:t>
      </w:r>
      <w:r>
        <w:rPr>
          <w:rFonts w:ascii="Times New Roman" w:eastAsia="宋体" w:hAnsi="Times New Roman" w:cs="Times New Roman"/>
          <w:kern w:val="0"/>
          <w:sz w:val="24"/>
          <w:szCs w:val="24"/>
        </w:rPr>
        <w:t xml:space="preserve">dn355mm </w:t>
      </w:r>
      <w:r>
        <w:rPr>
          <w:rFonts w:ascii="Times New Roman" w:eastAsia="宋体" w:hAnsi="Times New Roman" w:cs="Times New Roman"/>
          <w:kern w:val="0"/>
          <w:sz w:val="24"/>
          <w:szCs w:val="24"/>
        </w:rPr>
        <w:t>的</w:t>
      </w:r>
      <w:r>
        <w:rPr>
          <w:rFonts w:ascii="Times New Roman" w:eastAsia="宋体" w:hAnsi="Times New Roman" w:cs="Times New Roman"/>
          <w:kern w:val="0"/>
          <w:sz w:val="24"/>
          <w:szCs w:val="24"/>
        </w:rPr>
        <w:t xml:space="preserve">HDPE </w:t>
      </w:r>
      <w:r>
        <w:rPr>
          <w:rFonts w:ascii="Times New Roman" w:eastAsia="宋体" w:hAnsi="Times New Roman" w:cs="Times New Roman"/>
          <w:kern w:val="0"/>
          <w:sz w:val="24"/>
          <w:szCs w:val="24"/>
        </w:rPr>
        <w:t>穿孔花管，盲沟由导流层形成盲沟断面，并用</w:t>
      </w:r>
      <w:r>
        <w:rPr>
          <w:rFonts w:ascii="Times New Roman" w:eastAsia="宋体" w:hAnsi="Times New Roman" w:cs="Times New Roman"/>
          <w:kern w:val="0"/>
          <w:sz w:val="24"/>
          <w:szCs w:val="24"/>
        </w:rPr>
        <w:t>200g/m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土工滤网包裹。各区主盲沟将收集的渗沥液最终排入渗沥液调节池。</w:t>
      </w:r>
    </w:p>
    <w:p w14:paraId="002556BB" w14:textId="77777777" w:rsidR="00D12939" w:rsidRDefault="004F47F5">
      <w:pPr>
        <w:autoSpaceDE w:val="0"/>
        <w:autoSpaceDN w:val="0"/>
        <w:adjustRightInd w:val="0"/>
        <w:spacing w:line="360" w:lineRule="auto"/>
        <w:ind w:firstLineChars="200" w:firstLine="420"/>
        <w:jc w:val="left"/>
        <w:rPr>
          <w:rFonts w:ascii="Times New Roman" w:eastAsia="宋体" w:hAnsi="Times New Roman" w:cs="Times New Roman"/>
          <w:kern w:val="0"/>
          <w:sz w:val="24"/>
          <w:szCs w:val="24"/>
        </w:rPr>
      </w:pPr>
      <w:r>
        <w:rPr>
          <w:noProof/>
        </w:rPr>
        <w:drawing>
          <wp:inline distT="0" distB="0" distL="0" distR="0">
            <wp:extent cx="6096000" cy="29527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1"/>
                    <a:stretch>
                      <a:fillRect/>
                    </a:stretch>
                  </pic:blipFill>
                  <pic:spPr>
                    <a:xfrm>
                      <a:off x="0" y="0"/>
                      <a:ext cx="6096000" cy="2952750"/>
                    </a:xfrm>
                    <a:prstGeom prst="rect">
                      <a:avLst/>
                    </a:prstGeom>
                  </pic:spPr>
                </pic:pic>
              </a:graphicData>
            </a:graphic>
          </wp:inline>
        </w:drawing>
      </w:r>
    </w:p>
    <w:p w14:paraId="337CFC48" w14:textId="77777777" w:rsidR="00D12939" w:rsidRDefault="004F47F5">
      <w:pPr>
        <w:autoSpaceDE w:val="0"/>
        <w:autoSpaceDN w:val="0"/>
        <w:adjustRightInd w:val="0"/>
        <w:spacing w:line="360" w:lineRule="auto"/>
        <w:ind w:firstLineChars="200" w:firstLine="480"/>
        <w:jc w:val="center"/>
        <w:rPr>
          <w:rFonts w:ascii="黑体" w:eastAsia="黑体" w:cs="黑体"/>
          <w:kern w:val="0"/>
          <w:sz w:val="24"/>
          <w:szCs w:val="24"/>
        </w:rPr>
      </w:pPr>
      <w:r>
        <w:rPr>
          <w:rFonts w:ascii="黑体" w:eastAsia="黑体" w:hAnsi="黑体" w:cs="Times New Roman" w:hint="eastAsia"/>
          <w:kern w:val="0"/>
          <w:sz w:val="24"/>
          <w:szCs w:val="24"/>
        </w:rPr>
        <w:t>图3.6</w:t>
      </w:r>
      <w:r>
        <w:rPr>
          <w:rFonts w:ascii="黑体" w:eastAsia="黑体" w:hAnsi="黑体" w:cs="Times New Roman"/>
          <w:kern w:val="0"/>
          <w:sz w:val="24"/>
          <w:szCs w:val="24"/>
        </w:rPr>
        <w:t xml:space="preserve">-3 </w:t>
      </w:r>
      <w:r>
        <w:rPr>
          <w:rFonts w:ascii="Times New Roman" w:eastAsia="宋体" w:hAnsi="Times New Roman" w:cs="Times New Roman"/>
          <w:kern w:val="0"/>
          <w:sz w:val="24"/>
          <w:szCs w:val="24"/>
        </w:rPr>
        <w:t xml:space="preserve"> </w:t>
      </w:r>
      <w:r>
        <w:rPr>
          <w:rFonts w:ascii="黑体" w:eastAsia="黑体" w:cs="黑体" w:hint="eastAsia"/>
          <w:kern w:val="0"/>
          <w:sz w:val="24"/>
          <w:szCs w:val="24"/>
        </w:rPr>
        <w:t>生活垃圾填埋库区盲沟断面图</w:t>
      </w:r>
    </w:p>
    <w:p w14:paraId="5CE72069"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三、渗滤液调节池</w:t>
      </w:r>
    </w:p>
    <w:p w14:paraId="29D34499"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lastRenderedPageBreak/>
        <w:t>渗滤液的产生量主要来源于大气降水，由于降雨量的季节变化，渗滤液的产生量也随季节波动。为了保证后续处理系统有稳定的进水水质和进水流量，填埋场应设立渗滤液调节池，来缓解渗滤液产生的水质和水量变化。</w:t>
      </w:r>
    </w:p>
    <w:p w14:paraId="28FB5D00" w14:textId="77777777" w:rsidR="00D12939" w:rsidRDefault="004F47F5">
      <w:pPr>
        <w:autoSpaceDE w:val="0"/>
        <w:autoSpaceDN w:val="0"/>
        <w:adjustRightInd w:val="0"/>
        <w:spacing w:line="360" w:lineRule="auto"/>
        <w:ind w:firstLineChars="200" w:firstLine="480"/>
        <w:jc w:val="center"/>
        <w:rPr>
          <w:rFonts w:ascii="黑体" w:eastAsia="黑体" w:hAnsi="黑体" w:cs="宋体"/>
          <w:kern w:val="0"/>
          <w:sz w:val="24"/>
          <w:szCs w:val="21"/>
        </w:rPr>
      </w:pPr>
      <w:r>
        <w:rPr>
          <w:rFonts w:ascii="黑体" w:eastAsia="黑体" w:hAnsi="黑体" w:cs="宋体" w:hint="eastAsia"/>
          <w:kern w:val="0"/>
          <w:sz w:val="24"/>
          <w:szCs w:val="21"/>
        </w:rPr>
        <w:t>表</w:t>
      </w:r>
      <w:r>
        <w:rPr>
          <w:rFonts w:ascii="黑体" w:eastAsia="黑体" w:hAnsi="黑体" w:cs="TimesNewRomanPS-BoldMT"/>
          <w:bCs/>
          <w:kern w:val="0"/>
          <w:sz w:val="24"/>
          <w:szCs w:val="21"/>
        </w:rPr>
        <w:t xml:space="preserve">3.6-2    </w:t>
      </w:r>
      <w:r>
        <w:rPr>
          <w:rFonts w:ascii="黑体" w:eastAsia="黑体" w:hAnsi="黑体" w:cs="宋体" w:hint="eastAsia"/>
          <w:kern w:val="0"/>
          <w:sz w:val="24"/>
          <w:szCs w:val="21"/>
        </w:rPr>
        <w:t>调节池容积计算表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268"/>
        <w:gridCol w:w="2126"/>
        <w:gridCol w:w="1984"/>
        <w:gridCol w:w="2370"/>
      </w:tblGrid>
      <w:tr w:rsidR="00D12939" w14:paraId="5969EADD" w14:textId="77777777">
        <w:trPr>
          <w:jc w:val="center"/>
        </w:trPr>
        <w:tc>
          <w:tcPr>
            <w:tcW w:w="988" w:type="dxa"/>
            <w:vAlign w:val="center"/>
          </w:tcPr>
          <w:p w14:paraId="4E2BA469" w14:textId="77777777" w:rsidR="00D12939" w:rsidRDefault="004F47F5">
            <w:pPr>
              <w:jc w:val="center"/>
            </w:pPr>
            <w:r>
              <w:rPr>
                <w:rFonts w:hint="eastAsia"/>
              </w:rPr>
              <w:t>月份</w:t>
            </w:r>
          </w:p>
        </w:tc>
        <w:tc>
          <w:tcPr>
            <w:tcW w:w="2268" w:type="dxa"/>
            <w:vAlign w:val="center"/>
          </w:tcPr>
          <w:p w14:paraId="7B4F410F" w14:textId="77777777" w:rsidR="00D12939" w:rsidRDefault="004F47F5">
            <w:pPr>
              <w:jc w:val="center"/>
            </w:pPr>
            <w:r>
              <w:rPr>
                <w:rFonts w:hint="eastAsia"/>
              </w:rPr>
              <w:t>逐月平均降雨量（</w:t>
            </w:r>
            <w:r>
              <w:t>mm</w:t>
            </w:r>
            <w:r>
              <w:rPr>
                <w:rFonts w:hint="eastAsia"/>
              </w:rPr>
              <w:t>）</w:t>
            </w:r>
          </w:p>
        </w:tc>
        <w:tc>
          <w:tcPr>
            <w:tcW w:w="2126" w:type="dxa"/>
            <w:vAlign w:val="center"/>
          </w:tcPr>
          <w:p w14:paraId="2A7FD263" w14:textId="77777777" w:rsidR="00D12939" w:rsidRDefault="004F47F5">
            <w:pPr>
              <w:jc w:val="center"/>
            </w:pPr>
            <w:r>
              <w:rPr>
                <w:rFonts w:hint="eastAsia"/>
              </w:rPr>
              <w:t>渗沥液平均日产量（</w:t>
            </w:r>
            <w:r>
              <w:t>m</w:t>
            </w:r>
            <w:r>
              <w:rPr>
                <w:vertAlign w:val="superscript"/>
              </w:rPr>
              <w:t>3</w:t>
            </w:r>
            <w:r>
              <w:t>/d</w:t>
            </w:r>
            <w:r>
              <w:rPr>
                <w:rFonts w:hint="eastAsia"/>
              </w:rPr>
              <w:t>）</w:t>
            </w:r>
          </w:p>
        </w:tc>
        <w:tc>
          <w:tcPr>
            <w:tcW w:w="1984" w:type="dxa"/>
            <w:vAlign w:val="center"/>
          </w:tcPr>
          <w:p w14:paraId="04B6F636" w14:textId="77777777" w:rsidR="00D12939" w:rsidRDefault="004F47F5">
            <w:pPr>
              <w:jc w:val="center"/>
            </w:pPr>
            <w:r>
              <w:rPr>
                <w:rFonts w:hint="eastAsia"/>
              </w:rPr>
              <w:t>逐月渗沥液处理量（</w:t>
            </w:r>
            <w:r>
              <w:t>m</w:t>
            </w:r>
            <w:r>
              <w:rPr>
                <w:vertAlign w:val="superscript"/>
              </w:rPr>
              <w:t>3</w:t>
            </w:r>
            <w:r>
              <w:rPr>
                <w:rFonts w:hint="eastAsia"/>
              </w:rPr>
              <w:t>）</w:t>
            </w:r>
          </w:p>
        </w:tc>
        <w:tc>
          <w:tcPr>
            <w:tcW w:w="2370" w:type="dxa"/>
            <w:vAlign w:val="center"/>
          </w:tcPr>
          <w:p w14:paraId="7A102BB6" w14:textId="77777777" w:rsidR="00D12939" w:rsidRDefault="004F47F5">
            <w:pPr>
              <w:jc w:val="center"/>
            </w:pPr>
            <w:r>
              <w:rPr>
                <w:rFonts w:hint="eastAsia"/>
              </w:rPr>
              <w:t>处理后的渗沥液剩余量（</w:t>
            </w:r>
            <w:r>
              <w:t>m</w:t>
            </w:r>
            <w:r>
              <w:rPr>
                <w:vertAlign w:val="superscript"/>
              </w:rPr>
              <w:t>3</w:t>
            </w:r>
            <w:r>
              <w:rPr>
                <w:rFonts w:hint="eastAsia"/>
              </w:rPr>
              <w:t>）</w:t>
            </w:r>
          </w:p>
        </w:tc>
      </w:tr>
      <w:tr w:rsidR="00D12939" w14:paraId="497CDB97" w14:textId="77777777">
        <w:trPr>
          <w:jc w:val="center"/>
        </w:trPr>
        <w:tc>
          <w:tcPr>
            <w:tcW w:w="988" w:type="dxa"/>
            <w:vAlign w:val="center"/>
          </w:tcPr>
          <w:p w14:paraId="4F6402F7" w14:textId="77777777" w:rsidR="00D12939" w:rsidRDefault="004F47F5">
            <w:pPr>
              <w:jc w:val="center"/>
            </w:pPr>
            <w:r>
              <w:rPr>
                <w:rFonts w:hint="eastAsia"/>
              </w:rPr>
              <w:t>1</w:t>
            </w:r>
          </w:p>
        </w:tc>
        <w:tc>
          <w:tcPr>
            <w:tcW w:w="2268" w:type="dxa"/>
            <w:vAlign w:val="center"/>
          </w:tcPr>
          <w:p w14:paraId="4AD2A009" w14:textId="77777777" w:rsidR="00D12939" w:rsidRDefault="004F47F5">
            <w:pPr>
              <w:jc w:val="center"/>
            </w:pPr>
            <w:r>
              <w:rPr>
                <w:rFonts w:hint="eastAsia"/>
              </w:rPr>
              <w:t>5</w:t>
            </w:r>
            <w:r>
              <w:t>.1</w:t>
            </w:r>
          </w:p>
        </w:tc>
        <w:tc>
          <w:tcPr>
            <w:tcW w:w="2126" w:type="dxa"/>
            <w:vAlign w:val="center"/>
          </w:tcPr>
          <w:p w14:paraId="0D525F1A" w14:textId="77777777" w:rsidR="00D12939" w:rsidRDefault="004F47F5">
            <w:pPr>
              <w:jc w:val="center"/>
            </w:pPr>
            <w:r>
              <w:rPr>
                <w:rFonts w:hint="eastAsia"/>
              </w:rPr>
              <w:t>9</w:t>
            </w:r>
            <w:r>
              <w:t>7.73</w:t>
            </w:r>
          </w:p>
        </w:tc>
        <w:tc>
          <w:tcPr>
            <w:tcW w:w="1984" w:type="dxa"/>
            <w:vAlign w:val="center"/>
          </w:tcPr>
          <w:p w14:paraId="2C171627" w14:textId="77777777" w:rsidR="00D12939" w:rsidRDefault="004F47F5">
            <w:pPr>
              <w:jc w:val="center"/>
            </w:pPr>
            <w:r>
              <w:rPr>
                <w:rFonts w:hint="eastAsia"/>
              </w:rPr>
              <w:t>2</w:t>
            </w:r>
            <w:r>
              <w:t>015</w:t>
            </w:r>
          </w:p>
        </w:tc>
        <w:tc>
          <w:tcPr>
            <w:tcW w:w="2370" w:type="dxa"/>
            <w:vAlign w:val="center"/>
          </w:tcPr>
          <w:p w14:paraId="0CB9A85E" w14:textId="77777777" w:rsidR="00D12939" w:rsidRDefault="004F47F5">
            <w:pPr>
              <w:jc w:val="center"/>
            </w:pPr>
            <w:r>
              <w:rPr>
                <w:rFonts w:hint="eastAsia"/>
              </w:rPr>
              <w:t>-</w:t>
            </w:r>
            <w:r>
              <w:t>1917.27</w:t>
            </w:r>
          </w:p>
        </w:tc>
      </w:tr>
      <w:tr w:rsidR="00D12939" w14:paraId="1EF521A1" w14:textId="77777777">
        <w:trPr>
          <w:jc w:val="center"/>
        </w:trPr>
        <w:tc>
          <w:tcPr>
            <w:tcW w:w="988" w:type="dxa"/>
            <w:vAlign w:val="center"/>
          </w:tcPr>
          <w:p w14:paraId="56010798" w14:textId="77777777" w:rsidR="00D12939" w:rsidRDefault="004F47F5">
            <w:pPr>
              <w:jc w:val="center"/>
            </w:pPr>
            <w:r>
              <w:rPr>
                <w:rFonts w:hint="eastAsia"/>
              </w:rPr>
              <w:t>2</w:t>
            </w:r>
          </w:p>
        </w:tc>
        <w:tc>
          <w:tcPr>
            <w:tcW w:w="2268" w:type="dxa"/>
            <w:vAlign w:val="center"/>
          </w:tcPr>
          <w:p w14:paraId="008D46F6" w14:textId="77777777" w:rsidR="00D12939" w:rsidRDefault="004F47F5">
            <w:pPr>
              <w:jc w:val="center"/>
            </w:pPr>
            <w:r>
              <w:rPr>
                <w:rFonts w:hint="eastAsia"/>
              </w:rPr>
              <w:t>1</w:t>
            </w:r>
            <w:r>
              <w:t>1.4</w:t>
            </w:r>
          </w:p>
        </w:tc>
        <w:tc>
          <w:tcPr>
            <w:tcW w:w="2126" w:type="dxa"/>
            <w:vAlign w:val="center"/>
          </w:tcPr>
          <w:p w14:paraId="46E7FEB1" w14:textId="77777777" w:rsidR="00D12939" w:rsidRDefault="004F47F5">
            <w:pPr>
              <w:jc w:val="center"/>
            </w:pPr>
            <w:r>
              <w:rPr>
                <w:rFonts w:hint="eastAsia"/>
              </w:rPr>
              <w:t>2</w:t>
            </w:r>
            <w:r>
              <w:t>18.46</w:t>
            </w:r>
          </w:p>
        </w:tc>
        <w:tc>
          <w:tcPr>
            <w:tcW w:w="1984" w:type="dxa"/>
            <w:vAlign w:val="center"/>
          </w:tcPr>
          <w:p w14:paraId="4D22B666" w14:textId="6F9EF623" w:rsidR="00D12939" w:rsidRDefault="00BC1BF7">
            <w:pPr>
              <w:jc w:val="center"/>
            </w:pPr>
            <w:r>
              <w:rPr>
                <w:rFonts w:hint="eastAsia"/>
              </w:rPr>
              <w:t>2</w:t>
            </w:r>
            <w:r>
              <w:t>015</w:t>
            </w:r>
          </w:p>
        </w:tc>
        <w:tc>
          <w:tcPr>
            <w:tcW w:w="2370" w:type="dxa"/>
            <w:vAlign w:val="center"/>
          </w:tcPr>
          <w:p w14:paraId="47BC5426" w14:textId="149E2CFF" w:rsidR="00D12939" w:rsidRDefault="00BC1BF7">
            <w:pPr>
              <w:jc w:val="center"/>
            </w:pPr>
            <w:r>
              <w:t>-1796.54</w:t>
            </w:r>
          </w:p>
        </w:tc>
      </w:tr>
      <w:tr w:rsidR="00D12939" w14:paraId="4EA4C494" w14:textId="77777777">
        <w:trPr>
          <w:jc w:val="center"/>
        </w:trPr>
        <w:tc>
          <w:tcPr>
            <w:tcW w:w="988" w:type="dxa"/>
            <w:vAlign w:val="center"/>
          </w:tcPr>
          <w:p w14:paraId="3D17DF93" w14:textId="77777777" w:rsidR="00D12939" w:rsidRDefault="004F47F5">
            <w:pPr>
              <w:jc w:val="center"/>
            </w:pPr>
            <w:r>
              <w:rPr>
                <w:rFonts w:hint="eastAsia"/>
              </w:rPr>
              <w:t>3</w:t>
            </w:r>
          </w:p>
        </w:tc>
        <w:tc>
          <w:tcPr>
            <w:tcW w:w="2268" w:type="dxa"/>
            <w:vAlign w:val="center"/>
          </w:tcPr>
          <w:p w14:paraId="57E8EC2F" w14:textId="77777777" w:rsidR="00D12939" w:rsidRDefault="004F47F5">
            <w:pPr>
              <w:jc w:val="center"/>
            </w:pPr>
            <w:r>
              <w:rPr>
                <w:rFonts w:hint="eastAsia"/>
              </w:rPr>
              <w:t>2</w:t>
            </w:r>
            <w:r>
              <w:t>9.9</w:t>
            </w:r>
          </w:p>
        </w:tc>
        <w:tc>
          <w:tcPr>
            <w:tcW w:w="2126" w:type="dxa"/>
            <w:vAlign w:val="center"/>
          </w:tcPr>
          <w:p w14:paraId="1DB9A27D" w14:textId="77777777" w:rsidR="00D12939" w:rsidRDefault="004F47F5">
            <w:pPr>
              <w:jc w:val="center"/>
            </w:pPr>
            <w:r>
              <w:rPr>
                <w:rFonts w:hint="eastAsia"/>
              </w:rPr>
              <w:t>5</w:t>
            </w:r>
            <w:r>
              <w:t>72.99</w:t>
            </w:r>
          </w:p>
        </w:tc>
        <w:tc>
          <w:tcPr>
            <w:tcW w:w="1984" w:type="dxa"/>
            <w:vAlign w:val="center"/>
          </w:tcPr>
          <w:p w14:paraId="759B5FF6" w14:textId="77777777" w:rsidR="00D12939" w:rsidRDefault="004F47F5">
            <w:pPr>
              <w:jc w:val="center"/>
            </w:pPr>
            <w:r>
              <w:rPr>
                <w:rFonts w:hint="eastAsia"/>
              </w:rPr>
              <w:t>2</w:t>
            </w:r>
            <w:r>
              <w:t>015</w:t>
            </w:r>
          </w:p>
        </w:tc>
        <w:tc>
          <w:tcPr>
            <w:tcW w:w="2370" w:type="dxa"/>
            <w:vAlign w:val="center"/>
          </w:tcPr>
          <w:p w14:paraId="64BD564D" w14:textId="77777777" w:rsidR="00D12939" w:rsidRDefault="004F47F5">
            <w:pPr>
              <w:widowControl/>
              <w:jc w:val="center"/>
              <w:rPr>
                <w:szCs w:val="21"/>
              </w:rPr>
            </w:pPr>
            <w:r>
              <w:rPr>
                <w:szCs w:val="21"/>
              </w:rPr>
              <w:t>-1442.01</w:t>
            </w:r>
          </w:p>
        </w:tc>
      </w:tr>
      <w:tr w:rsidR="00D12939" w14:paraId="040C1D3B" w14:textId="77777777">
        <w:trPr>
          <w:jc w:val="center"/>
        </w:trPr>
        <w:tc>
          <w:tcPr>
            <w:tcW w:w="988" w:type="dxa"/>
            <w:vAlign w:val="center"/>
          </w:tcPr>
          <w:p w14:paraId="22163E3B" w14:textId="77777777" w:rsidR="00D12939" w:rsidRDefault="004F47F5">
            <w:pPr>
              <w:jc w:val="center"/>
            </w:pPr>
            <w:r>
              <w:rPr>
                <w:rFonts w:hint="eastAsia"/>
              </w:rPr>
              <w:t>4</w:t>
            </w:r>
          </w:p>
        </w:tc>
        <w:tc>
          <w:tcPr>
            <w:tcW w:w="2268" w:type="dxa"/>
            <w:vAlign w:val="center"/>
          </w:tcPr>
          <w:p w14:paraId="4A5E1674" w14:textId="77777777" w:rsidR="00D12939" w:rsidRDefault="004F47F5">
            <w:pPr>
              <w:jc w:val="center"/>
            </w:pPr>
            <w:r>
              <w:rPr>
                <w:rFonts w:hint="eastAsia"/>
              </w:rPr>
              <w:t>4</w:t>
            </w:r>
            <w:r>
              <w:t>7.1</w:t>
            </w:r>
          </w:p>
        </w:tc>
        <w:tc>
          <w:tcPr>
            <w:tcW w:w="2126" w:type="dxa"/>
            <w:vAlign w:val="center"/>
          </w:tcPr>
          <w:p w14:paraId="169042C0" w14:textId="77777777" w:rsidR="00D12939" w:rsidRDefault="004F47F5">
            <w:pPr>
              <w:jc w:val="center"/>
            </w:pPr>
            <w:r>
              <w:rPr>
                <w:rFonts w:hint="eastAsia"/>
              </w:rPr>
              <w:t>9</w:t>
            </w:r>
            <w:r>
              <w:t>02.60</w:t>
            </w:r>
          </w:p>
        </w:tc>
        <w:tc>
          <w:tcPr>
            <w:tcW w:w="1984" w:type="dxa"/>
            <w:vAlign w:val="center"/>
          </w:tcPr>
          <w:p w14:paraId="375D74BA" w14:textId="77777777" w:rsidR="00D12939" w:rsidRDefault="004F47F5">
            <w:pPr>
              <w:jc w:val="center"/>
            </w:pPr>
            <w:r>
              <w:rPr>
                <w:rFonts w:hint="eastAsia"/>
              </w:rPr>
              <w:t>2</w:t>
            </w:r>
            <w:r>
              <w:t>015</w:t>
            </w:r>
          </w:p>
        </w:tc>
        <w:tc>
          <w:tcPr>
            <w:tcW w:w="2370" w:type="dxa"/>
            <w:vAlign w:val="center"/>
          </w:tcPr>
          <w:p w14:paraId="1753C729" w14:textId="77777777" w:rsidR="00D12939" w:rsidRDefault="004F47F5">
            <w:pPr>
              <w:jc w:val="center"/>
              <w:rPr>
                <w:szCs w:val="21"/>
              </w:rPr>
            </w:pPr>
            <w:r>
              <w:rPr>
                <w:szCs w:val="21"/>
              </w:rPr>
              <w:t>-1112.4</w:t>
            </w:r>
          </w:p>
        </w:tc>
      </w:tr>
      <w:tr w:rsidR="00D12939" w14:paraId="1577FFBB" w14:textId="77777777">
        <w:trPr>
          <w:jc w:val="center"/>
        </w:trPr>
        <w:tc>
          <w:tcPr>
            <w:tcW w:w="988" w:type="dxa"/>
            <w:vAlign w:val="center"/>
          </w:tcPr>
          <w:p w14:paraId="5FCA0FC9" w14:textId="77777777" w:rsidR="00D12939" w:rsidRDefault="004F47F5">
            <w:pPr>
              <w:jc w:val="center"/>
            </w:pPr>
            <w:r>
              <w:rPr>
                <w:rFonts w:hint="eastAsia"/>
              </w:rPr>
              <w:t>5</w:t>
            </w:r>
          </w:p>
        </w:tc>
        <w:tc>
          <w:tcPr>
            <w:tcW w:w="2268" w:type="dxa"/>
            <w:vAlign w:val="center"/>
          </w:tcPr>
          <w:p w14:paraId="65CC8A6D" w14:textId="77777777" w:rsidR="00D12939" w:rsidRDefault="004F47F5">
            <w:pPr>
              <w:jc w:val="center"/>
            </w:pPr>
            <w:r>
              <w:rPr>
                <w:rFonts w:hint="eastAsia"/>
              </w:rPr>
              <w:t>7</w:t>
            </w:r>
            <w:r>
              <w:t>9.1</w:t>
            </w:r>
          </w:p>
        </w:tc>
        <w:tc>
          <w:tcPr>
            <w:tcW w:w="2126" w:type="dxa"/>
            <w:vAlign w:val="center"/>
          </w:tcPr>
          <w:p w14:paraId="72E773D3" w14:textId="77777777" w:rsidR="00D12939" w:rsidRDefault="004F47F5">
            <w:pPr>
              <w:jc w:val="center"/>
            </w:pPr>
            <w:r>
              <w:rPr>
                <w:rFonts w:hint="eastAsia"/>
              </w:rPr>
              <w:t>1</w:t>
            </w:r>
            <w:r>
              <w:t>515.84</w:t>
            </w:r>
          </w:p>
        </w:tc>
        <w:tc>
          <w:tcPr>
            <w:tcW w:w="1984" w:type="dxa"/>
            <w:vAlign w:val="center"/>
          </w:tcPr>
          <w:p w14:paraId="34536C00" w14:textId="77777777" w:rsidR="00D12939" w:rsidRDefault="004F47F5">
            <w:pPr>
              <w:jc w:val="center"/>
            </w:pPr>
            <w:r>
              <w:rPr>
                <w:rFonts w:hint="eastAsia"/>
              </w:rPr>
              <w:t>2</w:t>
            </w:r>
            <w:r>
              <w:t>015</w:t>
            </w:r>
          </w:p>
        </w:tc>
        <w:tc>
          <w:tcPr>
            <w:tcW w:w="2370" w:type="dxa"/>
            <w:vAlign w:val="center"/>
          </w:tcPr>
          <w:p w14:paraId="7F6309B2" w14:textId="77777777" w:rsidR="00D12939" w:rsidRDefault="004F47F5">
            <w:pPr>
              <w:jc w:val="center"/>
              <w:rPr>
                <w:szCs w:val="21"/>
              </w:rPr>
            </w:pPr>
            <w:r>
              <w:rPr>
                <w:szCs w:val="21"/>
              </w:rPr>
              <w:t>-499.16</w:t>
            </w:r>
          </w:p>
        </w:tc>
      </w:tr>
      <w:tr w:rsidR="00D12939" w14:paraId="3B62E380" w14:textId="77777777">
        <w:trPr>
          <w:jc w:val="center"/>
        </w:trPr>
        <w:tc>
          <w:tcPr>
            <w:tcW w:w="988" w:type="dxa"/>
            <w:vAlign w:val="center"/>
          </w:tcPr>
          <w:p w14:paraId="379A6B65" w14:textId="77777777" w:rsidR="00D12939" w:rsidRDefault="004F47F5">
            <w:pPr>
              <w:jc w:val="center"/>
            </w:pPr>
            <w:r>
              <w:rPr>
                <w:rFonts w:hint="eastAsia"/>
              </w:rPr>
              <w:t>6</w:t>
            </w:r>
          </w:p>
        </w:tc>
        <w:tc>
          <w:tcPr>
            <w:tcW w:w="2268" w:type="dxa"/>
            <w:vAlign w:val="center"/>
          </w:tcPr>
          <w:p w14:paraId="3A16DFF4" w14:textId="77777777" w:rsidR="00D12939" w:rsidRDefault="004F47F5">
            <w:pPr>
              <w:jc w:val="center"/>
            </w:pPr>
            <w:r>
              <w:rPr>
                <w:rFonts w:hint="eastAsia"/>
              </w:rPr>
              <w:t>9</w:t>
            </w:r>
            <w:r>
              <w:t>3.7</w:t>
            </w:r>
          </w:p>
        </w:tc>
        <w:tc>
          <w:tcPr>
            <w:tcW w:w="2126" w:type="dxa"/>
            <w:vAlign w:val="center"/>
          </w:tcPr>
          <w:p w14:paraId="1A9A5A73" w14:textId="77777777" w:rsidR="00D12939" w:rsidRDefault="004F47F5">
            <w:pPr>
              <w:jc w:val="center"/>
            </w:pPr>
            <w:r>
              <w:rPr>
                <w:rFonts w:hint="eastAsia"/>
              </w:rPr>
              <w:t>1</w:t>
            </w:r>
            <w:r>
              <w:t>795.62</w:t>
            </w:r>
          </w:p>
        </w:tc>
        <w:tc>
          <w:tcPr>
            <w:tcW w:w="1984" w:type="dxa"/>
            <w:vAlign w:val="center"/>
          </w:tcPr>
          <w:p w14:paraId="2E8CBA35" w14:textId="77777777" w:rsidR="00D12939" w:rsidRDefault="004F47F5">
            <w:pPr>
              <w:jc w:val="center"/>
            </w:pPr>
            <w:r>
              <w:rPr>
                <w:rFonts w:hint="eastAsia"/>
              </w:rPr>
              <w:t>2</w:t>
            </w:r>
            <w:r>
              <w:t>015</w:t>
            </w:r>
          </w:p>
        </w:tc>
        <w:tc>
          <w:tcPr>
            <w:tcW w:w="2370" w:type="dxa"/>
            <w:vAlign w:val="center"/>
          </w:tcPr>
          <w:p w14:paraId="67D04138" w14:textId="77777777" w:rsidR="00D12939" w:rsidRDefault="004F47F5">
            <w:pPr>
              <w:jc w:val="center"/>
              <w:rPr>
                <w:szCs w:val="21"/>
              </w:rPr>
            </w:pPr>
            <w:r>
              <w:rPr>
                <w:szCs w:val="21"/>
              </w:rPr>
              <w:t>-219.38</w:t>
            </w:r>
          </w:p>
        </w:tc>
      </w:tr>
      <w:tr w:rsidR="00D12939" w14:paraId="7BFAF0FA" w14:textId="77777777">
        <w:trPr>
          <w:jc w:val="center"/>
        </w:trPr>
        <w:tc>
          <w:tcPr>
            <w:tcW w:w="988" w:type="dxa"/>
            <w:vAlign w:val="center"/>
          </w:tcPr>
          <w:p w14:paraId="5BBE7D64" w14:textId="77777777" w:rsidR="00D12939" w:rsidRDefault="004F47F5">
            <w:pPr>
              <w:jc w:val="center"/>
            </w:pPr>
            <w:r>
              <w:rPr>
                <w:rFonts w:hint="eastAsia"/>
              </w:rPr>
              <w:t>7</w:t>
            </w:r>
          </w:p>
        </w:tc>
        <w:tc>
          <w:tcPr>
            <w:tcW w:w="2268" w:type="dxa"/>
            <w:vAlign w:val="center"/>
          </w:tcPr>
          <w:p w14:paraId="35DD41A4" w14:textId="77777777" w:rsidR="00D12939" w:rsidRDefault="004F47F5">
            <w:pPr>
              <w:jc w:val="center"/>
            </w:pPr>
            <w:r>
              <w:rPr>
                <w:rFonts w:hint="eastAsia"/>
              </w:rPr>
              <w:t>1</w:t>
            </w:r>
            <w:r>
              <w:t>47.6</w:t>
            </w:r>
          </w:p>
        </w:tc>
        <w:tc>
          <w:tcPr>
            <w:tcW w:w="2126" w:type="dxa"/>
            <w:vAlign w:val="center"/>
          </w:tcPr>
          <w:p w14:paraId="042C0207" w14:textId="77777777" w:rsidR="00D12939" w:rsidRDefault="004F47F5">
            <w:pPr>
              <w:jc w:val="center"/>
            </w:pPr>
            <w:r>
              <w:rPr>
                <w:rFonts w:hint="eastAsia"/>
              </w:rPr>
              <w:t>2</w:t>
            </w:r>
            <w:r>
              <w:t>828.54</w:t>
            </w:r>
          </w:p>
        </w:tc>
        <w:tc>
          <w:tcPr>
            <w:tcW w:w="1984" w:type="dxa"/>
            <w:vAlign w:val="center"/>
          </w:tcPr>
          <w:p w14:paraId="27568B07" w14:textId="77777777" w:rsidR="00D12939" w:rsidRDefault="004F47F5">
            <w:pPr>
              <w:jc w:val="center"/>
            </w:pPr>
            <w:r>
              <w:rPr>
                <w:rFonts w:hint="eastAsia"/>
              </w:rPr>
              <w:t>2</w:t>
            </w:r>
            <w:r>
              <w:t>015</w:t>
            </w:r>
          </w:p>
        </w:tc>
        <w:tc>
          <w:tcPr>
            <w:tcW w:w="2370" w:type="dxa"/>
            <w:vAlign w:val="center"/>
          </w:tcPr>
          <w:p w14:paraId="3E206622" w14:textId="77777777" w:rsidR="00D12939" w:rsidRDefault="004F47F5">
            <w:pPr>
              <w:jc w:val="center"/>
              <w:rPr>
                <w:szCs w:val="21"/>
              </w:rPr>
            </w:pPr>
            <w:r>
              <w:rPr>
                <w:szCs w:val="21"/>
              </w:rPr>
              <w:t>813.54</w:t>
            </w:r>
          </w:p>
        </w:tc>
      </w:tr>
      <w:tr w:rsidR="00D12939" w14:paraId="4A1F550B" w14:textId="77777777">
        <w:trPr>
          <w:jc w:val="center"/>
        </w:trPr>
        <w:tc>
          <w:tcPr>
            <w:tcW w:w="988" w:type="dxa"/>
            <w:vAlign w:val="center"/>
          </w:tcPr>
          <w:p w14:paraId="64FBA3B9" w14:textId="77777777" w:rsidR="00D12939" w:rsidRDefault="004F47F5">
            <w:pPr>
              <w:jc w:val="center"/>
            </w:pPr>
            <w:r>
              <w:rPr>
                <w:rFonts w:hint="eastAsia"/>
              </w:rPr>
              <w:t>8</w:t>
            </w:r>
          </w:p>
        </w:tc>
        <w:tc>
          <w:tcPr>
            <w:tcW w:w="2268" w:type="dxa"/>
            <w:vAlign w:val="center"/>
          </w:tcPr>
          <w:p w14:paraId="24C4E89E" w14:textId="77777777" w:rsidR="00D12939" w:rsidRDefault="004F47F5">
            <w:pPr>
              <w:jc w:val="center"/>
            </w:pPr>
            <w:r>
              <w:rPr>
                <w:rFonts w:hint="eastAsia"/>
              </w:rPr>
              <w:t>1</w:t>
            </w:r>
            <w:r>
              <w:t>35.9</w:t>
            </w:r>
          </w:p>
        </w:tc>
        <w:tc>
          <w:tcPr>
            <w:tcW w:w="2126" w:type="dxa"/>
            <w:vAlign w:val="center"/>
          </w:tcPr>
          <w:p w14:paraId="311CCB44" w14:textId="77777777" w:rsidR="00D12939" w:rsidRDefault="004F47F5">
            <w:pPr>
              <w:jc w:val="center"/>
            </w:pPr>
            <w:r>
              <w:rPr>
                <w:rFonts w:hint="eastAsia"/>
              </w:rPr>
              <w:t>2</w:t>
            </w:r>
            <w:r>
              <w:t>604.3</w:t>
            </w:r>
          </w:p>
        </w:tc>
        <w:tc>
          <w:tcPr>
            <w:tcW w:w="1984" w:type="dxa"/>
            <w:vAlign w:val="center"/>
          </w:tcPr>
          <w:p w14:paraId="38AECFB0" w14:textId="77777777" w:rsidR="00D12939" w:rsidRDefault="004F47F5">
            <w:pPr>
              <w:jc w:val="center"/>
            </w:pPr>
            <w:r>
              <w:rPr>
                <w:rFonts w:hint="eastAsia"/>
              </w:rPr>
              <w:t>2</w:t>
            </w:r>
            <w:r>
              <w:t>015</w:t>
            </w:r>
          </w:p>
        </w:tc>
        <w:tc>
          <w:tcPr>
            <w:tcW w:w="2370" w:type="dxa"/>
            <w:vAlign w:val="center"/>
          </w:tcPr>
          <w:p w14:paraId="25626091" w14:textId="77777777" w:rsidR="00D12939" w:rsidRDefault="004F47F5">
            <w:pPr>
              <w:jc w:val="center"/>
              <w:rPr>
                <w:szCs w:val="21"/>
              </w:rPr>
            </w:pPr>
            <w:r>
              <w:rPr>
                <w:szCs w:val="21"/>
              </w:rPr>
              <w:t>589.3</w:t>
            </w:r>
          </w:p>
        </w:tc>
      </w:tr>
      <w:tr w:rsidR="00D12939" w14:paraId="42196844" w14:textId="77777777">
        <w:trPr>
          <w:jc w:val="center"/>
        </w:trPr>
        <w:tc>
          <w:tcPr>
            <w:tcW w:w="988" w:type="dxa"/>
            <w:vAlign w:val="center"/>
          </w:tcPr>
          <w:p w14:paraId="2F0E73F1" w14:textId="77777777" w:rsidR="00D12939" w:rsidRDefault="004F47F5">
            <w:pPr>
              <w:jc w:val="center"/>
            </w:pPr>
            <w:r>
              <w:rPr>
                <w:rFonts w:hint="eastAsia"/>
              </w:rPr>
              <w:t>9</w:t>
            </w:r>
          </w:p>
        </w:tc>
        <w:tc>
          <w:tcPr>
            <w:tcW w:w="2268" w:type="dxa"/>
            <w:vAlign w:val="center"/>
          </w:tcPr>
          <w:p w14:paraId="5882C26F" w14:textId="77777777" w:rsidR="00D12939" w:rsidRDefault="004F47F5">
            <w:pPr>
              <w:jc w:val="center"/>
            </w:pPr>
            <w:r>
              <w:rPr>
                <w:rFonts w:hint="eastAsia"/>
              </w:rPr>
              <w:t>1</w:t>
            </w:r>
            <w:r>
              <w:t>17.7</w:t>
            </w:r>
          </w:p>
        </w:tc>
        <w:tc>
          <w:tcPr>
            <w:tcW w:w="2126" w:type="dxa"/>
            <w:vAlign w:val="center"/>
          </w:tcPr>
          <w:p w14:paraId="2B6A0D05" w14:textId="77777777" w:rsidR="00D12939" w:rsidRDefault="004F47F5">
            <w:pPr>
              <w:jc w:val="center"/>
            </w:pPr>
            <w:r>
              <w:rPr>
                <w:rFonts w:hint="eastAsia"/>
              </w:rPr>
              <w:t>2</w:t>
            </w:r>
            <w:r>
              <w:t>255.55</w:t>
            </w:r>
          </w:p>
        </w:tc>
        <w:tc>
          <w:tcPr>
            <w:tcW w:w="1984" w:type="dxa"/>
            <w:vAlign w:val="center"/>
          </w:tcPr>
          <w:p w14:paraId="1E82337D" w14:textId="77777777" w:rsidR="00D12939" w:rsidRDefault="004F47F5">
            <w:pPr>
              <w:jc w:val="center"/>
            </w:pPr>
            <w:r>
              <w:rPr>
                <w:rFonts w:hint="eastAsia"/>
              </w:rPr>
              <w:t>2</w:t>
            </w:r>
            <w:r>
              <w:t>015</w:t>
            </w:r>
          </w:p>
        </w:tc>
        <w:tc>
          <w:tcPr>
            <w:tcW w:w="2370" w:type="dxa"/>
            <w:vAlign w:val="center"/>
          </w:tcPr>
          <w:p w14:paraId="03FDFE82" w14:textId="77777777" w:rsidR="00D12939" w:rsidRDefault="004F47F5">
            <w:pPr>
              <w:jc w:val="center"/>
              <w:rPr>
                <w:szCs w:val="21"/>
              </w:rPr>
            </w:pPr>
            <w:r>
              <w:rPr>
                <w:szCs w:val="21"/>
              </w:rPr>
              <w:t>240.55</w:t>
            </w:r>
          </w:p>
        </w:tc>
      </w:tr>
      <w:tr w:rsidR="00D12939" w14:paraId="11311FA7" w14:textId="77777777">
        <w:trPr>
          <w:jc w:val="center"/>
        </w:trPr>
        <w:tc>
          <w:tcPr>
            <w:tcW w:w="988" w:type="dxa"/>
            <w:vAlign w:val="center"/>
          </w:tcPr>
          <w:p w14:paraId="63C1C487" w14:textId="77777777" w:rsidR="00D12939" w:rsidRDefault="004F47F5">
            <w:pPr>
              <w:jc w:val="center"/>
            </w:pPr>
            <w:r>
              <w:rPr>
                <w:rFonts w:hint="eastAsia"/>
              </w:rPr>
              <w:t>1</w:t>
            </w:r>
            <w:r>
              <w:t>0</w:t>
            </w:r>
          </w:p>
        </w:tc>
        <w:tc>
          <w:tcPr>
            <w:tcW w:w="2268" w:type="dxa"/>
            <w:vAlign w:val="center"/>
          </w:tcPr>
          <w:p w14:paraId="1B9D685B" w14:textId="77777777" w:rsidR="00D12939" w:rsidRDefault="004F47F5">
            <w:pPr>
              <w:jc w:val="center"/>
            </w:pPr>
            <w:r>
              <w:rPr>
                <w:rFonts w:hint="eastAsia"/>
              </w:rPr>
              <w:t>7</w:t>
            </w:r>
            <w:r>
              <w:t>4.9</w:t>
            </w:r>
          </w:p>
        </w:tc>
        <w:tc>
          <w:tcPr>
            <w:tcW w:w="2126" w:type="dxa"/>
            <w:vAlign w:val="center"/>
          </w:tcPr>
          <w:p w14:paraId="00B92176" w14:textId="77777777" w:rsidR="00D12939" w:rsidRDefault="004F47F5">
            <w:pPr>
              <w:jc w:val="center"/>
            </w:pPr>
            <w:r>
              <w:rPr>
                <w:rFonts w:hint="eastAsia"/>
              </w:rPr>
              <w:t>1</w:t>
            </w:r>
            <w:r>
              <w:t>435.35</w:t>
            </w:r>
          </w:p>
        </w:tc>
        <w:tc>
          <w:tcPr>
            <w:tcW w:w="1984" w:type="dxa"/>
            <w:vAlign w:val="center"/>
          </w:tcPr>
          <w:p w14:paraId="59455A65" w14:textId="77777777" w:rsidR="00D12939" w:rsidRDefault="004F47F5">
            <w:pPr>
              <w:jc w:val="center"/>
            </w:pPr>
            <w:r>
              <w:rPr>
                <w:rFonts w:hint="eastAsia"/>
              </w:rPr>
              <w:t>2</w:t>
            </w:r>
            <w:r>
              <w:t>015</w:t>
            </w:r>
          </w:p>
        </w:tc>
        <w:tc>
          <w:tcPr>
            <w:tcW w:w="2370" w:type="dxa"/>
            <w:vAlign w:val="center"/>
          </w:tcPr>
          <w:p w14:paraId="54A9CD2D" w14:textId="77777777" w:rsidR="00D12939" w:rsidRDefault="004F47F5">
            <w:pPr>
              <w:jc w:val="center"/>
              <w:rPr>
                <w:szCs w:val="21"/>
              </w:rPr>
            </w:pPr>
            <w:r>
              <w:rPr>
                <w:szCs w:val="21"/>
              </w:rPr>
              <w:t>-579.65</w:t>
            </w:r>
          </w:p>
        </w:tc>
      </w:tr>
      <w:tr w:rsidR="00D12939" w14:paraId="1E6FFDA3" w14:textId="77777777">
        <w:trPr>
          <w:jc w:val="center"/>
        </w:trPr>
        <w:tc>
          <w:tcPr>
            <w:tcW w:w="988" w:type="dxa"/>
            <w:vAlign w:val="center"/>
          </w:tcPr>
          <w:p w14:paraId="2497F727" w14:textId="77777777" w:rsidR="00D12939" w:rsidRDefault="004F47F5">
            <w:pPr>
              <w:jc w:val="center"/>
            </w:pPr>
            <w:r>
              <w:rPr>
                <w:rFonts w:hint="eastAsia"/>
              </w:rPr>
              <w:t>1</w:t>
            </w:r>
            <w:r>
              <w:t>1</w:t>
            </w:r>
          </w:p>
        </w:tc>
        <w:tc>
          <w:tcPr>
            <w:tcW w:w="2268" w:type="dxa"/>
            <w:vAlign w:val="center"/>
          </w:tcPr>
          <w:p w14:paraId="74F15075" w14:textId="77777777" w:rsidR="00D12939" w:rsidRDefault="004F47F5">
            <w:pPr>
              <w:jc w:val="center"/>
            </w:pPr>
            <w:r>
              <w:rPr>
                <w:rFonts w:hint="eastAsia"/>
              </w:rPr>
              <w:t>2</w:t>
            </w:r>
            <w:r>
              <w:t>3.4</w:t>
            </w:r>
          </w:p>
        </w:tc>
        <w:tc>
          <w:tcPr>
            <w:tcW w:w="2126" w:type="dxa"/>
            <w:vAlign w:val="center"/>
          </w:tcPr>
          <w:p w14:paraId="68A888AB" w14:textId="77777777" w:rsidR="00D12939" w:rsidRDefault="004F47F5">
            <w:pPr>
              <w:jc w:val="center"/>
            </w:pPr>
            <w:r>
              <w:rPr>
                <w:rFonts w:hint="eastAsia"/>
              </w:rPr>
              <w:t>4</w:t>
            </w:r>
            <w:r>
              <w:t>48.43</w:t>
            </w:r>
          </w:p>
        </w:tc>
        <w:tc>
          <w:tcPr>
            <w:tcW w:w="1984" w:type="dxa"/>
            <w:vAlign w:val="center"/>
          </w:tcPr>
          <w:p w14:paraId="2490052E" w14:textId="77777777" w:rsidR="00D12939" w:rsidRDefault="004F47F5">
            <w:pPr>
              <w:jc w:val="center"/>
            </w:pPr>
            <w:r>
              <w:rPr>
                <w:rFonts w:hint="eastAsia"/>
              </w:rPr>
              <w:t>2</w:t>
            </w:r>
            <w:r>
              <w:t>015</w:t>
            </w:r>
          </w:p>
        </w:tc>
        <w:tc>
          <w:tcPr>
            <w:tcW w:w="2370" w:type="dxa"/>
            <w:vAlign w:val="center"/>
          </w:tcPr>
          <w:p w14:paraId="44236F42" w14:textId="77777777" w:rsidR="00D12939" w:rsidRDefault="004F47F5">
            <w:pPr>
              <w:jc w:val="center"/>
              <w:rPr>
                <w:szCs w:val="21"/>
              </w:rPr>
            </w:pPr>
            <w:r>
              <w:rPr>
                <w:szCs w:val="21"/>
              </w:rPr>
              <w:t>-1566.57</w:t>
            </w:r>
          </w:p>
        </w:tc>
      </w:tr>
      <w:tr w:rsidR="00D12939" w14:paraId="6643551D" w14:textId="77777777">
        <w:trPr>
          <w:jc w:val="center"/>
        </w:trPr>
        <w:tc>
          <w:tcPr>
            <w:tcW w:w="988" w:type="dxa"/>
            <w:vAlign w:val="center"/>
          </w:tcPr>
          <w:p w14:paraId="496214B4" w14:textId="77777777" w:rsidR="00D12939" w:rsidRDefault="004F47F5">
            <w:pPr>
              <w:jc w:val="center"/>
            </w:pPr>
            <w:r>
              <w:rPr>
                <w:rFonts w:hint="eastAsia"/>
              </w:rPr>
              <w:t>1</w:t>
            </w:r>
            <w:r>
              <w:t>2</w:t>
            </w:r>
          </w:p>
        </w:tc>
        <w:tc>
          <w:tcPr>
            <w:tcW w:w="2268" w:type="dxa"/>
            <w:vAlign w:val="center"/>
          </w:tcPr>
          <w:p w14:paraId="52C129F6" w14:textId="77777777" w:rsidR="00D12939" w:rsidRDefault="004F47F5">
            <w:pPr>
              <w:jc w:val="center"/>
            </w:pPr>
            <w:r>
              <w:rPr>
                <w:rFonts w:hint="eastAsia"/>
              </w:rPr>
              <w:t>6</w:t>
            </w:r>
            <w:r>
              <w:t>.8</w:t>
            </w:r>
          </w:p>
        </w:tc>
        <w:tc>
          <w:tcPr>
            <w:tcW w:w="2126" w:type="dxa"/>
            <w:vAlign w:val="center"/>
          </w:tcPr>
          <w:p w14:paraId="5773A3C6" w14:textId="77777777" w:rsidR="00D12939" w:rsidRDefault="004F47F5">
            <w:pPr>
              <w:jc w:val="center"/>
            </w:pPr>
            <w:r>
              <w:rPr>
                <w:rFonts w:hint="eastAsia"/>
              </w:rPr>
              <w:t>1</w:t>
            </w:r>
            <w:r>
              <w:t>30.31</w:t>
            </w:r>
          </w:p>
        </w:tc>
        <w:tc>
          <w:tcPr>
            <w:tcW w:w="1984" w:type="dxa"/>
            <w:vAlign w:val="center"/>
          </w:tcPr>
          <w:p w14:paraId="0A5EC1DE" w14:textId="77777777" w:rsidR="00D12939" w:rsidRDefault="004F47F5">
            <w:pPr>
              <w:jc w:val="center"/>
            </w:pPr>
            <w:r>
              <w:rPr>
                <w:rFonts w:hint="eastAsia"/>
              </w:rPr>
              <w:t>2</w:t>
            </w:r>
            <w:r>
              <w:t>015</w:t>
            </w:r>
          </w:p>
        </w:tc>
        <w:tc>
          <w:tcPr>
            <w:tcW w:w="2370" w:type="dxa"/>
            <w:vAlign w:val="center"/>
          </w:tcPr>
          <w:p w14:paraId="70401A71" w14:textId="77777777" w:rsidR="00D12939" w:rsidRDefault="004F47F5">
            <w:pPr>
              <w:jc w:val="center"/>
              <w:rPr>
                <w:szCs w:val="21"/>
              </w:rPr>
            </w:pPr>
            <w:r>
              <w:rPr>
                <w:szCs w:val="21"/>
              </w:rPr>
              <w:t>-1884.69</w:t>
            </w:r>
          </w:p>
        </w:tc>
      </w:tr>
    </w:tbl>
    <w:p w14:paraId="40252150" w14:textId="64A3B6BA" w:rsidR="00D12939" w:rsidRDefault="004F47F5">
      <w:pPr>
        <w:autoSpaceDE w:val="0"/>
        <w:autoSpaceDN w:val="0"/>
        <w:adjustRightInd w:val="0"/>
        <w:spacing w:line="360" w:lineRule="auto"/>
        <w:ind w:firstLineChars="200" w:firstLine="480"/>
        <w:rPr>
          <w:rFonts w:ascii="宋体" w:eastAsia="宋体" w:cs="宋体"/>
          <w:kern w:val="0"/>
          <w:sz w:val="24"/>
          <w:szCs w:val="24"/>
        </w:rPr>
      </w:pPr>
      <w:r>
        <w:rPr>
          <w:rFonts w:ascii="Times New Roman" w:eastAsia="宋体" w:hAnsi="Times New Roman" w:cs="Times New Roman"/>
          <w:kern w:val="0"/>
          <w:sz w:val="24"/>
          <w:szCs w:val="24"/>
        </w:rPr>
        <w:t>调节池的作用是贮存渗滤液，并对垃圾填埋库区旱季及雨季渗滤液产量的不均匀性进行调节，以减小渗滤液处理设施的处理压力。由上表中渗沥液剩余量，正值之和共</w:t>
      </w:r>
      <w:r>
        <w:rPr>
          <w:rFonts w:ascii="Times New Roman" w:eastAsia="宋体" w:hAnsi="Times New Roman" w:cs="Times New Roman"/>
          <w:kern w:val="0"/>
          <w:sz w:val="24"/>
          <w:szCs w:val="24"/>
        </w:rPr>
        <w:t>164</w:t>
      </w:r>
      <w:r w:rsidR="00BC1BF7">
        <w:rPr>
          <w:rFonts w:ascii="Times New Roman" w:eastAsia="宋体" w:hAnsi="Times New Roman" w:cs="Times New Roman"/>
          <w:kern w:val="0"/>
          <w:sz w:val="24"/>
          <w:szCs w:val="24"/>
        </w:rPr>
        <w:t>3.39</w:t>
      </w:r>
      <w:r>
        <w:rPr>
          <w:rFonts w:ascii="Times New Roman" w:eastAsia="宋体" w:hAnsi="Times New Roman" w:cs="Times New Roman"/>
          <w:kern w:val="0"/>
          <w:sz w:val="24"/>
          <w:szCs w:val="20"/>
        </w:rPr>
        <w:t>m</w:t>
      </w:r>
      <w:r>
        <w:rPr>
          <w:rFonts w:ascii="Times New Roman" w:eastAsia="宋体" w:hAnsi="Times New Roman" w:cs="Times New Roman"/>
          <w:kern w:val="0"/>
          <w:sz w:val="24"/>
          <w:szCs w:val="20"/>
          <w:vertAlign w:val="superscript"/>
        </w:rPr>
        <w:t>3</w:t>
      </w:r>
      <w:r>
        <w:rPr>
          <w:rFonts w:ascii="Times New Roman" w:eastAsia="宋体" w:hAnsi="Times New Roman" w:cs="Times New Roman"/>
          <w:kern w:val="0"/>
          <w:sz w:val="24"/>
          <w:szCs w:val="24"/>
        </w:rPr>
        <w:t>，为雨季考虑渗沥液处理后的剩余量。考虑产生的渗沥液及安全的因素，考虑取一定的富余系数，调节池的有效容积取</w:t>
      </w:r>
      <w:r>
        <w:rPr>
          <w:rFonts w:ascii="Times New Roman" w:eastAsia="宋体" w:hAnsi="Times New Roman" w:cs="Times New Roman"/>
          <w:kern w:val="0"/>
          <w:sz w:val="24"/>
          <w:szCs w:val="24"/>
        </w:rPr>
        <w:t>1800</w:t>
      </w:r>
      <w:r>
        <w:rPr>
          <w:rFonts w:ascii="Times New Roman" w:eastAsia="宋体" w:hAnsi="Times New Roman" w:cs="Times New Roman"/>
          <w:kern w:val="0"/>
          <w:szCs w:val="20"/>
        </w:rPr>
        <w:t xml:space="preserve"> </w:t>
      </w:r>
      <w:r>
        <w:rPr>
          <w:rFonts w:ascii="Times New Roman" w:eastAsia="宋体" w:hAnsi="Times New Roman" w:cs="Times New Roman"/>
          <w:kern w:val="0"/>
          <w:sz w:val="24"/>
          <w:szCs w:val="20"/>
        </w:rPr>
        <w:t>m</w:t>
      </w:r>
      <w:r>
        <w:rPr>
          <w:rFonts w:ascii="Times New Roman" w:eastAsia="宋体" w:hAnsi="Times New Roman" w:cs="Times New Roman"/>
          <w:kern w:val="0"/>
          <w:sz w:val="24"/>
          <w:szCs w:val="20"/>
          <w:vertAlign w:val="superscript"/>
        </w:rPr>
        <w:t>3</w:t>
      </w:r>
      <w:r>
        <w:rPr>
          <w:rFonts w:ascii="Times New Roman" w:eastAsia="宋体" w:hAnsi="Times New Roman" w:cs="Times New Roman"/>
          <w:kern w:val="0"/>
          <w:sz w:val="24"/>
          <w:szCs w:val="24"/>
        </w:rPr>
        <w:t>。</w:t>
      </w:r>
      <w:r>
        <w:rPr>
          <w:rFonts w:ascii="宋体" w:eastAsia="宋体" w:cs="宋体" w:hint="eastAsia"/>
          <w:kern w:val="0"/>
          <w:sz w:val="24"/>
          <w:szCs w:val="24"/>
        </w:rPr>
        <w:t>调节池拟采用钢筋混凝土结构，池体内壁采用改性树脂防腐。</w:t>
      </w:r>
    </w:p>
    <w:p w14:paraId="6B7BC37D" w14:textId="23F83949"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25" w:name="_Toc121411720"/>
      <w:r>
        <w:rPr>
          <w:rFonts w:ascii="Times New Roman" w:eastAsia="黑体" w:hAnsi="Times New Roman" w:cs="Times New Roman"/>
          <w:b w:val="0"/>
          <w:sz w:val="24"/>
        </w:rPr>
        <w:t>3.6.</w:t>
      </w:r>
      <w:r w:rsidR="001B1820">
        <w:rPr>
          <w:rFonts w:ascii="Times New Roman" w:eastAsia="黑体" w:hAnsi="Times New Roman" w:cs="Times New Roman"/>
          <w:b w:val="0"/>
          <w:sz w:val="24"/>
        </w:rPr>
        <w:t>8</w:t>
      </w:r>
      <w:r>
        <w:rPr>
          <w:rFonts w:ascii="Times New Roman" w:eastAsia="黑体" w:hAnsi="Times New Roman" w:cs="Times New Roman"/>
          <w:b w:val="0"/>
          <w:sz w:val="24"/>
        </w:rPr>
        <w:t xml:space="preserve"> </w:t>
      </w:r>
      <w:r>
        <w:rPr>
          <w:rFonts w:ascii="Times New Roman" w:eastAsia="黑体" w:hAnsi="Times New Roman" w:cs="Times New Roman" w:hint="eastAsia"/>
          <w:b w:val="0"/>
          <w:sz w:val="24"/>
        </w:rPr>
        <w:t>渗滤液处理工程</w:t>
      </w:r>
      <w:bookmarkEnd w:id="325"/>
    </w:p>
    <w:p w14:paraId="060792EB"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本项目渗滤液处理工程仅处理一期生活垃圾渗沥液，二期飞灰填埋库区建设时，再增设渗沥液处理设施。</w:t>
      </w:r>
    </w:p>
    <w:p w14:paraId="6B9BE243"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宋体" w:eastAsia="宋体" w:cs="宋体" w:hint="eastAsia"/>
          <w:kern w:val="0"/>
          <w:sz w:val="24"/>
          <w:szCs w:val="24"/>
        </w:rPr>
        <w:t>本项目生活垃圾渗沥液处理工程规模按最</w:t>
      </w:r>
      <w:r>
        <w:rPr>
          <w:rFonts w:ascii="Times New Roman" w:eastAsia="宋体" w:hAnsi="Times New Roman" w:cs="Times New Roman"/>
          <w:kern w:val="0"/>
          <w:sz w:val="24"/>
          <w:szCs w:val="24"/>
        </w:rPr>
        <w:t>大</w:t>
      </w:r>
      <w:r>
        <w:rPr>
          <w:rFonts w:ascii="Times New Roman" w:eastAsia="宋体" w:hAnsi="Times New Roman" w:cs="Times New Roman"/>
          <w:kern w:val="0"/>
          <w:sz w:val="24"/>
          <w:szCs w:val="24"/>
        </w:rPr>
        <w:t xml:space="preserve">65t/d </w:t>
      </w:r>
      <w:r>
        <w:rPr>
          <w:rFonts w:ascii="宋体" w:eastAsia="宋体" w:cs="宋体" w:hint="eastAsia"/>
          <w:kern w:val="0"/>
          <w:sz w:val="24"/>
          <w:szCs w:val="24"/>
        </w:rPr>
        <w:t>处理量设计，</w:t>
      </w:r>
      <w:r>
        <w:rPr>
          <w:rFonts w:ascii="Times New Roman" w:eastAsia="宋体" w:hAnsi="Times New Roman" w:cs="Times New Roman"/>
          <w:sz w:val="24"/>
        </w:rPr>
        <w:t>处理工艺为预处理</w:t>
      </w:r>
      <w:r>
        <w:rPr>
          <w:rFonts w:ascii="Times New Roman" w:eastAsia="宋体" w:hAnsi="Times New Roman" w:cs="Times New Roman"/>
          <w:sz w:val="24"/>
        </w:rPr>
        <w:t>-</w:t>
      </w:r>
      <w:r>
        <w:rPr>
          <w:rFonts w:ascii="Times New Roman" w:eastAsia="宋体" w:hAnsi="Times New Roman" w:cs="Times New Roman"/>
          <w:sz w:val="24"/>
        </w:rPr>
        <w:t>一体化反应池</w:t>
      </w:r>
      <w:r>
        <w:rPr>
          <w:rFonts w:ascii="Times New Roman" w:eastAsia="宋体" w:hAnsi="Times New Roman" w:cs="Times New Roman"/>
          <w:sz w:val="24"/>
        </w:rPr>
        <w:t>-</w:t>
      </w:r>
      <w:r>
        <w:rPr>
          <w:rFonts w:ascii="Times New Roman" w:eastAsia="宋体" w:hAnsi="Times New Roman" w:cs="Times New Roman"/>
          <w:sz w:val="24"/>
        </w:rPr>
        <w:t>气浮</w:t>
      </w:r>
      <w:r>
        <w:rPr>
          <w:rFonts w:ascii="Times New Roman" w:eastAsia="宋体" w:hAnsi="Times New Roman" w:cs="Times New Roman"/>
          <w:sz w:val="24"/>
        </w:rPr>
        <w:t>-</w:t>
      </w:r>
      <w:r>
        <w:rPr>
          <w:rFonts w:ascii="Times New Roman" w:eastAsia="宋体" w:hAnsi="Times New Roman" w:cs="Times New Roman"/>
          <w:sz w:val="24"/>
        </w:rPr>
        <w:t>斜板沉淀</w:t>
      </w:r>
      <w:r>
        <w:rPr>
          <w:rFonts w:ascii="Times New Roman" w:eastAsia="宋体" w:hAnsi="Times New Roman" w:cs="Times New Roman"/>
          <w:sz w:val="24"/>
        </w:rPr>
        <w:t>-A</w:t>
      </w:r>
      <w:r>
        <w:rPr>
          <w:rFonts w:ascii="Times New Roman" w:eastAsia="宋体" w:hAnsi="Times New Roman" w:cs="Times New Roman"/>
          <w:sz w:val="24"/>
          <w:vertAlign w:val="superscript"/>
        </w:rPr>
        <w:t>2</w:t>
      </w:r>
      <w:r>
        <w:rPr>
          <w:rFonts w:ascii="Times New Roman" w:eastAsia="宋体" w:hAnsi="Times New Roman" w:cs="Times New Roman"/>
          <w:sz w:val="24"/>
        </w:rPr>
        <w:t>/O-MBR</w:t>
      </w:r>
      <w:r>
        <w:rPr>
          <w:rFonts w:ascii="Times New Roman" w:eastAsia="宋体" w:hAnsi="Times New Roman" w:cs="Times New Roman"/>
          <w:sz w:val="24"/>
        </w:rPr>
        <w:t>膜池</w:t>
      </w:r>
      <w:r>
        <w:rPr>
          <w:rFonts w:ascii="Times New Roman" w:eastAsia="宋体" w:hAnsi="Times New Roman" w:cs="Times New Roman"/>
          <w:sz w:val="24"/>
        </w:rPr>
        <w:t>-</w:t>
      </w:r>
      <w:r>
        <w:rPr>
          <w:rFonts w:ascii="Times New Roman" w:eastAsia="宋体" w:hAnsi="Times New Roman" w:cs="Times New Roman"/>
          <w:sz w:val="24"/>
        </w:rPr>
        <w:t>纳滤</w:t>
      </w:r>
      <w:r>
        <w:rPr>
          <w:rFonts w:ascii="Times New Roman" w:eastAsia="宋体" w:hAnsi="Times New Roman" w:cs="Times New Roman"/>
          <w:sz w:val="24"/>
        </w:rPr>
        <w:t>-</w:t>
      </w:r>
      <w:r>
        <w:rPr>
          <w:rFonts w:ascii="Times New Roman" w:eastAsia="宋体" w:hAnsi="Times New Roman" w:cs="Times New Roman"/>
          <w:sz w:val="24"/>
        </w:rPr>
        <w:t>反渗透，</w:t>
      </w:r>
      <w:r>
        <w:rPr>
          <w:rFonts w:ascii="Times New Roman" w:eastAsia="宋体" w:hAnsi="Times New Roman" w:cs="Times New Roman"/>
          <w:kern w:val="0"/>
          <w:sz w:val="24"/>
        </w:rPr>
        <w:t>填埋场渗沥液经收集处理</w:t>
      </w:r>
      <w:r>
        <w:rPr>
          <w:rFonts w:ascii="Times New Roman" w:eastAsia="宋体" w:hAnsi="Times New Roman" w:cs="Times New Roman" w:hint="eastAsia"/>
          <w:kern w:val="0"/>
          <w:sz w:val="24"/>
        </w:rPr>
        <w:t>满足《生活垃圾填埋场污染控制标准》（</w:t>
      </w:r>
      <w:r>
        <w:rPr>
          <w:rFonts w:ascii="Times New Roman" w:eastAsia="宋体" w:hAnsi="Times New Roman" w:cs="Times New Roman"/>
          <w:kern w:val="0"/>
          <w:sz w:val="24"/>
        </w:rPr>
        <w:t>GB 16889-2008</w:t>
      </w:r>
      <w:r>
        <w:rPr>
          <w:rFonts w:ascii="Times New Roman" w:eastAsia="宋体" w:hAnsi="Times New Roman" w:cs="Times New Roman"/>
          <w:kern w:val="0"/>
          <w:sz w:val="24"/>
        </w:rPr>
        <w:t>）表</w:t>
      </w:r>
      <w:r>
        <w:rPr>
          <w:rFonts w:ascii="Times New Roman" w:eastAsia="宋体" w:hAnsi="Times New Roman" w:cs="Times New Roman"/>
          <w:kern w:val="0"/>
          <w:sz w:val="24"/>
        </w:rPr>
        <w:t xml:space="preserve">2 </w:t>
      </w:r>
      <w:r>
        <w:rPr>
          <w:rFonts w:ascii="Times New Roman" w:eastAsia="宋体" w:hAnsi="Times New Roman" w:cs="Times New Roman"/>
          <w:kern w:val="0"/>
          <w:sz w:val="24"/>
        </w:rPr>
        <w:t>规定的</w:t>
      </w:r>
      <w:r>
        <w:rPr>
          <w:rFonts w:ascii="Times New Roman" w:eastAsia="宋体" w:hAnsi="Times New Roman" w:cs="Times New Roman" w:hint="eastAsia"/>
          <w:kern w:val="0"/>
          <w:sz w:val="24"/>
        </w:rPr>
        <w:t>限值</w:t>
      </w:r>
      <w:r>
        <w:rPr>
          <w:rFonts w:ascii="Times New Roman" w:eastAsia="宋体" w:hAnsi="Times New Roman" w:cs="Times New Roman"/>
          <w:kern w:val="0"/>
          <w:sz w:val="24"/>
        </w:rPr>
        <w:t>后，</w:t>
      </w:r>
      <w:r>
        <w:rPr>
          <w:rFonts w:ascii="Times New Roman" w:eastAsia="宋体" w:hAnsi="Times New Roman" w:cs="Times New Roman" w:hint="eastAsia"/>
          <w:kern w:val="0"/>
          <w:sz w:val="24"/>
        </w:rPr>
        <w:t>部分回用于库区洒水，剩余尾水</w:t>
      </w:r>
      <w:r>
        <w:rPr>
          <w:rFonts w:ascii="Times New Roman" w:eastAsia="宋体" w:hAnsi="Times New Roman" w:cs="Times New Roman"/>
          <w:kern w:val="0"/>
          <w:sz w:val="24"/>
        </w:rPr>
        <w:t>采用槽罐车运输方式，运至柞水县污水处理厂</w:t>
      </w:r>
      <w:r>
        <w:rPr>
          <w:rFonts w:ascii="Times New Roman" w:eastAsia="宋体" w:hAnsi="Times New Roman" w:cs="Times New Roman" w:hint="eastAsia"/>
          <w:kern w:val="0"/>
          <w:sz w:val="24"/>
        </w:rPr>
        <w:t>进一步处理</w:t>
      </w:r>
      <w:r>
        <w:rPr>
          <w:rFonts w:ascii="Times New Roman" w:eastAsia="宋体" w:hAnsi="Times New Roman" w:cs="Times New Roman"/>
          <w:kern w:val="0"/>
          <w:sz w:val="24"/>
        </w:rPr>
        <w:t>。</w:t>
      </w:r>
    </w:p>
    <w:p w14:paraId="56441A93"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项目生活垃圾填埋场渗沥液原液进水设有填埋场渗沥液调节池。生活垃圾填埋场渗沥液在调节池内均质、除臭、曝气处理后通过提升泵，将污水泵入到系统的物化反应段，该段主要含脱色、中和、絮凝、气浮、沉淀等过程。在此段通过投加物化反应药剂使垃圾渗沥液的悬浮物和色度得到去除，并大大降低后续生化工艺的负荷，降低了整个系统的投资成本和运行成本。</w:t>
      </w:r>
    </w:p>
    <w:p w14:paraId="0DBC6B86"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经物化处理后的垃圾渗沥液上清液通过溢流进入中间水槽，废水在中间水槽过提升泵提升</w:t>
      </w:r>
      <w:r>
        <w:rPr>
          <w:rFonts w:ascii="Times New Roman" w:eastAsia="宋体" w:hAnsi="Times New Roman" w:cs="Times New Roman" w:hint="eastAsia"/>
          <w:kern w:val="0"/>
          <w:sz w:val="24"/>
          <w:szCs w:val="24"/>
        </w:rPr>
        <w:lastRenderedPageBreak/>
        <w:t>进入到后续的生化反应系统，由于废水</w:t>
      </w:r>
      <w:r>
        <w:rPr>
          <w:rFonts w:ascii="Times New Roman" w:eastAsia="宋体" w:hAnsi="Times New Roman" w:cs="Times New Roman"/>
          <w:kern w:val="0"/>
          <w:sz w:val="24"/>
          <w:szCs w:val="24"/>
        </w:rPr>
        <w:t xml:space="preserve">COD </w:t>
      </w:r>
      <w:r>
        <w:rPr>
          <w:rFonts w:ascii="Times New Roman" w:eastAsia="宋体" w:hAnsi="Times New Roman" w:cs="Times New Roman"/>
          <w:kern w:val="0"/>
          <w:sz w:val="24"/>
          <w:szCs w:val="24"/>
        </w:rPr>
        <w:t>以及氨氮较高，该</w:t>
      </w:r>
      <w:r>
        <w:rPr>
          <w:rFonts w:ascii="Times New Roman" w:eastAsia="宋体" w:hAnsi="Times New Roman" w:cs="Times New Roman" w:hint="eastAsia"/>
          <w:kern w:val="0"/>
          <w:sz w:val="24"/>
          <w:szCs w:val="24"/>
        </w:rPr>
        <w:t>生化处理设备采用</w:t>
      </w:r>
      <w:r>
        <w:rPr>
          <w:rFonts w:ascii="Times New Roman" w:eastAsia="宋体" w:hAnsi="Times New Roman" w:cs="Times New Roman"/>
          <w:kern w:val="0"/>
          <w:sz w:val="24"/>
          <w:szCs w:val="24"/>
        </w:rPr>
        <w:t>A</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 xml:space="preserve">/O+MBR </w:t>
      </w:r>
      <w:r>
        <w:rPr>
          <w:rFonts w:ascii="Times New Roman" w:eastAsia="宋体" w:hAnsi="Times New Roman" w:cs="Times New Roman"/>
          <w:kern w:val="0"/>
          <w:sz w:val="24"/>
          <w:szCs w:val="24"/>
        </w:rPr>
        <w:t>膜工艺使垃圾渗沥液中大部分</w:t>
      </w:r>
      <w:r>
        <w:rPr>
          <w:rFonts w:ascii="Times New Roman" w:eastAsia="宋体" w:hAnsi="Times New Roman" w:cs="Times New Roman"/>
          <w:kern w:val="0"/>
          <w:sz w:val="24"/>
          <w:szCs w:val="24"/>
        </w:rPr>
        <w:t>COD</w:t>
      </w:r>
      <w:r>
        <w:rPr>
          <w:rFonts w:ascii="Times New Roman" w:eastAsia="宋体" w:hAnsi="Times New Roman" w:cs="Times New Roman"/>
          <w:kern w:val="0"/>
          <w:sz w:val="24"/>
          <w:szCs w:val="24"/>
        </w:rPr>
        <w:t>、氨氮得以降</w:t>
      </w:r>
      <w:r>
        <w:rPr>
          <w:rFonts w:ascii="Times New Roman" w:eastAsia="宋体" w:hAnsi="Times New Roman" w:cs="Times New Roman" w:hint="eastAsia"/>
          <w:kern w:val="0"/>
          <w:sz w:val="24"/>
          <w:szCs w:val="24"/>
        </w:rPr>
        <w:t>解。经多级处理后的水再进入膜处理系统，膜处理采用纳滤和反渗透系统进行深度处理，以达到《生活垃圾填埋场污染控制标准》（</w:t>
      </w:r>
      <w:r>
        <w:rPr>
          <w:rFonts w:ascii="Times New Roman" w:eastAsia="宋体" w:hAnsi="Times New Roman" w:cs="Times New Roman"/>
          <w:kern w:val="0"/>
          <w:sz w:val="24"/>
          <w:szCs w:val="24"/>
        </w:rPr>
        <w:t>GB 16889-2008</w:t>
      </w:r>
      <w:r>
        <w:rPr>
          <w:rFonts w:ascii="Times New Roman" w:eastAsia="宋体" w:hAnsi="Times New Roman" w:cs="Times New Roman"/>
          <w:kern w:val="0"/>
          <w:sz w:val="24"/>
          <w:szCs w:val="24"/>
        </w:rPr>
        <w:t>）的出水水</w:t>
      </w:r>
      <w:r>
        <w:rPr>
          <w:rFonts w:ascii="Times New Roman" w:eastAsia="宋体" w:hAnsi="Times New Roman" w:cs="Times New Roman" w:hint="eastAsia"/>
          <w:kern w:val="0"/>
          <w:sz w:val="24"/>
          <w:szCs w:val="24"/>
        </w:rPr>
        <w:t>质要求。</w:t>
      </w:r>
    </w:p>
    <w:p w14:paraId="1075994C"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工艺流程设计如下：</w:t>
      </w:r>
    </w:p>
    <w:p w14:paraId="0A86B322" w14:textId="77777777" w:rsidR="00D12939" w:rsidRDefault="004F47F5">
      <w:pPr>
        <w:autoSpaceDE w:val="0"/>
        <w:autoSpaceDN w:val="0"/>
        <w:adjustRightInd w:val="0"/>
        <w:spacing w:line="360" w:lineRule="auto"/>
        <w:ind w:firstLineChars="200" w:firstLine="420"/>
        <w:jc w:val="center"/>
        <w:rPr>
          <w:rFonts w:ascii="Times New Roman" w:eastAsia="宋体" w:hAnsi="Times New Roman" w:cs="Times New Roman"/>
          <w:kern w:val="0"/>
          <w:sz w:val="24"/>
          <w:szCs w:val="24"/>
        </w:rPr>
      </w:pPr>
      <w:r>
        <w:rPr>
          <w:noProof/>
        </w:rPr>
        <w:drawing>
          <wp:inline distT="0" distB="0" distL="0" distR="0">
            <wp:extent cx="3457575" cy="5076825"/>
            <wp:effectExtent l="0" t="0" r="9525"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2"/>
                    <a:stretch>
                      <a:fillRect/>
                    </a:stretch>
                  </pic:blipFill>
                  <pic:spPr>
                    <a:xfrm>
                      <a:off x="0" y="0"/>
                      <a:ext cx="3457575" cy="5076825"/>
                    </a:xfrm>
                    <a:prstGeom prst="rect">
                      <a:avLst/>
                    </a:prstGeom>
                  </pic:spPr>
                </pic:pic>
              </a:graphicData>
            </a:graphic>
          </wp:inline>
        </w:drawing>
      </w:r>
    </w:p>
    <w:p w14:paraId="6C92CD81" w14:textId="77777777" w:rsidR="00D12939" w:rsidRDefault="004F47F5">
      <w:pPr>
        <w:autoSpaceDE w:val="0"/>
        <w:autoSpaceDN w:val="0"/>
        <w:adjustRightInd w:val="0"/>
        <w:spacing w:line="360" w:lineRule="auto"/>
        <w:ind w:firstLineChars="200" w:firstLine="480"/>
        <w:jc w:val="center"/>
        <w:rPr>
          <w:rFonts w:ascii="黑体" w:eastAsia="黑体" w:hAnsi="黑体" w:cs="Times New Roman"/>
          <w:kern w:val="0"/>
          <w:sz w:val="24"/>
          <w:szCs w:val="24"/>
        </w:rPr>
      </w:pPr>
      <w:r>
        <w:rPr>
          <w:rFonts w:ascii="黑体" w:eastAsia="黑体" w:hAnsi="黑体" w:cs="Times New Roman" w:hint="eastAsia"/>
          <w:kern w:val="0"/>
          <w:sz w:val="24"/>
          <w:szCs w:val="24"/>
        </w:rPr>
        <w:t>图3.6</w:t>
      </w:r>
      <w:r>
        <w:rPr>
          <w:rFonts w:ascii="黑体" w:eastAsia="黑体" w:hAnsi="黑体" w:cs="Times New Roman"/>
          <w:kern w:val="0"/>
          <w:sz w:val="24"/>
          <w:szCs w:val="24"/>
        </w:rPr>
        <w:t xml:space="preserve">-5 </w:t>
      </w:r>
      <w:r>
        <w:rPr>
          <w:rFonts w:ascii="黑体" w:eastAsia="黑体" w:hAnsi="黑体" w:cs="Times New Roman" w:hint="eastAsia"/>
          <w:kern w:val="0"/>
          <w:sz w:val="24"/>
          <w:szCs w:val="24"/>
        </w:rPr>
        <w:t>渗滤液处理工程工艺流程图</w:t>
      </w:r>
    </w:p>
    <w:p w14:paraId="56E2C9DE"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）预处理</w:t>
      </w:r>
    </w:p>
    <w:p w14:paraId="55673B2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垃圾坑中渗出垃圾渗滤液经导流引出沟流出，通过粗格栅除去渗滤液中的大颗粒悬浮物及漂浮物后进入渗滤液收集池。收集池渗滤液经渗滤液输送泵输送进入细格栅渠，通过细格栅进一步去除渗滤液中的颗粒悬浮物及漂浮物后进入渗滤液调节池。在调节池中，进行水量调节，同时调节池中设置潜水搅拌设备，实现均质均量，并且渗滤液中的有机物颗粒在调节池中发生水解作用，提高了废水的生化性。</w:t>
      </w:r>
    </w:p>
    <w:p w14:paraId="74559B36"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w:t>
      </w:r>
      <w:r>
        <w:rPr>
          <w:rFonts w:ascii="Times New Roman" w:eastAsia="宋体" w:hAnsi="Times New Roman" w:cs="Times New Roman" w:hint="eastAsia"/>
          <w:sz w:val="24"/>
        </w:rPr>
        <w:t>2</w:t>
      </w:r>
      <w:r>
        <w:rPr>
          <w:rFonts w:ascii="Times New Roman" w:eastAsia="宋体" w:hAnsi="Times New Roman" w:cs="Times New Roman" w:hint="eastAsia"/>
          <w:sz w:val="24"/>
        </w:rPr>
        <w:t>）一体化反应池</w:t>
      </w:r>
    </w:p>
    <w:p w14:paraId="13306879"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一体化反应池包括脱色、中和及絮凝，其原理为污水中胶体颗粒微小、表面水化和带电使其具有稳定性，污水脱色絮凝剂投加到水中后水解成带电胶体与其周围的离子组成双电层结构的胶团，采用投药后快速搅拌的方式，促进水中胶体杂质颗粒与点清絮凝剂水解成的胶团的碰撞机会和次数。水中的杂质颗粒在污水脱色絮凝剂的作用下首先失去稳定性，然后相互凝聚成尺寸较大的颗粒，再在分离设施中沉淀下去或漂浮上来。</w:t>
      </w:r>
    </w:p>
    <w:p w14:paraId="43249531"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）气浮池</w:t>
      </w:r>
    </w:p>
    <w:p w14:paraId="6D7C4B38"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气浮工艺是一项从水及废水中分离固体颗粒高效快速的方法。工作原理是处理过的部分废水循环流入溶气罐，在加压空气状态下，空气过饱和溶解，然后在气浮池的入口处与加入絮凝剂的原水混合，由于压力减小，过饱和的空气释放出来，形成了微小气泡，迅速附着在悬浮物上，将它提升至气浮池的表面。从而形成了很容易去除的污泥浮层，较重的固体物质沉淀在池底，也被去除。</w:t>
      </w:r>
    </w:p>
    <w:p w14:paraId="545E9C0D"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）斜板沉淀池</w:t>
      </w:r>
    </w:p>
    <w:p w14:paraId="4C95908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斜板沉淀池也是一种固液分离设备，主要目的是从液体中去除颗粒污染物。斜板沉淀池较多地运用在工业废水处理中，与其他传统的沉淀池不同的是在斜板沉淀池中安装了一系列倾斜的隔板有效增加了沉降面积，根据“浅池理论”这一理论学说，斜板沉淀池可以将结构设计地更加紧凑，有效降低了设备的占地面积。同时在沉淀效率上还能得到提高。</w:t>
      </w:r>
    </w:p>
    <w:p w14:paraId="20D6D49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5</w:t>
      </w:r>
      <w:r>
        <w:rPr>
          <w:rFonts w:ascii="Times New Roman" w:eastAsia="宋体" w:hAnsi="Times New Roman" w:cs="Times New Roman" w:hint="eastAsia"/>
          <w:sz w:val="24"/>
        </w:rPr>
        <w:t>）</w:t>
      </w:r>
      <w:r>
        <w:rPr>
          <w:rFonts w:ascii="Times New Roman" w:eastAsia="宋体" w:hAnsi="Times New Roman" w:cs="Times New Roman"/>
          <w:sz w:val="24"/>
        </w:rPr>
        <w:t>A</w:t>
      </w:r>
      <w:r>
        <w:rPr>
          <w:rFonts w:ascii="Times New Roman" w:eastAsia="宋体" w:hAnsi="Times New Roman" w:cs="Times New Roman"/>
          <w:sz w:val="24"/>
          <w:vertAlign w:val="superscript"/>
        </w:rPr>
        <w:t>2</w:t>
      </w:r>
      <w:r>
        <w:rPr>
          <w:rFonts w:ascii="Times New Roman" w:eastAsia="宋体" w:hAnsi="Times New Roman" w:cs="Times New Roman"/>
          <w:sz w:val="24"/>
        </w:rPr>
        <w:t xml:space="preserve">/O </w:t>
      </w:r>
      <w:r>
        <w:rPr>
          <w:rFonts w:ascii="Times New Roman" w:eastAsia="宋体" w:hAnsi="Times New Roman" w:cs="Times New Roman" w:hint="eastAsia"/>
          <w:sz w:val="24"/>
        </w:rPr>
        <w:t>工艺</w:t>
      </w:r>
    </w:p>
    <w:p w14:paraId="6CA6E2F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A</w:t>
      </w:r>
      <w:r>
        <w:rPr>
          <w:rFonts w:ascii="Times New Roman" w:eastAsia="宋体" w:hAnsi="Times New Roman" w:cs="Times New Roman"/>
          <w:sz w:val="24"/>
          <w:vertAlign w:val="superscript"/>
        </w:rPr>
        <w:t>2</w:t>
      </w:r>
      <w:r>
        <w:rPr>
          <w:rFonts w:ascii="Times New Roman" w:eastAsia="宋体" w:hAnsi="Times New Roman" w:cs="Times New Roman"/>
          <w:sz w:val="24"/>
        </w:rPr>
        <w:t xml:space="preserve">/O </w:t>
      </w:r>
      <w:r>
        <w:rPr>
          <w:rFonts w:ascii="Times New Roman" w:eastAsia="宋体" w:hAnsi="Times New Roman" w:cs="Times New Roman" w:hint="eastAsia"/>
          <w:sz w:val="24"/>
        </w:rPr>
        <w:t>工艺是厌氧</w:t>
      </w:r>
      <w:r>
        <w:rPr>
          <w:rFonts w:ascii="Times New Roman" w:eastAsia="宋体" w:hAnsi="Times New Roman" w:cs="Times New Roman"/>
          <w:sz w:val="24"/>
        </w:rPr>
        <w:t>-</w:t>
      </w:r>
      <w:r>
        <w:rPr>
          <w:rFonts w:ascii="Times New Roman" w:eastAsia="宋体" w:hAnsi="Times New Roman" w:cs="Times New Roman" w:hint="eastAsia"/>
          <w:sz w:val="24"/>
        </w:rPr>
        <w:t>缺氧</w:t>
      </w:r>
      <w:r>
        <w:rPr>
          <w:rFonts w:ascii="Times New Roman" w:eastAsia="宋体" w:hAnsi="Times New Roman" w:cs="Times New Roman"/>
          <w:sz w:val="24"/>
        </w:rPr>
        <w:t>-</w:t>
      </w:r>
      <w:r>
        <w:rPr>
          <w:rFonts w:ascii="Times New Roman" w:eastAsia="宋体" w:hAnsi="Times New Roman" w:cs="Times New Roman" w:hint="eastAsia"/>
          <w:sz w:val="24"/>
        </w:rPr>
        <w:t>好氧工艺的简称，该工艺的特点是原污水先进入缺氧池，再进入好氧池，并将好氧池的混合液与沉淀池的污泥同时回流到缺氧池。污和好氧池混合液的回流保证了缺氧池和好氧池中有足够数量的微生物并使缺氧池得到好氧池中硝化产生的硝酸盐。而原污水和混合液的直接进入，又为缺氧池反硝化提供了充足的碳源有机物，使反硝化反应能在缺氧池中得以进行。反硝化反应后的出水又可在好氧池中进行</w:t>
      </w:r>
      <w:r>
        <w:rPr>
          <w:rFonts w:ascii="Times New Roman" w:eastAsia="宋体" w:hAnsi="Times New Roman" w:cs="Times New Roman"/>
          <w:sz w:val="24"/>
        </w:rPr>
        <w:t>BOD</w:t>
      </w:r>
      <w:r>
        <w:rPr>
          <w:rFonts w:ascii="Times New Roman" w:eastAsia="宋体" w:hAnsi="Times New Roman" w:cs="Times New Roman"/>
          <w:sz w:val="24"/>
          <w:vertAlign w:val="subscript"/>
        </w:rPr>
        <w:t>5</w:t>
      </w:r>
      <w:r>
        <w:rPr>
          <w:rFonts w:ascii="Times New Roman" w:eastAsia="宋体" w:hAnsi="Times New Roman" w:cs="Times New Roman" w:hint="eastAsia"/>
          <w:sz w:val="24"/>
        </w:rPr>
        <w:t>的进一步降解和硝化作用，反硝化中生成的碱度可补偿硝化反应消耗的碱度的一半左右。</w:t>
      </w:r>
    </w:p>
    <w:p w14:paraId="595D574C"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6</w:t>
      </w:r>
      <w:r>
        <w:rPr>
          <w:rFonts w:ascii="Times New Roman" w:eastAsia="宋体" w:hAnsi="Times New Roman" w:cs="Times New Roman" w:hint="eastAsia"/>
          <w:sz w:val="24"/>
        </w:rPr>
        <w:t>）</w:t>
      </w:r>
      <w:r>
        <w:rPr>
          <w:rFonts w:ascii="Times New Roman" w:eastAsia="宋体" w:hAnsi="Times New Roman" w:cs="Times New Roman"/>
          <w:sz w:val="24"/>
        </w:rPr>
        <w:t xml:space="preserve"> MBR </w:t>
      </w:r>
      <w:r>
        <w:rPr>
          <w:rFonts w:ascii="Times New Roman" w:eastAsia="宋体" w:hAnsi="Times New Roman" w:cs="Times New Roman" w:hint="eastAsia"/>
          <w:sz w:val="24"/>
        </w:rPr>
        <w:t>膜工艺</w:t>
      </w:r>
    </w:p>
    <w:p w14:paraId="6CEAE256"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 xml:space="preserve">MBR </w:t>
      </w:r>
      <w:r>
        <w:rPr>
          <w:rFonts w:ascii="Times New Roman" w:eastAsia="宋体" w:hAnsi="Times New Roman" w:cs="Times New Roman" w:hint="eastAsia"/>
          <w:sz w:val="24"/>
        </w:rPr>
        <w:t>膜是一种将膜分离技术与生物技术有机结合的新型水处理技术，它利用膜分离设备将生化反应池中的活性污泥和大分子有机物截留住，省掉二沉池。膜生物反应器工艺通过膜的分离技术大大强化了生物反应器的功能，使活性污泥度大大提高，其水力停留时间（</w:t>
      </w:r>
      <w:r>
        <w:rPr>
          <w:rFonts w:ascii="Times New Roman" w:eastAsia="宋体" w:hAnsi="Times New Roman" w:cs="Times New Roman"/>
          <w:sz w:val="24"/>
        </w:rPr>
        <w:t>HRT</w:t>
      </w:r>
      <w:r>
        <w:rPr>
          <w:rFonts w:ascii="Times New Roman" w:eastAsia="宋体" w:hAnsi="Times New Roman" w:cs="Times New Roman" w:hint="eastAsia"/>
          <w:sz w:val="24"/>
        </w:rPr>
        <w:t>）和污泥停留时间（</w:t>
      </w:r>
      <w:r>
        <w:rPr>
          <w:rFonts w:ascii="Times New Roman" w:eastAsia="宋体" w:hAnsi="Times New Roman" w:cs="Times New Roman"/>
          <w:sz w:val="24"/>
        </w:rPr>
        <w:t>SRT</w:t>
      </w:r>
      <w:r>
        <w:rPr>
          <w:rFonts w:ascii="Times New Roman" w:eastAsia="宋体" w:hAnsi="Times New Roman" w:cs="Times New Roman" w:hint="eastAsia"/>
          <w:sz w:val="24"/>
        </w:rPr>
        <w:t>）可以分别控制。有高效的固液分离，出水水质优质稳定、剩余污泥产量</w:t>
      </w:r>
      <w:r>
        <w:rPr>
          <w:rFonts w:ascii="Times New Roman" w:eastAsia="宋体" w:hAnsi="Times New Roman" w:cs="Times New Roman" w:hint="eastAsia"/>
          <w:sz w:val="24"/>
        </w:rPr>
        <w:lastRenderedPageBreak/>
        <w:t>少、操作管理方便，易于实现自动控制等优点。</w:t>
      </w:r>
    </w:p>
    <w:p w14:paraId="09F9F46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7</w:t>
      </w:r>
      <w:r>
        <w:rPr>
          <w:rFonts w:ascii="Times New Roman" w:eastAsia="宋体" w:hAnsi="Times New Roman" w:cs="Times New Roman" w:hint="eastAsia"/>
          <w:sz w:val="24"/>
        </w:rPr>
        <w:t>）纳滤系统</w:t>
      </w:r>
    </w:p>
    <w:p w14:paraId="5520FFE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纳滤（</w:t>
      </w:r>
      <w:r>
        <w:rPr>
          <w:rFonts w:ascii="Times New Roman" w:eastAsia="宋体" w:hAnsi="Times New Roman" w:cs="Times New Roman"/>
          <w:sz w:val="24"/>
        </w:rPr>
        <w:t>nanofiltration</w:t>
      </w:r>
      <w:r>
        <w:rPr>
          <w:rFonts w:ascii="Times New Roman" w:eastAsia="宋体" w:hAnsi="Times New Roman" w:cs="Times New Roman" w:hint="eastAsia"/>
          <w:sz w:val="24"/>
        </w:rPr>
        <w:t>，</w:t>
      </w:r>
      <w:r>
        <w:rPr>
          <w:rFonts w:ascii="Times New Roman" w:eastAsia="宋体" w:hAnsi="Times New Roman" w:cs="Times New Roman"/>
          <w:sz w:val="24"/>
        </w:rPr>
        <w:t>NF</w:t>
      </w:r>
      <w:r>
        <w:rPr>
          <w:rFonts w:ascii="Times New Roman" w:eastAsia="宋体" w:hAnsi="Times New Roman" w:cs="Times New Roman" w:hint="eastAsia"/>
          <w:sz w:val="24"/>
        </w:rPr>
        <w:t>）是一种介于超滤和反渗透之间的一种膜分离技术，孔径约为几纳米，分离对象的粒径约为</w:t>
      </w:r>
      <w:r>
        <w:rPr>
          <w:rFonts w:ascii="Times New Roman" w:eastAsia="宋体" w:hAnsi="Times New Roman" w:cs="Times New Roman"/>
          <w:sz w:val="24"/>
        </w:rPr>
        <w:t>1nm</w:t>
      </w:r>
      <w:r>
        <w:rPr>
          <w:rFonts w:ascii="Times New Roman" w:eastAsia="宋体" w:hAnsi="Times New Roman" w:cs="Times New Roman" w:hint="eastAsia"/>
          <w:sz w:val="24"/>
        </w:rPr>
        <w:t>。纳滤膜的孔径和表面特征决定了其独特的性能，对不同电荷和不同价数的离子又具有不同的</w:t>
      </w:r>
      <w:r>
        <w:rPr>
          <w:rFonts w:ascii="Times New Roman" w:eastAsia="宋体" w:hAnsi="Times New Roman" w:cs="Times New Roman"/>
          <w:sz w:val="24"/>
        </w:rPr>
        <w:t xml:space="preserve">Donann </w:t>
      </w:r>
      <w:r>
        <w:rPr>
          <w:rFonts w:ascii="Times New Roman" w:eastAsia="宋体" w:hAnsi="Times New Roman" w:cs="Times New Roman" w:hint="eastAsia"/>
          <w:sz w:val="24"/>
        </w:rPr>
        <w:t>电位；纳滤膜的分离机理为筛分和溶解扩散并存，同时又具有电荷排斥效应，可以有效地去除二价和多价离子、去除分子量大于</w:t>
      </w:r>
      <w:r>
        <w:rPr>
          <w:rFonts w:ascii="Times New Roman" w:eastAsia="宋体" w:hAnsi="Times New Roman" w:cs="Times New Roman"/>
          <w:sz w:val="24"/>
        </w:rPr>
        <w:t xml:space="preserve">200 </w:t>
      </w:r>
      <w:r>
        <w:rPr>
          <w:rFonts w:ascii="Times New Roman" w:eastAsia="宋体" w:hAnsi="Times New Roman" w:cs="Times New Roman" w:hint="eastAsia"/>
          <w:sz w:val="24"/>
        </w:rPr>
        <w:t>的各类物质，可部分去除单价离子和分子量低于</w:t>
      </w:r>
      <w:r>
        <w:rPr>
          <w:rFonts w:ascii="Times New Roman" w:eastAsia="宋体" w:hAnsi="Times New Roman" w:cs="Times New Roman"/>
          <w:sz w:val="24"/>
        </w:rPr>
        <w:t xml:space="preserve">200 </w:t>
      </w:r>
      <w:r>
        <w:rPr>
          <w:rFonts w:ascii="Times New Roman" w:eastAsia="宋体" w:hAnsi="Times New Roman" w:cs="Times New Roman" w:hint="eastAsia"/>
          <w:sz w:val="24"/>
        </w:rPr>
        <w:t>的物质；纳滤膜的分离性能明显优于超滤和微滤，而与反渗透膜相比具有部分去除单价离子、过程渗透压低、操作压力低、省能等优点。</w:t>
      </w:r>
    </w:p>
    <w:p w14:paraId="6E05685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8</w:t>
      </w:r>
      <w:r>
        <w:rPr>
          <w:rFonts w:ascii="Times New Roman" w:eastAsia="宋体" w:hAnsi="Times New Roman" w:cs="Times New Roman" w:hint="eastAsia"/>
          <w:sz w:val="24"/>
        </w:rPr>
        <w:t>）反渗透系统</w:t>
      </w:r>
    </w:p>
    <w:p w14:paraId="60812A1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反渗透分离粒子级别可达到离子级别。由于膜表面的亲水性，优先吸附水分子而排斥盐分子，因此在膜表皮层形成两个水分子的纯水层，施加压力，纯水层的分子不断通过毛细管流过反渗透膜。控制表皮层的孔径非常重要，影响脱盐效果和透水性，一般为纯水层厚度的一倍时，称为膜的临界孔径，可达到理想的脱盐和透水效果。</w:t>
      </w:r>
    </w:p>
    <w:p w14:paraId="5637EB99" w14:textId="5D5C1FE2"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26" w:name="_Toc121411721"/>
      <w:r>
        <w:rPr>
          <w:rFonts w:ascii="Times New Roman" w:eastAsia="黑体" w:hAnsi="Times New Roman" w:cs="Times New Roman"/>
          <w:b w:val="0"/>
          <w:sz w:val="24"/>
        </w:rPr>
        <w:t>3.6.</w:t>
      </w:r>
      <w:r w:rsidR="001B1820">
        <w:rPr>
          <w:rFonts w:ascii="Times New Roman" w:eastAsia="黑体" w:hAnsi="Times New Roman" w:cs="Times New Roman"/>
          <w:b w:val="0"/>
          <w:sz w:val="24"/>
        </w:rPr>
        <w:t>9</w:t>
      </w:r>
      <w:r>
        <w:rPr>
          <w:rFonts w:ascii="Times New Roman" w:eastAsia="黑体" w:hAnsi="Times New Roman" w:cs="Times New Roman"/>
          <w:b w:val="0"/>
          <w:sz w:val="24"/>
        </w:rPr>
        <w:t xml:space="preserve"> </w:t>
      </w:r>
      <w:r>
        <w:rPr>
          <w:rFonts w:ascii="Times New Roman" w:eastAsia="黑体" w:hAnsi="Times New Roman" w:cs="Times New Roman" w:hint="eastAsia"/>
          <w:b w:val="0"/>
          <w:sz w:val="24"/>
        </w:rPr>
        <w:t>填埋气体导排工程</w:t>
      </w:r>
      <w:bookmarkEnd w:id="326"/>
    </w:p>
    <w:p w14:paraId="1F0B0698" w14:textId="77777777" w:rsidR="001B1820" w:rsidRDefault="004F47F5" w:rsidP="001B1820">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本工程采用导气石笼收集导排垃圾降解时产生的填埋气体。导气石笼直径</w:t>
      </w:r>
      <w:r>
        <w:rPr>
          <w:rFonts w:ascii="Times New Roman" w:eastAsia="宋体" w:hAnsi="Times New Roman" w:cs="Times New Roman"/>
          <w:sz w:val="24"/>
        </w:rPr>
        <w:t>1.2</w:t>
      </w:r>
      <w:r>
        <w:rPr>
          <w:rFonts w:ascii="Times New Roman" w:eastAsia="宋体" w:hAnsi="Times New Roman" w:cs="Times New Roman" w:hint="eastAsia"/>
          <w:sz w:val="24"/>
        </w:rPr>
        <w:t>米，由土工网围成，内装粒径</w:t>
      </w:r>
      <w:r>
        <w:rPr>
          <w:rFonts w:ascii="Times New Roman" w:eastAsia="宋体" w:hAnsi="Times New Roman" w:cs="Times New Roman"/>
          <w:sz w:val="24"/>
        </w:rPr>
        <w:t xml:space="preserve">40~100 </w:t>
      </w:r>
      <w:r>
        <w:rPr>
          <w:rFonts w:ascii="Times New Roman" w:eastAsia="宋体" w:hAnsi="Times New Roman" w:cs="Times New Roman" w:hint="eastAsia"/>
          <w:sz w:val="24"/>
        </w:rPr>
        <w:t>毫米的卵石，中心设置</w:t>
      </w:r>
      <w:r>
        <w:rPr>
          <w:rFonts w:ascii="Times New Roman" w:eastAsia="宋体" w:hAnsi="Times New Roman" w:cs="Times New Roman"/>
          <w:sz w:val="24"/>
        </w:rPr>
        <w:t xml:space="preserve">dn160 </w:t>
      </w:r>
      <w:r>
        <w:rPr>
          <w:rFonts w:ascii="Times New Roman" w:eastAsia="宋体" w:hAnsi="Times New Roman" w:cs="Times New Roman" w:hint="eastAsia"/>
          <w:sz w:val="24"/>
        </w:rPr>
        <w:t>内支撑型排水管材管，待垃圾堆体厚度大于</w:t>
      </w:r>
      <w:r>
        <w:rPr>
          <w:rFonts w:ascii="Times New Roman" w:eastAsia="宋体" w:hAnsi="Times New Roman" w:cs="Times New Roman"/>
          <w:sz w:val="24"/>
        </w:rPr>
        <w:t xml:space="preserve">5m </w:t>
      </w:r>
      <w:r>
        <w:rPr>
          <w:rFonts w:ascii="Times New Roman" w:eastAsia="宋体" w:hAnsi="Times New Roman" w:cs="Times New Roman" w:hint="eastAsia"/>
          <w:sz w:val="24"/>
        </w:rPr>
        <w:t>时，垃圾表面即作为导气石笼的建设基础面，初期建设高度为</w:t>
      </w:r>
      <w:r>
        <w:rPr>
          <w:rFonts w:ascii="Times New Roman" w:eastAsia="宋体" w:hAnsi="Times New Roman" w:cs="Times New Roman"/>
          <w:sz w:val="24"/>
        </w:rPr>
        <w:t xml:space="preserve">1.5 </w:t>
      </w:r>
      <w:r>
        <w:rPr>
          <w:rFonts w:ascii="Times New Roman" w:eastAsia="宋体" w:hAnsi="Times New Roman" w:cs="Times New Roman" w:hint="eastAsia"/>
          <w:sz w:val="24"/>
        </w:rPr>
        <w:t>米，随垃圾堆层的升高逐渐加高，直至终场高度，中心导气管顶端设置三通导气，防止杂物落入。</w:t>
      </w:r>
    </w:p>
    <w:p w14:paraId="4F103348" w14:textId="2B88FD84" w:rsidR="001B1820" w:rsidRPr="001B1820" w:rsidRDefault="001B1820" w:rsidP="001B1820">
      <w:pPr>
        <w:autoSpaceDE w:val="0"/>
        <w:autoSpaceDN w:val="0"/>
        <w:adjustRightInd w:val="0"/>
        <w:spacing w:line="360" w:lineRule="auto"/>
        <w:ind w:firstLineChars="200" w:firstLine="480"/>
        <w:rPr>
          <w:rFonts w:ascii="宋体" w:eastAsia="宋体" w:hAnsi="宋体"/>
          <w:color w:val="FF0000"/>
          <w:sz w:val="24"/>
        </w:rPr>
      </w:pPr>
      <w:r w:rsidRPr="001B1820">
        <w:rPr>
          <w:rFonts w:ascii="宋体" w:eastAsia="宋体" w:hAnsi="宋体" w:hint="eastAsia"/>
          <w:color w:val="FF0000"/>
          <w:sz w:val="24"/>
        </w:rPr>
        <w:t>由于本填埋场填埋规模较小，填埋物中的有机物含量不高，故本工程中前期不考虑填埋气体的利用，以疏导排放为主，如气体浓度局部较高，可考虑燃烧处理。后期采用便捷式甲烷测定仪定期对填埋区和填埋区气体进行监测。若发现导气管排放口甲烷体积分数大于</w:t>
      </w:r>
      <w:r w:rsidRPr="001B1820">
        <w:rPr>
          <w:rFonts w:ascii="宋体" w:eastAsia="宋体" w:hAnsi="宋体"/>
          <w:color w:val="FF0000"/>
          <w:sz w:val="24"/>
        </w:rPr>
        <w:t>5%时，采用火炬燃烧方式进行处理。</w:t>
      </w:r>
    </w:p>
    <w:p w14:paraId="4AB53A93" w14:textId="77777777" w:rsidR="00D12939" w:rsidRDefault="004F47F5">
      <w:pPr>
        <w:autoSpaceDE w:val="0"/>
        <w:autoSpaceDN w:val="0"/>
        <w:adjustRightInd w:val="0"/>
        <w:spacing w:line="360" w:lineRule="auto"/>
        <w:ind w:firstLineChars="200" w:firstLine="420"/>
        <w:jc w:val="center"/>
        <w:rPr>
          <w:rFonts w:ascii="Times New Roman" w:eastAsia="宋体" w:hAnsi="Times New Roman" w:cs="Times New Roman"/>
          <w:sz w:val="24"/>
        </w:rPr>
      </w:pPr>
      <w:r>
        <w:rPr>
          <w:noProof/>
        </w:rPr>
        <w:drawing>
          <wp:inline distT="0" distB="0" distL="0" distR="0">
            <wp:extent cx="4248150" cy="2047875"/>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3"/>
                    <a:stretch>
                      <a:fillRect/>
                    </a:stretch>
                  </pic:blipFill>
                  <pic:spPr>
                    <a:xfrm>
                      <a:off x="0" y="0"/>
                      <a:ext cx="4248150" cy="2047875"/>
                    </a:xfrm>
                    <a:prstGeom prst="rect">
                      <a:avLst/>
                    </a:prstGeom>
                  </pic:spPr>
                </pic:pic>
              </a:graphicData>
            </a:graphic>
          </wp:inline>
        </w:drawing>
      </w:r>
    </w:p>
    <w:p w14:paraId="2594ECCD" w14:textId="77777777" w:rsidR="00D12939" w:rsidRDefault="004F47F5">
      <w:pPr>
        <w:autoSpaceDE w:val="0"/>
        <w:autoSpaceDN w:val="0"/>
        <w:adjustRightInd w:val="0"/>
        <w:spacing w:line="360" w:lineRule="auto"/>
        <w:ind w:firstLineChars="200" w:firstLine="480"/>
        <w:jc w:val="center"/>
        <w:rPr>
          <w:rFonts w:ascii="Times New Roman" w:eastAsia="宋体" w:hAnsi="Times New Roman" w:cs="Times New Roman"/>
          <w:sz w:val="24"/>
        </w:rPr>
      </w:pPr>
      <w:r>
        <w:rPr>
          <w:rFonts w:ascii="黑体" w:eastAsia="黑体" w:hAnsi="黑体" w:cs="Times New Roman" w:hint="eastAsia"/>
          <w:kern w:val="0"/>
          <w:sz w:val="24"/>
          <w:szCs w:val="24"/>
        </w:rPr>
        <w:lastRenderedPageBreak/>
        <w:t>图3.6</w:t>
      </w:r>
      <w:r>
        <w:rPr>
          <w:rFonts w:ascii="黑体" w:eastAsia="黑体" w:hAnsi="黑体" w:cs="Times New Roman"/>
          <w:kern w:val="0"/>
          <w:sz w:val="24"/>
          <w:szCs w:val="24"/>
        </w:rPr>
        <w:t xml:space="preserve">-6   </w:t>
      </w:r>
      <w:r>
        <w:rPr>
          <w:rFonts w:ascii="黑体" w:eastAsia="黑体" w:cs="黑体" w:hint="eastAsia"/>
          <w:kern w:val="0"/>
          <w:sz w:val="24"/>
          <w:szCs w:val="24"/>
        </w:rPr>
        <w:t>导气石笼大样图</w:t>
      </w:r>
    </w:p>
    <w:p w14:paraId="5D4D2E51" w14:textId="77777777" w:rsidR="00D12939" w:rsidRDefault="004F47F5">
      <w:pPr>
        <w:pStyle w:val="2"/>
        <w:spacing w:line="360" w:lineRule="auto"/>
        <w:ind w:firstLineChars="165" w:firstLine="462"/>
        <w:rPr>
          <w:sz w:val="28"/>
        </w:rPr>
      </w:pPr>
      <w:bookmarkStart w:id="327" w:name="_Toc121411722"/>
      <w:r>
        <w:rPr>
          <w:sz w:val="28"/>
        </w:rPr>
        <w:t>3.7</w:t>
      </w:r>
      <w:r>
        <w:rPr>
          <w:sz w:val="28"/>
        </w:rPr>
        <w:t>公用工程</w:t>
      </w:r>
      <w:bookmarkEnd w:id="318"/>
      <w:bookmarkEnd w:id="327"/>
    </w:p>
    <w:p w14:paraId="74F6BBF4"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sz w:val="24"/>
        </w:rPr>
        <w:t>给水</w:t>
      </w:r>
    </w:p>
    <w:p w14:paraId="38957A60" w14:textId="77777777" w:rsidR="00D12939" w:rsidRDefault="004F47F5">
      <w:pPr>
        <w:spacing w:line="360" w:lineRule="auto"/>
        <w:ind w:firstLine="462"/>
        <w:rPr>
          <w:rFonts w:ascii="Times New Roman" w:eastAsia="宋体" w:hAnsi="Times New Roman" w:cs="Times New Roman"/>
          <w:kern w:val="0"/>
          <w:sz w:val="24"/>
          <w:szCs w:val="24"/>
        </w:rPr>
      </w:pPr>
      <w:r>
        <w:rPr>
          <w:rFonts w:ascii="Times New Roman" w:eastAsia="宋体" w:hAnsi="Times New Roman" w:cs="Times New Roman" w:hint="eastAsia"/>
          <w:sz w:val="24"/>
        </w:rPr>
        <w:t>项目营运期用水总量为</w:t>
      </w:r>
      <w:r>
        <w:rPr>
          <w:rFonts w:ascii="Times New Roman" w:eastAsia="宋体" w:hAnsi="Times New Roman" w:cs="Times New Roman"/>
          <w:sz w:val="24"/>
        </w:rPr>
        <w:t>11060.23t/a</w:t>
      </w:r>
      <w:r>
        <w:rPr>
          <w:rFonts w:ascii="Times New Roman" w:eastAsia="宋体" w:hAnsi="Times New Roman" w:cs="Times New Roman"/>
          <w:sz w:val="24"/>
        </w:rPr>
        <w:t>，包括生活用水、</w:t>
      </w:r>
      <w:r>
        <w:rPr>
          <w:rFonts w:ascii="Times New Roman" w:eastAsia="宋体" w:hAnsi="Times New Roman" w:cs="Times New Roman" w:hint="eastAsia"/>
          <w:sz w:val="24"/>
        </w:rPr>
        <w:t>渗滤液处理车间反冲洗用水、车间地面冲洗用水、</w:t>
      </w:r>
      <w:r>
        <w:rPr>
          <w:rFonts w:ascii="Times New Roman" w:eastAsia="宋体" w:hAnsi="Times New Roman" w:cs="Times New Roman"/>
          <w:sz w:val="24"/>
        </w:rPr>
        <w:t>绿化用水、</w:t>
      </w:r>
      <w:r>
        <w:rPr>
          <w:rFonts w:ascii="Times New Roman" w:eastAsia="宋体" w:hAnsi="Times New Roman" w:cs="Times New Roman" w:hint="eastAsia"/>
          <w:sz w:val="24"/>
        </w:rPr>
        <w:t>道路及</w:t>
      </w:r>
      <w:r>
        <w:rPr>
          <w:rFonts w:ascii="Times New Roman" w:eastAsia="宋体" w:hAnsi="Times New Roman" w:cs="Times New Roman"/>
          <w:sz w:val="24"/>
        </w:rPr>
        <w:t>填埋库区洒</w:t>
      </w:r>
      <w:r>
        <w:rPr>
          <w:rFonts w:ascii="Times New Roman" w:eastAsia="宋体" w:hAnsi="Times New Roman" w:cs="Times New Roman" w:hint="eastAsia"/>
          <w:sz w:val="24"/>
        </w:rPr>
        <w:t>水、运输车辆洗车用水等。</w:t>
      </w:r>
    </w:p>
    <w:p w14:paraId="59847CBB" w14:textId="77777777" w:rsidR="00D12939" w:rsidRDefault="004F47F5">
      <w:pPr>
        <w:spacing w:line="360" w:lineRule="auto"/>
        <w:ind w:firstLine="462"/>
        <w:rPr>
          <w:rFonts w:ascii="Times New Roman" w:eastAsia="宋体" w:hAnsi="Times New Roman" w:cs="Times New Roman"/>
          <w:sz w:val="24"/>
        </w:rPr>
      </w:pPr>
      <w:r>
        <w:rPr>
          <w:rFonts w:ascii="宋体" w:eastAsia="宋体" w:cs="宋体" w:hint="eastAsia"/>
          <w:kern w:val="0"/>
          <w:sz w:val="24"/>
          <w:szCs w:val="24"/>
        </w:rPr>
        <w:t>①</w:t>
      </w:r>
      <w:r>
        <w:rPr>
          <w:rFonts w:ascii="Times New Roman" w:eastAsia="宋体" w:hAnsi="Times New Roman" w:cs="Times New Roman"/>
          <w:sz w:val="24"/>
        </w:rPr>
        <w:t>生活用水</w:t>
      </w:r>
    </w:p>
    <w:p w14:paraId="4AB1F331"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本项目劳动定员</w:t>
      </w:r>
      <w:r>
        <w:rPr>
          <w:rFonts w:ascii="Times New Roman" w:eastAsia="宋体" w:hAnsi="Times New Roman" w:cs="Times New Roman"/>
          <w:sz w:val="24"/>
        </w:rPr>
        <w:t xml:space="preserve">16 </w:t>
      </w:r>
      <w:r>
        <w:rPr>
          <w:rFonts w:ascii="Times New Roman" w:eastAsia="宋体" w:hAnsi="Times New Roman" w:cs="Times New Roman"/>
          <w:sz w:val="24"/>
        </w:rPr>
        <w:t>人，</w:t>
      </w:r>
      <w:r>
        <w:rPr>
          <w:rFonts w:ascii="Times New Roman" w:eastAsia="宋体" w:hAnsi="Times New Roman" w:cs="Times New Roman" w:hint="eastAsia"/>
          <w:sz w:val="24"/>
        </w:rPr>
        <w:t>根据《陕西省行业用水定额》（</w:t>
      </w:r>
      <w:r>
        <w:rPr>
          <w:rFonts w:ascii="Times New Roman" w:eastAsia="宋体" w:hAnsi="Times New Roman" w:cs="Times New Roman"/>
          <w:sz w:val="24"/>
        </w:rPr>
        <w:t>DB61/T 943—2020</w:t>
      </w:r>
      <w:r>
        <w:rPr>
          <w:rFonts w:ascii="Times New Roman" w:eastAsia="宋体" w:hAnsi="Times New Roman" w:cs="Times New Roman" w:hint="eastAsia"/>
          <w:sz w:val="24"/>
        </w:rPr>
        <w:t>），</w:t>
      </w:r>
      <w:r>
        <w:rPr>
          <w:rFonts w:ascii="Times New Roman" w:eastAsia="宋体" w:hAnsi="Times New Roman" w:cs="Times New Roman"/>
          <w:sz w:val="24"/>
        </w:rPr>
        <w:t>用水量按</w:t>
      </w:r>
      <w:r>
        <w:rPr>
          <w:rFonts w:ascii="Times New Roman" w:eastAsia="宋体" w:hAnsi="Times New Roman" w:cs="Times New Roman"/>
          <w:sz w:val="24"/>
        </w:rPr>
        <w:t>80L/d▪</w:t>
      </w:r>
      <w:r>
        <w:rPr>
          <w:rFonts w:ascii="Times New Roman" w:eastAsia="宋体" w:hAnsi="Times New Roman" w:cs="Times New Roman"/>
          <w:sz w:val="24"/>
        </w:rPr>
        <w:t>人计，则生活用水量为</w:t>
      </w:r>
      <w:r>
        <w:rPr>
          <w:rFonts w:ascii="Times New Roman" w:eastAsia="宋体" w:hAnsi="Times New Roman" w:cs="Times New Roman"/>
          <w:sz w:val="24"/>
        </w:rPr>
        <w:t>1.28</w:t>
      </w:r>
      <w:r>
        <w:rPr>
          <w:rFonts w:ascii="Times New Roman" w:eastAsia="宋体" w:hAnsi="Times New Roman" w:cs="Times New Roman" w:hint="eastAsia"/>
          <w:sz w:val="24"/>
        </w:rPr>
        <w:t>m</w:t>
      </w:r>
      <w:r>
        <w:rPr>
          <w:rFonts w:ascii="Times New Roman" w:eastAsia="宋体" w:hAnsi="Times New Roman" w:cs="Times New Roman"/>
          <w:sz w:val="24"/>
          <w:vertAlign w:val="superscript"/>
        </w:rPr>
        <w:t>3</w:t>
      </w:r>
      <w:r>
        <w:rPr>
          <w:rFonts w:ascii="Times New Roman" w:eastAsia="宋体" w:hAnsi="Times New Roman" w:cs="Times New Roman"/>
          <w:sz w:val="24"/>
        </w:rPr>
        <w:t>/d</w:t>
      </w:r>
      <w:r>
        <w:rPr>
          <w:rFonts w:ascii="Times New Roman" w:eastAsia="宋体" w:hAnsi="Times New Roman" w:cs="Times New Roman"/>
          <w:sz w:val="24"/>
        </w:rPr>
        <w:t>，</w:t>
      </w:r>
      <w:r>
        <w:rPr>
          <w:rFonts w:ascii="Times New Roman" w:eastAsia="宋体" w:hAnsi="Times New Roman" w:cs="Times New Roman"/>
          <w:sz w:val="24"/>
        </w:rPr>
        <w:t>467.2t/a</w:t>
      </w:r>
      <w:r>
        <w:rPr>
          <w:rFonts w:ascii="Times New Roman" w:eastAsia="宋体" w:hAnsi="Times New Roman" w:cs="Times New Roman"/>
          <w:sz w:val="24"/>
        </w:rPr>
        <w:t>。</w:t>
      </w:r>
    </w:p>
    <w:p w14:paraId="27CB6FCD" w14:textId="77777777" w:rsidR="00D12939" w:rsidRDefault="004F47F5">
      <w:pPr>
        <w:spacing w:line="360" w:lineRule="auto"/>
        <w:ind w:firstLine="462"/>
        <w:rPr>
          <w:rFonts w:ascii="Times New Roman" w:eastAsia="宋体" w:hAnsi="Times New Roman" w:cs="Times New Roman"/>
          <w:sz w:val="24"/>
        </w:rPr>
      </w:pPr>
      <w:r>
        <w:rPr>
          <w:rFonts w:ascii="宋体" w:eastAsia="宋体" w:cs="宋体" w:hint="eastAsia"/>
          <w:kern w:val="0"/>
          <w:sz w:val="24"/>
          <w:szCs w:val="24"/>
        </w:rPr>
        <w:t>②</w:t>
      </w:r>
      <w:r>
        <w:rPr>
          <w:rFonts w:ascii="Times New Roman" w:eastAsia="宋体" w:hAnsi="Times New Roman" w:cs="Times New Roman" w:hint="eastAsia"/>
          <w:sz w:val="24"/>
        </w:rPr>
        <w:t>渗滤液处理车间反冲洗用水</w:t>
      </w:r>
    </w:p>
    <w:p w14:paraId="428CCC83"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根据建设单位提供资料，渗滤液处理车间反冲洗用水量为</w:t>
      </w:r>
      <w:r>
        <w:rPr>
          <w:rFonts w:ascii="Times New Roman" w:eastAsia="宋体" w:hAnsi="Times New Roman" w:cs="Times New Roman" w:hint="eastAsia"/>
          <w:sz w:val="24"/>
        </w:rPr>
        <w:t>5m</w:t>
      </w:r>
      <w:r>
        <w:rPr>
          <w:rFonts w:ascii="Times New Roman" w:eastAsia="宋体" w:hAnsi="Times New Roman" w:cs="Times New Roman"/>
          <w:sz w:val="24"/>
          <w:vertAlign w:val="superscript"/>
        </w:rPr>
        <w:t>3</w:t>
      </w:r>
      <w:r>
        <w:rPr>
          <w:rFonts w:ascii="Times New Roman" w:eastAsia="宋体" w:hAnsi="Times New Roman" w:cs="Times New Roman"/>
          <w:sz w:val="24"/>
        </w:rPr>
        <w:t>/</w:t>
      </w:r>
      <w:r>
        <w:rPr>
          <w:rFonts w:ascii="Times New Roman" w:eastAsia="宋体" w:hAnsi="Times New Roman" w:cs="Times New Roman" w:hint="eastAsia"/>
          <w:sz w:val="24"/>
        </w:rPr>
        <w:t>d</w:t>
      </w:r>
      <w:r>
        <w:rPr>
          <w:rFonts w:ascii="Times New Roman" w:eastAsia="宋体" w:hAnsi="Times New Roman" w:cs="Times New Roman" w:hint="eastAsia"/>
          <w:sz w:val="24"/>
        </w:rPr>
        <w:t>。</w:t>
      </w:r>
    </w:p>
    <w:p w14:paraId="2E8E8A8B" w14:textId="77777777" w:rsidR="00D12939" w:rsidRDefault="004F47F5">
      <w:pPr>
        <w:spacing w:line="360" w:lineRule="auto"/>
        <w:ind w:firstLine="462"/>
        <w:rPr>
          <w:rFonts w:ascii="Times New Roman" w:eastAsia="宋体" w:hAnsi="Times New Roman" w:cs="Times New Roman"/>
          <w:sz w:val="24"/>
        </w:rPr>
      </w:pPr>
      <w:r>
        <w:rPr>
          <w:rFonts w:ascii="宋体" w:eastAsia="宋体" w:cs="宋体" w:hint="eastAsia"/>
          <w:kern w:val="0"/>
          <w:sz w:val="24"/>
          <w:szCs w:val="24"/>
        </w:rPr>
        <w:t>③</w:t>
      </w:r>
      <w:r>
        <w:rPr>
          <w:rFonts w:ascii="Times New Roman" w:eastAsia="宋体" w:hAnsi="Times New Roman" w:cs="Times New Roman" w:hint="eastAsia"/>
          <w:sz w:val="24"/>
        </w:rPr>
        <w:t>车间地面冲洗用水</w:t>
      </w:r>
    </w:p>
    <w:p w14:paraId="2D65BEE1"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根据建设单位提供资料，车间地面冲洗用水量为</w:t>
      </w:r>
      <w:r>
        <w:rPr>
          <w:rFonts w:ascii="Times New Roman" w:eastAsia="宋体" w:hAnsi="Times New Roman" w:cs="Times New Roman"/>
          <w:sz w:val="24"/>
        </w:rPr>
        <w:t>3</w:t>
      </w:r>
      <w:r>
        <w:rPr>
          <w:rFonts w:ascii="Times New Roman" w:eastAsia="宋体" w:hAnsi="Times New Roman" w:cs="Times New Roman" w:hint="eastAsia"/>
          <w:sz w:val="24"/>
        </w:rPr>
        <w:t>m</w:t>
      </w:r>
      <w:r>
        <w:rPr>
          <w:rFonts w:ascii="Times New Roman" w:eastAsia="宋体" w:hAnsi="Times New Roman" w:cs="Times New Roman"/>
          <w:sz w:val="24"/>
          <w:vertAlign w:val="superscript"/>
        </w:rPr>
        <w:t>3</w:t>
      </w:r>
      <w:r>
        <w:rPr>
          <w:rFonts w:ascii="Times New Roman" w:eastAsia="宋体" w:hAnsi="Times New Roman" w:cs="Times New Roman"/>
          <w:sz w:val="24"/>
        </w:rPr>
        <w:t>/</w:t>
      </w:r>
      <w:r>
        <w:rPr>
          <w:rFonts w:ascii="Times New Roman" w:eastAsia="宋体" w:hAnsi="Times New Roman" w:cs="Times New Roman" w:hint="eastAsia"/>
          <w:sz w:val="24"/>
        </w:rPr>
        <w:t>d</w:t>
      </w:r>
      <w:r>
        <w:rPr>
          <w:rFonts w:ascii="Times New Roman" w:eastAsia="宋体" w:hAnsi="Times New Roman" w:cs="Times New Roman" w:hint="eastAsia"/>
          <w:sz w:val="24"/>
        </w:rPr>
        <w:t>。渗沥液处理车间地面冲洗废水进入渗沥液处理站处理。</w:t>
      </w:r>
    </w:p>
    <w:p w14:paraId="3358830C"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kern w:val="0"/>
          <w:sz w:val="24"/>
          <w:szCs w:val="24"/>
        </w:rPr>
        <w:t>④</w:t>
      </w:r>
      <w:r>
        <w:rPr>
          <w:rFonts w:ascii="Times New Roman" w:eastAsia="宋体" w:hAnsi="Times New Roman" w:cs="Times New Roman"/>
          <w:sz w:val="24"/>
        </w:rPr>
        <w:t>绿化用水</w:t>
      </w:r>
    </w:p>
    <w:p w14:paraId="65A83DDF" w14:textId="77777777" w:rsidR="00D12939" w:rsidRDefault="004F47F5">
      <w:pPr>
        <w:spacing w:line="360" w:lineRule="auto"/>
        <w:ind w:firstLine="462"/>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场区绿化面积约</w:t>
      </w:r>
      <w:r>
        <w:rPr>
          <w:rFonts w:ascii="Times New Roman" w:eastAsia="宋体" w:hAnsi="Times New Roman" w:cs="Times New Roman"/>
          <w:kern w:val="0"/>
          <w:sz w:val="24"/>
          <w:szCs w:val="24"/>
        </w:rPr>
        <w:t>10411m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，取用水量</w:t>
      </w:r>
      <w:r>
        <w:rPr>
          <w:rFonts w:ascii="Times New Roman" w:eastAsia="宋体" w:hAnsi="Times New Roman" w:cs="Times New Roman"/>
          <w:kern w:val="0"/>
          <w:sz w:val="24"/>
          <w:szCs w:val="24"/>
        </w:rPr>
        <w:t xml:space="preserve">1.5 </w:t>
      </w:r>
      <w:r>
        <w:rPr>
          <w:rFonts w:ascii="Times New Roman" w:eastAsia="宋体" w:hAnsi="Times New Roman" w:cs="Times New Roman" w:hint="eastAsia"/>
          <w:kern w:val="0"/>
          <w:sz w:val="24"/>
          <w:szCs w:val="24"/>
        </w:rPr>
        <w:t>L</w:t>
      </w:r>
      <w:r>
        <w:rPr>
          <w:rFonts w:ascii="Times New Roman" w:eastAsia="宋体" w:hAnsi="Times New Roman" w:cs="Times New Roman"/>
          <w:kern w:val="0"/>
          <w:sz w:val="24"/>
          <w:szCs w:val="24"/>
        </w:rPr>
        <w:t>/m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次，每</w:t>
      </w:r>
      <w:r>
        <w:rPr>
          <w:rFonts w:ascii="Times New Roman" w:eastAsia="宋体" w:hAnsi="Times New Roman" w:cs="Times New Roman" w:hint="eastAsia"/>
          <w:kern w:val="0"/>
          <w:sz w:val="24"/>
          <w:szCs w:val="24"/>
        </w:rPr>
        <w:t>天</w:t>
      </w:r>
      <w:r>
        <w:rPr>
          <w:rFonts w:ascii="Times New Roman" w:eastAsia="宋体" w:hAnsi="Times New Roman" w:cs="Times New Roman"/>
          <w:kern w:val="0"/>
          <w:sz w:val="24"/>
          <w:szCs w:val="24"/>
        </w:rPr>
        <w:t xml:space="preserve">1 </w:t>
      </w:r>
      <w:r>
        <w:rPr>
          <w:rFonts w:ascii="Times New Roman" w:eastAsia="宋体" w:hAnsi="Times New Roman" w:cs="Times New Roman"/>
          <w:kern w:val="0"/>
          <w:sz w:val="24"/>
          <w:szCs w:val="24"/>
        </w:rPr>
        <w:t>次，则绿化平均用水量为</w:t>
      </w:r>
      <w:r>
        <w:rPr>
          <w:rFonts w:ascii="Times New Roman" w:eastAsia="宋体" w:hAnsi="Times New Roman" w:cs="Times New Roman"/>
          <w:kern w:val="0"/>
          <w:sz w:val="24"/>
          <w:szCs w:val="24"/>
        </w:rPr>
        <w:t>15.6m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hint="eastAsia"/>
          <w:kern w:val="0"/>
          <w:sz w:val="24"/>
          <w:szCs w:val="24"/>
        </w:rPr>
        <w:t>。</w:t>
      </w:r>
    </w:p>
    <w:p w14:paraId="025A7E0A"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kern w:val="0"/>
          <w:sz w:val="24"/>
          <w:szCs w:val="24"/>
        </w:rPr>
        <w:t>⑤</w:t>
      </w:r>
      <w:r>
        <w:rPr>
          <w:rFonts w:ascii="Times New Roman" w:eastAsia="宋体" w:hAnsi="Times New Roman" w:cs="Times New Roman" w:hint="eastAsia"/>
          <w:sz w:val="24"/>
        </w:rPr>
        <w:t>道路及</w:t>
      </w:r>
      <w:r>
        <w:rPr>
          <w:rFonts w:ascii="Times New Roman" w:eastAsia="宋体" w:hAnsi="Times New Roman" w:cs="Times New Roman"/>
          <w:sz w:val="24"/>
        </w:rPr>
        <w:t>填埋库区洒</w:t>
      </w:r>
      <w:r>
        <w:rPr>
          <w:rFonts w:ascii="Times New Roman" w:eastAsia="宋体" w:hAnsi="Times New Roman" w:cs="Times New Roman" w:hint="eastAsia"/>
          <w:sz w:val="24"/>
        </w:rPr>
        <w:t>水</w:t>
      </w:r>
    </w:p>
    <w:p w14:paraId="64A1F9EE"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厂区道路总面积约为</w:t>
      </w:r>
      <w:r>
        <w:rPr>
          <w:rFonts w:ascii="Times New Roman" w:eastAsia="宋体" w:hAnsi="Times New Roman" w:cs="Times New Roman"/>
          <w:sz w:val="24"/>
        </w:rPr>
        <w:t>4429m</w:t>
      </w:r>
      <w:r>
        <w:rPr>
          <w:rFonts w:ascii="Times New Roman" w:eastAsia="宋体" w:hAnsi="Times New Roman" w:cs="Times New Roman"/>
          <w:sz w:val="24"/>
          <w:vertAlign w:val="superscript"/>
        </w:rPr>
        <w:t>2</w:t>
      </w:r>
      <w:r>
        <w:rPr>
          <w:rFonts w:ascii="Times New Roman" w:eastAsia="宋体" w:hAnsi="Times New Roman" w:cs="Times New Roman"/>
          <w:sz w:val="24"/>
        </w:rPr>
        <w:t>，取用水量标准</w:t>
      </w:r>
      <w:r>
        <w:rPr>
          <w:rFonts w:ascii="Times New Roman" w:eastAsia="宋体" w:hAnsi="Times New Roman" w:cs="Times New Roman"/>
          <w:sz w:val="24"/>
        </w:rPr>
        <w:t xml:space="preserve">1.0 </w:t>
      </w:r>
      <w:r>
        <w:rPr>
          <w:rFonts w:ascii="Times New Roman" w:eastAsia="宋体" w:hAnsi="Times New Roman" w:cs="Times New Roman" w:hint="eastAsia"/>
          <w:sz w:val="24"/>
        </w:rPr>
        <w:t>L</w:t>
      </w:r>
      <w:r>
        <w:rPr>
          <w:rFonts w:ascii="Times New Roman" w:eastAsia="宋体" w:hAnsi="Times New Roman" w:cs="Times New Roman"/>
          <w:sz w:val="24"/>
        </w:rPr>
        <w:t>/m</w:t>
      </w:r>
      <w:r>
        <w:rPr>
          <w:rFonts w:ascii="Times New Roman" w:eastAsia="宋体" w:hAnsi="Times New Roman" w:cs="Times New Roman"/>
          <w:sz w:val="24"/>
          <w:vertAlign w:val="superscript"/>
        </w:rPr>
        <w:t>2</w:t>
      </w:r>
      <w:r>
        <w:rPr>
          <w:rFonts w:ascii="Times New Roman" w:eastAsia="宋体" w:hAnsi="Times New Roman" w:cs="Times New Roman"/>
          <w:sz w:val="24"/>
        </w:rPr>
        <w:t>·</w:t>
      </w:r>
      <w:r>
        <w:rPr>
          <w:rFonts w:ascii="Times New Roman" w:eastAsia="宋体" w:hAnsi="Times New Roman" w:cs="Times New Roman"/>
          <w:sz w:val="24"/>
        </w:rPr>
        <w:t>次，每天</w:t>
      </w:r>
      <w:r>
        <w:rPr>
          <w:rFonts w:ascii="Times New Roman" w:eastAsia="宋体" w:hAnsi="Times New Roman" w:cs="Times New Roman"/>
          <w:sz w:val="24"/>
        </w:rPr>
        <w:t xml:space="preserve">1 </w:t>
      </w:r>
      <w:r>
        <w:rPr>
          <w:rFonts w:ascii="Times New Roman" w:eastAsia="宋体" w:hAnsi="Times New Roman" w:cs="Times New Roman"/>
          <w:sz w:val="24"/>
        </w:rPr>
        <w:t>次，则道路冲洗水量为</w:t>
      </w:r>
      <w:r>
        <w:rPr>
          <w:rFonts w:ascii="Times New Roman" w:eastAsia="宋体" w:hAnsi="Times New Roman" w:cs="Times New Roman"/>
          <w:sz w:val="24"/>
        </w:rPr>
        <w:t>4.23m</w:t>
      </w:r>
      <w:r>
        <w:rPr>
          <w:rFonts w:ascii="Times New Roman" w:eastAsia="宋体" w:hAnsi="Times New Roman" w:cs="Times New Roman"/>
          <w:sz w:val="24"/>
          <w:vertAlign w:val="superscript"/>
        </w:rPr>
        <w:t>3</w:t>
      </w:r>
      <w:r>
        <w:rPr>
          <w:rFonts w:ascii="Times New Roman" w:eastAsia="宋体" w:hAnsi="Times New Roman" w:cs="Times New Roman"/>
          <w:sz w:val="24"/>
        </w:rPr>
        <w:t>/d</w:t>
      </w:r>
      <w:r>
        <w:rPr>
          <w:rFonts w:ascii="Times New Roman" w:eastAsia="宋体" w:hAnsi="Times New Roman" w:cs="Times New Roman"/>
          <w:sz w:val="24"/>
        </w:rPr>
        <w:t>；</w:t>
      </w:r>
      <w:r>
        <w:rPr>
          <w:rFonts w:ascii="Times New Roman" w:eastAsia="宋体" w:hAnsi="Times New Roman" w:cs="Times New Roman" w:hint="eastAsia"/>
          <w:sz w:val="24"/>
        </w:rPr>
        <w:t>本项目在填埋作业时洒水以减少粉尘的排放，洒水用水约为</w:t>
      </w:r>
      <w:r>
        <w:rPr>
          <w:rFonts w:ascii="Times New Roman" w:eastAsia="宋体" w:hAnsi="Times New Roman" w:cs="Times New Roman"/>
          <w:sz w:val="24"/>
        </w:rPr>
        <w:t>5.0m</w:t>
      </w:r>
      <w:r>
        <w:rPr>
          <w:rFonts w:ascii="Times New Roman" w:eastAsia="宋体" w:hAnsi="Times New Roman" w:cs="Times New Roman"/>
          <w:sz w:val="24"/>
          <w:vertAlign w:val="superscript"/>
        </w:rPr>
        <w:t>3</w:t>
      </w:r>
      <w:r>
        <w:rPr>
          <w:rFonts w:ascii="Times New Roman" w:eastAsia="宋体" w:hAnsi="Times New Roman" w:cs="Times New Roman"/>
          <w:sz w:val="24"/>
        </w:rPr>
        <w:t>/d</w:t>
      </w:r>
      <w:r>
        <w:rPr>
          <w:rFonts w:ascii="Times New Roman" w:eastAsia="宋体" w:hAnsi="Times New Roman" w:cs="Times New Roman"/>
          <w:sz w:val="24"/>
        </w:rPr>
        <w:t>，这部</w:t>
      </w:r>
      <w:r>
        <w:rPr>
          <w:rFonts w:ascii="Times New Roman" w:eastAsia="宋体" w:hAnsi="Times New Roman" w:cs="Times New Roman" w:hint="eastAsia"/>
          <w:sz w:val="24"/>
        </w:rPr>
        <w:t>分水全部蒸发损失。</w:t>
      </w:r>
    </w:p>
    <w:p w14:paraId="34FE176D"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kern w:val="0"/>
          <w:sz w:val="24"/>
          <w:szCs w:val="24"/>
        </w:rPr>
        <w:t>⑥</w:t>
      </w:r>
      <w:r>
        <w:rPr>
          <w:rFonts w:ascii="Times New Roman" w:eastAsia="宋体" w:hAnsi="Times New Roman" w:cs="Times New Roman" w:hint="eastAsia"/>
          <w:sz w:val="24"/>
        </w:rPr>
        <w:t>车辆清洗用水</w:t>
      </w:r>
    </w:p>
    <w:p w14:paraId="12D573A9"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kern w:val="0"/>
          <w:sz w:val="24"/>
          <w:szCs w:val="24"/>
        </w:rPr>
        <w:t>一辆垃圾车运输量约为</w:t>
      </w:r>
      <w:r>
        <w:rPr>
          <w:rFonts w:ascii="Times New Roman" w:eastAsia="宋体" w:hAnsi="Times New Roman" w:cs="Times New Roman"/>
          <w:kern w:val="0"/>
          <w:sz w:val="24"/>
          <w:szCs w:val="24"/>
        </w:rPr>
        <w:t>6t</w:t>
      </w:r>
      <w:r>
        <w:rPr>
          <w:rFonts w:ascii="Times New Roman" w:eastAsia="宋体" w:hAnsi="Times New Roman" w:cs="Times New Roman"/>
          <w:kern w:val="0"/>
          <w:sz w:val="24"/>
          <w:szCs w:val="24"/>
        </w:rPr>
        <w:t>，每天运输垃圾车运输次数为</w:t>
      </w:r>
      <w:r>
        <w:rPr>
          <w:rFonts w:ascii="Times New Roman" w:eastAsia="宋体" w:hAnsi="Times New Roman" w:cs="Times New Roman"/>
          <w:kern w:val="0"/>
          <w:sz w:val="24"/>
          <w:szCs w:val="24"/>
        </w:rPr>
        <w:t>19</w:t>
      </w:r>
      <w:r>
        <w:rPr>
          <w:rFonts w:ascii="Times New Roman" w:eastAsia="宋体" w:hAnsi="Times New Roman" w:cs="Times New Roman"/>
          <w:kern w:val="0"/>
          <w:sz w:val="24"/>
          <w:szCs w:val="24"/>
        </w:rPr>
        <w:t>次</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天，</w:t>
      </w:r>
      <w:r>
        <w:rPr>
          <w:rFonts w:ascii="Times New Roman" w:eastAsia="宋体" w:hAnsi="Times New Roman" w:cs="Times New Roman" w:hint="eastAsia"/>
          <w:kern w:val="0"/>
          <w:sz w:val="24"/>
          <w:szCs w:val="24"/>
        </w:rPr>
        <w:t>厂区主要车辆共</w:t>
      </w:r>
      <w:r>
        <w:rPr>
          <w:rFonts w:ascii="Times New Roman" w:eastAsia="宋体" w:hAnsi="Times New Roman" w:cs="Times New Roman" w:hint="eastAsia"/>
          <w:kern w:val="0"/>
          <w:sz w:val="24"/>
          <w:szCs w:val="24"/>
        </w:rPr>
        <w:t>7</w:t>
      </w:r>
      <w:r>
        <w:rPr>
          <w:rFonts w:ascii="Times New Roman" w:eastAsia="宋体" w:hAnsi="Times New Roman" w:cs="Times New Roman" w:hint="eastAsia"/>
          <w:kern w:val="0"/>
          <w:sz w:val="24"/>
          <w:szCs w:val="24"/>
        </w:rPr>
        <w:t>辆，</w:t>
      </w:r>
      <w:r>
        <w:rPr>
          <w:rFonts w:ascii="Times New Roman" w:eastAsia="宋体" w:hAnsi="Times New Roman" w:cs="Times New Roman"/>
          <w:kern w:val="0"/>
          <w:sz w:val="24"/>
          <w:szCs w:val="24"/>
        </w:rPr>
        <w:t>根据《建筑给水排水设计规范》（</w:t>
      </w:r>
      <w:r>
        <w:rPr>
          <w:rFonts w:ascii="Times New Roman" w:eastAsia="宋体" w:hAnsi="Times New Roman" w:cs="Times New Roman"/>
          <w:kern w:val="0"/>
          <w:sz w:val="24"/>
          <w:szCs w:val="24"/>
        </w:rPr>
        <w:t>GB50015-2010</w:t>
      </w:r>
      <w:r>
        <w:rPr>
          <w:rFonts w:ascii="Times New Roman" w:eastAsia="宋体" w:hAnsi="Times New Roman" w:cs="Times New Roman"/>
          <w:kern w:val="0"/>
          <w:sz w:val="24"/>
          <w:szCs w:val="24"/>
        </w:rPr>
        <w:t>），汽车冲洗用水取值为</w:t>
      </w:r>
      <w:r>
        <w:rPr>
          <w:rFonts w:ascii="Times New Roman" w:eastAsia="宋体" w:hAnsi="Times New Roman" w:cs="Times New Roman"/>
          <w:kern w:val="0"/>
          <w:sz w:val="24"/>
          <w:szCs w:val="24"/>
        </w:rPr>
        <w:t>100L</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200L/</w:t>
      </w:r>
      <w:r>
        <w:rPr>
          <w:rFonts w:ascii="Times New Roman" w:eastAsia="宋体" w:hAnsi="Times New Roman" w:cs="Times New Roman"/>
          <w:kern w:val="0"/>
          <w:sz w:val="24"/>
          <w:szCs w:val="24"/>
        </w:rPr>
        <w:t>辆</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次，用水定额按</w:t>
      </w:r>
      <w:r>
        <w:rPr>
          <w:rFonts w:ascii="Times New Roman" w:eastAsia="宋体" w:hAnsi="Times New Roman" w:cs="Times New Roman"/>
          <w:kern w:val="0"/>
          <w:sz w:val="24"/>
          <w:szCs w:val="24"/>
        </w:rPr>
        <w:t>150L/</w:t>
      </w:r>
      <w:r>
        <w:rPr>
          <w:rFonts w:ascii="Times New Roman" w:eastAsia="宋体" w:hAnsi="Times New Roman" w:cs="Times New Roman"/>
          <w:kern w:val="0"/>
          <w:sz w:val="24"/>
          <w:szCs w:val="24"/>
        </w:rPr>
        <w:t>车</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次计算</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则</w:t>
      </w:r>
      <w:r>
        <w:rPr>
          <w:rFonts w:ascii="Times New Roman" w:eastAsia="宋体" w:hAnsi="Times New Roman" w:cs="Times New Roman" w:hint="eastAsia"/>
          <w:kern w:val="0"/>
          <w:sz w:val="24"/>
          <w:szCs w:val="24"/>
        </w:rPr>
        <w:t>全厂</w:t>
      </w:r>
      <w:r>
        <w:rPr>
          <w:rFonts w:ascii="Times New Roman" w:eastAsia="宋体" w:hAnsi="Times New Roman" w:cs="Times New Roman"/>
          <w:kern w:val="0"/>
          <w:sz w:val="24"/>
          <w:szCs w:val="24"/>
        </w:rPr>
        <w:t>车辆冲洗用水量</w:t>
      </w:r>
      <w:r>
        <w:rPr>
          <w:rFonts w:ascii="Times New Roman" w:eastAsia="宋体" w:hAnsi="Times New Roman" w:cs="Times New Roman"/>
          <w:kern w:val="0"/>
          <w:sz w:val="24"/>
          <w:szCs w:val="24"/>
        </w:rPr>
        <w:t>3.9m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，即</w:t>
      </w:r>
      <w:r>
        <w:rPr>
          <w:rFonts w:ascii="Times New Roman" w:eastAsia="宋体" w:hAnsi="Times New Roman" w:cs="Times New Roman"/>
          <w:kern w:val="0"/>
          <w:sz w:val="24"/>
          <w:szCs w:val="24"/>
        </w:rPr>
        <w:t>1423.5m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。污水量按用水量的</w:t>
      </w:r>
      <w:r>
        <w:rPr>
          <w:rFonts w:ascii="Times New Roman" w:eastAsia="宋体" w:hAnsi="Times New Roman" w:cs="Times New Roman"/>
          <w:kern w:val="0"/>
          <w:sz w:val="24"/>
          <w:szCs w:val="24"/>
        </w:rPr>
        <w:t>80%</w:t>
      </w:r>
      <w:r>
        <w:rPr>
          <w:rFonts w:ascii="Times New Roman" w:eastAsia="宋体" w:hAnsi="Times New Roman" w:cs="Times New Roman"/>
          <w:kern w:val="0"/>
          <w:sz w:val="24"/>
          <w:szCs w:val="24"/>
        </w:rPr>
        <w:t>计，冲洗废水产生量为</w:t>
      </w:r>
      <w:r>
        <w:rPr>
          <w:rFonts w:ascii="Times New Roman" w:eastAsia="宋体" w:hAnsi="Times New Roman" w:cs="Times New Roman"/>
          <w:kern w:val="0"/>
          <w:sz w:val="24"/>
          <w:szCs w:val="24"/>
        </w:rPr>
        <w:t>3.12m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，即</w:t>
      </w:r>
      <w:r>
        <w:rPr>
          <w:rFonts w:ascii="Times New Roman" w:eastAsia="宋体" w:hAnsi="Times New Roman" w:cs="Times New Roman"/>
          <w:kern w:val="0"/>
          <w:sz w:val="24"/>
          <w:szCs w:val="24"/>
        </w:rPr>
        <w:t>1138.8m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/a</w:t>
      </w:r>
      <w:r>
        <w:rPr>
          <w:rFonts w:ascii="Times New Roman" w:eastAsia="宋体" w:hAnsi="Times New Roman" w:cs="Times New Roman" w:hint="eastAsia"/>
          <w:kern w:val="0"/>
          <w:sz w:val="24"/>
          <w:szCs w:val="24"/>
        </w:rPr>
        <w:t>，冲洗</w:t>
      </w:r>
      <w:r>
        <w:rPr>
          <w:rFonts w:ascii="Times New Roman" w:eastAsia="宋体" w:hAnsi="Times New Roman" w:cs="Times New Roman" w:hint="eastAsia"/>
          <w:sz w:val="24"/>
        </w:rPr>
        <w:t>废水简单沉淀后全部回用于库区洒水抑尘。</w:t>
      </w:r>
    </w:p>
    <w:p w14:paraId="21C2E3AD"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）排水</w:t>
      </w:r>
    </w:p>
    <w:p w14:paraId="4CA5300D"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项目排水主要包括垃圾渗滤液、生活污水、渗滤液处理车间反冲洗废水和渗沥液处理车间地面冲洗废水。</w:t>
      </w:r>
    </w:p>
    <w:p w14:paraId="347044C7" w14:textId="79C6E8C2" w:rsidR="00CC6243"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生活污水的产生量按用水量的</w:t>
      </w:r>
      <w:r>
        <w:rPr>
          <w:rFonts w:ascii="Times New Roman" w:eastAsia="宋体" w:hAnsi="Times New Roman" w:cs="Times New Roman" w:hint="eastAsia"/>
          <w:sz w:val="24"/>
        </w:rPr>
        <w:t>8</w:t>
      </w:r>
      <w:r>
        <w:rPr>
          <w:rFonts w:ascii="Times New Roman" w:eastAsia="宋体" w:hAnsi="Times New Roman" w:cs="Times New Roman"/>
          <w:sz w:val="24"/>
        </w:rPr>
        <w:t>0</w:t>
      </w:r>
      <w:r>
        <w:rPr>
          <w:rFonts w:ascii="Times New Roman" w:eastAsia="宋体" w:hAnsi="Times New Roman" w:cs="Times New Roman" w:hint="eastAsia"/>
          <w:sz w:val="24"/>
        </w:rPr>
        <w:t>%</w:t>
      </w:r>
      <w:r>
        <w:rPr>
          <w:rFonts w:ascii="Times New Roman" w:eastAsia="宋体" w:hAnsi="Times New Roman" w:cs="Times New Roman" w:hint="eastAsia"/>
          <w:sz w:val="24"/>
        </w:rPr>
        <w:t>计算，则生活污水的产生量为</w:t>
      </w:r>
      <w:r>
        <w:rPr>
          <w:rFonts w:ascii="Times New Roman" w:eastAsia="宋体" w:hAnsi="Times New Roman" w:cs="Times New Roman" w:hint="eastAsia"/>
          <w:sz w:val="24"/>
        </w:rPr>
        <w:t>1</w:t>
      </w:r>
      <w:r>
        <w:rPr>
          <w:rFonts w:ascii="Times New Roman" w:eastAsia="宋体" w:hAnsi="Times New Roman" w:cs="Times New Roman"/>
          <w:sz w:val="24"/>
        </w:rPr>
        <w:t>.024</w:t>
      </w:r>
      <w:r>
        <w:rPr>
          <w:rFonts w:ascii="Times New Roman" w:eastAsia="宋体" w:hAnsi="Times New Roman" w:cs="Times New Roman" w:hint="eastAsia"/>
          <w:sz w:val="24"/>
        </w:rPr>
        <w:t>m</w:t>
      </w:r>
      <w:r>
        <w:rPr>
          <w:rFonts w:ascii="Times New Roman" w:eastAsia="宋体" w:hAnsi="Times New Roman" w:cs="Times New Roman"/>
          <w:sz w:val="24"/>
          <w:vertAlign w:val="superscript"/>
        </w:rPr>
        <w:t>3</w:t>
      </w:r>
      <w:r>
        <w:rPr>
          <w:rFonts w:ascii="Times New Roman" w:eastAsia="宋体" w:hAnsi="Times New Roman" w:cs="Times New Roman"/>
          <w:sz w:val="24"/>
        </w:rPr>
        <w:t>/</w:t>
      </w:r>
      <w:r>
        <w:rPr>
          <w:rFonts w:ascii="Times New Roman" w:eastAsia="宋体" w:hAnsi="Times New Roman" w:cs="Times New Roman" w:hint="eastAsia"/>
          <w:sz w:val="24"/>
        </w:rPr>
        <w:t>d</w:t>
      </w:r>
      <w:r>
        <w:rPr>
          <w:rFonts w:ascii="Times New Roman" w:eastAsia="宋体" w:hAnsi="Times New Roman" w:cs="Times New Roman" w:hint="eastAsia"/>
          <w:sz w:val="24"/>
        </w:rPr>
        <w:t>，生活污水经</w:t>
      </w:r>
      <w:r>
        <w:rPr>
          <w:rFonts w:ascii="Times New Roman" w:eastAsia="宋体" w:hAnsi="Times New Roman" w:cs="Times New Roman" w:hint="eastAsia"/>
          <w:sz w:val="24"/>
        </w:rPr>
        <w:lastRenderedPageBreak/>
        <w:t>化粪池处理后排至填埋场调节池内，进入渗沥液处理站处理。渗滤液处理车间反冲洗废水、渗沥液处理车间地面冲洗废水均进入渗沥液处理站处理。</w:t>
      </w:r>
      <w:r w:rsidR="00CC6243">
        <w:rPr>
          <w:rFonts w:ascii="Times New Roman" w:eastAsia="宋体" w:hAnsi="Times New Roman" w:cs="Times New Roman" w:hint="eastAsia"/>
          <w:sz w:val="24"/>
        </w:rPr>
        <w:t>进入渗滤液处理车间的废水量约为</w:t>
      </w:r>
      <w:r w:rsidR="00CC6243">
        <w:rPr>
          <w:rFonts w:ascii="Times New Roman" w:eastAsia="宋体" w:hAnsi="Times New Roman" w:cs="Times New Roman" w:hint="eastAsia"/>
          <w:sz w:val="24"/>
        </w:rPr>
        <w:t>4</w:t>
      </w:r>
      <w:r w:rsidR="00CC6243">
        <w:rPr>
          <w:rFonts w:ascii="Times New Roman" w:eastAsia="宋体" w:hAnsi="Times New Roman" w:cs="Times New Roman"/>
          <w:sz w:val="24"/>
        </w:rPr>
        <w:t>9.584</w:t>
      </w:r>
      <w:r w:rsidR="00CC6243">
        <w:rPr>
          <w:rFonts w:ascii="Times New Roman" w:eastAsia="宋体" w:hAnsi="Times New Roman" w:cs="Times New Roman" w:hint="eastAsia"/>
          <w:sz w:val="24"/>
        </w:rPr>
        <w:t>m</w:t>
      </w:r>
      <w:r w:rsidR="00CC6243" w:rsidRPr="00CC6243">
        <w:rPr>
          <w:rFonts w:ascii="Times New Roman" w:eastAsia="宋体" w:hAnsi="Times New Roman" w:cs="Times New Roman"/>
          <w:sz w:val="24"/>
          <w:vertAlign w:val="superscript"/>
        </w:rPr>
        <w:t>3</w:t>
      </w:r>
      <w:r w:rsidR="00CC6243">
        <w:rPr>
          <w:rFonts w:ascii="Times New Roman" w:eastAsia="宋体" w:hAnsi="Times New Roman" w:cs="Times New Roman"/>
          <w:sz w:val="24"/>
        </w:rPr>
        <w:t>/</w:t>
      </w:r>
      <w:r w:rsidR="00CC6243">
        <w:rPr>
          <w:rFonts w:ascii="Times New Roman" w:eastAsia="宋体" w:hAnsi="Times New Roman" w:cs="Times New Roman" w:hint="eastAsia"/>
          <w:sz w:val="24"/>
        </w:rPr>
        <w:t>d</w:t>
      </w:r>
      <w:r w:rsidR="00CC6243">
        <w:rPr>
          <w:rFonts w:ascii="Times New Roman" w:eastAsia="宋体" w:hAnsi="Times New Roman" w:cs="Times New Roman" w:hint="eastAsia"/>
          <w:sz w:val="24"/>
        </w:rPr>
        <w:t>，纳滤和反渗透产生的</w:t>
      </w:r>
      <w:r w:rsidR="00CC6243" w:rsidRPr="00CC6243">
        <w:rPr>
          <w:rFonts w:ascii="Times New Roman" w:eastAsia="宋体" w:hAnsi="Times New Roman" w:cs="Times New Roman" w:hint="eastAsia"/>
          <w:sz w:val="24"/>
        </w:rPr>
        <w:t>浓缩液约</w:t>
      </w:r>
      <w:r w:rsidR="00CC6243">
        <w:rPr>
          <w:rFonts w:ascii="Times New Roman" w:eastAsia="宋体" w:hAnsi="Times New Roman" w:cs="Times New Roman"/>
          <w:sz w:val="24"/>
        </w:rPr>
        <w:t>12.396</w:t>
      </w:r>
      <w:r w:rsidR="00CC6243" w:rsidRPr="00CC6243">
        <w:rPr>
          <w:rFonts w:ascii="Times New Roman" w:eastAsia="宋体" w:hAnsi="Times New Roman" w:cs="Times New Roman"/>
          <w:sz w:val="24"/>
        </w:rPr>
        <w:t>m</w:t>
      </w:r>
      <w:r w:rsidR="00CC6243" w:rsidRPr="00CC6243">
        <w:rPr>
          <w:rFonts w:ascii="Times New Roman" w:eastAsia="宋体" w:hAnsi="Times New Roman" w:cs="Times New Roman"/>
          <w:sz w:val="24"/>
          <w:vertAlign w:val="superscript"/>
        </w:rPr>
        <w:t>3</w:t>
      </w:r>
      <w:r w:rsidR="00CC6243" w:rsidRPr="00CC6243">
        <w:rPr>
          <w:rFonts w:ascii="Times New Roman" w:eastAsia="宋体" w:hAnsi="Times New Roman" w:cs="Times New Roman"/>
          <w:sz w:val="24"/>
        </w:rPr>
        <w:t>/d</w:t>
      </w:r>
      <w:r w:rsidR="00CC6243" w:rsidRPr="00CC6243">
        <w:rPr>
          <w:rFonts w:ascii="Times New Roman" w:eastAsia="宋体" w:hAnsi="Times New Roman" w:cs="Times New Roman"/>
          <w:sz w:val="24"/>
        </w:rPr>
        <w:t>（产水率按</w:t>
      </w:r>
      <w:r w:rsidR="00CC6243" w:rsidRPr="00CC6243">
        <w:rPr>
          <w:rFonts w:ascii="Times New Roman" w:eastAsia="宋体" w:hAnsi="Times New Roman" w:cs="Times New Roman"/>
          <w:sz w:val="24"/>
        </w:rPr>
        <w:t>75%</w:t>
      </w:r>
      <w:r w:rsidR="00CC6243" w:rsidRPr="00CC6243">
        <w:rPr>
          <w:rFonts w:ascii="Times New Roman" w:eastAsia="宋体" w:hAnsi="Times New Roman" w:cs="Times New Roman"/>
          <w:sz w:val="24"/>
        </w:rPr>
        <w:t>计），浓缩液由浓缩液回灌泵经石笼回灌井回灌至填埋场。</w:t>
      </w:r>
      <w:r w:rsidR="00CC6243" w:rsidRPr="00CC6243">
        <w:rPr>
          <w:rFonts w:ascii="Times New Roman" w:eastAsia="宋体" w:hAnsi="Times New Roman" w:cs="Times New Roman" w:hint="eastAsia"/>
          <w:sz w:val="24"/>
        </w:rPr>
        <w:t>处理</w:t>
      </w:r>
      <w:r w:rsidR="00CC6243">
        <w:rPr>
          <w:rFonts w:ascii="Times New Roman" w:eastAsia="宋体" w:hAnsi="Times New Roman" w:cs="Times New Roman" w:hint="eastAsia"/>
          <w:sz w:val="24"/>
        </w:rPr>
        <w:t>后的</w:t>
      </w:r>
      <w:r w:rsidR="00CC6243" w:rsidRPr="00CC6243">
        <w:rPr>
          <w:rFonts w:ascii="Times New Roman" w:eastAsia="宋体" w:hAnsi="Times New Roman" w:cs="Times New Roman" w:hint="eastAsia"/>
          <w:sz w:val="24"/>
        </w:rPr>
        <w:t>清水达标后</w:t>
      </w:r>
      <w:r w:rsidR="00CC6243">
        <w:rPr>
          <w:rFonts w:ascii="Times New Roman" w:eastAsia="宋体" w:hAnsi="Times New Roman" w:cs="Times New Roman" w:hint="eastAsia"/>
          <w:sz w:val="24"/>
        </w:rPr>
        <w:t>部分用于库区洒水，剩余尾水采用槽罐车运输方式，运至柞水县污水处理厂进一步处理。污泥压滤产生的废水返回渗滤液处理车间进行处理。</w:t>
      </w:r>
    </w:p>
    <w:p w14:paraId="125DA3F7"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本项目水平衡表见表</w:t>
      </w:r>
      <w:r>
        <w:rPr>
          <w:rFonts w:ascii="Times New Roman" w:eastAsia="宋体" w:hAnsi="Times New Roman" w:cs="Times New Roman"/>
          <w:sz w:val="24"/>
        </w:rPr>
        <w:t>3.7-1</w:t>
      </w:r>
      <w:r>
        <w:rPr>
          <w:rFonts w:ascii="Times New Roman" w:eastAsia="宋体" w:hAnsi="Times New Roman" w:cs="Times New Roman"/>
          <w:sz w:val="24"/>
        </w:rPr>
        <w:t>，平衡图见图</w:t>
      </w:r>
      <w:r>
        <w:rPr>
          <w:rFonts w:ascii="Times New Roman" w:eastAsia="宋体" w:hAnsi="Times New Roman" w:cs="Times New Roman"/>
          <w:sz w:val="24"/>
        </w:rPr>
        <w:t>3.7-1</w:t>
      </w:r>
      <w:r>
        <w:rPr>
          <w:rFonts w:ascii="Times New Roman" w:eastAsia="宋体" w:hAnsi="Times New Roman" w:cs="Times New Roman"/>
          <w:sz w:val="24"/>
        </w:rPr>
        <w:t>。</w:t>
      </w:r>
    </w:p>
    <w:p w14:paraId="2D67EB36" w14:textId="77777777" w:rsidR="00D12939" w:rsidRDefault="004F47F5">
      <w:pPr>
        <w:pStyle w:val="Default"/>
        <w:spacing w:beforeLines="50" w:before="156"/>
        <w:jc w:val="center"/>
        <w:rPr>
          <w:rFonts w:ascii="黑体" w:eastAsia="黑体" w:hAnsi="黑体" w:cs="Times New Roman"/>
          <w:color w:val="auto"/>
        </w:rPr>
      </w:pPr>
      <w:r>
        <w:rPr>
          <w:rFonts w:ascii="黑体" w:eastAsia="黑体" w:hAnsi="黑体" w:cs="Times New Roman"/>
          <w:color w:val="auto"/>
        </w:rPr>
        <w:t>表3.7-1     本项目水平衡表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86"/>
        <w:gridCol w:w="1794"/>
        <w:gridCol w:w="2184"/>
        <w:gridCol w:w="1558"/>
        <w:gridCol w:w="1986"/>
        <w:gridCol w:w="1508"/>
      </w:tblGrid>
      <w:tr w:rsidR="00D12939" w14:paraId="468DF3D0" w14:textId="77777777">
        <w:trPr>
          <w:trHeight w:val="386"/>
          <w:tblHeader/>
          <w:jc w:val="center"/>
        </w:trPr>
        <w:tc>
          <w:tcPr>
            <w:tcW w:w="2400" w:type="pct"/>
            <w:gridSpan w:val="3"/>
            <w:vAlign w:val="center"/>
          </w:tcPr>
          <w:p w14:paraId="06B73E1A"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输入</w:t>
            </w:r>
          </w:p>
        </w:tc>
        <w:tc>
          <w:tcPr>
            <w:tcW w:w="802" w:type="pct"/>
            <w:vMerge w:val="restart"/>
            <w:vAlign w:val="center"/>
          </w:tcPr>
          <w:p w14:paraId="3ED629DC"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消耗及</w:t>
            </w:r>
          </w:p>
          <w:p w14:paraId="3910C286"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损耗量</w:t>
            </w:r>
            <w:r>
              <w:rPr>
                <w:rFonts w:ascii="Times New Roman" w:eastAsia="宋体" w:hAnsi="Times New Roman" w:cs="Times New Roman"/>
                <w:kern w:val="0"/>
                <w:szCs w:val="21"/>
              </w:rPr>
              <w:t>(m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d</w:t>
            </w:r>
            <w:r>
              <w:rPr>
                <w:rFonts w:ascii="Times New Roman" w:eastAsia="宋体" w:hAnsi="Times New Roman" w:cs="Times New Roman"/>
                <w:kern w:val="0"/>
                <w:szCs w:val="21"/>
              </w:rPr>
              <w:t>)</w:t>
            </w:r>
          </w:p>
        </w:tc>
        <w:tc>
          <w:tcPr>
            <w:tcW w:w="1798" w:type="pct"/>
            <w:gridSpan w:val="2"/>
            <w:vAlign w:val="center"/>
          </w:tcPr>
          <w:p w14:paraId="53037435"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输出</w:t>
            </w:r>
          </w:p>
        </w:tc>
      </w:tr>
      <w:tr w:rsidR="00D12939" w14:paraId="0BA9BCF8" w14:textId="77777777">
        <w:trPr>
          <w:jc w:val="center"/>
        </w:trPr>
        <w:tc>
          <w:tcPr>
            <w:tcW w:w="353" w:type="pct"/>
            <w:vAlign w:val="center"/>
          </w:tcPr>
          <w:p w14:paraId="4ECF553E"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序号</w:t>
            </w:r>
          </w:p>
        </w:tc>
        <w:tc>
          <w:tcPr>
            <w:tcW w:w="923" w:type="pct"/>
            <w:vAlign w:val="center"/>
          </w:tcPr>
          <w:p w14:paraId="03060DD5"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名称</w:t>
            </w:r>
          </w:p>
        </w:tc>
        <w:tc>
          <w:tcPr>
            <w:tcW w:w="1124" w:type="pct"/>
            <w:vAlign w:val="center"/>
          </w:tcPr>
          <w:p w14:paraId="1A4D63D9"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新鲜水量</w:t>
            </w:r>
            <w:r>
              <w:rPr>
                <w:rFonts w:ascii="Times New Roman" w:eastAsia="宋体" w:hAnsi="Times New Roman" w:cs="Times New Roman"/>
                <w:kern w:val="0"/>
                <w:szCs w:val="21"/>
              </w:rPr>
              <w:t>(m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d</w:t>
            </w:r>
            <w:r>
              <w:rPr>
                <w:rFonts w:ascii="Times New Roman" w:eastAsia="宋体" w:hAnsi="Times New Roman" w:cs="Times New Roman"/>
                <w:kern w:val="0"/>
                <w:szCs w:val="21"/>
              </w:rPr>
              <w:t>)</w:t>
            </w:r>
          </w:p>
        </w:tc>
        <w:tc>
          <w:tcPr>
            <w:tcW w:w="802" w:type="pct"/>
            <w:vMerge/>
            <w:vAlign w:val="center"/>
          </w:tcPr>
          <w:p w14:paraId="25FC298B" w14:textId="77777777" w:rsidR="00D12939" w:rsidRDefault="00D12939">
            <w:pPr>
              <w:jc w:val="center"/>
              <w:rPr>
                <w:rFonts w:ascii="Times New Roman" w:eastAsia="宋体" w:hAnsi="Times New Roman" w:cs="Times New Roman"/>
                <w:kern w:val="0"/>
                <w:szCs w:val="21"/>
              </w:rPr>
            </w:pPr>
          </w:p>
        </w:tc>
        <w:tc>
          <w:tcPr>
            <w:tcW w:w="1022" w:type="pct"/>
            <w:tcBorders>
              <w:top w:val="single" w:sz="4" w:space="0" w:color="auto"/>
            </w:tcBorders>
            <w:vAlign w:val="center"/>
          </w:tcPr>
          <w:p w14:paraId="55D27C55"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最终去处</w:t>
            </w:r>
          </w:p>
        </w:tc>
        <w:tc>
          <w:tcPr>
            <w:tcW w:w="776" w:type="pct"/>
            <w:tcBorders>
              <w:top w:val="single" w:sz="4" w:space="0" w:color="auto"/>
            </w:tcBorders>
            <w:vAlign w:val="center"/>
          </w:tcPr>
          <w:p w14:paraId="06F8A39F"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产生量</w:t>
            </w:r>
            <w:r>
              <w:rPr>
                <w:rFonts w:ascii="Times New Roman" w:eastAsia="宋体" w:hAnsi="Times New Roman" w:cs="Times New Roman"/>
                <w:kern w:val="0"/>
                <w:szCs w:val="21"/>
              </w:rPr>
              <w:t>(m</w:t>
            </w:r>
            <w:r>
              <w:rPr>
                <w:rFonts w:ascii="Times New Roman" w:eastAsia="宋体" w:hAnsi="Times New Roman" w:cs="Times New Roman"/>
                <w:kern w:val="0"/>
                <w:szCs w:val="21"/>
                <w:vertAlign w:val="superscript"/>
              </w:rPr>
              <w:t>3</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d</w:t>
            </w:r>
            <w:r>
              <w:rPr>
                <w:rFonts w:ascii="Times New Roman" w:eastAsia="宋体" w:hAnsi="Times New Roman" w:cs="Times New Roman"/>
                <w:kern w:val="0"/>
                <w:szCs w:val="21"/>
              </w:rPr>
              <w:t>)</w:t>
            </w:r>
          </w:p>
        </w:tc>
      </w:tr>
      <w:tr w:rsidR="00D12939" w14:paraId="18071FB8" w14:textId="77777777">
        <w:trPr>
          <w:jc w:val="center"/>
        </w:trPr>
        <w:tc>
          <w:tcPr>
            <w:tcW w:w="353" w:type="pct"/>
            <w:vAlign w:val="center"/>
          </w:tcPr>
          <w:p w14:paraId="09C31E09"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923" w:type="pct"/>
            <w:vAlign w:val="center"/>
          </w:tcPr>
          <w:p w14:paraId="1D63EBA1"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hint="eastAsia"/>
                <w:szCs w:val="21"/>
              </w:rPr>
              <w:t>垃圾渗滤液</w:t>
            </w:r>
          </w:p>
        </w:tc>
        <w:tc>
          <w:tcPr>
            <w:tcW w:w="1124" w:type="pct"/>
            <w:vAlign w:val="center"/>
          </w:tcPr>
          <w:p w14:paraId="1D53475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40.56</w:t>
            </w:r>
            <w:r>
              <w:rPr>
                <w:rFonts w:ascii="Times New Roman" w:eastAsia="宋体" w:hAnsi="Times New Roman" w:cs="Times New Roman" w:hint="eastAsia"/>
                <w:szCs w:val="21"/>
              </w:rPr>
              <w:t>（垃圾产生）</w:t>
            </w:r>
          </w:p>
        </w:tc>
        <w:tc>
          <w:tcPr>
            <w:tcW w:w="802" w:type="pct"/>
            <w:vAlign w:val="center"/>
          </w:tcPr>
          <w:p w14:paraId="1EE4DC3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022" w:type="pct"/>
            <w:vMerge w:val="restart"/>
            <w:vAlign w:val="center"/>
          </w:tcPr>
          <w:p w14:paraId="4CE16E11" w14:textId="6C44661D"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垃圾渗滤液处理</w:t>
            </w:r>
            <w:r w:rsidR="00CC6243">
              <w:rPr>
                <w:rFonts w:ascii="Times New Roman" w:eastAsia="宋体" w:hAnsi="Times New Roman" w:cs="Times New Roman" w:hint="eastAsia"/>
                <w:kern w:val="0"/>
                <w:szCs w:val="21"/>
              </w:rPr>
              <w:t>后清液</w:t>
            </w:r>
            <w:r>
              <w:rPr>
                <w:rFonts w:ascii="Times New Roman" w:eastAsia="宋体" w:hAnsi="Times New Roman" w:cs="Times New Roman" w:hint="eastAsia"/>
                <w:kern w:val="0"/>
                <w:szCs w:val="21"/>
              </w:rPr>
              <w:t>达标后运至柞水县污水处理厂进一步处理</w:t>
            </w:r>
          </w:p>
        </w:tc>
        <w:tc>
          <w:tcPr>
            <w:tcW w:w="776" w:type="pct"/>
            <w:vMerge w:val="restart"/>
            <w:vAlign w:val="center"/>
          </w:tcPr>
          <w:p w14:paraId="7F486993" w14:textId="0A4E8958" w:rsidR="00D12939" w:rsidRDefault="00CC6243">
            <w:pPr>
              <w:widowControl/>
              <w:jc w:val="center"/>
              <w:textAlignment w:val="bottom"/>
              <w:rPr>
                <w:rFonts w:ascii="Times New Roman" w:eastAsia="宋体" w:hAnsi="Times New Roman" w:cs="Times New Roman"/>
                <w:szCs w:val="21"/>
              </w:rPr>
            </w:pPr>
            <w:r>
              <w:rPr>
                <w:rFonts w:ascii="Times New Roman" w:eastAsia="宋体" w:hAnsi="Times New Roman" w:cs="Times New Roman"/>
                <w:kern w:val="0"/>
                <w:szCs w:val="21"/>
              </w:rPr>
              <w:t>35.162</w:t>
            </w:r>
          </w:p>
        </w:tc>
      </w:tr>
      <w:tr w:rsidR="00D12939" w14:paraId="36573CA7" w14:textId="77777777">
        <w:trPr>
          <w:trHeight w:val="302"/>
          <w:jc w:val="center"/>
        </w:trPr>
        <w:tc>
          <w:tcPr>
            <w:tcW w:w="353" w:type="pct"/>
            <w:vAlign w:val="center"/>
          </w:tcPr>
          <w:p w14:paraId="64589E4C"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923" w:type="pct"/>
            <w:vAlign w:val="center"/>
          </w:tcPr>
          <w:p w14:paraId="36BDBC40"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生活用水</w:t>
            </w:r>
          </w:p>
        </w:tc>
        <w:tc>
          <w:tcPr>
            <w:tcW w:w="1124" w:type="pct"/>
            <w:vAlign w:val="center"/>
          </w:tcPr>
          <w:p w14:paraId="27EBB9A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lang w:val="zh-CN"/>
              </w:rPr>
              <w:t>1.28</w:t>
            </w:r>
          </w:p>
        </w:tc>
        <w:tc>
          <w:tcPr>
            <w:tcW w:w="802" w:type="pct"/>
            <w:vAlign w:val="center"/>
          </w:tcPr>
          <w:p w14:paraId="193DB2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lang w:val="zh-CN"/>
              </w:rPr>
              <w:t>0.256</w:t>
            </w:r>
          </w:p>
        </w:tc>
        <w:tc>
          <w:tcPr>
            <w:tcW w:w="1022" w:type="pct"/>
            <w:vMerge/>
            <w:vAlign w:val="center"/>
          </w:tcPr>
          <w:p w14:paraId="6F07F7F6" w14:textId="77777777" w:rsidR="00D12939" w:rsidRDefault="00D12939">
            <w:pPr>
              <w:jc w:val="center"/>
              <w:rPr>
                <w:rFonts w:ascii="Times New Roman" w:eastAsia="宋体" w:hAnsi="Times New Roman" w:cs="Times New Roman"/>
                <w:szCs w:val="21"/>
              </w:rPr>
            </w:pPr>
          </w:p>
        </w:tc>
        <w:tc>
          <w:tcPr>
            <w:tcW w:w="776" w:type="pct"/>
            <w:vMerge/>
            <w:vAlign w:val="center"/>
          </w:tcPr>
          <w:p w14:paraId="1FC07BB9" w14:textId="77777777" w:rsidR="00D12939" w:rsidRDefault="00D12939">
            <w:pPr>
              <w:widowControl/>
              <w:jc w:val="center"/>
              <w:textAlignment w:val="bottom"/>
              <w:rPr>
                <w:rFonts w:ascii="Times New Roman" w:eastAsia="宋体" w:hAnsi="Times New Roman" w:cs="Times New Roman"/>
                <w:szCs w:val="21"/>
              </w:rPr>
            </w:pPr>
          </w:p>
        </w:tc>
      </w:tr>
      <w:tr w:rsidR="00D12939" w14:paraId="1211A9EE" w14:textId="77777777">
        <w:trPr>
          <w:jc w:val="center"/>
        </w:trPr>
        <w:tc>
          <w:tcPr>
            <w:tcW w:w="353" w:type="pct"/>
            <w:vAlign w:val="center"/>
          </w:tcPr>
          <w:p w14:paraId="4BBEA158"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923" w:type="pct"/>
            <w:vAlign w:val="center"/>
          </w:tcPr>
          <w:p w14:paraId="6B407C2A"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渗滤液处理车间反冲洗水</w:t>
            </w:r>
          </w:p>
        </w:tc>
        <w:tc>
          <w:tcPr>
            <w:tcW w:w="1124" w:type="pct"/>
            <w:vAlign w:val="center"/>
          </w:tcPr>
          <w:p w14:paraId="23E8573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5</w:t>
            </w:r>
          </w:p>
        </w:tc>
        <w:tc>
          <w:tcPr>
            <w:tcW w:w="802" w:type="pct"/>
            <w:vAlign w:val="center"/>
          </w:tcPr>
          <w:p w14:paraId="23677BEE"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1022" w:type="pct"/>
            <w:vMerge/>
            <w:vAlign w:val="center"/>
          </w:tcPr>
          <w:p w14:paraId="540A18D9" w14:textId="77777777" w:rsidR="00D12939" w:rsidRDefault="00D12939">
            <w:pPr>
              <w:jc w:val="center"/>
              <w:rPr>
                <w:rFonts w:ascii="Times New Roman" w:eastAsia="宋体" w:hAnsi="Times New Roman" w:cs="Times New Roman"/>
                <w:kern w:val="0"/>
                <w:szCs w:val="21"/>
              </w:rPr>
            </w:pPr>
          </w:p>
        </w:tc>
        <w:tc>
          <w:tcPr>
            <w:tcW w:w="776" w:type="pct"/>
            <w:vMerge/>
            <w:vAlign w:val="center"/>
          </w:tcPr>
          <w:p w14:paraId="2268304C" w14:textId="77777777" w:rsidR="00D12939" w:rsidRDefault="00D12939">
            <w:pPr>
              <w:widowControl/>
              <w:jc w:val="center"/>
              <w:rPr>
                <w:rFonts w:ascii="Times New Roman" w:eastAsia="宋体" w:hAnsi="Times New Roman" w:cs="Times New Roman"/>
                <w:kern w:val="0"/>
                <w:szCs w:val="21"/>
              </w:rPr>
            </w:pPr>
          </w:p>
        </w:tc>
      </w:tr>
      <w:tr w:rsidR="00D12939" w14:paraId="29D575A8" w14:textId="77777777">
        <w:trPr>
          <w:jc w:val="center"/>
        </w:trPr>
        <w:tc>
          <w:tcPr>
            <w:tcW w:w="353" w:type="pct"/>
            <w:vAlign w:val="center"/>
          </w:tcPr>
          <w:p w14:paraId="4AB0CC87"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923" w:type="pct"/>
            <w:vAlign w:val="center"/>
          </w:tcPr>
          <w:p w14:paraId="7BA3324D"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车间地面冲洗水</w:t>
            </w:r>
          </w:p>
        </w:tc>
        <w:tc>
          <w:tcPr>
            <w:tcW w:w="1124" w:type="pct"/>
            <w:vAlign w:val="center"/>
          </w:tcPr>
          <w:p w14:paraId="3ECDBD5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802" w:type="pct"/>
            <w:vAlign w:val="center"/>
          </w:tcPr>
          <w:p w14:paraId="75E4A45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1022" w:type="pct"/>
            <w:vMerge/>
            <w:vAlign w:val="center"/>
          </w:tcPr>
          <w:p w14:paraId="5F8093BC" w14:textId="77777777" w:rsidR="00D12939" w:rsidRDefault="00D12939">
            <w:pPr>
              <w:widowControl/>
              <w:jc w:val="center"/>
              <w:rPr>
                <w:rFonts w:ascii="Times New Roman" w:eastAsia="宋体" w:hAnsi="Times New Roman" w:cs="Times New Roman"/>
                <w:kern w:val="0"/>
                <w:szCs w:val="21"/>
              </w:rPr>
            </w:pPr>
          </w:p>
        </w:tc>
        <w:tc>
          <w:tcPr>
            <w:tcW w:w="776" w:type="pct"/>
            <w:vMerge/>
            <w:vAlign w:val="center"/>
          </w:tcPr>
          <w:p w14:paraId="62B08B1B" w14:textId="77777777" w:rsidR="00D12939" w:rsidRDefault="00D12939">
            <w:pPr>
              <w:widowControl/>
              <w:jc w:val="center"/>
              <w:rPr>
                <w:rFonts w:ascii="Times New Roman" w:eastAsia="宋体" w:hAnsi="Times New Roman" w:cs="Times New Roman"/>
                <w:kern w:val="0"/>
                <w:szCs w:val="21"/>
              </w:rPr>
            </w:pPr>
          </w:p>
        </w:tc>
      </w:tr>
      <w:tr w:rsidR="00D12939" w14:paraId="1A69DE71" w14:textId="77777777">
        <w:trPr>
          <w:jc w:val="center"/>
        </w:trPr>
        <w:tc>
          <w:tcPr>
            <w:tcW w:w="353" w:type="pct"/>
            <w:vAlign w:val="center"/>
          </w:tcPr>
          <w:p w14:paraId="7D0F889E"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923" w:type="pct"/>
            <w:vAlign w:val="center"/>
          </w:tcPr>
          <w:p w14:paraId="57F90664"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hint="eastAsia"/>
                <w:szCs w:val="21"/>
              </w:rPr>
              <w:t>绿化用水</w:t>
            </w:r>
          </w:p>
        </w:tc>
        <w:tc>
          <w:tcPr>
            <w:tcW w:w="1124" w:type="pct"/>
            <w:vAlign w:val="center"/>
          </w:tcPr>
          <w:p w14:paraId="077700E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5.6</w:t>
            </w:r>
          </w:p>
        </w:tc>
        <w:tc>
          <w:tcPr>
            <w:tcW w:w="802" w:type="pct"/>
            <w:vAlign w:val="center"/>
          </w:tcPr>
          <w:p w14:paraId="7B693C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5.6</w:t>
            </w:r>
          </w:p>
        </w:tc>
        <w:tc>
          <w:tcPr>
            <w:tcW w:w="1022" w:type="pct"/>
            <w:vAlign w:val="center"/>
          </w:tcPr>
          <w:p w14:paraId="0F555E73"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污泥带走</w:t>
            </w:r>
          </w:p>
        </w:tc>
        <w:tc>
          <w:tcPr>
            <w:tcW w:w="776" w:type="pct"/>
            <w:vAlign w:val="center"/>
          </w:tcPr>
          <w:p w14:paraId="59151F98"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0.146</w:t>
            </w:r>
          </w:p>
        </w:tc>
      </w:tr>
      <w:tr w:rsidR="00D12939" w14:paraId="22E8DA68" w14:textId="77777777">
        <w:trPr>
          <w:jc w:val="center"/>
        </w:trPr>
        <w:tc>
          <w:tcPr>
            <w:tcW w:w="353" w:type="pct"/>
            <w:vAlign w:val="center"/>
          </w:tcPr>
          <w:p w14:paraId="6A874ED1"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923" w:type="pct"/>
            <w:vAlign w:val="center"/>
          </w:tcPr>
          <w:p w14:paraId="63E7A9D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道路及库区洒水抑尘</w:t>
            </w:r>
          </w:p>
        </w:tc>
        <w:tc>
          <w:tcPr>
            <w:tcW w:w="1124" w:type="pct"/>
            <w:vAlign w:val="center"/>
          </w:tcPr>
          <w:p w14:paraId="496BE8A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4.23</w:t>
            </w:r>
          </w:p>
        </w:tc>
        <w:tc>
          <w:tcPr>
            <w:tcW w:w="802" w:type="pct"/>
            <w:vAlign w:val="center"/>
          </w:tcPr>
          <w:p w14:paraId="4BCA6F4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9.23</w:t>
            </w:r>
          </w:p>
        </w:tc>
        <w:tc>
          <w:tcPr>
            <w:tcW w:w="1022" w:type="pct"/>
            <w:vAlign w:val="center"/>
          </w:tcPr>
          <w:p w14:paraId="301B80E9" w14:textId="7FB6B982" w:rsidR="00D12939" w:rsidRDefault="00CC6243">
            <w:pPr>
              <w:jc w:val="center"/>
              <w:rPr>
                <w:rFonts w:ascii="Times New Roman" w:eastAsia="宋体" w:hAnsi="Times New Roman" w:cs="Times New Roman"/>
                <w:szCs w:val="21"/>
              </w:rPr>
            </w:pPr>
            <w:r>
              <w:rPr>
                <w:rFonts w:ascii="Times New Roman" w:eastAsia="宋体" w:hAnsi="Times New Roman" w:cs="Times New Roman" w:hint="eastAsia"/>
                <w:szCs w:val="21"/>
              </w:rPr>
              <w:t>浓缩液回灌填埋区</w:t>
            </w:r>
          </w:p>
        </w:tc>
        <w:tc>
          <w:tcPr>
            <w:tcW w:w="776" w:type="pct"/>
            <w:vAlign w:val="center"/>
          </w:tcPr>
          <w:p w14:paraId="2A2D3221" w14:textId="36501A35" w:rsidR="00D12939" w:rsidRDefault="00CC6243">
            <w:pPr>
              <w:jc w:val="center"/>
              <w:rPr>
                <w:rFonts w:ascii="Times New Roman" w:eastAsia="宋体" w:hAnsi="Times New Roman" w:cs="Times New Roman"/>
                <w:szCs w:val="21"/>
              </w:rPr>
            </w:pPr>
            <w:r>
              <w:rPr>
                <w:rFonts w:ascii="Times New Roman" w:eastAsia="宋体" w:hAnsi="Times New Roman" w:cs="Times New Roman"/>
                <w:szCs w:val="21"/>
              </w:rPr>
              <w:t>12.396</w:t>
            </w:r>
          </w:p>
        </w:tc>
      </w:tr>
      <w:tr w:rsidR="00D12939" w14:paraId="287F89F1" w14:textId="77777777">
        <w:trPr>
          <w:jc w:val="center"/>
        </w:trPr>
        <w:tc>
          <w:tcPr>
            <w:tcW w:w="353" w:type="pct"/>
            <w:vAlign w:val="center"/>
          </w:tcPr>
          <w:p w14:paraId="5A0F8705"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923" w:type="pct"/>
            <w:vAlign w:val="center"/>
          </w:tcPr>
          <w:p w14:paraId="20BBB059" w14:textId="77777777" w:rsidR="00D12939" w:rsidRDefault="004F47F5">
            <w:pPr>
              <w:ind w:firstLineChars="100" w:firstLine="210"/>
              <w:rPr>
                <w:rFonts w:ascii="Times New Roman" w:eastAsia="宋体" w:hAnsi="Times New Roman" w:cs="Times New Roman"/>
                <w:szCs w:val="21"/>
              </w:rPr>
            </w:pPr>
            <w:r>
              <w:rPr>
                <w:rFonts w:ascii="Times New Roman" w:eastAsia="宋体" w:hAnsi="Times New Roman" w:cs="Times New Roman" w:hint="eastAsia"/>
                <w:szCs w:val="21"/>
              </w:rPr>
              <w:t>车辆清洗用水</w:t>
            </w:r>
          </w:p>
        </w:tc>
        <w:tc>
          <w:tcPr>
            <w:tcW w:w="1124" w:type="pct"/>
            <w:vAlign w:val="center"/>
          </w:tcPr>
          <w:p w14:paraId="5B68FE8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3.9</w:t>
            </w:r>
          </w:p>
        </w:tc>
        <w:tc>
          <w:tcPr>
            <w:tcW w:w="802" w:type="pct"/>
            <w:vAlign w:val="center"/>
          </w:tcPr>
          <w:p w14:paraId="65F963B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0.78</w:t>
            </w:r>
          </w:p>
        </w:tc>
        <w:tc>
          <w:tcPr>
            <w:tcW w:w="1022" w:type="pct"/>
            <w:vAlign w:val="center"/>
          </w:tcPr>
          <w:p w14:paraId="2B739284"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w:t>
            </w:r>
          </w:p>
        </w:tc>
        <w:tc>
          <w:tcPr>
            <w:tcW w:w="776" w:type="pct"/>
            <w:vAlign w:val="center"/>
          </w:tcPr>
          <w:p w14:paraId="0BC8916C"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715C2520" w14:textId="77777777">
        <w:trPr>
          <w:jc w:val="center"/>
        </w:trPr>
        <w:tc>
          <w:tcPr>
            <w:tcW w:w="1276" w:type="pct"/>
            <w:gridSpan w:val="2"/>
            <w:vAlign w:val="center"/>
          </w:tcPr>
          <w:p w14:paraId="3FDBB4BF"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kern w:val="0"/>
                <w:szCs w:val="21"/>
              </w:rPr>
              <w:t>合计</w:t>
            </w:r>
          </w:p>
        </w:tc>
        <w:tc>
          <w:tcPr>
            <w:tcW w:w="1124" w:type="pct"/>
            <w:vAlign w:val="center"/>
          </w:tcPr>
          <w:p w14:paraId="6AB1E73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73.57</w:t>
            </w:r>
          </w:p>
        </w:tc>
        <w:tc>
          <w:tcPr>
            <w:tcW w:w="802" w:type="pct"/>
            <w:vAlign w:val="center"/>
          </w:tcPr>
          <w:p w14:paraId="45FF1A8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25.866</w:t>
            </w:r>
          </w:p>
        </w:tc>
        <w:tc>
          <w:tcPr>
            <w:tcW w:w="1022" w:type="pct"/>
            <w:vAlign w:val="center"/>
          </w:tcPr>
          <w:p w14:paraId="66AA14DE"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合计</w:t>
            </w:r>
          </w:p>
        </w:tc>
        <w:tc>
          <w:tcPr>
            <w:tcW w:w="776" w:type="pct"/>
            <w:vAlign w:val="center"/>
          </w:tcPr>
          <w:p w14:paraId="25EF88B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47.704</w:t>
            </w:r>
          </w:p>
        </w:tc>
      </w:tr>
    </w:tbl>
    <w:p w14:paraId="77091E41" w14:textId="7BDCEF2A" w:rsidR="00D12939" w:rsidRDefault="00DA291F">
      <w:pPr>
        <w:spacing w:line="360" w:lineRule="auto"/>
        <w:rPr>
          <w:rFonts w:ascii="Times New Roman" w:eastAsia="宋体" w:hAnsi="Times New Roman" w:cs="Times New Roman"/>
          <w:sz w:val="24"/>
        </w:rPr>
      </w:pPr>
      <w:r w:rsidRPr="00DA291F">
        <w:rPr>
          <w:noProof/>
        </w:rPr>
        <w:drawing>
          <wp:inline distT="0" distB="0" distL="0" distR="0" wp14:anchorId="4D490C46" wp14:editId="24033130">
            <wp:extent cx="6188710" cy="3283556"/>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88710" cy="3283556"/>
                    </a:xfrm>
                    <a:prstGeom prst="rect">
                      <a:avLst/>
                    </a:prstGeom>
                    <a:noFill/>
                    <a:ln>
                      <a:noFill/>
                    </a:ln>
                  </pic:spPr>
                </pic:pic>
              </a:graphicData>
            </a:graphic>
          </wp:inline>
        </w:drawing>
      </w:r>
    </w:p>
    <w:p w14:paraId="33DA9787" w14:textId="77777777" w:rsidR="00D12939" w:rsidRDefault="004F47F5">
      <w:pPr>
        <w:spacing w:line="360" w:lineRule="auto"/>
        <w:ind w:firstLine="462"/>
        <w:jc w:val="center"/>
        <w:rPr>
          <w:rFonts w:ascii="黑体" w:eastAsia="黑体" w:hAnsi="黑体" w:cs="Times New Roman"/>
          <w:sz w:val="24"/>
        </w:rPr>
      </w:pPr>
      <w:r>
        <w:rPr>
          <w:rFonts w:ascii="黑体" w:eastAsia="黑体" w:hAnsi="黑体" w:cs="Times New Roman" w:hint="eastAsia"/>
          <w:sz w:val="24"/>
        </w:rPr>
        <w:t>图3</w:t>
      </w:r>
      <w:r>
        <w:rPr>
          <w:rFonts w:ascii="黑体" w:eastAsia="黑体" w:hAnsi="黑体" w:cs="Times New Roman"/>
          <w:sz w:val="24"/>
        </w:rPr>
        <w:t xml:space="preserve">.7-1  </w:t>
      </w:r>
      <w:r>
        <w:rPr>
          <w:rFonts w:ascii="黑体" w:eastAsia="黑体" w:hAnsi="黑体" w:cs="Times New Roman" w:hint="eastAsia"/>
          <w:sz w:val="24"/>
        </w:rPr>
        <w:t>水平衡图（单位：m</w:t>
      </w:r>
      <w:r>
        <w:rPr>
          <w:rFonts w:ascii="黑体" w:eastAsia="黑体" w:hAnsi="黑体" w:cs="Times New Roman"/>
          <w:sz w:val="24"/>
          <w:vertAlign w:val="superscript"/>
        </w:rPr>
        <w:t>3</w:t>
      </w:r>
      <w:r>
        <w:rPr>
          <w:rFonts w:ascii="黑体" w:eastAsia="黑体" w:hAnsi="黑体" w:cs="Times New Roman"/>
          <w:sz w:val="24"/>
        </w:rPr>
        <w:t>/</w:t>
      </w:r>
      <w:r>
        <w:rPr>
          <w:rFonts w:ascii="黑体" w:eastAsia="黑体" w:hAnsi="黑体" w:cs="Times New Roman" w:hint="eastAsia"/>
          <w:sz w:val="24"/>
        </w:rPr>
        <w:t>d）</w:t>
      </w:r>
    </w:p>
    <w:p w14:paraId="63F3EFE1"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sz w:val="24"/>
        </w:rPr>
        <w:t>供电</w:t>
      </w:r>
    </w:p>
    <w:p w14:paraId="204682C7"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lastRenderedPageBreak/>
        <w:t>项目运营期</w:t>
      </w:r>
      <w:r>
        <w:rPr>
          <w:rFonts w:ascii="Times New Roman" w:eastAsia="宋体" w:hAnsi="Times New Roman" w:cs="Times New Roman" w:hint="eastAsia"/>
          <w:sz w:val="24"/>
        </w:rPr>
        <w:t>依托市政供电，在管理区设杆上变电站一座，内设容量为</w:t>
      </w:r>
      <w:r>
        <w:rPr>
          <w:rFonts w:ascii="Times New Roman" w:eastAsia="宋体" w:hAnsi="Times New Roman" w:cs="Times New Roman"/>
          <w:sz w:val="24"/>
        </w:rPr>
        <w:t xml:space="preserve">150kVA </w:t>
      </w:r>
      <w:r>
        <w:rPr>
          <w:rFonts w:ascii="Times New Roman" w:eastAsia="宋体" w:hAnsi="Times New Roman" w:cs="Times New Roman"/>
          <w:sz w:val="24"/>
        </w:rPr>
        <w:t>的干式变压器一台供管理区和渗沥液处理区使用，外部</w:t>
      </w:r>
      <w:r>
        <w:rPr>
          <w:rFonts w:ascii="Times New Roman" w:eastAsia="宋体" w:hAnsi="Times New Roman" w:cs="Times New Roman"/>
          <w:sz w:val="24"/>
        </w:rPr>
        <w:t xml:space="preserve">10kV </w:t>
      </w:r>
      <w:r>
        <w:rPr>
          <w:rFonts w:ascii="Times New Roman" w:eastAsia="宋体" w:hAnsi="Times New Roman" w:cs="Times New Roman"/>
          <w:sz w:val="24"/>
        </w:rPr>
        <w:t>架空线路在合适的地方改为电缆进入，经变压器降压后配给用电负荷。</w:t>
      </w:r>
    </w:p>
    <w:p w14:paraId="4C13BF52"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sz w:val="24"/>
        </w:rPr>
        <w:t>采暖</w:t>
      </w:r>
    </w:p>
    <w:p w14:paraId="2C9F7B04"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项目</w:t>
      </w:r>
      <w:r>
        <w:rPr>
          <w:rFonts w:ascii="Times New Roman" w:eastAsia="宋体" w:hAnsi="Times New Roman" w:cs="Times New Roman" w:hint="eastAsia"/>
          <w:sz w:val="24"/>
        </w:rPr>
        <w:t>办公室、值班室等均采用分体空调</w:t>
      </w:r>
      <w:r>
        <w:rPr>
          <w:rFonts w:ascii="Times New Roman" w:eastAsia="宋体" w:hAnsi="Times New Roman" w:cs="Times New Roman"/>
          <w:sz w:val="24"/>
        </w:rPr>
        <w:t>采暖。</w:t>
      </w:r>
    </w:p>
    <w:p w14:paraId="7D3F1434" w14:textId="77777777" w:rsidR="00D12939" w:rsidRDefault="004F47F5">
      <w:pPr>
        <w:pStyle w:val="2"/>
        <w:spacing w:line="360" w:lineRule="auto"/>
        <w:ind w:firstLineChars="165" w:firstLine="462"/>
        <w:rPr>
          <w:sz w:val="28"/>
        </w:rPr>
      </w:pPr>
      <w:bookmarkStart w:id="328" w:name="_Toc121411723"/>
      <w:r>
        <w:rPr>
          <w:rFonts w:hint="eastAsia"/>
          <w:sz w:val="28"/>
        </w:rPr>
        <w:t>3.</w:t>
      </w:r>
      <w:r>
        <w:rPr>
          <w:sz w:val="28"/>
        </w:rPr>
        <w:t>8</w:t>
      </w:r>
      <w:r>
        <w:rPr>
          <w:rFonts w:hint="eastAsia"/>
          <w:sz w:val="28"/>
        </w:rPr>
        <w:t>土石方平衡</w:t>
      </w:r>
      <w:bookmarkEnd w:id="328"/>
    </w:p>
    <w:p w14:paraId="77F7013A" w14:textId="4641A65D" w:rsidR="00D12939" w:rsidRDefault="004F47F5" w:rsidP="001B1820">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本项目一期场地整治等工程的总挖方量约为</w:t>
      </w:r>
      <w:r>
        <w:rPr>
          <w:rFonts w:ascii="Times New Roman" w:eastAsia="宋体" w:hAnsi="Times New Roman" w:cs="Times New Roman"/>
          <w:sz w:val="24"/>
        </w:rPr>
        <w:t>184700m</w:t>
      </w:r>
      <w:r>
        <w:rPr>
          <w:rFonts w:ascii="Times New Roman" w:eastAsia="宋体" w:hAnsi="Times New Roman" w:cs="Times New Roman"/>
          <w:sz w:val="24"/>
          <w:vertAlign w:val="superscript"/>
        </w:rPr>
        <w:t>3</w:t>
      </w:r>
      <w:r>
        <w:rPr>
          <w:rFonts w:ascii="Times New Roman" w:eastAsia="宋体" w:hAnsi="Times New Roman" w:cs="Times New Roman" w:hint="eastAsia"/>
          <w:sz w:val="24"/>
        </w:rPr>
        <w:t>，总填方量约</w:t>
      </w:r>
      <w:r>
        <w:rPr>
          <w:rFonts w:ascii="Times New Roman" w:eastAsia="宋体" w:hAnsi="Times New Roman" w:cs="Times New Roman"/>
          <w:sz w:val="24"/>
        </w:rPr>
        <w:t>60319m</w:t>
      </w:r>
      <w:r>
        <w:rPr>
          <w:rFonts w:ascii="Times New Roman" w:eastAsia="宋体" w:hAnsi="Times New Roman" w:cs="Times New Roman"/>
          <w:sz w:val="24"/>
          <w:vertAlign w:val="superscript"/>
        </w:rPr>
        <w:t>3</w:t>
      </w:r>
      <w:r>
        <w:rPr>
          <w:rFonts w:ascii="Times New Roman" w:eastAsia="宋体" w:hAnsi="Times New Roman" w:cs="Times New Roman" w:hint="eastAsia"/>
          <w:sz w:val="24"/>
        </w:rPr>
        <w:t>，需外购土方约为</w:t>
      </w:r>
      <w:r>
        <w:rPr>
          <w:rFonts w:ascii="Times New Roman" w:eastAsia="宋体" w:hAnsi="Times New Roman" w:cs="Times New Roman"/>
          <w:sz w:val="24"/>
        </w:rPr>
        <w:t>19145m</w:t>
      </w:r>
      <w:r>
        <w:rPr>
          <w:rFonts w:ascii="Times New Roman" w:eastAsia="宋体" w:hAnsi="Times New Roman" w:cs="Times New Roman"/>
          <w:sz w:val="24"/>
          <w:vertAlign w:val="superscript"/>
        </w:rPr>
        <w:t>3</w:t>
      </w:r>
      <w:r>
        <w:rPr>
          <w:rFonts w:ascii="Times New Roman" w:eastAsia="宋体" w:hAnsi="Times New Roman" w:cs="Times New Roman" w:hint="eastAsia"/>
          <w:sz w:val="24"/>
        </w:rPr>
        <w:t>，外运土方约为</w:t>
      </w:r>
      <w:r>
        <w:rPr>
          <w:rFonts w:ascii="Times New Roman" w:eastAsia="宋体" w:hAnsi="Times New Roman" w:cs="Times New Roman"/>
          <w:sz w:val="24"/>
        </w:rPr>
        <w:t>124381m</w:t>
      </w:r>
      <w:r>
        <w:rPr>
          <w:rFonts w:ascii="Times New Roman" w:eastAsia="宋体" w:hAnsi="Times New Roman" w:cs="Times New Roman"/>
          <w:sz w:val="24"/>
          <w:vertAlign w:val="superscript"/>
        </w:rPr>
        <w:t>3</w:t>
      </w:r>
      <w:r>
        <w:rPr>
          <w:rFonts w:ascii="Times New Roman" w:eastAsia="宋体" w:hAnsi="Times New Roman" w:cs="Times New Roman" w:hint="eastAsia"/>
          <w:sz w:val="24"/>
        </w:rPr>
        <w:t>；由于项目分期建设，先将一期土方运至二期堆至，用作填埋场日常覆土及封场覆土</w:t>
      </w:r>
      <w:r w:rsidR="001B1820">
        <w:rPr>
          <w:rFonts w:ascii="Times New Roman" w:eastAsia="宋体" w:hAnsi="Times New Roman" w:cs="Times New Roman" w:hint="eastAsia"/>
          <w:sz w:val="24"/>
        </w:rPr>
        <w:t>，</w:t>
      </w:r>
      <w:r w:rsidR="001B1820" w:rsidRPr="001B1820">
        <w:rPr>
          <w:rFonts w:ascii="Times New Roman" w:eastAsia="宋体" w:hAnsi="Times New Roman" w:cs="Times New Roman" w:hint="eastAsia"/>
          <w:color w:val="FF0000"/>
          <w:sz w:val="24"/>
        </w:rPr>
        <w:t>因此本项目不设弃土场</w:t>
      </w:r>
      <w:r w:rsidRPr="001B1820">
        <w:rPr>
          <w:rFonts w:ascii="Times New Roman" w:eastAsia="宋体" w:hAnsi="Times New Roman" w:cs="Times New Roman" w:hint="eastAsia"/>
          <w:color w:val="FF0000"/>
          <w:sz w:val="24"/>
        </w:rPr>
        <w:t>。</w:t>
      </w:r>
      <w:r w:rsidR="001B1820" w:rsidRPr="001B1820">
        <w:rPr>
          <w:rFonts w:ascii="Times New Roman" w:eastAsia="宋体" w:hAnsi="Times New Roman" w:cs="Times New Roman" w:hint="eastAsia"/>
          <w:color w:val="FF0000"/>
          <w:sz w:val="24"/>
        </w:rPr>
        <w:t>本项目服务期内，填埋覆土和填埋堆体表层绿化覆土均利用建设期剥离表土和开挖的土石方，从堆土场中拉运，本项目不需设置取土场，土石方得到合理利用，减轻了对自然生态环境的破坏面积，减少了水土流失面积，符合水土保持要求。</w:t>
      </w:r>
    </w:p>
    <w:p w14:paraId="59F71577"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项目土石方平衡见表</w:t>
      </w:r>
      <w:r>
        <w:rPr>
          <w:rFonts w:ascii="Times New Roman" w:eastAsia="宋体" w:hAnsi="Times New Roman" w:cs="Times New Roman"/>
          <w:sz w:val="24"/>
        </w:rPr>
        <w:t>3.8-1</w:t>
      </w:r>
      <w:r>
        <w:rPr>
          <w:rFonts w:ascii="Times New Roman" w:eastAsia="宋体" w:hAnsi="Times New Roman" w:cs="Times New Roman"/>
          <w:sz w:val="24"/>
        </w:rPr>
        <w:t>。</w:t>
      </w:r>
    </w:p>
    <w:p w14:paraId="76FF58C2" w14:textId="77777777" w:rsidR="00D12939" w:rsidRDefault="004F47F5">
      <w:pPr>
        <w:spacing w:line="360" w:lineRule="auto"/>
        <w:ind w:firstLine="462"/>
        <w:jc w:val="center"/>
        <w:rPr>
          <w:rFonts w:ascii="黑体" w:eastAsia="黑体" w:hAnsi="黑体" w:cs="Times New Roman"/>
          <w:sz w:val="24"/>
        </w:rPr>
      </w:pPr>
      <w:r>
        <w:rPr>
          <w:rFonts w:ascii="黑体" w:eastAsia="黑体" w:hAnsi="黑体" w:cs="Times New Roman" w:hint="eastAsia"/>
          <w:sz w:val="24"/>
        </w:rPr>
        <w:t>表3</w:t>
      </w:r>
      <w:r>
        <w:rPr>
          <w:rFonts w:ascii="黑体" w:eastAsia="黑体" w:hAnsi="黑体" w:cs="Times New Roman"/>
          <w:sz w:val="24"/>
        </w:rPr>
        <w:t xml:space="preserve">.8-1   </w:t>
      </w:r>
      <w:r>
        <w:rPr>
          <w:rFonts w:ascii="黑体" w:eastAsia="黑体" w:hAnsi="黑体" w:cs="Times New Roman" w:hint="eastAsia"/>
          <w:sz w:val="24"/>
        </w:rPr>
        <w:t>项目土石方工程量表（单位：m</w:t>
      </w:r>
      <w:r>
        <w:rPr>
          <w:rFonts w:ascii="黑体" w:eastAsia="黑体" w:hAnsi="黑体" w:cs="Times New Roman"/>
          <w:sz w:val="24"/>
          <w:vertAlign w:val="superscript"/>
        </w:rPr>
        <w:t>3</w:t>
      </w:r>
      <w:r>
        <w:rPr>
          <w:rFonts w:ascii="黑体" w:eastAsia="黑体" w:hAnsi="黑体" w:cs="Times New Roman"/>
          <w:sz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4"/>
        <w:gridCol w:w="2434"/>
        <w:gridCol w:w="2434"/>
        <w:gridCol w:w="2434"/>
      </w:tblGrid>
      <w:tr w:rsidR="00D12939" w14:paraId="59B13F4C" w14:textId="77777777">
        <w:tc>
          <w:tcPr>
            <w:tcW w:w="2434" w:type="dxa"/>
            <w:vAlign w:val="center"/>
          </w:tcPr>
          <w:p w14:paraId="3CFD053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项目</w:t>
            </w:r>
          </w:p>
        </w:tc>
        <w:tc>
          <w:tcPr>
            <w:tcW w:w="2434" w:type="dxa"/>
            <w:vAlign w:val="center"/>
          </w:tcPr>
          <w:p w14:paraId="51BDB07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挖方</w:t>
            </w:r>
          </w:p>
        </w:tc>
        <w:tc>
          <w:tcPr>
            <w:tcW w:w="2434" w:type="dxa"/>
            <w:vAlign w:val="center"/>
          </w:tcPr>
          <w:p w14:paraId="7527F33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填方</w:t>
            </w:r>
          </w:p>
        </w:tc>
        <w:tc>
          <w:tcPr>
            <w:tcW w:w="2434" w:type="dxa"/>
            <w:vAlign w:val="center"/>
          </w:tcPr>
          <w:p w14:paraId="18AA55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挖余</w:t>
            </w:r>
            <w:r>
              <w:rPr>
                <w:rFonts w:ascii="Times New Roman" w:eastAsia="宋体" w:hAnsi="Times New Roman" w:cs="Times New Roman"/>
                <w:szCs w:val="21"/>
              </w:rPr>
              <w:t>/</w:t>
            </w:r>
            <w:r>
              <w:rPr>
                <w:rFonts w:ascii="Times New Roman" w:eastAsia="宋体" w:hAnsi="Times New Roman" w:cs="Times New Roman"/>
                <w:szCs w:val="21"/>
              </w:rPr>
              <w:t>填缺</w:t>
            </w:r>
          </w:p>
        </w:tc>
      </w:tr>
      <w:tr w:rsidR="00D12939" w14:paraId="17B70554" w14:textId="77777777">
        <w:tc>
          <w:tcPr>
            <w:tcW w:w="2434" w:type="dxa"/>
            <w:vAlign w:val="center"/>
          </w:tcPr>
          <w:p w14:paraId="7FD61A8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库区整平工程</w:t>
            </w:r>
          </w:p>
        </w:tc>
        <w:tc>
          <w:tcPr>
            <w:tcW w:w="2434" w:type="dxa"/>
            <w:vAlign w:val="center"/>
          </w:tcPr>
          <w:p w14:paraId="53C497A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128397</w:t>
            </w:r>
          </w:p>
        </w:tc>
        <w:tc>
          <w:tcPr>
            <w:tcW w:w="2434" w:type="dxa"/>
            <w:vAlign w:val="center"/>
          </w:tcPr>
          <w:p w14:paraId="37FB40E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34045</w:t>
            </w:r>
          </w:p>
        </w:tc>
        <w:tc>
          <w:tcPr>
            <w:tcW w:w="2434" w:type="dxa"/>
            <w:vAlign w:val="center"/>
          </w:tcPr>
          <w:p w14:paraId="3CF4D5B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94352</w:t>
            </w:r>
          </w:p>
        </w:tc>
      </w:tr>
      <w:tr w:rsidR="00D12939" w14:paraId="4D5D0831" w14:textId="77777777">
        <w:tc>
          <w:tcPr>
            <w:tcW w:w="2434" w:type="dxa"/>
            <w:vAlign w:val="center"/>
          </w:tcPr>
          <w:p w14:paraId="63541E1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垃圾坝工程</w:t>
            </w:r>
          </w:p>
        </w:tc>
        <w:tc>
          <w:tcPr>
            <w:tcW w:w="2434" w:type="dxa"/>
            <w:vAlign w:val="center"/>
          </w:tcPr>
          <w:p w14:paraId="2D122EA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5184</w:t>
            </w:r>
          </w:p>
        </w:tc>
        <w:tc>
          <w:tcPr>
            <w:tcW w:w="2434" w:type="dxa"/>
            <w:vAlign w:val="center"/>
          </w:tcPr>
          <w:p w14:paraId="2D9439D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15927</w:t>
            </w:r>
          </w:p>
        </w:tc>
        <w:tc>
          <w:tcPr>
            <w:tcW w:w="2434" w:type="dxa"/>
            <w:vAlign w:val="center"/>
          </w:tcPr>
          <w:p w14:paraId="2A7B0AE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-10743</w:t>
            </w:r>
          </w:p>
        </w:tc>
      </w:tr>
      <w:tr w:rsidR="00D12939" w14:paraId="51D41231" w14:textId="77777777">
        <w:tc>
          <w:tcPr>
            <w:tcW w:w="2434" w:type="dxa"/>
            <w:vAlign w:val="center"/>
          </w:tcPr>
          <w:p w14:paraId="0510315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分区坝工程</w:t>
            </w:r>
          </w:p>
        </w:tc>
        <w:tc>
          <w:tcPr>
            <w:tcW w:w="2434" w:type="dxa"/>
            <w:vAlign w:val="center"/>
          </w:tcPr>
          <w:p w14:paraId="5940D16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3334</w:t>
            </w:r>
          </w:p>
        </w:tc>
        <w:tc>
          <w:tcPr>
            <w:tcW w:w="2434" w:type="dxa"/>
            <w:vAlign w:val="center"/>
          </w:tcPr>
          <w:p w14:paraId="26AD781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4203</w:t>
            </w:r>
          </w:p>
        </w:tc>
        <w:tc>
          <w:tcPr>
            <w:tcW w:w="2434" w:type="dxa"/>
            <w:vAlign w:val="center"/>
          </w:tcPr>
          <w:p w14:paraId="67E4DBE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-869</w:t>
            </w:r>
          </w:p>
        </w:tc>
      </w:tr>
      <w:tr w:rsidR="00D12939" w14:paraId="5290A00F" w14:textId="77777777">
        <w:tc>
          <w:tcPr>
            <w:tcW w:w="2434" w:type="dxa"/>
            <w:vAlign w:val="center"/>
          </w:tcPr>
          <w:p w14:paraId="4FCAB84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雨水导排工程</w:t>
            </w:r>
          </w:p>
        </w:tc>
        <w:tc>
          <w:tcPr>
            <w:tcW w:w="2434" w:type="dxa"/>
            <w:vAlign w:val="center"/>
          </w:tcPr>
          <w:p w14:paraId="2F0BFA1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7233</w:t>
            </w:r>
          </w:p>
        </w:tc>
        <w:tc>
          <w:tcPr>
            <w:tcW w:w="2434" w:type="dxa"/>
            <w:vAlign w:val="center"/>
          </w:tcPr>
          <w:p w14:paraId="7985578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2555</w:t>
            </w:r>
          </w:p>
        </w:tc>
        <w:tc>
          <w:tcPr>
            <w:tcW w:w="2434" w:type="dxa"/>
            <w:vAlign w:val="center"/>
          </w:tcPr>
          <w:p w14:paraId="0B7CECA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4678</w:t>
            </w:r>
          </w:p>
        </w:tc>
      </w:tr>
      <w:tr w:rsidR="00D12939" w14:paraId="4D54A544" w14:textId="77777777">
        <w:tc>
          <w:tcPr>
            <w:tcW w:w="2434" w:type="dxa"/>
            <w:vAlign w:val="center"/>
          </w:tcPr>
          <w:p w14:paraId="115938E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渗滤液收集导排系统</w:t>
            </w:r>
            <w:r>
              <w:rPr>
                <w:rFonts w:ascii="Times New Roman" w:eastAsia="宋体" w:hAnsi="Times New Roman" w:cs="Times New Roman"/>
                <w:szCs w:val="21"/>
              </w:rPr>
              <w:t xml:space="preserve"> </w:t>
            </w:r>
          </w:p>
        </w:tc>
        <w:tc>
          <w:tcPr>
            <w:tcW w:w="2434" w:type="dxa"/>
            <w:vAlign w:val="center"/>
          </w:tcPr>
          <w:p w14:paraId="26E93E3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224</w:t>
            </w:r>
          </w:p>
        </w:tc>
        <w:tc>
          <w:tcPr>
            <w:tcW w:w="2434" w:type="dxa"/>
            <w:vAlign w:val="center"/>
          </w:tcPr>
          <w:p w14:paraId="5D04188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2434" w:type="dxa"/>
            <w:vAlign w:val="center"/>
          </w:tcPr>
          <w:p w14:paraId="012D990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224</w:t>
            </w:r>
          </w:p>
        </w:tc>
      </w:tr>
      <w:tr w:rsidR="00D12939" w14:paraId="4DB22E74" w14:textId="77777777">
        <w:tc>
          <w:tcPr>
            <w:tcW w:w="2434" w:type="dxa"/>
            <w:vAlign w:val="center"/>
          </w:tcPr>
          <w:p w14:paraId="435507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地下水收集导排系统</w:t>
            </w:r>
          </w:p>
        </w:tc>
        <w:tc>
          <w:tcPr>
            <w:tcW w:w="2434" w:type="dxa"/>
            <w:vAlign w:val="center"/>
          </w:tcPr>
          <w:p w14:paraId="30200B2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1413</w:t>
            </w:r>
          </w:p>
        </w:tc>
        <w:tc>
          <w:tcPr>
            <w:tcW w:w="2434" w:type="dxa"/>
            <w:vAlign w:val="center"/>
          </w:tcPr>
          <w:p w14:paraId="5859221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1060</w:t>
            </w:r>
          </w:p>
        </w:tc>
        <w:tc>
          <w:tcPr>
            <w:tcW w:w="2434" w:type="dxa"/>
            <w:vAlign w:val="center"/>
          </w:tcPr>
          <w:p w14:paraId="6E7D083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353</w:t>
            </w:r>
          </w:p>
        </w:tc>
      </w:tr>
      <w:tr w:rsidR="00D12939" w14:paraId="4B7E4C45" w14:textId="77777777">
        <w:tc>
          <w:tcPr>
            <w:tcW w:w="2434" w:type="dxa"/>
            <w:vAlign w:val="center"/>
          </w:tcPr>
          <w:p w14:paraId="47AD02C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锚固工程</w:t>
            </w:r>
          </w:p>
        </w:tc>
        <w:tc>
          <w:tcPr>
            <w:tcW w:w="2434" w:type="dxa"/>
            <w:vAlign w:val="center"/>
          </w:tcPr>
          <w:p w14:paraId="534FDEE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4241</w:t>
            </w:r>
          </w:p>
        </w:tc>
        <w:tc>
          <w:tcPr>
            <w:tcW w:w="2434" w:type="dxa"/>
            <w:vAlign w:val="center"/>
          </w:tcPr>
          <w:p w14:paraId="3A26817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3372</w:t>
            </w:r>
            <w:r>
              <w:rPr>
                <w:rFonts w:ascii="Times New Roman" w:eastAsia="宋体" w:hAnsi="Times New Roman" w:cs="Times New Roman"/>
                <w:szCs w:val="21"/>
              </w:rPr>
              <w:t>（</w:t>
            </w:r>
            <w:r>
              <w:rPr>
                <w:rFonts w:ascii="Times New Roman" w:eastAsia="宋体" w:hAnsi="Times New Roman" w:cs="Times New Roman"/>
                <w:szCs w:val="21"/>
              </w:rPr>
              <w:t>1635</w:t>
            </w:r>
            <w:r>
              <w:rPr>
                <w:rFonts w:ascii="Times New Roman" w:eastAsia="宋体" w:hAnsi="Times New Roman" w:cs="Times New Roman"/>
                <w:szCs w:val="21"/>
              </w:rPr>
              <w:t>外购）</w:t>
            </w:r>
          </w:p>
        </w:tc>
        <w:tc>
          <w:tcPr>
            <w:tcW w:w="2434" w:type="dxa"/>
            <w:vAlign w:val="center"/>
          </w:tcPr>
          <w:p w14:paraId="72413AE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2504</w:t>
            </w:r>
          </w:p>
        </w:tc>
      </w:tr>
      <w:tr w:rsidR="00D12939" w14:paraId="093A4619" w14:textId="77777777">
        <w:tc>
          <w:tcPr>
            <w:tcW w:w="2434" w:type="dxa"/>
            <w:vAlign w:val="center"/>
          </w:tcPr>
          <w:p w14:paraId="4740D97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道路工程</w:t>
            </w:r>
          </w:p>
        </w:tc>
        <w:tc>
          <w:tcPr>
            <w:tcW w:w="2434" w:type="dxa"/>
            <w:vAlign w:val="center"/>
          </w:tcPr>
          <w:p w14:paraId="1DE49C3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21727</w:t>
            </w:r>
          </w:p>
        </w:tc>
        <w:tc>
          <w:tcPr>
            <w:tcW w:w="2434" w:type="dxa"/>
            <w:vAlign w:val="center"/>
          </w:tcPr>
          <w:p w14:paraId="664A34A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17510</w:t>
            </w:r>
            <w:r>
              <w:rPr>
                <w:rFonts w:ascii="Times New Roman" w:eastAsia="宋体" w:hAnsi="Times New Roman" w:cs="Times New Roman"/>
                <w:szCs w:val="21"/>
              </w:rPr>
              <w:t>（外购）</w:t>
            </w:r>
          </w:p>
        </w:tc>
        <w:tc>
          <w:tcPr>
            <w:tcW w:w="2434" w:type="dxa"/>
            <w:vAlign w:val="center"/>
          </w:tcPr>
          <w:p w14:paraId="47D31E3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21727</w:t>
            </w:r>
          </w:p>
        </w:tc>
      </w:tr>
      <w:tr w:rsidR="00D12939" w14:paraId="1EA251D4" w14:textId="77777777">
        <w:tc>
          <w:tcPr>
            <w:tcW w:w="2434" w:type="dxa"/>
            <w:vAlign w:val="center"/>
          </w:tcPr>
          <w:p w14:paraId="1B9FF01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渗滤液处理区工程</w:t>
            </w:r>
          </w:p>
        </w:tc>
        <w:tc>
          <w:tcPr>
            <w:tcW w:w="2434" w:type="dxa"/>
            <w:vAlign w:val="center"/>
          </w:tcPr>
          <w:p w14:paraId="61C9A4D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7450</w:t>
            </w:r>
          </w:p>
        </w:tc>
        <w:tc>
          <w:tcPr>
            <w:tcW w:w="2434" w:type="dxa"/>
            <w:vAlign w:val="center"/>
          </w:tcPr>
          <w:p w14:paraId="0FC60F8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182</w:t>
            </w:r>
          </w:p>
        </w:tc>
        <w:tc>
          <w:tcPr>
            <w:tcW w:w="2434" w:type="dxa"/>
            <w:vAlign w:val="center"/>
          </w:tcPr>
          <w:p w14:paraId="3C4E305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7268</w:t>
            </w:r>
          </w:p>
        </w:tc>
      </w:tr>
      <w:tr w:rsidR="00D12939" w14:paraId="7FA338E8" w14:textId="77777777">
        <w:tc>
          <w:tcPr>
            <w:tcW w:w="2434" w:type="dxa"/>
            <w:vAlign w:val="center"/>
          </w:tcPr>
          <w:p w14:paraId="5429F70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管理区工程</w:t>
            </w:r>
          </w:p>
        </w:tc>
        <w:tc>
          <w:tcPr>
            <w:tcW w:w="2434" w:type="dxa"/>
            <w:vAlign w:val="center"/>
          </w:tcPr>
          <w:p w14:paraId="68F6862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5497</w:t>
            </w:r>
          </w:p>
        </w:tc>
        <w:tc>
          <w:tcPr>
            <w:tcW w:w="2434" w:type="dxa"/>
            <w:vAlign w:val="center"/>
          </w:tcPr>
          <w:p w14:paraId="54868D3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611</w:t>
            </w:r>
          </w:p>
        </w:tc>
        <w:tc>
          <w:tcPr>
            <w:tcW w:w="2434" w:type="dxa"/>
            <w:vAlign w:val="center"/>
          </w:tcPr>
          <w:p w14:paraId="48E4768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4886</w:t>
            </w:r>
          </w:p>
        </w:tc>
      </w:tr>
      <w:tr w:rsidR="00D12939" w14:paraId="76A91A71" w14:textId="77777777">
        <w:tc>
          <w:tcPr>
            <w:tcW w:w="2434" w:type="dxa"/>
            <w:vAlign w:val="center"/>
          </w:tcPr>
          <w:p w14:paraId="33CB1AC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合计</w:t>
            </w:r>
          </w:p>
        </w:tc>
        <w:tc>
          <w:tcPr>
            <w:tcW w:w="2434" w:type="dxa"/>
            <w:vAlign w:val="center"/>
          </w:tcPr>
          <w:p w14:paraId="11CE75B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184700</w:t>
            </w:r>
          </w:p>
        </w:tc>
        <w:tc>
          <w:tcPr>
            <w:tcW w:w="2434" w:type="dxa"/>
            <w:vAlign w:val="center"/>
          </w:tcPr>
          <w:p w14:paraId="3885F2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60319</w:t>
            </w:r>
          </w:p>
        </w:tc>
        <w:tc>
          <w:tcPr>
            <w:tcW w:w="2434" w:type="dxa"/>
            <w:vAlign w:val="center"/>
          </w:tcPr>
          <w:p w14:paraId="05BE755D" w14:textId="6CD5114D" w:rsidR="00D12939" w:rsidRDefault="00E01AD5">
            <w:pPr>
              <w:jc w:val="center"/>
              <w:rPr>
                <w:rFonts w:ascii="Times New Roman" w:eastAsia="宋体" w:hAnsi="Times New Roman" w:cs="Times New Roman"/>
                <w:szCs w:val="21"/>
              </w:rPr>
            </w:pPr>
            <w:r>
              <w:rPr>
                <w:rFonts w:ascii="Times New Roman" w:eastAsia="宋体" w:hAnsi="Times New Roman" w:cs="Times New Roman"/>
                <w:szCs w:val="21"/>
              </w:rPr>
              <w:t>124381</w:t>
            </w:r>
          </w:p>
        </w:tc>
      </w:tr>
    </w:tbl>
    <w:p w14:paraId="506860F4" w14:textId="77777777" w:rsidR="00D12939" w:rsidRDefault="004F47F5">
      <w:pPr>
        <w:pStyle w:val="2"/>
        <w:spacing w:line="360" w:lineRule="auto"/>
        <w:ind w:firstLineChars="165" w:firstLine="462"/>
        <w:rPr>
          <w:sz w:val="28"/>
        </w:rPr>
      </w:pPr>
      <w:bookmarkStart w:id="329" w:name="_Toc121411724"/>
      <w:r>
        <w:rPr>
          <w:sz w:val="28"/>
        </w:rPr>
        <w:t>3.9</w:t>
      </w:r>
      <w:r>
        <w:rPr>
          <w:sz w:val="28"/>
        </w:rPr>
        <w:t>总平面布置</w:t>
      </w:r>
      <w:bookmarkEnd w:id="329"/>
    </w:p>
    <w:p w14:paraId="22FE1E38"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本项目在总体功能上本工程共分三大功能区，分别为：填埋库区、渗沥液处理区及管理区。填埋库区建设有相互独立的生活垃圾填埋库区（一期）和飞灰填埋库区（二期）。渗沥液处理区位于填埋场最下游；管理区设置于夏季主导风向的上风向，远离库区的位置。</w:t>
      </w:r>
    </w:p>
    <w:p w14:paraId="09DA12F4"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生活垃圾填埋区利用分区坝分为生活垃圾填埋一区及生活垃圾填埋二区，飞灰填埋库区分为飞灰填埋一区和飞灰填埋二区，二个库区达到填埋废物相互独立、污染不互通的目的。根据需要，在填埋库区边坡共设置三级中间锚固平台，实现库区的垂直分区。两相邻平台间</w:t>
      </w:r>
      <w:r>
        <w:rPr>
          <w:rFonts w:ascii="Times New Roman" w:eastAsia="宋体" w:hAnsi="Times New Roman" w:cs="Times New Roman" w:hint="eastAsia"/>
          <w:sz w:val="24"/>
        </w:rPr>
        <w:lastRenderedPageBreak/>
        <w:t>直高差约为</w:t>
      </w:r>
      <w:r>
        <w:rPr>
          <w:rFonts w:ascii="Times New Roman" w:eastAsia="宋体" w:hAnsi="Times New Roman" w:cs="Times New Roman"/>
          <w:sz w:val="24"/>
        </w:rPr>
        <w:t>10~15m</w:t>
      </w:r>
      <w:r>
        <w:rPr>
          <w:rFonts w:ascii="Times New Roman" w:eastAsia="宋体" w:hAnsi="Times New Roman" w:cs="Times New Roman" w:hint="eastAsia"/>
          <w:sz w:val="24"/>
        </w:rPr>
        <w:t>。中间锚固平台上设置平台排水沟，将中间锚固平台之上的库区边坡雨水截流，汇入环场截洪沟，排出场外，最大限度的减少渗沥液的产生量，实现雨污水的分流。项目总平面布置见图</w:t>
      </w:r>
      <w:r>
        <w:rPr>
          <w:rFonts w:ascii="Times New Roman" w:eastAsia="宋体" w:hAnsi="Times New Roman" w:cs="Times New Roman"/>
          <w:sz w:val="24"/>
        </w:rPr>
        <w:t>3.9-1</w:t>
      </w:r>
      <w:r>
        <w:rPr>
          <w:rFonts w:ascii="Times New Roman" w:eastAsia="宋体" w:hAnsi="Times New Roman" w:cs="Times New Roman"/>
          <w:sz w:val="24"/>
        </w:rPr>
        <w:t>。</w:t>
      </w:r>
    </w:p>
    <w:p w14:paraId="0E15CE7F" w14:textId="77777777" w:rsidR="00D12939" w:rsidRDefault="004F47F5">
      <w:pPr>
        <w:pStyle w:val="2"/>
        <w:spacing w:line="360" w:lineRule="auto"/>
        <w:ind w:firstLineChars="165" w:firstLine="462"/>
        <w:rPr>
          <w:sz w:val="28"/>
        </w:rPr>
      </w:pPr>
      <w:bookmarkStart w:id="330" w:name="_Toc10585"/>
      <w:bookmarkStart w:id="331" w:name="_Toc121411725"/>
      <w:r>
        <w:rPr>
          <w:sz w:val="28"/>
        </w:rPr>
        <w:t>3.10</w:t>
      </w:r>
      <w:r>
        <w:rPr>
          <w:sz w:val="28"/>
        </w:rPr>
        <w:t>劳动定员</w:t>
      </w:r>
      <w:bookmarkEnd w:id="330"/>
      <w:r>
        <w:rPr>
          <w:rFonts w:hint="eastAsia"/>
          <w:sz w:val="28"/>
        </w:rPr>
        <w:t>与工作制度</w:t>
      </w:r>
      <w:bookmarkEnd w:id="331"/>
    </w:p>
    <w:p w14:paraId="759F85EC"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柞水县固体废弃物综合处置场实行两班制，生产天数为</w:t>
      </w:r>
      <w:r>
        <w:rPr>
          <w:rFonts w:ascii="Times New Roman" w:eastAsia="宋体" w:hAnsi="Times New Roman" w:cs="Times New Roman"/>
          <w:sz w:val="24"/>
        </w:rPr>
        <w:t>365</w:t>
      </w:r>
      <w:r>
        <w:rPr>
          <w:rFonts w:ascii="Times New Roman" w:eastAsia="宋体" w:hAnsi="Times New Roman" w:cs="Times New Roman" w:hint="eastAsia"/>
          <w:sz w:val="24"/>
        </w:rPr>
        <w:t>天</w:t>
      </w:r>
      <w:r>
        <w:rPr>
          <w:rFonts w:ascii="宋体" w:eastAsia="宋体" w:cs="宋体" w:hint="eastAsia"/>
          <w:kern w:val="0"/>
          <w:sz w:val="24"/>
          <w:szCs w:val="24"/>
        </w:rPr>
        <w:t>（下雨天不作业）</w:t>
      </w:r>
      <w:r>
        <w:rPr>
          <w:rFonts w:ascii="Times New Roman" w:eastAsia="宋体" w:hAnsi="Times New Roman" w:cs="Times New Roman" w:hint="eastAsia"/>
          <w:sz w:val="24"/>
        </w:rPr>
        <w:t>，每班工作时间为</w:t>
      </w:r>
      <w:r>
        <w:rPr>
          <w:rFonts w:ascii="Times New Roman" w:eastAsia="宋体" w:hAnsi="Times New Roman" w:cs="Times New Roman"/>
          <w:sz w:val="24"/>
        </w:rPr>
        <w:t>8</w:t>
      </w:r>
      <w:r>
        <w:rPr>
          <w:rFonts w:ascii="Times New Roman" w:eastAsia="宋体" w:hAnsi="Times New Roman" w:cs="Times New Roman" w:hint="eastAsia"/>
          <w:sz w:val="24"/>
        </w:rPr>
        <w:t>小时，实行轮休，夜间不工作。本项目劳动定员</w:t>
      </w:r>
      <w:r>
        <w:rPr>
          <w:rFonts w:ascii="Times New Roman" w:eastAsia="宋体" w:hAnsi="Times New Roman" w:cs="Times New Roman" w:hint="eastAsia"/>
          <w:sz w:val="24"/>
        </w:rPr>
        <w:t>1</w:t>
      </w:r>
      <w:r>
        <w:rPr>
          <w:rFonts w:ascii="Times New Roman" w:eastAsia="宋体" w:hAnsi="Times New Roman" w:cs="Times New Roman"/>
          <w:sz w:val="24"/>
        </w:rPr>
        <w:t>6</w:t>
      </w:r>
      <w:r>
        <w:rPr>
          <w:rFonts w:ascii="Times New Roman" w:eastAsia="宋体" w:hAnsi="Times New Roman" w:cs="Times New Roman" w:hint="eastAsia"/>
          <w:sz w:val="24"/>
        </w:rPr>
        <w:t>人。</w:t>
      </w:r>
    </w:p>
    <w:p w14:paraId="03E199E3" w14:textId="77777777" w:rsidR="00D12939" w:rsidRDefault="004F47F5">
      <w:pPr>
        <w:pStyle w:val="2"/>
        <w:spacing w:line="360" w:lineRule="auto"/>
        <w:ind w:firstLineChars="165" w:firstLine="462"/>
        <w:rPr>
          <w:sz w:val="28"/>
        </w:rPr>
      </w:pPr>
      <w:bookmarkStart w:id="332" w:name="_Toc121411726"/>
      <w:bookmarkStart w:id="333" w:name="_Toc9192"/>
      <w:r>
        <w:rPr>
          <w:sz w:val="28"/>
        </w:rPr>
        <w:t>3.11</w:t>
      </w:r>
      <w:r>
        <w:rPr>
          <w:sz w:val="28"/>
        </w:rPr>
        <w:t>工程主要技术经济指标</w:t>
      </w:r>
      <w:bookmarkEnd w:id="332"/>
      <w:bookmarkEnd w:id="333"/>
    </w:p>
    <w:p w14:paraId="00D9435B" w14:textId="77777777" w:rsidR="00D12939" w:rsidRDefault="004F47F5">
      <w:pPr>
        <w:jc w:val="center"/>
        <w:rPr>
          <w:rFonts w:ascii="黑体" w:eastAsia="黑体" w:hAnsi="黑体"/>
          <w:sz w:val="24"/>
        </w:rPr>
      </w:pPr>
      <w:r>
        <w:rPr>
          <w:rFonts w:ascii="黑体" w:eastAsia="黑体" w:hAnsi="黑体" w:hint="eastAsia"/>
          <w:sz w:val="24"/>
        </w:rPr>
        <w:t>表</w:t>
      </w:r>
      <w:r>
        <w:rPr>
          <w:rFonts w:ascii="黑体" w:eastAsia="黑体" w:hAnsi="黑体"/>
          <w:sz w:val="24"/>
        </w:rPr>
        <w:t xml:space="preserve">3.11-1  </w:t>
      </w:r>
      <w:r>
        <w:rPr>
          <w:rFonts w:ascii="黑体" w:eastAsia="黑体" w:hAnsi="黑体" w:hint="eastAsia"/>
          <w:sz w:val="24"/>
        </w:rPr>
        <w:t>项目主要经济技术指标汇总表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44"/>
        <w:gridCol w:w="3474"/>
        <w:gridCol w:w="2597"/>
        <w:gridCol w:w="2597"/>
      </w:tblGrid>
      <w:tr w:rsidR="00D12939" w14:paraId="23ECC661" w14:textId="77777777">
        <w:trPr>
          <w:trHeight w:val="201"/>
          <w:jc w:val="center"/>
        </w:trPr>
        <w:tc>
          <w:tcPr>
            <w:tcW w:w="944" w:type="dxa"/>
            <w:vAlign w:val="center"/>
          </w:tcPr>
          <w:p w14:paraId="29F99BC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序号</w:t>
            </w:r>
          </w:p>
        </w:tc>
        <w:tc>
          <w:tcPr>
            <w:tcW w:w="3474" w:type="dxa"/>
            <w:vAlign w:val="center"/>
          </w:tcPr>
          <w:p w14:paraId="67D9F11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指标名称</w:t>
            </w:r>
          </w:p>
        </w:tc>
        <w:tc>
          <w:tcPr>
            <w:tcW w:w="2597" w:type="dxa"/>
            <w:vAlign w:val="center"/>
          </w:tcPr>
          <w:p w14:paraId="2F02F5D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单位</w:t>
            </w:r>
          </w:p>
        </w:tc>
        <w:tc>
          <w:tcPr>
            <w:tcW w:w="2597" w:type="dxa"/>
            <w:vAlign w:val="center"/>
          </w:tcPr>
          <w:p w14:paraId="1F9EA35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指标值</w:t>
            </w:r>
          </w:p>
        </w:tc>
      </w:tr>
      <w:tr w:rsidR="00D12939" w14:paraId="5A93EB97" w14:textId="77777777">
        <w:trPr>
          <w:trHeight w:val="201"/>
          <w:jc w:val="center"/>
        </w:trPr>
        <w:tc>
          <w:tcPr>
            <w:tcW w:w="944" w:type="dxa"/>
            <w:vAlign w:val="center"/>
          </w:tcPr>
          <w:p w14:paraId="4D832A3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3474" w:type="dxa"/>
            <w:vAlign w:val="center"/>
          </w:tcPr>
          <w:p w14:paraId="3BF6610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处理规模</w:t>
            </w:r>
          </w:p>
        </w:tc>
        <w:tc>
          <w:tcPr>
            <w:tcW w:w="2597" w:type="dxa"/>
            <w:vAlign w:val="center"/>
          </w:tcPr>
          <w:p w14:paraId="75F64C52" w14:textId="77777777" w:rsidR="00D12939" w:rsidRDefault="00D12939">
            <w:pPr>
              <w:pStyle w:val="affffd"/>
              <w:rPr>
                <w:rFonts w:ascii="Times New Roman" w:eastAsia="宋体" w:hAnsi="Times New Roman" w:cs="Times New Roman"/>
              </w:rPr>
            </w:pPr>
          </w:p>
        </w:tc>
        <w:tc>
          <w:tcPr>
            <w:tcW w:w="2597" w:type="dxa"/>
            <w:vAlign w:val="center"/>
          </w:tcPr>
          <w:p w14:paraId="04DAD7C2" w14:textId="77777777" w:rsidR="00D12939" w:rsidRDefault="00D12939">
            <w:pPr>
              <w:pStyle w:val="affffd"/>
              <w:rPr>
                <w:rFonts w:ascii="Times New Roman" w:eastAsia="宋体" w:hAnsi="Times New Roman" w:cs="Times New Roman"/>
              </w:rPr>
            </w:pPr>
          </w:p>
        </w:tc>
      </w:tr>
      <w:tr w:rsidR="00D12939" w14:paraId="424DED80" w14:textId="77777777">
        <w:trPr>
          <w:trHeight w:val="201"/>
          <w:jc w:val="center"/>
        </w:trPr>
        <w:tc>
          <w:tcPr>
            <w:tcW w:w="944" w:type="dxa"/>
            <w:vAlign w:val="center"/>
          </w:tcPr>
          <w:p w14:paraId="77C1EFF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1.1</w:t>
            </w:r>
          </w:p>
        </w:tc>
        <w:tc>
          <w:tcPr>
            <w:tcW w:w="3474" w:type="dxa"/>
            <w:vAlign w:val="center"/>
          </w:tcPr>
          <w:p w14:paraId="661F0CE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生活垃圾处理规模（一期）</w:t>
            </w:r>
          </w:p>
        </w:tc>
        <w:tc>
          <w:tcPr>
            <w:tcW w:w="2597" w:type="dxa"/>
            <w:vAlign w:val="center"/>
          </w:tcPr>
          <w:p w14:paraId="503FBD3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t/d</w:t>
            </w:r>
          </w:p>
        </w:tc>
        <w:tc>
          <w:tcPr>
            <w:tcW w:w="2597" w:type="dxa"/>
            <w:vAlign w:val="center"/>
          </w:tcPr>
          <w:p w14:paraId="384B782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110</w:t>
            </w:r>
          </w:p>
        </w:tc>
      </w:tr>
      <w:tr w:rsidR="00D12939" w14:paraId="683D36B5" w14:textId="77777777">
        <w:trPr>
          <w:trHeight w:val="201"/>
          <w:jc w:val="center"/>
        </w:trPr>
        <w:tc>
          <w:tcPr>
            <w:tcW w:w="944" w:type="dxa"/>
            <w:vAlign w:val="center"/>
          </w:tcPr>
          <w:p w14:paraId="429D263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w:t>
            </w:r>
          </w:p>
        </w:tc>
        <w:tc>
          <w:tcPr>
            <w:tcW w:w="3474" w:type="dxa"/>
            <w:vAlign w:val="center"/>
          </w:tcPr>
          <w:p w14:paraId="21CFAFE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服务年限</w:t>
            </w:r>
          </w:p>
        </w:tc>
        <w:tc>
          <w:tcPr>
            <w:tcW w:w="2597" w:type="dxa"/>
            <w:vAlign w:val="center"/>
          </w:tcPr>
          <w:p w14:paraId="379AD814" w14:textId="77777777" w:rsidR="00D12939" w:rsidRDefault="00D12939">
            <w:pPr>
              <w:pStyle w:val="affffd"/>
              <w:rPr>
                <w:rFonts w:ascii="Times New Roman" w:eastAsia="宋体" w:hAnsi="Times New Roman" w:cs="Times New Roman"/>
              </w:rPr>
            </w:pPr>
          </w:p>
        </w:tc>
        <w:tc>
          <w:tcPr>
            <w:tcW w:w="2597" w:type="dxa"/>
            <w:vAlign w:val="center"/>
          </w:tcPr>
          <w:p w14:paraId="4A60377B" w14:textId="77777777" w:rsidR="00D12939" w:rsidRDefault="00D12939">
            <w:pPr>
              <w:pStyle w:val="affffd"/>
              <w:rPr>
                <w:rFonts w:ascii="Times New Roman" w:eastAsia="宋体" w:hAnsi="Times New Roman" w:cs="Times New Roman"/>
              </w:rPr>
            </w:pPr>
          </w:p>
        </w:tc>
      </w:tr>
      <w:tr w:rsidR="00D12939" w14:paraId="6A6F2F0E" w14:textId="77777777">
        <w:trPr>
          <w:trHeight w:val="201"/>
          <w:jc w:val="center"/>
        </w:trPr>
        <w:tc>
          <w:tcPr>
            <w:tcW w:w="944" w:type="dxa"/>
            <w:vAlign w:val="center"/>
          </w:tcPr>
          <w:p w14:paraId="0F68B37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2.1</w:t>
            </w:r>
          </w:p>
        </w:tc>
        <w:tc>
          <w:tcPr>
            <w:tcW w:w="3474" w:type="dxa"/>
            <w:vAlign w:val="center"/>
          </w:tcPr>
          <w:p w14:paraId="3EB9C3C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生活垃圾填埋区（一期）</w:t>
            </w:r>
          </w:p>
        </w:tc>
        <w:tc>
          <w:tcPr>
            <w:tcW w:w="2597" w:type="dxa"/>
            <w:vAlign w:val="center"/>
          </w:tcPr>
          <w:p w14:paraId="7798AA8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年</w:t>
            </w:r>
          </w:p>
        </w:tc>
        <w:tc>
          <w:tcPr>
            <w:tcW w:w="2597" w:type="dxa"/>
            <w:vAlign w:val="center"/>
          </w:tcPr>
          <w:p w14:paraId="36D37D0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13</w:t>
            </w:r>
          </w:p>
        </w:tc>
      </w:tr>
      <w:tr w:rsidR="00D12939" w14:paraId="771FBABF" w14:textId="77777777">
        <w:trPr>
          <w:trHeight w:val="201"/>
          <w:jc w:val="center"/>
        </w:trPr>
        <w:tc>
          <w:tcPr>
            <w:tcW w:w="944" w:type="dxa"/>
            <w:vAlign w:val="center"/>
          </w:tcPr>
          <w:p w14:paraId="466D25E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3</w:t>
            </w:r>
          </w:p>
        </w:tc>
        <w:tc>
          <w:tcPr>
            <w:tcW w:w="3474" w:type="dxa"/>
            <w:vAlign w:val="center"/>
          </w:tcPr>
          <w:p w14:paraId="64548F8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总库容</w:t>
            </w:r>
          </w:p>
        </w:tc>
        <w:tc>
          <w:tcPr>
            <w:tcW w:w="2597" w:type="dxa"/>
            <w:vAlign w:val="center"/>
          </w:tcPr>
          <w:p w14:paraId="1B13CC46" w14:textId="77777777" w:rsidR="00D12939" w:rsidRDefault="00D12939">
            <w:pPr>
              <w:pStyle w:val="affffd"/>
              <w:rPr>
                <w:rFonts w:ascii="Times New Roman" w:eastAsia="宋体" w:hAnsi="Times New Roman" w:cs="Times New Roman"/>
              </w:rPr>
            </w:pPr>
          </w:p>
        </w:tc>
        <w:tc>
          <w:tcPr>
            <w:tcW w:w="2597" w:type="dxa"/>
            <w:vAlign w:val="center"/>
          </w:tcPr>
          <w:p w14:paraId="619047CF" w14:textId="77777777" w:rsidR="00D12939" w:rsidRDefault="00D12939">
            <w:pPr>
              <w:pStyle w:val="affffd"/>
              <w:rPr>
                <w:rFonts w:ascii="Times New Roman" w:eastAsia="宋体" w:hAnsi="Times New Roman" w:cs="Times New Roman"/>
              </w:rPr>
            </w:pPr>
          </w:p>
        </w:tc>
      </w:tr>
      <w:tr w:rsidR="00D12939" w14:paraId="17B8509B" w14:textId="77777777">
        <w:trPr>
          <w:trHeight w:val="201"/>
          <w:jc w:val="center"/>
        </w:trPr>
        <w:tc>
          <w:tcPr>
            <w:tcW w:w="944" w:type="dxa"/>
            <w:vAlign w:val="center"/>
          </w:tcPr>
          <w:p w14:paraId="174C167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3.1</w:t>
            </w:r>
          </w:p>
        </w:tc>
        <w:tc>
          <w:tcPr>
            <w:tcW w:w="3474" w:type="dxa"/>
            <w:vAlign w:val="center"/>
          </w:tcPr>
          <w:p w14:paraId="5D06AE6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生活垃圾填埋区（一期）</w:t>
            </w:r>
          </w:p>
        </w:tc>
        <w:tc>
          <w:tcPr>
            <w:tcW w:w="2597" w:type="dxa"/>
            <w:vAlign w:val="center"/>
          </w:tcPr>
          <w:p w14:paraId="645E1AE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万</w:t>
            </w:r>
            <w:r>
              <w:rPr>
                <w:rFonts w:ascii="Times New Roman" w:eastAsia="宋体" w:hAnsi="Times New Roman" w:cs="Times New Roman"/>
              </w:rPr>
              <w:t>m</w:t>
            </w:r>
            <w:r>
              <w:rPr>
                <w:rFonts w:ascii="Times New Roman" w:eastAsia="宋体" w:hAnsi="Times New Roman" w:cs="Times New Roman"/>
                <w:vertAlign w:val="superscript"/>
              </w:rPr>
              <w:t>3</w:t>
            </w:r>
          </w:p>
        </w:tc>
        <w:tc>
          <w:tcPr>
            <w:tcW w:w="2597" w:type="dxa"/>
            <w:vAlign w:val="center"/>
          </w:tcPr>
          <w:p w14:paraId="093A2C0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65.49</w:t>
            </w:r>
          </w:p>
        </w:tc>
      </w:tr>
      <w:tr w:rsidR="00D12939" w14:paraId="210EF51C" w14:textId="77777777">
        <w:trPr>
          <w:trHeight w:val="201"/>
          <w:jc w:val="center"/>
        </w:trPr>
        <w:tc>
          <w:tcPr>
            <w:tcW w:w="944" w:type="dxa"/>
            <w:vAlign w:val="center"/>
          </w:tcPr>
          <w:p w14:paraId="14F8FD0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4</w:t>
            </w:r>
          </w:p>
        </w:tc>
        <w:tc>
          <w:tcPr>
            <w:tcW w:w="3474" w:type="dxa"/>
            <w:vAlign w:val="center"/>
          </w:tcPr>
          <w:p w14:paraId="2F101AF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用地面积</w:t>
            </w:r>
          </w:p>
        </w:tc>
        <w:tc>
          <w:tcPr>
            <w:tcW w:w="2597" w:type="dxa"/>
            <w:vAlign w:val="center"/>
          </w:tcPr>
          <w:p w14:paraId="17E811C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m</w:t>
            </w:r>
            <w:r>
              <w:rPr>
                <w:rFonts w:ascii="Times New Roman" w:eastAsia="宋体" w:hAnsi="Times New Roman" w:cs="Times New Roman"/>
                <w:vertAlign w:val="superscript"/>
              </w:rPr>
              <w:t>2</w:t>
            </w:r>
          </w:p>
        </w:tc>
        <w:tc>
          <w:tcPr>
            <w:tcW w:w="2597" w:type="dxa"/>
            <w:vAlign w:val="center"/>
          </w:tcPr>
          <w:p w14:paraId="3CFF168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176286.57</w:t>
            </w:r>
            <w:r>
              <w:rPr>
                <w:rFonts w:ascii="Times New Roman" w:eastAsia="宋体" w:hAnsi="Times New Roman" w:cs="Times New Roman"/>
              </w:rPr>
              <w:t>（</w:t>
            </w:r>
            <w:r>
              <w:rPr>
                <w:rFonts w:ascii="Times New Roman" w:eastAsia="宋体" w:hAnsi="Times New Roman" w:cs="Times New Roman"/>
              </w:rPr>
              <w:t>264.43</w:t>
            </w:r>
            <w:r>
              <w:rPr>
                <w:rFonts w:ascii="Times New Roman" w:eastAsia="宋体" w:hAnsi="Times New Roman" w:cs="Times New Roman"/>
              </w:rPr>
              <w:t>亩）</w:t>
            </w:r>
          </w:p>
        </w:tc>
      </w:tr>
      <w:tr w:rsidR="00D12939" w14:paraId="5B2E9B11" w14:textId="77777777">
        <w:trPr>
          <w:trHeight w:val="201"/>
          <w:jc w:val="center"/>
        </w:trPr>
        <w:tc>
          <w:tcPr>
            <w:tcW w:w="944" w:type="dxa"/>
            <w:vAlign w:val="center"/>
          </w:tcPr>
          <w:p w14:paraId="55DDE70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3.6</w:t>
            </w:r>
          </w:p>
        </w:tc>
        <w:tc>
          <w:tcPr>
            <w:tcW w:w="3474" w:type="dxa"/>
            <w:vAlign w:val="center"/>
          </w:tcPr>
          <w:p w14:paraId="3CF49F5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一期工程</w:t>
            </w:r>
          </w:p>
        </w:tc>
        <w:tc>
          <w:tcPr>
            <w:tcW w:w="2597" w:type="dxa"/>
            <w:vAlign w:val="center"/>
          </w:tcPr>
          <w:p w14:paraId="0F9144A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m</w:t>
            </w:r>
            <w:r>
              <w:rPr>
                <w:rFonts w:ascii="Times New Roman" w:eastAsia="宋体" w:hAnsi="Times New Roman" w:cs="Times New Roman"/>
                <w:vertAlign w:val="superscript"/>
              </w:rPr>
              <w:t>2</w:t>
            </w:r>
          </w:p>
        </w:tc>
        <w:tc>
          <w:tcPr>
            <w:tcW w:w="2597" w:type="dxa"/>
            <w:vAlign w:val="center"/>
          </w:tcPr>
          <w:p w14:paraId="5303FDD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130048.66</w:t>
            </w:r>
            <w:r>
              <w:rPr>
                <w:rFonts w:ascii="Times New Roman" w:eastAsia="宋体" w:hAnsi="Times New Roman" w:cs="Times New Roman"/>
              </w:rPr>
              <w:t>（</w:t>
            </w:r>
            <w:r>
              <w:rPr>
                <w:rFonts w:ascii="Times New Roman" w:eastAsia="宋体" w:hAnsi="Times New Roman" w:cs="Times New Roman"/>
              </w:rPr>
              <w:t>195.07</w:t>
            </w:r>
            <w:r>
              <w:rPr>
                <w:rFonts w:ascii="Times New Roman" w:eastAsia="宋体" w:hAnsi="Times New Roman" w:cs="Times New Roman"/>
              </w:rPr>
              <w:t>亩）</w:t>
            </w:r>
          </w:p>
        </w:tc>
      </w:tr>
      <w:tr w:rsidR="00D12939" w14:paraId="6B57821B" w14:textId="77777777">
        <w:trPr>
          <w:trHeight w:val="201"/>
          <w:jc w:val="center"/>
        </w:trPr>
        <w:tc>
          <w:tcPr>
            <w:tcW w:w="944" w:type="dxa"/>
            <w:vAlign w:val="center"/>
          </w:tcPr>
          <w:p w14:paraId="25FFB33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5</w:t>
            </w:r>
          </w:p>
        </w:tc>
        <w:tc>
          <w:tcPr>
            <w:tcW w:w="3474" w:type="dxa"/>
            <w:vAlign w:val="center"/>
          </w:tcPr>
          <w:p w14:paraId="5D8B2F3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职工总数</w:t>
            </w:r>
          </w:p>
        </w:tc>
        <w:tc>
          <w:tcPr>
            <w:tcW w:w="2597" w:type="dxa"/>
            <w:vAlign w:val="center"/>
          </w:tcPr>
          <w:p w14:paraId="3F9FB3A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人</w:t>
            </w:r>
          </w:p>
        </w:tc>
        <w:tc>
          <w:tcPr>
            <w:tcW w:w="2597" w:type="dxa"/>
            <w:vAlign w:val="center"/>
          </w:tcPr>
          <w:p w14:paraId="6CBB5FC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16</w:t>
            </w:r>
          </w:p>
        </w:tc>
      </w:tr>
      <w:tr w:rsidR="00D12939" w14:paraId="2AF213DE" w14:textId="77777777">
        <w:trPr>
          <w:trHeight w:val="201"/>
          <w:jc w:val="center"/>
        </w:trPr>
        <w:tc>
          <w:tcPr>
            <w:tcW w:w="944" w:type="dxa"/>
            <w:vAlign w:val="center"/>
          </w:tcPr>
          <w:p w14:paraId="1727340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6</w:t>
            </w:r>
          </w:p>
        </w:tc>
        <w:tc>
          <w:tcPr>
            <w:tcW w:w="3474" w:type="dxa"/>
            <w:vAlign w:val="center"/>
          </w:tcPr>
          <w:p w14:paraId="5603D1E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年工作天数</w:t>
            </w:r>
          </w:p>
        </w:tc>
        <w:tc>
          <w:tcPr>
            <w:tcW w:w="2597" w:type="dxa"/>
            <w:vAlign w:val="center"/>
          </w:tcPr>
          <w:p w14:paraId="6B97565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日</w:t>
            </w:r>
          </w:p>
        </w:tc>
        <w:tc>
          <w:tcPr>
            <w:tcW w:w="2597" w:type="dxa"/>
            <w:vAlign w:val="center"/>
          </w:tcPr>
          <w:p w14:paraId="27D82AE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365</w:t>
            </w:r>
          </w:p>
        </w:tc>
      </w:tr>
      <w:tr w:rsidR="00D12939" w14:paraId="3FF78290" w14:textId="77777777">
        <w:trPr>
          <w:trHeight w:val="201"/>
          <w:jc w:val="center"/>
        </w:trPr>
        <w:tc>
          <w:tcPr>
            <w:tcW w:w="944" w:type="dxa"/>
            <w:vAlign w:val="center"/>
          </w:tcPr>
          <w:p w14:paraId="23F0F77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7</w:t>
            </w:r>
          </w:p>
        </w:tc>
        <w:tc>
          <w:tcPr>
            <w:tcW w:w="3474" w:type="dxa"/>
            <w:vAlign w:val="center"/>
          </w:tcPr>
          <w:p w14:paraId="6E52D64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总投资</w:t>
            </w:r>
          </w:p>
        </w:tc>
        <w:tc>
          <w:tcPr>
            <w:tcW w:w="2597" w:type="dxa"/>
            <w:vAlign w:val="center"/>
          </w:tcPr>
          <w:p w14:paraId="7AF2CB7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万元</w:t>
            </w:r>
          </w:p>
        </w:tc>
        <w:tc>
          <w:tcPr>
            <w:tcW w:w="2597" w:type="dxa"/>
            <w:vAlign w:val="center"/>
          </w:tcPr>
          <w:p w14:paraId="4F74694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321.26</w:t>
            </w:r>
          </w:p>
        </w:tc>
      </w:tr>
    </w:tbl>
    <w:p w14:paraId="1558A9E1" w14:textId="77777777" w:rsidR="00D12939" w:rsidRDefault="00D12939">
      <w:pPr>
        <w:sectPr w:rsidR="00D12939">
          <w:pgSz w:w="11906" w:h="16838"/>
          <w:pgMar w:top="1440" w:right="1080" w:bottom="1440" w:left="1080" w:header="851" w:footer="992" w:gutter="0"/>
          <w:cols w:space="425"/>
          <w:docGrid w:type="lines" w:linePitch="312"/>
        </w:sectPr>
      </w:pPr>
    </w:p>
    <w:p w14:paraId="0579CEDF" w14:textId="77777777" w:rsidR="00D12939" w:rsidRDefault="004F47F5">
      <w:pPr>
        <w:pStyle w:val="1"/>
        <w:jc w:val="center"/>
        <w:rPr>
          <w:sz w:val="30"/>
          <w:szCs w:val="30"/>
        </w:rPr>
      </w:pPr>
      <w:bookmarkStart w:id="334" w:name="_Toc121411727"/>
      <w:r>
        <w:rPr>
          <w:sz w:val="30"/>
          <w:szCs w:val="30"/>
        </w:rPr>
        <w:lastRenderedPageBreak/>
        <w:t xml:space="preserve">4 </w:t>
      </w:r>
      <w:r>
        <w:rPr>
          <w:rFonts w:hint="eastAsia"/>
          <w:sz w:val="30"/>
          <w:szCs w:val="30"/>
        </w:rPr>
        <w:t>工程分析</w:t>
      </w:r>
      <w:bookmarkEnd w:id="334"/>
    </w:p>
    <w:p w14:paraId="2D01E1FB" w14:textId="77777777" w:rsidR="00D12939" w:rsidRDefault="004F47F5">
      <w:pPr>
        <w:pStyle w:val="2"/>
        <w:spacing w:line="360" w:lineRule="auto"/>
        <w:ind w:firstLineChars="165" w:firstLine="462"/>
        <w:rPr>
          <w:sz w:val="28"/>
        </w:rPr>
      </w:pPr>
      <w:bookmarkStart w:id="335" w:name="_Toc121411728"/>
      <w:r>
        <w:rPr>
          <w:sz w:val="28"/>
        </w:rPr>
        <w:t>4.1</w:t>
      </w:r>
      <w:r>
        <w:rPr>
          <w:rFonts w:hint="eastAsia"/>
          <w:sz w:val="28"/>
        </w:rPr>
        <w:t>施工期工程分析</w:t>
      </w:r>
      <w:bookmarkEnd w:id="335"/>
    </w:p>
    <w:p w14:paraId="3C473107"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36" w:name="_Toc41745139"/>
      <w:bookmarkStart w:id="337" w:name="_Toc482022389"/>
      <w:bookmarkStart w:id="338" w:name="_Toc500167664"/>
      <w:bookmarkStart w:id="339" w:name="_Toc493515505"/>
      <w:bookmarkStart w:id="340" w:name="_Toc121411729"/>
      <w:r>
        <w:rPr>
          <w:rFonts w:ascii="Times New Roman" w:eastAsia="黑体" w:hAnsi="Times New Roman" w:cs="Times New Roman"/>
          <w:b w:val="0"/>
          <w:sz w:val="24"/>
        </w:rPr>
        <w:t xml:space="preserve">4.1.1 </w:t>
      </w:r>
      <w:bookmarkEnd w:id="336"/>
      <w:bookmarkEnd w:id="337"/>
      <w:bookmarkEnd w:id="338"/>
      <w:bookmarkEnd w:id="339"/>
      <w:r>
        <w:rPr>
          <w:rFonts w:ascii="Times New Roman" w:eastAsia="黑体" w:hAnsi="Times New Roman" w:cs="Times New Roman" w:hint="eastAsia"/>
          <w:b w:val="0"/>
          <w:sz w:val="24"/>
        </w:rPr>
        <w:t>工艺流程</w:t>
      </w:r>
      <w:bookmarkEnd w:id="340"/>
    </w:p>
    <w:p w14:paraId="5121C4BC" w14:textId="27822BD0" w:rsidR="00C50935" w:rsidRDefault="004F47F5" w:rsidP="00C50935">
      <w:pPr>
        <w:spacing w:line="360" w:lineRule="auto"/>
        <w:ind w:firstLineChars="200" w:firstLine="480"/>
        <w:rPr>
          <w:rFonts w:ascii="Times New Roman" w:eastAsia="宋体" w:hAnsi="Times New Roman" w:cs="Times New Roman"/>
          <w:b/>
          <w:sz w:val="24"/>
          <w:szCs w:val="24"/>
        </w:rPr>
      </w:pPr>
      <w:r>
        <w:rPr>
          <w:rFonts w:ascii="Times New Roman" w:eastAsia="宋体" w:hAnsi="Times New Roman" w:cs="Times New Roman" w:hint="eastAsia"/>
          <w:sz w:val="24"/>
        </w:rPr>
        <w:t>柞水县固体废弃物综合处置场项目分两期建设，一期建设生活垃圾填埋库区、渗沥液处理区和生活区，</w:t>
      </w:r>
      <w:r>
        <w:rPr>
          <w:rFonts w:ascii="Times New Roman" w:eastAsia="宋体" w:hAnsi="Times New Roman" w:cs="Times New Roman"/>
          <w:sz w:val="24"/>
          <w:szCs w:val="24"/>
        </w:rPr>
        <w:t>二期建设</w:t>
      </w:r>
      <w:r>
        <w:rPr>
          <w:rFonts w:ascii="Times New Roman" w:eastAsia="宋体" w:hAnsi="Times New Roman" w:cs="Times New Roman"/>
          <w:kern w:val="0"/>
          <w:sz w:val="24"/>
          <w:szCs w:val="24"/>
        </w:rPr>
        <w:t>飞灰填埋库区</w:t>
      </w:r>
      <w:r w:rsidR="00C50935">
        <w:rPr>
          <w:rFonts w:ascii="Times New Roman" w:eastAsia="宋体" w:hAnsi="Times New Roman" w:cs="Times New Roman" w:hint="eastAsia"/>
          <w:kern w:val="0"/>
          <w:sz w:val="24"/>
          <w:szCs w:val="24"/>
        </w:rPr>
        <w:t>。</w:t>
      </w:r>
      <w:r w:rsidR="00C50935">
        <w:rPr>
          <w:rFonts w:ascii="Times New Roman" w:eastAsia="宋体" w:hAnsi="Times New Roman" w:cs="Times New Roman" w:hint="eastAsia"/>
          <w:b/>
          <w:sz w:val="24"/>
          <w:szCs w:val="24"/>
        </w:rPr>
        <w:t>本次评价仅涉及一期工程，后期建设二期工程前需另行办理环境影响评价等相关手续。</w:t>
      </w:r>
    </w:p>
    <w:p w14:paraId="1230A107"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kern w:val="0"/>
          <w:sz w:val="24"/>
          <w:szCs w:val="24"/>
        </w:rPr>
        <w:t>一期工程</w:t>
      </w:r>
      <w:r>
        <w:rPr>
          <w:rFonts w:ascii="Times New Roman" w:eastAsia="宋体" w:hAnsi="Times New Roman" w:cs="Times New Roman" w:hint="eastAsia"/>
          <w:sz w:val="24"/>
        </w:rPr>
        <w:t>具体建设内容如下：</w:t>
      </w:r>
    </w:p>
    <w:p w14:paraId="493B679B"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hint="eastAsia"/>
          <w:sz w:val="24"/>
        </w:rPr>
        <w:t>生活垃圾填埋库区：主要包括防渗工程、坝体工程、地下水收集导排系统、地表水收集导排</w:t>
      </w:r>
      <w:r>
        <w:rPr>
          <w:rFonts w:ascii="Times New Roman" w:eastAsia="宋体" w:hAnsi="Times New Roman" w:cs="Times New Roman"/>
          <w:sz w:val="24"/>
        </w:rPr>
        <w:t>系统、渗沥液收集导排系统、填埋气体导排系统、道路工程及绿化等；</w:t>
      </w:r>
    </w:p>
    <w:p w14:paraId="07028AD7"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渗沥液处理区：主要包括渗沥液调节池及渗沥液处理站等设施；</w:t>
      </w:r>
    </w:p>
    <w:p w14:paraId="0795124E"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管理区：主要包括综合楼、机修车间及门房等设施。</w:t>
      </w:r>
    </w:p>
    <w:p w14:paraId="7CEBF6A6"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具体施工工程内容见“</w:t>
      </w:r>
      <w:r>
        <w:rPr>
          <w:rFonts w:ascii="Times New Roman" w:eastAsia="宋体" w:hAnsi="Times New Roman" w:cs="Times New Roman"/>
          <w:sz w:val="24"/>
        </w:rPr>
        <w:t xml:space="preserve">3.6 </w:t>
      </w:r>
      <w:r>
        <w:rPr>
          <w:rFonts w:ascii="Times New Roman" w:eastAsia="宋体" w:hAnsi="Times New Roman" w:cs="Times New Roman" w:hint="eastAsia"/>
          <w:sz w:val="24"/>
        </w:rPr>
        <w:t>填埋场工程建设内容”。</w:t>
      </w:r>
    </w:p>
    <w:p w14:paraId="036246FA"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41" w:name="_Toc121411730"/>
      <w:r>
        <w:rPr>
          <w:rFonts w:ascii="Times New Roman" w:eastAsia="黑体" w:hAnsi="Times New Roman" w:cs="Times New Roman"/>
          <w:b w:val="0"/>
          <w:sz w:val="24"/>
        </w:rPr>
        <w:t xml:space="preserve">4.1.2 </w:t>
      </w:r>
      <w:r>
        <w:rPr>
          <w:rFonts w:ascii="Times New Roman" w:eastAsia="黑体" w:hAnsi="Times New Roman" w:cs="Times New Roman" w:hint="eastAsia"/>
          <w:b w:val="0"/>
          <w:sz w:val="24"/>
        </w:rPr>
        <w:t>施工期污染物源强分析</w:t>
      </w:r>
      <w:bookmarkEnd w:id="341"/>
    </w:p>
    <w:p w14:paraId="6C49A448"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hint="eastAsia"/>
          <w:sz w:val="24"/>
        </w:rPr>
        <w:t>4</w:t>
      </w:r>
      <w:r>
        <w:rPr>
          <w:rFonts w:ascii="宋体" w:eastAsia="宋体" w:hAnsi="宋体"/>
          <w:sz w:val="24"/>
        </w:rPr>
        <w:t>.1.2.1</w:t>
      </w:r>
      <w:r>
        <w:rPr>
          <w:rFonts w:ascii="宋体" w:eastAsia="宋体" w:hAnsi="宋体" w:hint="eastAsia"/>
          <w:sz w:val="24"/>
        </w:rPr>
        <w:t>废气</w:t>
      </w:r>
    </w:p>
    <w:p w14:paraId="60305896"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）施工扬尘</w:t>
      </w:r>
    </w:p>
    <w:p w14:paraId="39C36B34"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根据有关资料，在施工现场，近地面的粉尘浓度一般为</w:t>
      </w:r>
      <w:r>
        <w:rPr>
          <w:rFonts w:ascii="Times New Roman" w:eastAsia="宋体" w:hAnsi="Times New Roman" w:cs="Times New Roman"/>
          <w:kern w:val="0"/>
          <w:sz w:val="24"/>
          <w:szCs w:val="24"/>
        </w:rPr>
        <w:t>1.5~30mg/m</w:t>
      </w:r>
      <w:r>
        <w:rPr>
          <w:rFonts w:ascii="Times New Roman" w:eastAsia="宋体" w:hAnsi="Times New Roman" w:cs="Times New Roman"/>
          <w:kern w:val="0"/>
          <w:sz w:val="24"/>
          <w:szCs w:val="16"/>
          <w:vertAlign w:val="superscript"/>
        </w:rPr>
        <w:t>3</w:t>
      </w:r>
      <w:r>
        <w:rPr>
          <w:rFonts w:ascii="Times New Roman" w:eastAsia="宋体" w:hAnsi="Times New Roman" w:cs="Times New Roman"/>
          <w:kern w:val="0"/>
          <w:sz w:val="24"/>
          <w:szCs w:val="24"/>
        </w:rPr>
        <w:t>，随地面风速、开挖土方和淤泥弃土的湿度而发生较大变化。施工过程中产生的粉尘往往呈无组织排放，借助风力在施工现场使空气环境中的总悬浮颗粒物增加，造成一定范围内环境空气</w:t>
      </w:r>
      <w:r>
        <w:rPr>
          <w:rFonts w:ascii="Times New Roman" w:eastAsia="宋体" w:hAnsi="Times New Roman" w:cs="Times New Roman"/>
          <w:kern w:val="0"/>
          <w:sz w:val="24"/>
          <w:szCs w:val="24"/>
        </w:rPr>
        <w:t xml:space="preserve">TSP </w:t>
      </w:r>
      <w:r>
        <w:rPr>
          <w:rFonts w:ascii="Times New Roman" w:eastAsia="宋体" w:hAnsi="Times New Roman" w:cs="Times New Roman"/>
          <w:kern w:val="0"/>
          <w:sz w:val="24"/>
          <w:szCs w:val="24"/>
        </w:rPr>
        <w:t>超标。</w:t>
      </w:r>
    </w:p>
    <w:p w14:paraId="18F47545"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由于施工扬尘粒径较大，多数沉降于施工现场，少数形成飘尘。根据相关资料，在干燥和风速较大天气情况下，施工现场近地面粉尘浓度超过《环境空气质量标准》（</w:t>
      </w:r>
      <w:r>
        <w:rPr>
          <w:rFonts w:ascii="Times New Roman" w:eastAsia="宋体" w:hAnsi="Times New Roman" w:cs="Times New Roman"/>
          <w:kern w:val="0"/>
          <w:sz w:val="24"/>
          <w:szCs w:val="24"/>
        </w:rPr>
        <w:t>GB3095-2012</w:t>
      </w:r>
      <w:r>
        <w:rPr>
          <w:rFonts w:ascii="Times New Roman" w:eastAsia="宋体" w:hAnsi="Times New Roman" w:cs="Times New Roman"/>
          <w:kern w:val="0"/>
          <w:sz w:val="24"/>
          <w:szCs w:val="24"/>
        </w:rPr>
        <w:t>）一级标准中日均值</w:t>
      </w:r>
      <w:r>
        <w:rPr>
          <w:rFonts w:ascii="Times New Roman" w:eastAsia="宋体" w:hAnsi="Times New Roman" w:cs="Times New Roman"/>
          <w:kern w:val="0"/>
          <w:sz w:val="24"/>
          <w:szCs w:val="24"/>
        </w:rPr>
        <w:t>0.05mg/m</w:t>
      </w:r>
      <w:r>
        <w:rPr>
          <w:rFonts w:ascii="Times New Roman" w:eastAsia="宋体" w:hAnsi="Times New Roman" w:cs="Times New Roman"/>
          <w:kern w:val="0"/>
          <w:sz w:val="24"/>
          <w:szCs w:val="16"/>
          <w:vertAlign w:val="superscript"/>
        </w:rPr>
        <w:t>3</w:t>
      </w:r>
      <w:r>
        <w:rPr>
          <w:rFonts w:ascii="Times New Roman" w:eastAsia="宋体" w:hAnsi="Times New Roman" w:cs="Times New Roman"/>
          <w:kern w:val="0"/>
          <w:sz w:val="16"/>
          <w:szCs w:val="16"/>
        </w:rPr>
        <w:t xml:space="preserve"> </w:t>
      </w:r>
      <w:r>
        <w:rPr>
          <w:rFonts w:ascii="Times New Roman" w:eastAsia="宋体" w:hAnsi="Times New Roman" w:cs="Times New Roman"/>
          <w:kern w:val="0"/>
          <w:sz w:val="24"/>
          <w:szCs w:val="24"/>
        </w:rPr>
        <w:t>的</w:t>
      </w:r>
      <w:r>
        <w:rPr>
          <w:rFonts w:ascii="Times New Roman" w:eastAsia="宋体" w:hAnsi="Times New Roman" w:cs="Times New Roman"/>
          <w:kern w:val="0"/>
          <w:sz w:val="24"/>
          <w:szCs w:val="24"/>
        </w:rPr>
        <w:t xml:space="preserve">5~100 </w:t>
      </w:r>
      <w:r>
        <w:rPr>
          <w:rFonts w:ascii="Times New Roman" w:eastAsia="宋体" w:hAnsi="Times New Roman" w:cs="Times New Roman"/>
          <w:kern w:val="0"/>
          <w:sz w:val="24"/>
          <w:szCs w:val="24"/>
        </w:rPr>
        <w:t>倍，污染</w:t>
      </w:r>
      <w:r>
        <w:rPr>
          <w:rFonts w:ascii="Times New Roman" w:eastAsia="宋体" w:hAnsi="Times New Roman" w:cs="Times New Roman" w:hint="eastAsia"/>
          <w:kern w:val="0"/>
          <w:sz w:val="24"/>
          <w:szCs w:val="24"/>
        </w:rPr>
        <w:t>较</w:t>
      </w:r>
      <w:r>
        <w:rPr>
          <w:rFonts w:ascii="Times New Roman" w:eastAsia="宋体" w:hAnsi="Times New Roman" w:cs="Times New Roman"/>
          <w:kern w:val="0"/>
          <w:sz w:val="24"/>
          <w:szCs w:val="24"/>
        </w:rPr>
        <w:t>严重。在</w:t>
      </w:r>
      <w:r>
        <w:rPr>
          <w:rFonts w:ascii="Times New Roman" w:eastAsia="宋体" w:hAnsi="Times New Roman" w:cs="Times New Roman"/>
          <w:kern w:val="0"/>
          <w:sz w:val="24"/>
          <w:szCs w:val="24"/>
        </w:rPr>
        <w:t xml:space="preserve">2.5m/s </w:t>
      </w:r>
      <w:r>
        <w:rPr>
          <w:rFonts w:ascii="Times New Roman" w:eastAsia="宋体" w:hAnsi="Times New Roman" w:cs="Times New Roman"/>
          <w:kern w:val="0"/>
          <w:sz w:val="24"/>
          <w:szCs w:val="24"/>
        </w:rPr>
        <w:t>风速情况下，据施工点下风向</w:t>
      </w:r>
      <w:r>
        <w:rPr>
          <w:rFonts w:ascii="Times New Roman" w:eastAsia="宋体" w:hAnsi="Times New Roman" w:cs="Times New Roman"/>
          <w:kern w:val="0"/>
          <w:sz w:val="24"/>
          <w:szCs w:val="24"/>
        </w:rPr>
        <w:t xml:space="preserve">200m </w:t>
      </w:r>
      <w:r>
        <w:rPr>
          <w:rFonts w:ascii="Times New Roman" w:eastAsia="宋体" w:hAnsi="Times New Roman" w:cs="Times New Roman"/>
          <w:kern w:val="0"/>
          <w:sz w:val="24"/>
          <w:szCs w:val="24"/>
        </w:rPr>
        <w:t>处的</w:t>
      </w:r>
      <w:r>
        <w:rPr>
          <w:rFonts w:ascii="Times New Roman" w:eastAsia="宋体" w:hAnsi="Times New Roman" w:cs="Times New Roman"/>
          <w:kern w:val="0"/>
          <w:sz w:val="24"/>
          <w:szCs w:val="24"/>
        </w:rPr>
        <w:t xml:space="preserve">TSP </w:t>
      </w:r>
      <w:r>
        <w:rPr>
          <w:rFonts w:ascii="Times New Roman" w:eastAsia="宋体" w:hAnsi="Times New Roman" w:cs="Times New Roman"/>
          <w:kern w:val="0"/>
          <w:sz w:val="24"/>
          <w:szCs w:val="24"/>
        </w:rPr>
        <w:t>浓度仍可超过国家空气质量标准的二级标准。因此，建设单位在施工过程中，必须采取抑尘措施，如施工场地洒水抑尘、施工围挡、土工布覆盖等措施，这些措施将降低扬尘量</w:t>
      </w:r>
      <w:r>
        <w:rPr>
          <w:rFonts w:ascii="Times New Roman" w:eastAsia="宋体" w:hAnsi="Times New Roman" w:cs="Times New Roman"/>
          <w:kern w:val="0"/>
          <w:sz w:val="24"/>
          <w:szCs w:val="24"/>
        </w:rPr>
        <w:t>50-80%</w:t>
      </w:r>
      <w:r>
        <w:rPr>
          <w:rFonts w:ascii="Times New Roman" w:eastAsia="宋体" w:hAnsi="Times New Roman" w:cs="Times New Roman"/>
          <w:kern w:val="0"/>
          <w:sz w:val="24"/>
          <w:szCs w:val="24"/>
        </w:rPr>
        <w:t>，可有效地减少扬尘对环境的影响。</w:t>
      </w:r>
    </w:p>
    <w:p w14:paraId="7543A790"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本项目扬尘主要来自土建期工程建设过程中产生的扬尘，废土装卸中及运输过程散落产生的扬尘，出入工地后施工机械轮胎和履带碾轧形成的灰尘；另外施工物料的粉状物质在装卸、堆放时产生的扬尘。</w:t>
      </w:r>
    </w:p>
    <w:p w14:paraId="3F8034CD"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）施工机械废气</w:t>
      </w:r>
    </w:p>
    <w:p w14:paraId="34766F1F"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本项目在施工过程主要使用挖掘机、推土机、碾压机等机械，这些设备一般采用柴油作为</w:t>
      </w:r>
      <w:r>
        <w:rPr>
          <w:rFonts w:ascii="Times New Roman" w:eastAsia="宋体" w:hAnsi="Times New Roman" w:cs="Times New Roman"/>
          <w:kern w:val="0"/>
          <w:sz w:val="24"/>
          <w:szCs w:val="24"/>
        </w:rPr>
        <w:lastRenderedPageBreak/>
        <w:t>动力，在运行过程中会产生一定量的废气，同时，负责运输水泥构件、钢筋等材料的车辆产生的机动车尾气也会对区域大气造成一定程度的污染，其主要污染物包括</w:t>
      </w:r>
      <w:r>
        <w:rPr>
          <w:rFonts w:ascii="Times New Roman" w:eastAsia="宋体" w:hAnsi="Times New Roman" w:cs="Times New Roman"/>
          <w:kern w:val="0"/>
          <w:sz w:val="24"/>
          <w:szCs w:val="24"/>
        </w:rPr>
        <w:t>CO</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NO</w:t>
      </w:r>
      <w:r>
        <w:rPr>
          <w:rFonts w:ascii="Times New Roman" w:eastAsia="宋体" w:hAnsi="Times New Roman" w:cs="Times New Roman"/>
          <w:kern w:val="0"/>
          <w:sz w:val="16"/>
          <w:szCs w:val="16"/>
        </w:rPr>
        <w:t>x</w:t>
      </w:r>
      <w:r>
        <w:rPr>
          <w:rFonts w:ascii="Times New Roman" w:eastAsia="宋体" w:hAnsi="Times New Roman" w:cs="Times New Roman"/>
          <w:kern w:val="0"/>
          <w:sz w:val="24"/>
          <w:szCs w:val="24"/>
        </w:rPr>
        <w:t>和颗粒物等。</w:t>
      </w:r>
    </w:p>
    <w:p w14:paraId="3E91B926"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4.1.2.2废水</w:t>
      </w:r>
    </w:p>
    <w:p w14:paraId="7778CC2E" w14:textId="1EB07C0D"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施工废水主要为施工人员的少量生活污水以及施工物料如砂、石、水泥等在装运过程中洒落或堆放管理不严，随降雨产生的废水</w:t>
      </w:r>
      <w:r w:rsidR="00743F03">
        <w:rPr>
          <w:rFonts w:ascii="Times New Roman" w:eastAsia="宋体" w:hAnsi="Times New Roman" w:cs="Times New Roman" w:hint="eastAsia"/>
          <w:kern w:val="0"/>
          <w:sz w:val="24"/>
          <w:szCs w:val="24"/>
        </w:rPr>
        <w:t>及洗车废水</w:t>
      </w:r>
      <w:r>
        <w:rPr>
          <w:rFonts w:ascii="Times New Roman" w:eastAsia="宋体" w:hAnsi="Times New Roman" w:cs="Times New Roman"/>
          <w:kern w:val="0"/>
          <w:sz w:val="24"/>
          <w:szCs w:val="24"/>
        </w:rPr>
        <w:t>；道路保养产生的少量废水；机械设备事故性漏油等。项目在施工场地内设置沉淀池，利用截留沟将场地废水收集起来，冲刷废水通过沉淀池处理后回用于洒水抑尘</w:t>
      </w:r>
      <w:r w:rsidR="009A1D0D">
        <w:rPr>
          <w:rFonts w:ascii="Times New Roman" w:eastAsia="宋体" w:hAnsi="Times New Roman" w:cs="Times New Roman" w:hint="eastAsia"/>
          <w:kern w:val="0"/>
          <w:sz w:val="24"/>
          <w:szCs w:val="24"/>
        </w:rPr>
        <w:t>，洗车废水经简易沉淀处理后回用</w:t>
      </w:r>
      <w:r>
        <w:rPr>
          <w:rFonts w:ascii="Times New Roman" w:eastAsia="宋体" w:hAnsi="Times New Roman" w:cs="Times New Roman"/>
          <w:kern w:val="0"/>
          <w:sz w:val="24"/>
          <w:szCs w:val="24"/>
        </w:rPr>
        <w:t>。</w:t>
      </w:r>
    </w:p>
    <w:p w14:paraId="14545297"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施工队伍拟从当地周边农村招聘，不在现场住宿生活。施工人员高峰期按</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人计，施工人员生活污水产生量为</w:t>
      </w:r>
      <w:r>
        <w:rPr>
          <w:rFonts w:ascii="Times New Roman" w:eastAsia="宋体" w:hAnsi="Times New Roman" w:cs="Times New Roman"/>
          <w:kern w:val="0"/>
          <w:sz w:val="24"/>
          <w:szCs w:val="24"/>
        </w:rPr>
        <w:t>0.01m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人</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，则排放生活污水</w:t>
      </w:r>
      <w:r>
        <w:rPr>
          <w:rFonts w:ascii="Times New Roman" w:eastAsia="宋体" w:hAnsi="Times New Roman" w:cs="Times New Roman"/>
          <w:kern w:val="0"/>
          <w:sz w:val="24"/>
          <w:szCs w:val="24"/>
        </w:rPr>
        <w:t>0.6m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w:t>
      </w:r>
      <w:r>
        <w:rPr>
          <w:rFonts w:ascii="Times New Roman" w:eastAsia="宋体" w:hAnsi="Times New Roman" w:cs="Times New Roman" w:hint="eastAsia"/>
          <w:kern w:val="0"/>
          <w:sz w:val="24"/>
          <w:szCs w:val="24"/>
        </w:rPr>
        <w:t>施工场地设置临时环保卫生厕所，定期外委清运。</w:t>
      </w:r>
    </w:p>
    <w:p w14:paraId="01F12621"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4.1.2.3噪声</w:t>
      </w:r>
    </w:p>
    <w:p w14:paraId="1B50671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施工建设期间，运输车辆和各种施工机械如打桩机、挖掘机、推土机、搅拌机等都是噪声值较大的噪声设备，参照《环境噪声与振动控制工程技术导则》（</w:t>
      </w:r>
      <w:r>
        <w:rPr>
          <w:rFonts w:ascii="Times New Roman" w:eastAsia="宋体" w:hAnsi="Times New Roman" w:cs="Times New Roman"/>
          <w:kern w:val="0"/>
          <w:sz w:val="24"/>
          <w:szCs w:val="24"/>
        </w:rPr>
        <w:t>HJ2034-2013</w:t>
      </w:r>
      <w:r>
        <w:rPr>
          <w:rFonts w:ascii="Times New Roman" w:eastAsia="宋体" w:hAnsi="Times New Roman" w:cs="Times New Roman"/>
          <w:kern w:val="0"/>
          <w:sz w:val="24"/>
          <w:szCs w:val="24"/>
        </w:rPr>
        <w:t>）附录</w:t>
      </w:r>
      <w:r>
        <w:rPr>
          <w:rFonts w:ascii="Times New Roman" w:eastAsia="宋体" w:hAnsi="Times New Roman" w:cs="Times New Roman"/>
          <w:kern w:val="0"/>
          <w:sz w:val="24"/>
          <w:szCs w:val="24"/>
        </w:rPr>
        <w:t xml:space="preserve">A </w:t>
      </w:r>
      <w:r>
        <w:rPr>
          <w:rFonts w:ascii="Times New Roman" w:eastAsia="宋体" w:hAnsi="Times New Roman" w:cs="Times New Roman"/>
          <w:kern w:val="0"/>
          <w:sz w:val="24"/>
          <w:szCs w:val="24"/>
        </w:rPr>
        <w:t>表</w:t>
      </w:r>
      <w:r>
        <w:rPr>
          <w:rFonts w:ascii="Times New Roman" w:eastAsia="宋体" w:hAnsi="Times New Roman" w:cs="Times New Roman"/>
          <w:kern w:val="0"/>
          <w:sz w:val="24"/>
          <w:szCs w:val="24"/>
        </w:rPr>
        <w:t xml:space="preserve">A2 </w:t>
      </w:r>
      <w:r>
        <w:rPr>
          <w:rFonts w:ascii="Times New Roman" w:eastAsia="宋体" w:hAnsi="Times New Roman" w:cs="Times New Roman"/>
          <w:kern w:val="0"/>
          <w:sz w:val="24"/>
          <w:szCs w:val="24"/>
        </w:rPr>
        <w:t>常见施工设备噪声源强，拟建工程主要施工设备类比噪声级详见表</w:t>
      </w:r>
      <w:r>
        <w:rPr>
          <w:rFonts w:ascii="Times New Roman" w:eastAsia="宋体" w:hAnsi="Times New Roman" w:cs="Times New Roman"/>
          <w:kern w:val="0"/>
          <w:sz w:val="24"/>
          <w:szCs w:val="24"/>
        </w:rPr>
        <w:t>3.5-1</w:t>
      </w:r>
      <w:r>
        <w:rPr>
          <w:rFonts w:ascii="Times New Roman" w:eastAsia="宋体" w:hAnsi="Times New Roman" w:cs="Times New Roman"/>
          <w:kern w:val="0"/>
          <w:sz w:val="24"/>
          <w:szCs w:val="24"/>
        </w:rPr>
        <w:t>。</w:t>
      </w:r>
    </w:p>
    <w:p w14:paraId="7690233E" w14:textId="77777777" w:rsidR="00D12939" w:rsidRDefault="004F47F5">
      <w:pPr>
        <w:autoSpaceDE w:val="0"/>
        <w:autoSpaceDN w:val="0"/>
        <w:adjustRightInd w:val="0"/>
        <w:spacing w:line="360" w:lineRule="auto"/>
        <w:ind w:firstLineChars="200" w:firstLine="480"/>
        <w:jc w:val="center"/>
        <w:rPr>
          <w:rFonts w:ascii="Times New Roman" w:eastAsia="宋体" w:hAnsi="Times New Roman" w:cs="Times New Roman"/>
          <w:kern w:val="0"/>
          <w:szCs w:val="21"/>
        </w:rPr>
      </w:pPr>
      <w:bookmarkStart w:id="342" w:name="_Ref25051030"/>
      <w:r>
        <w:rPr>
          <w:rFonts w:ascii="黑体" w:eastAsia="黑体" w:hAnsi="黑体" w:cs="Times New Roman"/>
          <w:kern w:val="0"/>
          <w:sz w:val="24"/>
          <w:szCs w:val="21"/>
        </w:rPr>
        <w:t>表</w:t>
      </w:r>
      <w:r>
        <w:rPr>
          <w:rFonts w:ascii="黑体" w:eastAsia="黑体" w:hAnsi="黑体" w:cs="Times New Roman"/>
          <w:bCs/>
          <w:kern w:val="0"/>
          <w:sz w:val="24"/>
          <w:szCs w:val="21"/>
        </w:rPr>
        <w:t>4.1-1  施工期主</w:t>
      </w:r>
      <w:r>
        <w:rPr>
          <w:rFonts w:ascii="黑体" w:eastAsia="黑体" w:hAnsi="黑体" w:cs="Times New Roman"/>
          <w:kern w:val="0"/>
          <w:sz w:val="24"/>
          <w:szCs w:val="21"/>
        </w:rPr>
        <w:t>要噪声源强一览表</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8"/>
        <w:gridCol w:w="1498"/>
        <w:gridCol w:w="1609"/>
        <w:gridCol w:w="1390"/>
        <w:gridCol w:w="1499"/>
        <w:gridCol w:w="1566"/>
      </w:tblGrid>
      <w:tr w:rsidR="00D12939" w14:paraId="38D75FF3" w14:textId="77777777">
        <w:trPr>
          <w:jc w:val="center"/>
        </w:trPr>
        <w:tc>
          <w:tcPr>
            <w:tcW w:w="1498" w:type="dxa"/>
            <w:vAlign w:val="center"/>
          </w:tcPr>
          <w:bookmarkEnd w:id="342"/>
          <w:p w14:paraId="12A4E75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施工项目</w:t>
            </w:r>
          </w:p>
        </w:tc>
        <w:tc>
          <w:tcPr>
            <w:tcW w:w="1498" w:type="dxa"/>
            <w:vAlign w:val="center"/>
          </w:tcPr>
          <w:p w14:paraId="5B4C3BD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设备名称</w:t>
            </w:r>
          </w:p>
        </w:tc>
        <w:tc>
          <w:tcPr>
            <w:tcW w:w="1609" w:type="dxa"/>
            <w:vAlign w:val="center"/>
          </w:tcPr>
          <w:p w14:paraId="16A0804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声级</w:t>
            </w:r>
            <w:r>
              <w:rPr>
                <w:rFonts w:ascii="Times New Roman" w:eastAsia="宋体" w:hAnsi="Times New Roman" w:cs="Times New Roman"/>
                <w:szCs w:val="21"/>
              </w:rPr>
              <w:t>dB (A)</w:t>
            </w:r>
          </w:p>
        </w:tc>
        <w:tc>
          <w:tcPr>
            <w:tcW w:w="1390" w:type="dxa"/>
            <w:vAlign w:val="center"/>
          </w:tcPr>
          <w:p w14:paraId="2665B6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施工项目</w:t>
            </w:r>
          </w:p>
        </w:tc>
        <w:tc>
          <w:tcPr>
            <w:tcW w:w="1499" w:type="dxa"/>
            <w:vAlign w:val="center"/>
          </w:tcPr>
          <w:p w14:paraId="2720BBD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设备名称</w:t>
            </w:r>
          </w:p>
        </w:tc>
        <w:tc>
          <w:tcPr>
            <w:tcW w:w="1566" w:type="dxa"/>
            <w:vAlign w:val="center"/>
          </w:tcPr>
          <w:p w14:paraId="2DD3FE8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声级</w:t>
            </w:r>
            <w:r>
              <w:rPr>
                <w:rFonts w:ascii="Times New Roman" w:eastAsia="宋体" w:hAnsi="Times New Roman" w:cs="Times New Roman"/>
                <w:szCs w:val="21"/>
              </w:rPr>
              <w:t>dB (A)</w:t>
            </w:r>
          </w:p>
        </w:tc>
      </w:tr>
      <w:tr w:rsidR="00D12939" w14:paraId="76AA3078" w14:textId="77777777">
        <w:trPr>
          <w:jc w:val="center"/>
        </w:trPr>
        <w:tc>
          <w:tcPr>
            <w:tcW w:w="1498" w:type="dxa"/>
            <w:vMerge w:val="restart"/>
            <w:vAlign w:val="center"/>
          </w:tcPr>
          <w:p w14:paraId="3988B2E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挖土石方、建筑装修</w:t>
            </w:r>
          </w:p>
        </w:tc>
        <w:tc>
          <w:tcPr>
            <w:tcW w:w="1498" w:type="dxa"/>
            <w:vAlign w:val="center"/>
          </w:tcPr>
          <w:p w14:paraId="4C437E7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挖土机</w:t>
            </w:r>
          </w:p>
        </w:tc>
        <w:tc>
          <w:tcPr>
            <w:tcW w:w="1609" w:type="dxa"/>
            <w:vAlign w:val="center"/>
          </w:tcPr>
          <w:p w14:paraId="54585AF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86</w:t>
            </w:r>
          </w:p>
        </w:tc>
        <w:tc>
          <w:tcPr>
            <w:tcW w:w="1390" w:type="dxa"/>
            <w:vMerge w:val="restart"/>
            <w:vAlign w:val="center"/>
          </w:tcPr>
          <w:p w14:paraId="5CA5F87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结构</w:t>
            </w:r>
          </w:p>
        </w:tc>
        <w:tc>
          <w:tcPr>
            <w:tcW w:w="1499" w:type="dxa"/>
            <w:vAlign w:val="center"/>
          </w:tcPr>
          <w:p w14:paraId="6638CA8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振捣棒</w:t>
            </w:r>
          </w:p>
        </w:tc>
        <w:tc>
          <w:tcPr>
            <w:tcW w:w="1566" w:type="dxa"/>
            <w:vAlign w:val="center"/>
          </w:tcPr>
          <w:p w14:paraId="2BBFC30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90~105</w:t>
            </w:r>
          </w:p>
        </w:tc>
      </w:tr>
      <w:tr w:rsidR="00D12939" w14:paraId="4FCBBB62" w14:textId="77777777">
        <w:trPr>
          <w:jc w:val="center"/>
        </w:trPr>
        <w:tc>
          <w:tcPr>
            <w:tcW w:w="1498" w:type="dxa"/>
            <w:vMerge/>
            <w:vAlign w:val="center"/>
          </w:tcPr>
          <w:p w14:paraId="7A1263A0" w14:textId="77777777" w:rsidR="00D12939" w:rsidRDefault="00D12939">
            <w:pPr>
              <w:jc w:val="center"/>
              <w:rPr>
                <w:rFonts w:ascii="Times New Roman" w:eastAsia="宋体" w:hAnsi="Times New Roman" w:cs="Times New Roman"/>
                <w:szCs w:val="21"/>
              </w:rPr>
            </w:pPr>
          </w:p>
        </w:tc>
        <w:tc>
          <w:tcPr>
            <w:tcW w:w="1498" w:type="dxa"/>
            <w:vAlign w:val="center"/>
          </w:tcPr>
          <w:p w14:paraId="2E84F10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挖掘机</w:t>
            </w:r>
          </w:p>
        </w:tc>
        <w:tc>
          <w:tcPr>
            <w:tcW w:w="1609" w:type="dxa"/>
            <w:vAlign w:val="center"/>
          </w:tcPr>
          <w:p w14:paraId="3D1F75C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88</w:t>
            </w:r>
          </w:p>
        </w:tc>
        <w:tc>
          <w:tcPr>
            <w:tcW w:w="1390" w:type="dxa"/>
            <w:vMerge/>
            <w:vAlign w:val="center"/>
          </w:tcPr>
          <w:p w14:paraId="7AF64422" w14:textId="77777777" w:rsidR="00D12939" w:rsidRDefault="00D12939">
            <w:pPr>
              <w:jc w:val="center"/>
              <w:rPr>
                <w:rFonts w:ascii="Times New Roman" w:eastAsia="宋体" w:hAnsi="Times New Roman" w:cs="Times New Roman"/>
                <w:szCs w:val="21"/>
              </w:rPr>
            </w:pPr>
          </w:p>
        </w:tc>
        <w:tc>
          <w:tcPr>
            <w:tcW w:w="1499" w:type="dxa"/>
            <w:vAlign w:val="center"/>
          </w:tcPr>
          <w:p w14:paraId="54A0BB5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混凝土搅拌</w:t>
            </w:r>
          </w:p>
        </w:tc>
        <w:tc>
          <w:tcPr>
            <w:tcW w:w="1566" w:type="dxa"/>
            <w:vAlign w:val="center"/>
          </w:tcPr>
          <w:p w14:paraId="353F131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96</w:t>
            </w:r>
          </w:p>
        </w:tc>
      </w:tr>
      <w:tr w:rsidR="00D12939" w14:paraId="2D93B69E" w14:textId="77777777">
        <w:trPr>
          <w:jc w:val="center"/>
        </w:trPr>
        <w:tc>
          <w:tcPr>
            <w:tcW w:w="1498" w:type="dxa"/>
            <w:vMerge/>
            <w:vAlign w:val="center"/>
          </w:tcPr>
          <w:p w14:paraId="55E085A0" w14:textId="77777777" w:rsidR="00D12939" w:rsidRDefault="00D12939">
            <w:pPr>
              <w:jc w:val="center"/>
              <w:rPr>
                <w:rFonts w:ascii="Times New Roman" w:eastAsia="宋体" w:hAnsi="Times New Roman" w:cs="Times New Roman"/>
                <w:szCs w:val="21"/>
              </w:rPr>
            </w:pPr>
          </w:p>
        </w:tc>
        <w:tc>
          <w:tcPr>
            <w:tcW w:w="1498" w:type="dxa"/>
            <w:vAlign w:val="center"/>
          </w:tcPr>
          <w:p w14:paraId="217341F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装载机</w:t>
            </w:r>
          </w:p>
        </w:tc>
        <w:tc>
          <w:tcPr>
            <w:tcW w:w="1609" w:type="dxa"/>
            <w:vAlign w:val="center"/>
          </w:tcPr>
          <w:p w14:paraId="5DB6575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85</w:t>
            </w:r>
          </w:p>
        </w:tc>
        <w:tc>
          <w:tcPr>
            <w:tcW w:w="1390" w:type="dxa"/>
            <w:vMerge/>
            <w:vAlign w:val="center"/>
          </w:tcPr>
          <w:p w14:paraId="3742017F" w14:textId="77777777" w:rsidR="00D12939" w:rsidRDefault="00D12939">
            <w:pPr>
              <w:jc w:val="center"/>
              <w:rPr>
                <w:rFonts w:ascii="Times New Roman" w:eastAsia="宋体" w:hAnsi="Times New Roman" w:cs="Times New Roman"/>
                <w:szCs w:val="21"/>
              </w:rPr>
            </w:pPr>
          </w:p>
        </w:tc>
        <w:tc>
          <w:tcPr>
            <w:tcW w:w="1499" w:type="dxa"/>
            <w:vAlign w:val="center"/>
          </w:tcPr>
          <w:p w14:paraId="7A402AE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电锯</w:t>
            </w:r>
          </w:p>
        </w:tc>
        <w:tc>
          <w:tcPr>
            <w:tcW w:w="1566" w:type="dxa"/>
            <w:vAlign w:val="center"/>
          </w:tcPr>
          <w:p w14:paraId="0ABA712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96~98</w:t>
            </w:r>
          </w:p>
        </w:tc>
      </w:tr>
      <w:tr w:rsidR="00D12939" w14:paraId="133CF854" w14:textId="77777777">
        <w:trPr>
          <w:jc w:val="center"/>
        </w:trPr>
        <w:tc>
          <w:tcPr>
            <w:tcW w:w="1498" w:type="dxa"/>
            <w:vMerge/>
            <w:vAlign w:val="center"/>
          </w:tcPr>
          <w:p w14:paraId="16D18FE3" w14:textId="77777777" w:rsidR="00D12939" w:rsidRDefault="00D12939">
            <w:pPr>
              <w:jc w:val="center"/>
              <w:rPr>
                <w:rFonts w:ascii="Times New Roman" w:eastAsia="宋体" w:hAnsi="Times New Roman" w:cs="Times New Roman"/>
                <w:szCs w:val="21"/>
              </w:rPr>
            </w:pPr>
          </w:p>
        </w:tc>
        <w:tc>
          <w:tcPr>
            <w:tcW w:w="1498" w:type="dxa"/>
            <w:vAlign w:val="center"/>
          </w:tcPr>
          <w:p w14:paraId="0089ABB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载重汽车</w:t>
            </w:r>
          </w:p>
        </w:tc>
        <w:tc>
          <w:tcPr>
            <w:tcW w:w="1609" w:type="dxa"/>
            <w:vAlign w:val="center"/>
          </w:tcPr>
          <w:p w14:paraId="3C8C6FE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85</w:t>
            </w:r>
          </w:p>
        </w:tc>
        <w:tc>
          <w:tcPr>
            <w:tcW w:w="1390" w:type="dxa"/>
            <w:vMerge/>
            <w:vAlign w:val="center"/>
          </w:tcPr>
          <w:p w14:paraId="72AED400" w14:textId="77777777" w:rsidR="00D12939" w:rsidRDefault="00D12939">
            <w:pPr>
              <w:jc w:val="center"/>
              <w:rPr>
                <w:rFonts w:ascii="Times New Roman" w:eastAsia="宋体" w:hAnsi="Times New Roman" w:cs="Times New Roman"/>
                <w:szCs w:val="21"/>
              </w:rPr>
            </w:pPr>
          </w:p>
        </w:tc>
        <w:tc>
          <w:tcPr>
            <w:tcW w:w="1499" w:type="dxa"/>
            <w:vAlign w:val="center"/>
          </w:tcPr>
          <w:p w14:paraId="380807C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升降机</w:t>
            </w:r>
          </w:p>
        </w:tc>
        <w:tc>
          <w:tcPr>
            <w:tcW w:w="1566" w:type="dxa"/>
            <w:vAlign w:val="center"/>
          </w:tcPr>
          <w:p w14:paraId="27200A6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85~90</w:t>
            </w:r>
          </w:p>
        </w:tc>
      </w:tr>
    </w:tbl>
    <w:p w14:paraId="250F643E"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4.1.2.4固废</w:t>
      </w:r>
    </w:p>
    <w:p w14:paraId="49036C06"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施工期间的固体废物主要为场区开挖产生的土方、少量建筑垃圾及施工人员产生的生活垃圾。</w:t>
      </w:r>
    </w:p>
    <w:p w14:paraId="2353FBA5"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）施工土方、建筑垃圾</w:t>
      </w:r>
    </w:p>
    <w:p w14:paraId="63EE6862" w14:textId="6955C141" w:rsidR="00E01AD5" w:rsidRDefault="004F47F5" w:rsidP="00E01AD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本项目一期场地整治等工程的总挖方量约为</w:t>
      </w:r>
      <w:r>
        <w:rPr>
          <w:rFonts w:ascii="Times New Roman" w:eastAsia="宋体" w:hAnsi="Times New Roman" w:cs="Times New Roman"/>
          <w:sz w:val="24"/>
        </w:rPr>
        <w:t>184700m</w:t>
      </w:r>
      <w:r>
        <w:rPr>
          <w:rFonts w:ascii="Times New Roman" w:eastAsia="宋体" w:hAnsi="Times New Roman" w:cs="Times New Roman"/>
          <w:sz w:val="24"/>
          <w:vertAlign w:val="superscript"/>
        </w:rPr>
        <w:t>3</w:t>
      </w:r>
      <w:r>
        <w:rPr>
          <w:rFonts w:ascii="Times New Roman" w:eastAsia="宋体" w:hAnsi="Times New Roman" w:cs="Times New Roman" w:hint="eastAsia"/>
          <w:sz w:val="24"/>
        </w:rPr>
        <w:t>，总填方量约</w:t>
      </w:r>
      <w:r>
        <w:rPr>
          <w:rFonts w:ascii="Times New Roman" w:eastAsia="宋体" w:hAnsi="Times New Roman" w:cs="Times New Roman"/>
          <w:sz w:val="24"/>
        </w:rPr>
        <w:t>60319m</w:t>
      </w:r>
      <w:r>
        <w:rPr>
          <w:rFonts w:ascii="Times New Roman" w:eastAsia="宋体" w:hAnsi="Times New Roman" w:cs="Times New Roman"/>
          <w:sz w:val="24"/>
          <w:vertAlign w:val="superscript"/>
        </w:rPr>
        <w:t>3</w:t>
      </w:r>
      <w:r>
        <w:rPr>
          <w:rFonts w:ascii="Times New Roman" w:eastAsia="宋体" w:hAnsi="Times New Roman" w:cs="Times New Roman" w:hint="eastAsia"/>
          <w:sz w:val="24"/>
        </w:rPr>
        <w:t>，需外购土方约为</w:t>
      </w:r>
      <w:r>
        <w:rPr>
          <w:rFonts w:ascii="Times New Roman" w:eastAsia="宋体" w:hAnsi="Times New Roman" w:cs="Times New Roman"/>
          <w:sz w:val="24"/>
        </w:rPr>
        <w:t>19145m</w:t>
      </w:r>
      <w:r>
        <w:rPr>
          <w:rFonts w:ascii="Times New Roman" w:eastAsia="宋体" w:hAnsi="Times New Roman" w:cs="Times New Roman"/>
          <w:sz w:val="24"/>
          <w:vertAlign w:val="superscript"/>
        </w:rPr>
        <w:t>3</w:t>
      </w:r>
      <w:r>
        <w:rPr>
          <w:rFonts w:ascii="Times New Roman" w:eastAsia="宋体" w:hAnsi="Times New Roman" w:cs="Times New Roman" w:hint="eastAsia"/>
          <w:sz w:val="24"/>
        </w:rPr>
        <w:t>，外运土方约为</w:t>
      </w:r>
      <w:r>
        <w:rPr>
          <w:rFonts w:ascii="Times New Roman" w:eastAsia="宋体" w:hAnsi="Times New Roman" w:cs="Times New Roman"/>
          <w:sz w:val="24"/>
        </w:rPr>
        <w:t>124381m</w:t>
      </w:r>
      <w:r>
        <w:rPr>
          <w:rFonts w:ascii="Times New Roman" w:eastAsia="宋体" w:hAnsi="Times New Roman" w:cs="Times New Roman"/>
          <w:sz w:val="24"/>
          <w:vertAlign w:val="superscript"/>
        </w:rPr>
        <w:t>3</w:t>
      </w:r>
      <w:r w:rsidR="00B2780E" w:rsidRPr="00B2780E">
        <w:rPr>
          <w:rFonts w:ascii="Times New Roman" w:eastAsia="宋体" w:hAnsi="Times New Roman" w:cs="Times New Roman" w:hint="eastAsia"/>
          <w:sz w:val="24"/>
        </w:rPr>
        <w:t>，</w:t>
      </w:r>
      <w:r w:rsidR="00B2780E">
        <w:rPr>
          <w:rFonts w:ascii="Times New Roman" w:eastAsia="宋体" w:hAnsi="Times New Roman" w:cs="Times New Roman" w:hint="eastAsia"/>
          <w:sz w:val="24"/>
        </w:rPr>
        <w:t>项目土石方平衡见表</w:t>
      </w:r>
      <w:r w:rsidR="00B2780E">
        <w:rPr>
          <w:rFonts w:ascii="Times New Roman" w:eastAsia="宋体" w:hAnsi="Times New Roman" w:cs="Times New Roman"/>
          <w:sz w:val="24"/>
        </w:rPr>
        <w:t>3.8-1</w:t>
      </w:r>
      <w:r w:rsidR="00B2780E">
        <w:rPr>
          <w:rFonts w:ascii="Times New Roman" w:eastAsia="宋体" w:hAnsi="Times New Roman" w:cs="Times New Roman"/>
          <w:sz w:val="24"/>
        </w:rPr>
        <w:t>。</w:t>
      </w:r>
      <w:r>
        <w:rPr>
          <w:rFonts w:ascii="Times New Roman" w:eastAsia="宋体" w:hAnsi="Times New Roman" w:cs="Times New Roman" w:hint="eastAsia"/>
          <w:sz w:val="24"/>
        </w:rPr>
        <w:t>由于项目分期建设，先将一期土方运至二期堆至，用作填埋场日常覆土及封场覆土</w:t>
      </w:r>
      <w:r w:rsidR="00E01AD5">
        <w:rPr>
          <w:rFonts w:ascii="Times New Roman" w:eastAsia="宋体" w:hAnsi="Times New Roman" w:cs="Times New Roman" w:hint="eastAsia"/>
          <w:sz w:val="24"/>
        </w:rPr>
        <w:t>，</w:t>
      </w:r>
      <w:r w:rsidR="00E01AD5" w:rsidRPr="001B1820">
        <w:rPr>
          <w:rFonts w:ascii="Times New Roman" w:eastAsia="宋体" w:hAnsi="Times New Roman" w:cs="Times New Roman" w:hint="eastAsia"/>
          <w:color w:val="FF0000"/>
          <w:sz w:val="24"/>
        </w:rPr>
        <w:t>因此本项目不设弃土场。本项目服务期内，填埋覆土和填埋堆体表层绿化覆土均利用建设期剥离表土和开挖的土石方，从堆土场中拉运，本项目不需设置取土场，土石方得到合理利用，减轻了对自然生态环境的破坏面积，减少了水土流失面积，符合水土保持要求。</w:t>
      </w:r>
    </w:p>
    <w:p w14:paraId="67E9BE22" w14:textId="77777777" w:rsidR="00D12939" w:rsidRPr="00E01AD5" w:rsidRDefault="00D12939">
      <w:pPr>
        <w:spacing w:line="360" w:lineRule="auto"/>
        <w:ind w:firstLine="462"/>
        <w:rPr>
          <w:rFonts w:ascii="Times New Roman" w:eastAsia="宋体" w:hAnsi="Times New Roman" w:cs="Times New Roman"/>
          <w:sz w:val="24"/>
        </w:rPr>
      </w:pPr>
    </w:p>
    <w:p w14:paraId="0D300C5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此外还有建设过程中产生的建筑垃圾，建筑垃圾一般包括施工中砖、水泥、木材、钢材、装修中产生的废料，其中钢材和木材等下脚料可回收外售，其他不可回收的用于厂区内道路路基的填筑料，工程承建方应委托相关单位进行建筑垃圾的运输处理。</w:t>
      </w:r>
    </w:p>
    <w:p w14:paraId="07567EB0"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）施工期生活垃圾</w:t>
      </w:r>
    </w:p>
    <w:p w14:paraId="1C46DCF0"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项目在施工过程中会产生一定量的生活垃圾。项目施工期间，每天有施工人员</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人，产生量按</w:t>
      </w:r>
      <w:r>
        <w:rPr>
          <w:rFonts w:ascii="Times New Roman" w:eastAsia="宋体" w:hAnsi="Times New Roman" w:cs="Times New Roman"/>
          <w:kern w:val="0"/>
          <w:sz w:val="24"/>
          <w:szCs w:val="24"/>
        </w:rPr>
        <w:t>0.5kg/</w:t>
      </w:r>
      <w:r>
        <w:rPr>
          <w:rFonts w:ascii="Times New Roman" w:eastAsia="宋体" w:hAnsi="Times New Roman" w:cs="Times New Roman"/>
          <w:kern w:val="0"/>
          <w:sz w:val="24"/>
          <w:szCs w:val="24"/>
        </w:rPr>
        <w:t>人</w:t>
      </w:r>
      <w:r>
        <w:rPr>
          <w:rFonts w:ascii="Times New Roman" w:eastAsia="宋体" w:hAnsi="Times New Roman" w:cs="Times New Roman"/>
          <w:kern w:val="0"/>
          <w:sz w:val="24"/>
          <w:szCs w:val="24"/>
        </w:rPr>
        <w:t xml:space="preserve">•d </w:t>
      </w:r>
      <w:r>
        <w:rPr>
          <w:rFonts w:ascii="Times New Roman" w:eastAsia="宋体" w:hAnsi="Times New Roman" w:cs="Times New Roman"/>
          <w:kern w:val="0"/>
          <w:sz w:val="24"/>
          <w:szCs w:val="24"/>
        </w:rPr>
        <w:t>计算，则施工期生活垃圾产生量为</w:t>
      </w:r>
      <w:r>
        <w:rPr>
          <w:rFonts w:ascii="Times New Roman" w:eastAsia="宋体" w:hAnsi="Times New Roman" w:cs="Times New Roman" w:hint="eastAsia"/>
          <w:kern w:val="0"/>
          <w:sz w:val="24"/>
          <w:szCs w:val="24"/>
        </w:rPr>
        <w:t>3kg</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。分类收集后交环卫部门清运。</w:t>
      </w:r>
    </w:p>
    <w:p w14:paraId="6596A319"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4.1.2.5生态影响</w:t>
      </w:r>
    </w:p>
    <w:p w14:paraId="5EFBF3F6"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Cs w:val="21"/>
        </w:rPr>
      </w:pPr>
      <w:r>
        <w:rPr>
          <w:rFonts w:ascii="Times New Roman" w:eastAsia="宋体" w:hAnsi="Times New Roman" w:cs="Times New Roman"/>
          <w:kern w:val="0"/>
          <w:sz w:val="24"/>
          <w:szCs w:val="24"/>
        </w:rPr>
        <w:t>项目征地将永久性改变所征用土地的使用功能，破坏地表植被和农作物。施工期对生态的影响主要是施工清除现场，土方开挖、填筑、机械碾压等施工活动，破坏了工程区域原有地貌和植被，造成一定植被损失；扰动地表土结构，土壤抗蚀能力降低，导致地表裸露，在地表径流作用下，会造成水土流失。工程施工应尽量将土方施工安排在非汛期，并缩短土方的堆置时间，土方堆放运输要遮挡覆盖，减少水土流失影响。</w:t>
      </w:r>
    </w:p>
    <w:p w14:paraId="02CB0434" w14:textId="77777777" w:rsidR="00D12939" w:rsidRDefault="004F47F5">
      <w:pPr>
        <w:pStyle w:val="2"/>
        <w:spacing w:line="360" w:lineRule="auto"/>
        <w:ind w:firstLineChars="165" w:firstLine="462"/>
        <w:rPr>
          <w:sz w:val="28"/>
        </w:rPr>
      </w:pPr>
      <w:bookmarkStart w:id="343" w:name="_Toc121411731"/>
      <w:r>
        <w:rPr>
          <w:sz w:val="28"/>
        </w:rPr>
        <w:t>4.2</w:t>
      </w:r>
      <w:r>
        <w:rPr>
          <w:rFonts w:hint="eastAsia"/>
          <w:sz w:val="28"/>
        </w:rPr>
        <w:t>运营期工程分析</w:t>
      </w:r>
      <w:bookmarkEnd w:id="343"/>
    </w:p>
    <w:p w14:paraId="416CFE94"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44" w:name="_Toc121411732"/>
      <w:r>
        <w:rPr>
          <w:rFonts w:ascii="Times New Roman" w:eastAsia="黑体" w:hAnsi="Times New Roman" w:cs="Times New Roman"/>
          <w:b w:val="0"/>
          <w:sz w:val="24"/>
        </w:rPr>
        <w:t xml:space="preserve">4.2.1 </w:t>
      </w:r>
      <w:r>
        <w:rPr>
          <w:rFonts w:ascii="Times New Roman" w:eastAsia="黑体" w:hAnsi="Times New Roman" w:cs="Times New Roman"/>
          <w:b w:val="0"/>
          <w:sz w:val="24"/>
        </w:rPr>
        <w:t>工艺流程</w:t>
      </w:r>
      <w:bookmarkEnd w:id="344"/>
    </w:p>
    <w:p w14:paraId="0D6F5CBF" w14:textId="77777777" w:rsidR="00D12939" w:rsidRDefault="004F47F5">
      <w:pPr>
        <w:autoSpaceDE w:val="0"/>
        <w:autoSpaceDN w:val="0"/>
        <w:adjustRightInd w:val="0"/>
        <w:spacing w:line="360" w:lineRule="auto"/>
        <w:ind w:firstLineChars="200" w:firstLine="482"/>
        <w:rPr>
          <w:rFonts w:ascii="宋体" w:eastAsia="宋体" w:hAnsi="宋体" w:cstheme="majorBidi"/>
          <w:b/>
          <w:bCs/>
          <w:sz w:val="24"/>
          <w:szCs w:val="28"/>
        </w:rPr>
      </w:pPr>
      <w:r>
        <w:rPr>
          <w:rFonts w:ascii="宋体" w:eastAsia="宋体" w:hAnsi="宋体" w:cstheme="majorBidi"/>
          <w:b/>
          <w:bCs/>
          <w:sz w:val="24"/>
          <w:szCs w:val="28"/>
        </w:rPr>
        <w:t>（</w:t>
      </w:r>
      <w:r>
        <w:rPr>
          <w:rFonts w:ascii="宋体" w:eastAsia="宋体" w:hAnsi="宋体" w:cstheme="majorBidi" w:hint="eastAsia"/>
          <w:b/>
          <w:bCs/>
          <w:sz w:val="24"/>
          <w:szCs w:val="28"/>
        </w:rPr>
        <w:t>1）填埋工艺</w:t>
      </w:r>
    </w:p>
    <w:p w14:paraId="0445C1DD"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生活垃圾由运输车辆运至卫生填埋场，经计量后进入填埋区作业面，按作业顺序进行倾倒、摊铺、压实、洒药和覆盖，其工艺流程及产污环节见图</w:t>
      </w:r>
      <w:r>
        <w:rPr>
          <w:rFonts w:ascii="Times New Roman" w:eastAsia="宋体" w:hAnsi="Times New Roman" w:cs="Times New Roman" w:hint="eastAsia"/>
          <w:kern w:val="0"/>
          <w:sz w:val="24"/>
          <w:szCs w:val="24"/>
        </w:rPr>
        <w:t>4</w:t>
      </w:r>
      <w:r>
        <w:rPr>
          <w:rFonts w:ascii="Times New Roman" w:eastAsia="宋体" w:hAnsi="Times New Roman" w:cs="Times New Roman"/>
          <w:kern w:val="0"/>
          <w:sz w:val="24"/>
          <w:szCs w:val="24"/>
        </w:rPr>
        <w:t>.2-1</w:t>
      </w:r>
      <w:r>
        <w:rPr>
          <w:rFonts w:ascii="Times New Roman" w:eastAsia="宋体" w:hAnsi="Times New Roman" w:cs="Times New Roman"/>
          <w:kern w:val="0"/>
          <w:sz w:val="24"/>
          <w:szCs w:val="24"/>
        </w:rPr>
        <w:t>。</w:t>
      </w:r>
    </w:p>
    <w:p w14:paraId="032AF0CA" w14:textId="77777777" w:rsidR="00D12939" w:rsidRDefault="004F47F5">
      <w:pPr>
        <w:autoSpaceDE w:val="0"/>
        <w:autoSpaceDN w:val="0"/>
        <w:adjustRightInd w:val="0"/>
        <w:spacing w:line="360" w:lineRule="auto"/>
        <w:ind w:firstLineChars="200" w:firstLine="420"/>
        <w:jc w:val="center"/>
        <w:rPr>
          <w:rFonts w:ascii="Times New Roman" w:eastAsia="宋体" w:hAnsi="Times New Roman" w:cs="Times New Roman"/>
          <w:kern w:val="0"/>
          <w:sz w:val="24"/>
          <w:szCs w:val="24"/>
        </w:rPr>
      </w:pPr>
      <w:r>
        <w:rPr>
          <w:rFonts w:hint="eastAsia"/>
          <w:noProof/>
        </w:rPr>
        <w:drawing>
          <wp:inline distT="0" distB="0" distL="0" distR="0">
            <wp:extent cx="6188710" cy="250126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6188710" cy="2501265"/>
                    </a:xfrm>
                    <a:prstGeom prst="rect">
                      <a:avLst/>
                    </a:prstGeom>
                    <a:noFill/>
                    <a:ln>
                      <a:noFill/>
                    </a:ln>
                  </pic:spPr>
                </pic:pic>
              </a:graphicData>
            </a:graphic>
          </wp:inline>
        </w:drawing>
      </w:r>
    </w:p>
    <w:p w14:paraId="21641D06" w14:textId="77777777" w:rsidR="00D12939" w:rsidRDefault="004F47F5">
      <w:pPr>
        <w:autoSpaceDE w:val="0"/>
        <w:autoSpaceDN w:val="0"/>
        <w:adjustRightInd w:val="0"/>
        <w:spacing w:line="360" w:lineRule="auto"/>
        <w:ind w:firstLineChars="200" w:firstLine="480"/>
        <w:jc w:val="center"/>
        <w:rPr>
          <w:rFonts w:ascii="黑体" w:eastAsia="黑体" w:hAnsi="黑体" w:cs="Times New Roman"/>
          <w:kern w:val="0"/>
          <w:sz w:val="24"/>
          <w:szCs w:val="24"/>
        </w:rPr>
      </w:pPr>
      <w:r>
        <w:rPr>
          <w:rFonts w:ascii="黑体" w:eastAsia="黑体" w:hAnsi="黑体" w:cs="Times New Roman" w:hint="eastAsia"/>
          <w:kern w:val="0"/>
          <w:sz w:val="24"/>
          <w:szCs w:val="24"/>
        </w:rPr>
        <w:t>图4</w:t>
      </w:r>
      <w:r>
        <w:rPr>
          <w:rFonts w:ascii="黑体" w:eastAsia="黑体" w:hAnsi="黑体" w:cs="Times New Roman"/>
          <w:kern w:val="0"/>
          <w:sz w:val="24"/>
          <w:szCs w:val="24"/>
        </w:rPr>
        <w:t>.2-1  生活垃圾填埋</w:t>
      </w:r>
      <w:r>
        <w:rPr>
          <w:rFonts w:ascii="黑体" w:eastAsia="黑体" w:hAnsi="黑体" w:cs="Times New Roman" w:hint="eastAsia"/>
          <w:kern w:val="0"/>
          <w:sz w:val="24"/>
          <w:szCs w:val="24"/>
        </w:rPr>
        <w:t>工艺流程及产污环节示意图</w:t>
      </w:r>
    </w:p>
    <w:p w14:paraId="18BA2608" w14:textId="77777777" w:rsidR="00D12939" w:rsidRDefault="004F47F5">
      <w:pPr>
        <w:autoSpaceDE w:val="0"/>
        <w:autoSpaceDN w:val="0"/>
        <w:adjustRightInd w:val="0"/>
        <w:spacing w:line="360" w:lineRule="auto"/>
        <w:ind w:firstLineChars="200" w:firstLine="482"/>
        <w:rPr>
          <w:rFonts w:ascii="宋体" w:eastAsia="宋体" w:hAnsi="宋体" w:cstheme="majorBidi"/>
          <w:b/>
          <w:bCs/>
          <w:sz w:val="24"/>
          <w:szCs w:val="28"/>
        </w:rPr>
      </w:pPr>
      <w:r>
        <w:rPr>
          <w:rFonts w:ascii="宋体" w:eastAsia="宋体" w:hAnsi="宋体" w:cstheme="majorBidi"/>
          <w:b/>
          <w:bCs/>
          <w:sz w:val="24"/>
          <w:szCs w:val="28"/>
        </w:rPr>
        <w:t>（2）填埋单元分区</w:t>
      </w:r>
    </w:p>
    <w:p w14:paraId="3851C9E3"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应根据设计要求和实际条件制定填埋作业规划，填埋作业前应根据规划进行作业单元分区，</w:t>
      </w:r>
      <w:r>
        <w:rPr>
          <w:rFonts w:ascii="Times New Roman" w:eastAsia="宋体" w:hAnsi="Times New Roman" w:cs="Times New Roman"/>
          <w:kern w:val="0"/>
          <w:sz w:val="24"/>
          <w:szCs w:val="24"/>
        </w:rPr>
        <w:lastRenderedPageBreak/>
        <w:t>绘制填埋作业单元顺序图，结合进场垃圾量、未来一定时期内气候条件等实际情况，以若干作业单元为作业区域修筑分区坝，坝顶宽</w:t>
      </w:r>
      <w:r>
        <w:rPr>
          <w:rFonts w:ascii="Times New Roman" w:eastAsia="宋体" w:hAnsi="Times New Roman" w:cs="Times New Roman"/>
          <w:kern w:val="0"/>
          <w:sz w:val="24"/>
          <w:szCs w:val="24"/>
        </w:rPr>
        <w:t>1.5m~2.0m</w:t>
      </w:r>
      <w:r>
        <w:rPr>
          <w:rFonts w:ascii="Times New Roman" w:eastAsia="宋体" w:hAnsi="Times New Roman" w:cs="Times New Roman"/>
          <w:kern w:val="0"/>
          <w:sz w:val="24"/>
          <w:szCs w:val="24"/>
        </w:rPr>
        <w:t>，坝高</w:t>
      </w:r>
      <w:r>
        <w:rPr>
          <w:rFonts w:ascii="Times New Roman" w:eastAsia="宋体" w:hAnsi="Times New Roman" w:cs="Times New Roman"/>
          <w:kern w:val="0"/>
          <w:sz w:val="24"/>
          <w:szCs w:val="24"/>
        </w:rPr>
        <w:t>2.0m~2.5m</w:t>
      </w:r>
      <w:r>
        <w:rPr>
          <w:rFonts w:ascii="Times New Roman" w:eastAsia="宋体" w:hAnsi="Times New Roman" w:cs="Times New Roman"/>
          <w:kern w:val="0"/>
          <w:sz w:val="24"/>
          <w:szCs w:val="24"/>
        </w:rPr>
        <w:t>，筑坝材料可采用粘土、渣土或炉渣，便于库区雨污分流，减少渗沥液产生。</w:t>
      </w:r>
    </w:p>
    <w:p w14:paraId="34BAE028" w14:textId="77777777" w:rsidR="00D12939" w:rsidRDefault="004F47F5">
      <w:pPr>
        <w:autoSpaceDE w:val="0"/>
        <w:autoSpaceDN w:val="0"/>
        <w:adjustRightInd w:val="0"/>
        <w:spacing w:line="360" w:lineRule="auto"/>
        <w:ind w:firstLineChars="200" w:firstLine="482"/>
        <w:rPr>
          <w:rFonts w:ascii="宋体" w:eastAsia="宋体" w:hAnsi="宋体" w:cstheme="majorBidi"/>
          <w:b/>
          <w:bCs/>
          <w:sz w:val="24"/>
          <w:szCs w:val="28"/>
        </w:rPr>
      </w:pPr>
      <w:r>
        <w:rPr>
          <w:rFonts w:ascii="宋体" w:eastAsia="宋体" w:hAnsi="宋体" w:cstheme="majorBidi"/>
          <w:b/>
          <w:bCs/>
          <w:sz w:val="24"/>
          <w:szCs w:val="28"/>
        </w:rPr>
        <w:t>（3）卸料平台</w:t>
      </w:r>
    </w:p>
    <w:p w14:paraId="00363E7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）卸料平台应在每日作业前布置就绪，平台数量、面积及位置应根据垃圾日进场量、运输车流量及气候条件等实际情况确定。卸料平台宽度为</w:t>
      </w:r>
      <w:r>
        <w:rPr>
          <w:rFonts w:ascii="Times New Roman" w:eastAsia="宋体" w:hAnsi="Times New Roman" w:cs="Times New Roman"/>
          <w:kern w:val="0"/>
          <w:sz w:val="24"/>
          <w:szCs w:val="24"/>
        </w:rPr>
        <w:t>10m</w:t>
      </w:r>
      <w:r>
        <w:rPr>
          <w:rFonts w:ascii="Times New Roman" w:eastAsia="宋体" w:hAnsi="Times New Roman" w:cs="Times New Roman"/>
          <w:kern w:val="0"/>
          <w:sz w:val="24"/>
          <w:szCs w:val="24"/>
        </w:rPr>
        <w:t>，长度为</w:t>
      </w:r>
      <w:r>
        <w:rPr>
          <w:rFonts w:ascii="Times New Roman" w:eastAsia="宋体" w:hAnsi="Times New Roman" w:cs="Times New Roman"/>
          <w:kern w:val="0"/>
          <w:sz w:val="24"/>
          <w:szCs w:val="24"/>
        </w:rPr>
        <w:t>120m~150m</w:t>
      </w:r>
      <w:r>
        <w:rPr>
          <w:rFonts w:ascii="Times New Roman" w:eastAsia="宋体" w:hAnsi="Times New Roman" w:cs="Times New Roman"/>
          <w:kern w:val="0"/>
          <w:sz w:val="24"/>
          <w:szCs w:val="24"/>
        </w:rPr>
        <w:t>，同一填埋作业区同时设置两处卸料平台，交替进行填埋作业，每次作业推进长度约</w:t>
      </w:r>
      <w:r>
        <w:rPr>
          <w:rFonts w:ascii="Times New Roman" w:eastAsia="宋体" w:hAnsi="Times New Roman" w:cs="Times New Roman"/>
          <w:kern w:val="0"/>
          <w:sz w:val="24"/>
          <w:szCs w:val="24"/>
        </w:rPr>
        <w:t xml:space="preserve">30~35 </w:t>
      </w:r>
      <w:r>
        <w:rPr>
          <w:rFonts w:ascii="Times New Roman" w:eastAsia="宋体" w:hAnsi="Times New Roman" w:cs="Times New Roman"/>
          <w:kern w:val="0"/>
          <w:sz w:val="24"/>
          <w:szCs w:val="24"/>
        </w:rPr>
        <w:t>米，在前一填埋作业区进行作业时，修建下一阶段填埋卸料平台，如此往复交替进行，保障填埋作业的连续性。</w:t>
      </w:r>
    </w:p>
    <w:p w14:paraId="3C063BB5"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）卸料平台在库底修筑时应铺设粘土垫层，厚度不小于</w:t>
      </w:r>
      <w:r>
        <w:rPr>
          <w:rFonts w:ascii="Times New Roman" w:eastAsia="宋体" w:hAnsi="Times New Roman" w:cs="Times New Roman"/>
          <w:kern w:val="0"/>
          <w:sz w:val="24"/>
          <w:szCs w:val="24"/>
        </w:rPr>
        <w:t>0.5m</w:t>
      </w:r>
      <w:r>
        <w:rPr>
          <w:rFonts w:ascii="Times New Roman" w:eastAsia="宋体" w:hAnsi="Times New Roman" w:cs="Times New Roman"/>
          <w:kern w:val="0"/>
          <w:sz w:val="24"/>
          <w:szCs w:val="24"/>
        </w:rPr>
        <w:t>，防止其他筑基料破坏防渗结构；垃圾堆体上铺设卸料平台前应对基底填埋层预先压实，并铺设</w:t>
      </w:r>
      <w:r>
        <w:rPr>
          <w:rFonts w:ascii="Times New Roman" w:eastAsia="宋体" w:hAnsi="Times New Roman" w:cs="Times New Roman"/>
          <w:kern w:val="0"/>
          <w:sz w:val="24"/>
          <w:szCs w:val="24"/>
        </w:rPr>
        <w:t xml:space="preserve">0.3m </w:t>
      </w:r>
      <w:r>
        <w:rPr>
          <w:rFonts w:ascii="Times New Roman" w:eastAsia="宋体" w:hAnsi="Times New Roman" w:cs="Times New Roman"/>
          <w:kern w:val="0"/>
          <w:sz w:val="24"/>
          <w:szCs w:val="24"/>
        </w:rPr>
        <w:t>厚砂砾或碎石基层，每边宽出卸料平台</w:t>
      </w:r>
      <w:r>
        <w:rPr>
          <w:rFonts w:ascii="Times New Roman" w:eastAsia="宋体" w:hAnsi="Times New Roman" w:cs="Times New Roman"/>
          <w:kern w:val="0"/>
          <w:sz w:val="24"/>
          <w:szCs w:val="24"/>
        </w:rPr>
        <w:t>0.5m</w:t>
      </w:r>
      <w:r>
        <w:rPr>
          <w:rFonts w:ascii="Times New Roman" w:eastAsia="宋体" w:hAnsi="Times New Roman" w:cs="Times New Roman"/>
          <w:kern w:val="0"/>
          <w:sz w:val="24"/>
          <w:szCs w:val="24"/>
        </w:rPr>
        <w:t>。</w:t>
      </w:r>
    </w:p>
    <w:p w14:paraId="562D739C"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）卸料平台采用拼接特制钢板基箱，</w:t>
      </w:r>
      <w:r>
        <w:rPr>
          <w:rFonts w:ascii="Times New Roman" w:eastAsia="宋体" w:hAnsi="Times New Roman" w:cs="Times New Roman" w:hint="eastAsia"/>
          <w:kern w:val="0"/>
          <w:sz w:val="24"/>
          <w:szCs w:val="24"/>
        </w:rPr>
        <w:t>钢板采用</w:t>
      </w:r>
      <w:r>
        <w:rPr>
          <w:rFonts w:ascii="Times New Roman" w:eastAsia="宋体" w:hAnsi="Times New Roman" w:cs="Times New Roman"/>
          <w:kern w:val="0"/>
          <w:sz w:val="24"/>
          <w:szCs w:val="24"/>
        </w:rPr>
        <w:t xml:space="preserve">35mm </w:t>
      </w:r>
      <w:r>
        <w:rPr>
          <w:rFonts w:ascii="Times New Roman" w:eastAsia="宋体" w:hAnsi="Times New Roman" w:cs="Times New Roman"/>
          <w:kern w:val="0"/>
          <w:sz w:val="24"/>
          <w:szCs w:val="24"/>
        </w:rPr>
        <w:t>厚的热轧中厚钢板，级别为</w:t>
      </w:r>
      <w:r>
        <w:rPr>
          <w:rFonts w:ascii="Times New Roman" w:eastAsia="宋体" w:hAnsi="Times New Roman" w:cs="Times New Roman"/>
          <w:kern w:val="0"/>
          <w:sz w:val="24"/>
          <w:szCs w:val="24"/>
        </w:rPr>
        <w:t>Q235B</w:t>
      </w:r>
      <w:r>
        <w:rPr>
          <w:rFonts w:ascii="Times New Roman" w:eastAsia="宋体" w:hAnsi="Times New Roman" w:cs="Times New Roman"/>
          <w:kern w:val="0"/>
          <w:sz w:val="24"/>
          <w:szCs w:val="24"/>
        </w:rPr>
        <w:t>，钢板上表面垂直于</w:t>
      </w:r>
      <w:r>
        <w:rPr>
          <w:rFonts w:ascii="Times New Roman" w:eastAsia="宋体" w:hAnsi="Times New Roman" w:cs="Times New Roman" w:hint="eastAsia"/>
          <w:kern w:val="0"/>
          <w:sz w:val="24"/>
          <w:szCs w:val="24"/>
        </w:rPr>
        <w:t>行车方向焊接φ</w:t>
      </w:r>
      <w:r>
        <w:rPr>
          <w:rFonts w:ascii="Times New Roman" w:eastAsia="宋体" w:hAnsi="Times New Roman" w:cs="Times New Roman"/>
          <w:kern w:val="0"/>
          <w:sz w:val="24"/>
          <w:szCs w:val="24"/>
        </w:rPr>
        <w:t xml:space="preserve">16mm </w:t>
      </w:r>
      <w:r>
        <w:rPr>
          <w:rFonts w:ascii="Times New Roman" w:eastAsia="宋体" w:hAnsi="Times New Roman" w:cs="Times New Roman"/>
          <w:kern w:val="0"/>
          <w:sz w:val="24"/>
          <w:szCs w:val="24"/>
        </w:rPr>
        <w:t>的螺纹钢，级别为</w:t>
      </w:r>
      <w:r>
        <w:rPr>
          <w:rFonts w:ascii="Times New Roman" w:eastAsia="宋体" w:hAnsi="Times New Roman" w:cs="Times New Roman"/>
          <w:kern w:val="0"/>
          <w:sz w:val="24"/>
          <w:szCs w:val="24"/>
        </w:rPr>
        <w:t>HRB335</w:t>
      </w:r>
      <w:r>
        <w:rPr>
          <w:rFonts w:ascii="Times New Roman" w:eastAsia="宋体" w:hAnsi="Times New Roman" w:cs="Times New Roman"/>
          <w:kern w:val="0"/>
          <w:sz w:val="24"/>
          <w:szCs w:val="24"/>
        </w:rPr>
        <w:t>，间距</w:t>
      </w:r>
      <w:r>
        <w:rPr>
          <w:rFonts w:ascii="Times New Roman" w:eastAsia="宋体" w:hAnsi="Times New Roman" w:cs="Times New Roman"/>
          <w:kern w:val="0"/>
          <w:sz w:val="24"/>
          <w:szCs w:val="24"/>
        </w:rPr>
        <w:t>300mm</w:t>
      </w:r>
      <w:r>
        <w:rPr>
          <w:rFonts w:ascii="Times New Roman" w:eastAsia="宋体" w:hAnsi="Times New Roman" w:cs="Times New Roman"/>
          <w:kern w:val="0"/>
          <w:sz w:val="24"/>
          <w:szCs w:val="24"/>
        </w:rPr>
        <w:t>，焊接完成后</w:t>
      </w:r>
      <w:r>
        <w:rPr>
          <w:rFonts w:ascii="Times New Roman" w:eastAsia="宋体" w:hAnsi="Times New Roman" w:cs="Times New Roman" w:hint="eastAsia"/>
          <w:kern w:val="0"/>
          <w:sz w:val="24"/>
          <w:szCs w:val="24"/>
        </w:rPr>
        <w:t>整体做防锈处理。制作钢板路面时应同时制作配套的连接片，连接片采用</w:t>
      </w:r>
      <w:r>
        <w:rPr>
          <w:rFonts w:ascii="Times New Roman" w:eastAsia="宋体" w:hAnsi="Times New Roman" w:cs="Times New Roman"/>
          <w:kern w:val="0"/>
          <w:sz w:val="24"/>
          <w:szCs w:val="24"/>
        </w:rPr>
        <w:t xml:space="preserve">15mm </w:t>
      </w:r>
      <w:r>
        <w:rPr>
          <w:rFonts w:ascii="Times New Roman" w:eastAsia="宋体" w:hAnsi="Times New Roman" w:cs="Times New Roman"/>
          <w:kern w:val="0"/>
          <w:sz w:val="24"/>
          <w:szCs w:val="24"/>
        </w:rPr>
        <w:t>厚的热轧</w:t>
      </w:r>
      <w:r>
        <w:rPr>
          <w:rFonts w:ascii="Times New Roman" w:eastAsia="宋体" w:hAnsi="Times New Roman" w:cs="Times New Roman" w:hint="eastAsia"/>
          <w:kern w:val="0"/>
          <w:sz w:val="24"/>
          <w:szCs w:val="24"/>
        </w:rPr>
        <w:t>中厚钢板，级别为</w:t>
      </w:r>
      <w:r>
        <w:rPr>
          <w:rFonts w:ascii="Times New Roman" w:eastAsia="宋体" w:hAnsi="Times New Roman" w:cs="Times New Roman"/>
          <w:kern w:val="0"/>
          <w:sz w:val="24"/>
          <w:szCs w:val="24"/>
        </w:rPr>
        <w:t>Q235B</w:t>
      </w:r>
      <w:r>
        <w:rPr>
          <w:rFonts w:ascii="Times New Roman" w:eastAsia="宋体" w:hAnsi="Times New Roman" w:cs="Times New Roman"/>
          <w:kern w:val="0"/>
          <w:sz w:val="24"/>
          <w:szCs w:val="24"/>
        </w:rPr>
        <w:t>，尺寸为</w:t>
      </w:r>
      <w:r>
        <w:rPr>
          <w:rFonts w:ascii="Times New Roman" w:eastAsia="宋体" w:hAnsi="Times New Roman" w:cs="Times New Roman"/>
          <w:kern w:val="0"/>
          <w:sz w:val="24"/>
          <w:szCs w:val="24"/>
        </w:rPr>
        <w:t>150mm×150mm</w:t>
      </w:r>
      <w:r>
        <w:rPr>
          <w:rFonts w:ascii="Times New Roman" w:eastAsia="宋体" w:hAnsi="Times New Roman" w:cs="Times New Roman"/>
          <w:kern w:val="0"/>
          <w:sz w:val="24"/>
          <w:szCs w:val="24"/>
        </w:rPr>
        <w:t>，采用六角螺栓固定连接片</w:t>
      </w:r>
      <w:r>
        <w:rPr>
          <w:rFonts w:ascii="Times New Roman" w:eastAsia="宋体" w:hAnsi="Times New Roman" w:cs="Times New Roman" w:hint="eastAsia"/>
          <w:kern w:val="0"/>
          <w:sz w:val="24"/>
          <w:szCs w:val="24"/>
        </w:rPr>
        <w:t>和钢板，通过六角螺栓和连接片保证钢板路面的整体性</w:t>
      </w:r>
      <w:r>
        <w:rPr>
          <w:rFonts w:ascii="Times New Roman" w:eastAsia="宋体" w:hAnsi="Times New Roman" w:cs="Times New Roman"/>
          <w:kern w:val="0"/>
          <w:sz w:val="24"/>
          <w:szCs w:val="24"/>
        </w:rPr>
        <w:t>。</w:t>
      </w:r>
    </w:p>
    <w:p w14:paraId="28B8FC45" w14:textId="77777777" w:rsidR="00D12939" w:rsidRDefault="004F47F5">
      <w:pPr>
        <w:autoSpaceDE w:val="0"/>
        <w:autoSpaceDN w:val="0"/>
        <w:adjustRightInd w:val="0"/>
        <w:spacing w:line="360" w:lineRule="auto"/>
        <w:ind w:firstLineChars="200" w:firstLine="482"/>
        <w:rPr>
          <w:rFonts w:ascii="宋体" w:eastAsia="宋体" w:hAnsi="宋体" w:cstheme="majorBidi"/>
          <w:b/>
          <w:bCs/>
          <w:sz w:val="24"/>
          <w:szCs w:val="28"/>
        </w:rPr>
      </w:pPr>
      <w:r>
        <w:rPr>
          <w:rFonts w:ascii="宋体" w:eastAsia="宋体" w:hAnsi="宋体" w:cstheme="majorBidi"/>
          <w:b/>
          <w:bCs/>
          <w:sz w:val="24"/>
          <w:szCs w:val="28"/>
        </w:rPr>
        <w:t>（4）压实作业</w:t>
      </w:r>
    </w:p>
    <w:p w14:paraId="5BB29950"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）生活垃圾卸入填埋库区后应及时摊铺碾压，垃圾摊铺层层厚一般以</w:t>
      </w:r>
      <w:r>
        <w:rPr>
          <w:rFonts w:ascii="Times New Roman" w:eastAsia="宋体" w:hAnsi="Times New Roman" w:cs="Times New Roman"/>
          <w:kern w:val="0"/>
          <w:sz w:val="24"/>
          <w:szCs w:val="24"/>
        </w:rPr>
        <w:t>0.4~0.6m</w:t>
      </w:r>
      <w:r>
        <w:rPr>
          <w:rFonts w:ascii="Times New Roman" w:eastAsia="宋体" w:hAnsi="Times New Roman" w:cs="Times New Roman"/>
          <w:kern w:val="0"/>
          <w:sz w:val="24"/>
          <w:szCs w:val="24"/>
        </w:rPr>
        <w:t>左右为宜，单元层层厚以</w:t>
      </w:r>
      <w:r>
        <w:rPr>
          <w:rFonts w:ascii="Times New Roman" w:eastAsia="宋体" w:hAnsi="Times New Roman" w:cs="Times New Roman"/>
          <w:kern w:val="0"/>
          <w:sz w:val="24"/>
          <w:szCs w:val="24"/>
        </w:rPr>
        <w:t xml:space="preserve">5m </w:t>
      </w:r>
      <w:r>
        <w:rPr>
          <w:rFonts w:ascii="Times New Roman" w:eastAsia="宋体" w:hAnsi="Times New Roman" w:cs="Times New Roman"/>
          <w:kern w:val="0"/>
          <w:sz w:val="24"/>
          <w:szCs w:val="24"/>
        </w:rPr>
        <w:t>为宜。</w:t>
      </w:r>
    </w:p>
    <w:p w14:paraId="6DB07F61"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）压实机械采用专用垃圾压实机分层连续碾压，碾压次数一般为</w:t>
      </w:r>
      <w:r>
        <w:rPr>
          <w:rFonts w:ascii="Times New Roman" w:eastAsia="宋体" w:hAnsi="Times New Roman" w:cs="Times New Roman"/>
          <w:kern w:val="0"/>
          <w:sz w:val="24"/>
          <w:szCs w:val="24"/>
        </w:rPr>
        <w:t xml:space="preserve">3~5 </w:t>
      </w:r>
      <w:r>
        <w:rPr>
          <w:rFonts w:ascii="Times New Roman" w:eastAsia="宋体" w:hAnsi="Times New Roman" w:cs="Times New Roman"/>
          <w:kern w:val="0"/>
          <w:sz w:val="24"/>
          <w:szCs w:val="24"/>
        </w:rPr>
        <w:t>次，生活垃圾压实后密度不应小于</w:t>
      </w:r>
      <w:r>
        <w:rPr>
          <w:rFonts w:ascii="Times New Roman" w:eastAsia="宋体" w:hAnsi="Times New Roman" w:cs="Times New Roman"/>
          <w:kern w:val="0"/>
          <w:sz w:val="24"/>
          <w:szCs w:val="24"/>
        </w:rPr>
        <w:t>600kg/m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w:t>
      </w:r>
    </w:p>
    <w:p w14:paraId="2713ACF8" w14:textId="77777777" w:rsidR="00D12939" w:rsidRDefault="004F47F5">
      <w:pPr>
        <w:autoSpaceDE w:val="0"/>
        <w:autoSpaceDN w:val="0"/>
        <w:adjustRightInd w:val="0"/>
        <w:spacing w:line="360" w:lineRule="auto"/>
        <w:ind w:firstLineChars="200" w:firstLine="482"/>
        <w:rPr>
          <w:rFonts w:ascii="宋体" w:eastAsia="宋体" w:hAnsi="宋体" w:cstheme="majorBidi"/>
          <w:b/>
          <w:bCs/>
          <w:sz w:val="24"/>
          <w:szCs w:val="28"/>
        </w:rPr>
      </w:pPr>
      <w:r>
        <w:rPr>
          <w:rFonts w:ascii="宋体" w:eastAsia="宋体" w:hAnsi="宋体" w:cstheme="majorBidi"/>
          <w:b/>
          <w:bCs/>
          <w:sz w:val="24"/>
          <w:szCs w:val="28"/>
        </w:rPr>
        <w:t>（</w:t>
      </w:r>
      <w:r>
        <w:rPr>
          <w:rFonts w:ascii="宋体" w:eastAsia="宋体" w:hAnsi="宋体" w:cstheme="majorBidi" w:hint="eastAsia"/>
          <w:b/>
          <w:bCs/>
          <w:sz w:val="24"/>
          <w:szCs w:val="28"/>
        </w:rPr>
        <w:t>5）日覆盖</w:t>
      </w:r>
    </w:p>
    <w:p w14:paraId="38DF5BF8"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）按照设计及规范要求进行垃圾填埋作业，形成基础排水坡度，堆体坡度</w:t>
      </w:r>
      <w:r>
        <w:rPr>
          <w:rFonts w:ascii="Times New Roman" w:eastAsia="宋体" w:hAnsi="Times New Roman" w:cs="Times New Roman" w:hint="eastAsia"/>
          <w:kern w:val="0"/>
          <w:sz w:val="24"/>
          <w:szCs w:val="24"/>
        </w:rPr>
        <w:t>不大于</w:t>
      </w:r>
      <w:r>
        <w:rPr>
          <w:rFonts w:ascii="Times New Roman" w:eastAsia="宋体" w:hAnsi="Times New Roman" w:cs="Times New Roman"/>
          <w:kern w:val="0"/>
          <w:sz w:val="24"/>
          <w:szCs w:val="24"/>
        </w:rPr>
        <w:t>1:3</w:t>
      </w:r>
      <w:r>
        <w:rPr>
          <w:rFonts w:ascii="Times New Roman" w:eastAsia="宋体" w:hAnsi="Times New Roman" w:cs="Times New Roman"/>
          <w:kern w:val="0"/>
          <w:sz w:val="24"/>
          <w:szCs w:val="24"/>
        </w:rPr>
        <w:t>，每日填埋作业完成后，应进行日覆盖，覆盖层材料选用</w:t>
      </w:r>
      <w:r>
        <w:rPr>
          <w:rFonts w:ascii="Times New Roman" w:eastAsia="宋体" w:hAnsi="Times New Roman" w:cs="Times New Roman"/>
          <w:kern w:val="0"/>
          <w:sz w:val="24"/>
          <w:szCs w:val="24"/>
        </w:rPr>
        <w:t xml:space="preserve">HDPE </w:t>
      </w:r>
      <w:r>
        <w:rPr>
          <w:rFonts w:ascii="Times New Roman" w:eastAsia="宋体" w:hAnsi="Times New Roman" w:cs="Times New Roman"/>
          <w:kern w:val="0"/>
          <w:sz w:val="24"/>
          <w:szCs w:val="24"/>
        </w:rPr>
        <w:t>膜，</w:t>
      </w:r>
      <w:r>
        <w:rPr>
          <w:rFonts w:ascii="Times New Roman" w:eastAsia="宋体" w:hAnsi="Times New Roman" w:cs="Times New Roman" w:hint="eastAsia"/>
          <w:kern w:val="0"/>
          <w:sz w:val="24"/>
          <w:szCs w:val="24"/>
        </w:rPr>
        <w:t>厚度</w:t>
      </w:r>
      <w:r>
        <w:rPr>
          <w:rFonts w:ascii="Times New Roman" w:eastAsia="宋体" w:hAnsi="Times New Roman" w:cs="Times New Roman"/>
          <w:kern w:val="0"/>
          <w:sz w:val="24"/>
          <w:szCs w:val="24"/>
        </w:rPr>
        <w:t>0.5mm</w:t>
      </w:r>
      <w:r>
        <w:rPr>
          <w:rFonts w:ascii="Times New Roman" w:eastAsia="宋体" w:hAnsi="Times New Roman" w:cs="Times New Roman"/>
          <w:kern w:val="0"/>
          <w:sz w:val="24"/>
          <w:szCs w:val="24"/>
        </w:rPr>
        <w:t>，幅宽</w:t>
      </w:r>
      <w:r>
        <w:rPr>
          <w:rFonts w:ascii="Times New Roman" w:eastAsia="宋体" w:hAnsi="Times New Roman" w:cs="Times New Roman"/>
          <w:kern w:val="0"/>
          <w:sz w:val="24"/>
          <w:szCs w:val="24"/>
        </w:rPr>
        <w:t>7m~8m</w:t>
      </w:r>
      <w:r>
        <w:rPr>
          <w:rFonts w:ascii="Times New Roman" w:eastAsia="宋体" w:hAnsi="Times New Roman" w:cs="Times New Roman"/>
          <w:kern w:val="0"/>
          <w:sz w:val="24"/>
          <w:szCs w:val="24"/>
        </w:rPr>
        <w:t>，长度</w:t>
      </w:r>
      <w:r>
        <w:rPr>
          <w:rFonts w:ascii="Times New Roman" w:eastAsia="宋体" w:hAnsi="Times New Roman" w:cs="Times New Roman"/>
          <w:kern w:val="0"/>
          <w:sz w:val="24"/>
          <w:szCs w:val="24"/>
        </w:rPr>
        <w:t>20m</w:t>
      </w:r>
      <w:r>
        <w:rPr>
          <w:rFonts w:ascii="Times New Roman" w:eastAsia="宋体" w:hAnsi="Times New Roman" w:cs="Times New Roman"/>
          <w:kern w:val="0"/>
          <w:sz w:val="24"/>
          <w:szCs w:val="24"/>
        </w:rPr>
        <w:t>。</w:t>
      </w:r>
    </w:p>
    <w:p w14:paraId="6BD8039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）日覆盖膜应顺风操作，从当日作业面最远处的垃圾堆体逐渐向卸料平台</w:t>
      </w:r>
      <w:r>
        <w:rPr>
          <w:rFonts w:ascii="Times New Roman" w:eastAsia="宋体" w:hAnsi="Times New Roman" w:cs="Times New Roman" w:hint="eastAsia"/>
          <w:kern w:val="0"/>
          <w:sz w:val="24"/>
          <w:szCs w:val="24"/>
        </w:rPr>
        <w:t>靠近，搭接宽度为</w:t>
      </w:r>
      <w:r>
        <w:rPr>
          <w:rFonts w:ascii="Times New Roman" w:eastAsia="宋体" w:hAnsi="Times New Roman" w:cs="Times New Roman"/>
          <w:kern w:val="0"/>
          <w:sz w:val="24"/>
          <w:szCs w:val="24"/>
        </w:rPr>
        <w:t>0.2m</w:t>
      </w:r>
      <w:r>
        <w:rPr>
          <w:rFonts w:ascii="Times New Roman" w:eastAsia="宋体" w:hAnsi="Times New Roman" w:cs="Times New Roman"/>
          <w:kern w:val="0"/>
          <w:sz w:val="24"/>
          <w:szCs w:val="24"/>
        </w:rPr>
        <w:t>，盖膜方向要求按坡度顺水搭接（即上坡膜压下坡膜）。</w:t>
      </w:r>
    </w:p>
    <w:p w14:paraId="590DE70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）覆盖后的膜应平直整齐，膜上搭接处应压放旧轮胎，间距</w:t>
      </w:r>
      <w:r>
        <w:rPr>
          <w:rFonts w:ascii="Times New Roman" w:eastAsia="宋体" w:hAnsi="Times New Roman" w:cs="Times New Roman"/>
          <w:kern w:val="0"/>
          <w:sz w:val="24"/>
          <w:szCs w:val="24"/>
        </w:rPr>
        <w:t xml:space="preserve">1m </w:t>
      </w:r>
      <w:r>
        <w:rPr>
          <w:rFonts w:ascii="Times New Roman" w:eastAsia="宋体" w:hAnsi="Times New Roman" w:cs="Times New Roman"/>
          <w:kern w:val="0"/>
          <w:sz w:val="24"/>
          <w:szCs w:val="24"/>
        </w:rPr>
        <w:t>左右摆放，</w:t>
      </w:r>
      <w:r>
        <w:rPr>
          <w:rFonts w:ascii="Times New Roman" w:eastAsia="宋体" w:hAnsi="Times New Roman" w:cs="Times New Roman" w:hint="eastAsia"/>
          <w:kern w:val="0"/>
          <w:sz w:val="24"/>
          <w:szCs w:val="24"/>
        </w:rPr>
        <w:t>遇大风天气在每张膜中部摆放旧轮胎，间距</w:t>
      </w:r>
      <w:r>
        <w:rPr>
          <w:rFonts w:ascii="Times New Roman" w:eastAsia="宋体" w:hAnsi="Times New Roman" w:cs="Times New Roman"/>
          <w:kern w:val="0"/>
          <w:sz w:val="24"/>
          <w:szCs w:val="24"/>
        </w:rPr>
        <w:t>2m~3m</w:t>
      </w:r>
      <w:r>
        <w:rPr>
          <w:rFonts w:ascii="Times New Roman" w:eastAsia="宋体" w:hAnsi="Times New Roman" w:cs="Times New Roman"/>
          <w:kern w:val="0"/>
          <w:sz w:val="24"/>
          <w:szCs w:val="24"/>
        </w:rPr>
        <w:t>，防止覆盖膜被风刮跑。压</w:t>
      </w:r>
      <w:r>
        <w:rPr>
          <w:rFonts w:ascii="Times New Roman" w:eastAsia="宋体" w:hAnsi="Times New Roman" w:cs="Times New Roman" w:hint="eastAsia"/>
          <w:kern w:val="0"/>
          <w:sz w:val="24"/>
          <w:szCs w:val="24"/>
        </w:rPr>
        <w:t>膜材料亦可用其他软性、不易</w:t>
      </w:r>
      <w:r>
        <w:rPr>
          <w:rFonts w:ascii="Times New Roman" w:eastAsia="宋体" w:hAnsi="Times New Roman" w:cs="Times New Roman" w:hint="eastAsia"/>
          <w:kern w:val="0"/>
          <w:sz w:val="24"/>
          <w:szCs w:val="24"/>
        </w:rPr>
        <w:lastRenderedPageBreak/>
        <w:t>风化、便于重复利用的材料。</w:t>
      </w:r>
    </w:p>
    <w:p w14:paraId="05641205" w14:textId="77777777" w:rsidR="00D12939" w:rsidRDefault="004F47F5">
      <w:pPr>
        <w:autoSpaceDE w:val="0"/>
        <w:autoSpaceDN w:val="0"/>
        <w:adjustRightInd w:val="0"/>
        <w:spacing w:line="360" w:lineRule="auto"/>
        <w:rPr>
          <w:rFonts w:ascii="Times New Roman" w:eastAsia="宋体" w:hAnsi="Times New Roman" w:cs="Times New Roman"/>
          <w:kern w:val="0"/>
          <w:sz w:val="24"/>
          <w:szCs w:val="24"/>
        </w:rPr>
      </w:pPr>
      <w:r>
        <w:rPr>
          <w:noProof/>
        </w:rPr>
        <w:drawing>
          <wp:inline distT="0" distB="0" distL="0" distR="0">
            <wp:extent cx="6188710" cy="1825625"/>
            <wp:effectExtent l="0" t="0" r="254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6"/>
                    <a:stretch>
                      <a:fillRect/>
                    </a:stretch>
                  </pic:blipFill>
                  <pic:spPr>
                    <a:xfrm>
                      <a:off x="0" y="0"/>
                      <a:ext cx="6188710" cy="1825625"/>
                    </a:xfrm>
                    <a:prstGeom prst="rect">
                      <a:avLst/>
                    </a:prstGeom>
                  </pic:spPr>
                </pic:pic>
              </a:graphicData>
            </a:graphic>
          </wp:inline>
        </w:drawing>
      </w:r>
    </w:p>
    <w:p w14:paraId="6B13F892" w14:textId="77777777" w:rsidR="00D12939" w:rsidRDefault="004F47F5">
      <w:pPr>
        <w:autoSpaceDE w:val="0"/>
        <w:autoSpaceDN w:val="0"/>
        <w:adjustRightInd w:val="0"/>
        <w:spacing w:line="360" w:lineRule="auto"/>
        <w:jc w:val="center"/>
        <w:rPr>
          <w:rFonts w:ascii="黑体" w:eastAsia="黑体" w:hAnsi="黑体" w:cs="黑体"/>
          <w:kern w:val="0"/>
          <w:sz w:val="24"/>
          <w:szCs w:val="24"/>
        </w:rPr>
      </w:pPr>
      <w:r>
        <w:rPr>
          <w:rFonts w:ascii="黑体" w:eastAsia="黑体" w:hAnsi="黑体" w:cs="Times New Roman"/>
          <w:kern w:val="0"/>
          <w:sz w:val="24"/>
          <w:szCs w:val="24"/>
        </w:rPr>
        <w:t>图</w:t>
      </w:r>
      <w:r>
        <w:rPr>
          <w:rFonts w:ascii="黑体" w:eastAsia="黑体" w:hAnsi="黑体" w:cs="Times New Roman" w:hint="eastAsia"/>
          <w:kern w:val="0"/>
          <w:sz w:val="24"/>
          <w:szCs w:val="24"/>
        </w:rPr>
        <w:t>4</w:t>
      </w:r>
      <w:r>
        <w:rPr>
          <w:rFonts w:ascii="黑体" w:eastAsia="黑体" w:hAnsi="黑体" w:cs="Times New Roman"/>
          <w:kern w:val="0"/>
          <w:sz w:val="24"/>
          <w:szCs w:val="24"/>
        </w:rPr>
        <w:t xml:space="preserve">.2-2  </w:t>
      </w:r>
      <w:r>
        <w:rPr>
          <w:rFonts w:ascii="黑体" w:eastAsia="黑体" w:hAnsi="黑体" w:cs="黑体" w:hint="eastAsia"/>
          <w:kern w:val="0"/>
          <w:sz w:val="24"/>
          <w:szCs w:val="24"/>
        </w:rPr>
        <w:t>日覆盖膜搭接示意图</w:t>
      </w:r>
    </w:p>
    <w:p w14:paraId="7833E010" w14:textId="77777777" w:rsidR="00D12939" w:rsidRDefault="004F47F5">
      <w:pPr>
        <w:autoSpaceDE w:val="0"/>
        <w:autoSpaceDN w:val="0"/>
        <w:adjustRightInd w:val="0"/>
        <w:spacing w:line="360" w:lineRule="auto"/>
        <w:ind w:firstLineChars="200" w:firstLine="482"/>
        <w:rPr>
          <w:rFonts w:ascii="宋体" w:eastAsia="宋体" w:hAnsi="宋体" w:cstheme="majorBidi"/>
          <w:b/>
          <w:bCs/>
          <w:sz w:val="24"/>
          <w:szCs w:val="28"/>
        </w:rPr>
      </w:pPr>
      <w:r>
        <w:rPr>
          <w:rFonts w:ascii="宋体" w:eastAsia="宋体" w:hAnsi="宋体" w:cstheme="majorBidi" w:hint="eastAsia"/>
          <w:b/>
          <w:bCs/>
          <w:sz w:val="24"/>
          <w:szCs w:val="28"/>
        </w:rPr>
        <w:t>（6）中间覆盖</w:t>
      </w:r>
    </w:p>
    <w:p w14:paraId="7927BCB8"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1</w:t>
      </w:r>
      <w:r>
        <w:rPr>
          <w:rFonts w:ascii="Times New Roman" w:eastAsia="宋体" w:hAnsi="Times New Roman" w:cs="Times New Roman" w:hint="eastAsia"/>
          <w:kern w:val="0"/>
          <w:sz w:val="24"/>
          <w:szCs w:val="24"/>
        </w:rPr>
        <w:t>）分区单元填埋层高达到要求不再进行填埋作业时，必须进行中间覆盖。覆盖前应对垃圾堆体整形，根据排水需要开挖垃圾沟或填筑垃圾坝，覆盖材料选用</w:t>
      </w:r>
      <w:r>
        <w:rPr>
          <w:rFonts w:ascii="Times New Roman" w:eastAsia="宋体" w:hAnsi="Times New Roman" w:cs="Times New Roman"/>
          <w:kern w:val="0"/>
          <w:sz w:val="24"/>
          <w:szCs w:val="24"/>
        </w:rPr>
        <w:t xml:space="preserve">HDPE </w:t>
      </w:r>
      <w:r>
        <w:rPr>
          <w:rFonts w:ascii="Times New Roman" w:eastAsia="宋体" w:hAnsi="Times New Roman" w:cs="Times New Roman" w:hint="eastAsia"/>
          <w:kern w:val="0"/>
          <w:sz w:val="24"/>
          <w:szCs w:val="24"/>
        </w:rPr>
        <w:t>膜，厚度</w:t>
      </w:r>
      <w:r>
        <w:rPr>
          <w:rFonts w:ascii="Times New Roman" w:eastAsia="宋体" w:hAnsi="Times New Roman" w:cs="Times New Roman"/>
          <w:kern w:val="0"/>
          <w:sz w:val="24"/>
          <w:szCs w:val="24"/>
        </w:rPr>
        <w:t>0.5mm</w:t>
      </w:r>
      <w:r>
        <w:rPr>
          <w:rFonts w:ascii="Times New Roman" w:eastAsia="宋体" w:hAnsi="Times New Roman" w:cs="Times New Roman" w:hint="eastAsia"/>
          <w:kern w:val="0"/>
          <w:sz w:val="24"/>
          <w:szCs w:val="24"/>
        </w:rPr>
        <w:t>，幅宽</w:t>
      </w:r>
      <w:r>
        <w:rPr>
          <w:rFonts w:ascii="Times New Roman" w:eastAsia="宋体" w:hAnsi="Times New Roman" w:cs="Times New Roman"/>
          <w:kern w:val="0"/>
          <w:sz w:val="24"/>
          <w:szCs w:val="24"/>
        </w:rPr>
        <w:t>7m~8m</w:t>
      </w:r>
      <w:r>
        <w:rPr>
          <w:rFonts w:ascii="Times New Roman" w:eastAsia="宋体" w:hAnsi="Times New Roman" w:cs="Times New Roman" w:hint="eastAsia"/>
          <w:kern w:val="0"/>
          <w:sz w:val="24"/>
          <w:szCs w:val="24"/>
        </w:rPr>
        <w:t>，长度根据实际长度确定，一般不超过</w:t>
      </w:r>
      <w:r>
        <w:rPr>
          <w:rFonts w:ascii="Times New Roman" w:eastAsia="宋体" w:hAnsi="Times New Roman" w:cs="Times New Roman"/>
          <w:kern w:val="0"/>
          <w:sz w:val="24"/>
          <w:szCs w:val="24"/>
        </w:rPr>
        <w:t>50m</w:t>
      </w:r>
      <w:r>
        <w:rPr>
          <w:rFonts w:ascii="Times New Roman" w:eastAsia="宋体" w:hAnsi="Times New Roman" w:cs="Times New Roman" w:hint="eastAsia"/>
          <w:kern w:val="0"/>
          <w:sz w:val="24"/>
          <w:szCs w:val="24"/>
        </w:rPr>
        <w:t>。</w:t>
      </w:r>
    </w:p>
    <w:p w14:paraId="047FE93E"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2</w:t>
      </w:r>
      <w:r>
        <w:rPr>
          <w:rFonts w:ascii="Times New Roman" w:eastAsia="宋体" w:hAnsi="Times New Roman" w:cs="Times New Roman" w:hint="eastAsia"/>
          <w:kern w:val="0"/>
          <w:sz w:val="24"/>
          <w:szCs w:val="24"/>
        </w:rPr>
        <w:t>）中间覆盖膜应顺风操作，宜采用先上坡后下坡的顺序覆盖，搭接宽度为</w:t>
      </w:r>
      <w:r>
        <w:rPr>
          <w:rFonts w:ascii="Times New Roman" w:eastAsia="宋体" w:hAnsi="Times New Roman" w:cs="Times New Roman"/>
          <w:kern w:val="0"/>
          <w:sz w:val="24"/>
          <w:szCs w:val="24"/>
        </w:rPr>
        <w:t>0.08m~0.1m</w:t>
      </w:r>
      <w:r>
        <w:rPr>
          <w:rFonts w:ascii="Times New Roman" w:eastAsia="宋体" w:hAnsi="Times New Roman" w:cs="Times New Roman" w:hint="eastAsia"/>
          <w:kern w:val="0"/>
          <w:sz w:val="24"/>
          <w:szCs w:val="24"/>
        </w:rPr>
        <w:t>；边坡处覆盖膜应有</w:t>
      </w:r>
      <w:r>
        <w:rPr>
          <w:rFonts w:ascii="Times New Roman" w:eastAsia="宋体" w:hAnsi="Times New Roman" w:cs="Times New Roman"/>
          <w:kern w:val="0"/>
          <w:sz w:val="24"/>
          <w:szCs w:val="24"/>
        </w:rPr>
        <w:t xml:space="preserve">1m </w:t>
      </w:r>
      <w:r>
        <w:rPr>
          <w:rFonts w:ascii="Times New Roman" w:eastAsia="宋体" w:hAnsi="Times New Roman" w:cs="Times New Roman" w:hint="eastAsia"/>
          <w:kern w:val="0"/>
          <w:sz w:val="24"/>
          <w:szCs w:val="24"/>
        </w:rPr>
        <w:t>宽的膜盖住边坡，并铺至锚固沟内锚固。</w:t>
      </w:r>
    </w:p>
    <w:p w14:paraId="3A238F85"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3</w:t>
      </w:r>
      <w:r>
        <w:rPr>
          <w:rFonts w:ascii="Times New Roman" w:eastAsia="宋体" w:hAnsi="Times New Roman" w:cs="Times New Roman" w:hint="eastAsia"/>
          <w:kern w:val="0"/>
          <w:sz w:val="24"/>
          <w:szCs w:val="24"/>
        </w:rPr>
        <w:t>）覆盖后的膜应平直整齐，膜上搭接处应压放旧轮胎，间距</w:t>
      </w:r>
      <w:r>
        <w:rPr>
          <w:rFonts w:ascii="Times New Roman" w:eastAsia="宋体" w:hAnsi="Times New Roman" w:cs="Times New Roman"/>
          <w:kern w:val="0"/>
          <w:sz w:val="24"/>
          <w:szCs w:val="24"/>
        </w:rPr>
        <w:t xml:space="preserve">1m </w:t>
      </w:r>
      <w:r>
        <w:rPr>
          <w:rFonts w:ascii="Times New Roman" w:eastAsia="宋体" w:hAnsi="Times New Roman" w:cs="Times New Roman" w:hint="eastAsia"/>
          <w:kern w:val="0"/>
          <w:sz w:val="24"/>
          <w:szCs w:val="24"/>
        </w:rPr>
        <w:t>左右摆放，遇大风天气在每张膜中部摆放旧轮胎，间距</w:t>
      </w:r>
      <w:r>
        <w:rPr>
          <w:rFonts w:ascii="Times New Roman" w:eastAsia="宋体" w:hAnsi="Times New Roman" w:cs="Times New Roman"/>
          <w:kern w:val="0"/>
          <w:sz w:val="24"/>
          <w:szCs w:val="24"/>
        </w:rPr>
        <w:t>2m~3m</w:t>
      </w:r>
      <w:r>
        <w:rPr>
          <w:rFonts w:ascii="Times New Roman" w:eastAsia="宋体" w:hAnsi="Times New Roman" w:cs="Times New Roman" w:hint="eastAsia"/>
          <w:kern w:val="0"/>
          <w:sz w:val="24"/>
          <w:szCs w:val="24"/>
        </w:rPr>
        <w:t>，防止覆盖膜被风刮跑。压膜材料亦可用其他软性、不易风化、便于重复利用的材料。</w:t>
      </w:r>
    </w:p>
    <w:p w14:paraId="0145AA4D" w14:textId="77777777" w:rsidR="00D12939" w:rsidRDefault="004F47F5">
      <w:pPr>
        <w:ind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运营期主要产污环节见表</w:t>
      </w:r>
      <w:r>
        <w:rPr>
          <w:rFonts w:ascii="Times New Roman" w:eastAsia="宋体" w:hAnsi="Times New Roman" w:cs="Times New Roman"/>
          <w:kern w:val="0"/>
          <w:sz w:val="24"/>
          <w:szCs w:val="24"/>
        </w:rPr>
        <w:t>4.2-1</w:t>
      </w:r>
      <w:r>
        <w:rPr>
          <w:rFonts w:ascii="Times New Roman" w:eastAsia="宋体" w:hAnsi="Times New Roman" w:cs="Times New Roman"/>
          <w:kern w:val="0"/>
          <w:sz w:val="24"/>
          <w:szCs w:val="24"/>
        </w:rPr>
        <w:t>。</w:t>
      </w:r>
    </w:p>
    <w:p w14:paraId="68A2FC4D" w14:textId="77777777" w:rsidR="00D12939" w:rsidRDefault="004F47F5">
      <w:pPr>
        <w:widowControl/>
        <w:jc w:val="center"/>
        <w:rPr>
          <w:rFonts w:ascii="黑体" w:eastAsia="黑体" w:hAnsi="黑体"/>
          <w:bCs/>
          <w:sz w:val="24"/>
        </w:rPr>
      </w:pPr>
      <w:r>
        <w:rPr>
          <w:rFonts w:ascii="黑体" w:eastAsia="黑体" w:hAnsi="黑体"/>
          <w:bCs/>
          <w:sz w:val="24"/>
        </w:rPr>
        <w:t>表</w:t>
      </w:r>
      <w:r>
        <w:rPr>
          <w:rFonts w:ascii="黑体" w:eastAsia="黑体" w:hAnsi="黑体" w:hint="eastAsia"/>
          <w:bCs/>
          <w:sz w:val="24"/>
        </w:rPr>
        <w:t>4</w:t>
      </w:r>
      <w:r>
        <w:rPr>
          <w:rFonts w:ascii="黑体" w:eastAsia="黑体" w:hAnsi="黑体"/>
          <w:bCs/>
          <w:sz w:val="24"/>
        </w:rPr>
        <w:t xml:space="preserve">.2-1  </w:t>
      </w:r>
      <w:r>
        <w:rPr>
          <w:rFonts w:ascii="黑体" w:eastAsia="黑体" w:hAnsi="黑体" w:hint="eastAsia"/>
          <w:bCs/>
          <w:sz w:val="24"/>
        </w:rPr>
        <w:t>运营期环境影响产污分析</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3"/>
        <w:gridCol w:w="1687"/>
        <w:gridCol w:w="1985"/>
        <w:gridCol w:w="1134"/>
        <w:gridCol w:w="3827"/>
      </w:tblGrid>
      <w:tr w:rsidR="00D12939" w14:paraId="72C39B71" w14:textId="77777777">
        <w:trPr>
          <w:trHeight w:val="258"/>
          <w:jc w:val="center"/>
        </w:trPr>
        <w:tc>
          <w:tcPr>
            <w:tcW w:w="1143" w:type="dxa"/>
            <w:vAlign w:val="center"/>
          </w:tcPr>
          <w:p w14:paraId="4FB5F5E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类别</w:t>
            </w:r>
          </w:p>
        </w:tc>
        <w:tc>
          <w:tcPr>
            <w:tcW w:w="1687" w:type="dxa"/>
            <w:vAlign w:val="center"/>
          </w:tcPr>
          <w:p w14:paraId="12A6B13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污染工序</w:t>
            </w:r>
          </w:p>
        </w:tc>
        <w:tc>
          <w:tcPr>
            <w:tcW w:w="1985" w:type="dxa"/>
            <w:vAlign w:val="center"/>
          </w:tcPr>
          <w:p w14:paraId="1FE9B48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主要污染物</w:t>
            </w:r>
          </w:p>
        </w:tc>
        <w:tc>
          <w:tcPr>
            <w:tcW w:w="1134" w:type="dxa"/>
            <w:vAlign w:val="center"/>
          </w:tcPr>
          <w:p w14:paraId="63C0145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排放方式</w:t>
            </w:r>
          </w:p>
        </w:tc>
        <w:tc>
          <w:tcPr>
            <w:tcW w:w="3827" w:type="dxa"/>
            <w:vAlign w:val="center"/>
          </w:tcPr>
          <w:p w14:paraId="5AD9DB6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防治措施</w:t>
            </w:r>
          </w:p>
        </w:tc>
      </w:tr>
      <w:tr w:rsidR="00D12939" w14:paraId="1BA1F06C" w14:textId="77777777">
        <w:trPr>
          <w:trHeight w:val="257"/>
          <w:jc w:val="center"/>
        </w:trPr>
        <w:tc>
          <w:tcPr>
            <w:tcW w:w="1143" w:type="dxa"/>
            <w:vMerge w:val="restart"/>
            <w:vAlign w:val="center"/>
          </w:tcPr>
          <w:p w14:paraId="552F3CC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废气</w:t>
            </w:r>
          </w:p>
        </w:tc>
        <w:tc>
          <w:tcPr>
            <w:tcW w:w="1687" w:type="dxa"/>
            <w:vAlign w:val="center"/>
          </w:tcPr>
          <w:p w14:paraId="103A97F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填埋气体</w:t>
            </w:r>
          </w:p>
        </w:tc>
        <w:tc>
          <w:tcPr>
            <w:tcW w:w="1985" w:type="dxa"/>
            <w:vAlign w:val="center"/>
          </w:tcPr>
          <w:p w14:paraId="32E404F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rPr>
              <w:t>CO</w:t>
            </w:r>
            <w:r>
              <w:rPr>
                <w:rFonts w:ascii="Times New Roman" w:eastAsia="宋体" w:hAnsi="Times New Roman" w:cs="Times New Roman"/>
                <w:vertAlign w:val="subscript"/>
              </w:rPr>
              <w:t>4</w:t>
            </w:r>
          </w:p>
        </w:tc>
        <w:tc>
          <w:tcPr>
            <w:tcW w:w="1134" w:type="dxa"/>
            <w:vAlign w:val="center"/>
          </w:tcPr>
          <w:p w14:paraId="709F60B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连续</w:t>
            </w:r>
          </w:p>
        </w:tc>
        <w:tc>
          <w:tcPr>
            <w:tcW w:w="3827" w:type="dxa"/>
            <w:vAlign w:val="center"/>
          </w:tcPr>
          <w:p w14:paraId="2D4DC59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填埋气通过导气井直接排放，填埋区定时喷洒除臭剂</w:t>
            </w:r>
          </w:p>
        </w:tc>
      </w:tr>
      <w:tr w:rsidR="00D12939" w14:paraId="721F948E" w14:textId="77777777">
        <w:trPr>
          <w:trHeight w:val="364"/>
          <w:jc w:val="center"/>
        </w:trPr>
        <w:tc>
          <w:tcPr>
            <w:tcW w:w="1143" w:type="dxa"/>
            <w:vMerge/>
            <w:vAlign w:val="center"/>
          </w:tcPr>
          <w:p w14:paraId="2E912C69" w14:textId="77777777" w:rsidR="00D12939" w:rsidRDefault="00D12939">
            <w:pPr>
              <w:pStyle w:val="affffd"/>
              <w:rPr>
                <w:rFonts w:ascii="Times New Roman" w:eastAsia="宋体" w:hAnsi="Times New Roman" w:cs="Times New Roman"/>
              </w:rPr>
            </w:pPr>
          </w:p>
        </w:tc>
        <w:tc>
          <w:tcPr>
            <w:tcW w:w="1687" w:type="dxa"/>
            <w:vAlign w:val="center"/>
          </w:tcPr>
          <w:p w14:paraId="1261956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渗滤液调节池</w:t>
            </w:r>
          </w:p>
        </w:tc>
        <w:tc>
          <w:tcPr>
            <w:tcW w:w="1985" w:type="dxa"/>
            <w:vAlign w:val="center"/>
          </w:tcPr>
          <w:p w14:paraId="44AE7C4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p>
        </w:tc>
        <w:tc>
          <w:tcPr>
            <w:tcW w:w="1134" w:type="dxa"/>
            <w:vAlign w:val="center"/>
          </w:tcPr>
          <w:p w14:paraId="74E23EB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连续</w:t>
            </w:r>
          </w:p>
        </w:tc>
        <w:tc>
          <w:tcPr>
            <w:tcW w:w="3827" w:type="dxa"/>
            <w:vAlign w:val="center"/>
          </w:tcPr>
          <w:p w14:paraId="268C5ED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调节池密闭加盖，定期喷洒除臭剂</w:t>
            </w:r>
          </w:p>
        </w:tc>
      </w:tr>
      <w:tr w:rsidR="00D12939" w14:paraId="647F8C86" w14:textId="77777777">
        <w:trPr>
          <w:trHeight w:val="364"/>
          <w:jc w:val="center"/>
        </w:trPr>
        <w:tc>
          <w:tcPr>
            <w:tcW w:w="1143" w:type="dxa"/>
            <w:vMerge/>
            <w:vAlign w:val="center"/>
          </w:tcPr>
          <w:p w14:paraId="4092F0BD" w14:textId="77777777" w:rsidR="00D12939" w:rsidRDefault="00D12939">
            <w:pPr>
              <w:pStyle w:val="affffd"/>
              <w:rPr>
                <w:rFonts w:ascii="Times New Roman" w:eastAsia="宋体" w:hAnsi="Times New Roman" w:cs="Times New Roman"/>
              </w:rPr>
            </w:pPr>
          </w:p>
        </w:tc>
        <w:tc>
          <w:tcPr>
            <w:tcW w:w="1687" w:type="dxa"/>
            <w:vAlign w:val="center"/>
          </w:tcPr>
          <w:p w14:paraId="602A64E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渗滤液处理车间</w:t>
            </w:r>
          </w:p>
        </w:tc>
        <w:tc>
          <w:tcPr>
            <w:tcW w:w="1985" w:type="dxa"/>
            <w:vAlign w:val="center"/>
          </w:tcPr>
          <w:p w14:paraId="556D5DB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p>
        </w:tc>
        <w:tc>
          <w:tcPr>
            <w:tcW w:w="1134" w:type="dxa"/>
            <w:vAlign w:val="center"/>
          </w:tcPr>
          <w:p w14:paraId="5FB0012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连续</w:t>
            </w:r>
          </w:p>
        </w:tc>
        <w:tc>
          <w:tcPr>
            <w:tcW w:w="3827" w:type="dxa"/>
            <w:vAlign w:val="center"/>
          </w:tcPr>
          <w:p w14:paraId="7E2820C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密闭加盖，定期喷洒除臭剂</w:t>
            </w:r>
          </w:p>
        </w:tc>
      </w:tr>
      <w:tr w:rsidR="00D12939" w14:paraId="5EADEF01" w14:textId="77777777">
        <w:trPr>
          <w:trHeight w:val="177"/>
          <w:jc w:val="center"/>
        </w:trPr>
        <w:tc>
          <w:tcPr>
            <w:tcW w:w="1143" w:type="dxa"/>
            <w:vMerge/>
            <w:vAlign w:val="center"/>
          </w:tcPr>
          <w:p w14:paraId="0C3EDD1B" w14:textId="77777777" w:rsidR="00D12939" w:rsidRDefault="00D12939">
            <w:pPr>
              <w:pStyle w:val="affffd"/>
              <w:rPr>
                <w:rFonts w:ascii="Times New Roman" w:eastAsia="宋体" w:hAnsi="Times New Roman" w:cs="Times New Roman"/>
              </w:rPr>
            </w:pPr>
          </w:p>
        </w:tc>
        <w:tc>
          <w:tcPr>
            <w:tcW w:w="1687" w:type="dxa"/>
            <w:vAlign w:val="center"/>
          </w:tcPr>
          <w:p w14:paraId="62B501E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填埋场扬尘</w:t>
            </w:r>
          </w:p>
        </w:tc>
        <w:tc>
          <w:tcPr>
            <w:tcW w:w="1985" w:type="dxa"/>
            <w:vAlign w:val="center"/>
          </w:tcPr>
          <w:p w14:paraId="5517552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TSP</w:t>
            </w:r>
          </w:p>
        </w:tc>
        <w:tc>
          <w:tcPr>
            <w:tcW w:w="1134" w:type="dxa"/>
            <w:vAlign w:val="center"/>
          </w:tcPr>
          <w:p w14:paraId="7B2BCA7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间断</w:t>
            </w:r>
          </w:p>
        </w:tc>
        <w:tc>
          <w:tcPr>
            <w:tcW w:w="3827" w:type="dxa"/>
            <w:vAlign w:val="center"/>
          </w:tcPr>
          <w:p w14:paraId="5A03CBC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洒水抑尘</w:t>
            </w:r>
          </w:p>
        </w:tc>
      </w:tr>
      <w:tr w:rsidR="00D12939" w14:paraId="41212E69" w14:textId="77777777">
        <w:trPr>
          <w:trHeight w:val="217"/>
          <w:jc w:val="center"/>
        </w:trPr>
        <w:tc>
          <w:tcPr>
            <w:tcW w:w="1143" w:type="dxa"/>
            <w:vMerge/>
            <w:vAlign w:val="center"/>
          </w:tcPr>
          <w:p w14:paraId="51B6E569" w14:textId="77777777" w:rsidR="00D12939" w:rsidRDefault="00D12939">
            <w:pPr>
              <w:pStyle w:val="affffd"/>
              <w:rPr>
                <w:rFonts w:ascii="Times New Roman" w:eastAsia="宋体" w:hAnsi="Times New Roman" w:cs="Times New Roman"/>
              </w:rPr>
            </w:pPr>
          </w:p>
        </w:tc>
        <w:tc>
          <w:tcPr>
            <w:tcW w:w="1687" w:type="dxa"/>
            <w:vAlign w:val="center"/>
          </w:tcPr>
          <w:p w14:paraId="708BC42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运输扬尘</w:t>
            </w:r>
          </w:p>
        </w:tc>
        <w:tc>
          <w:tcPr>
            <w:tcW w:w="1985" w:type="dxa"/>
            <w:vAlign w:val="center"/>
          </w:tcPr>
          <w:p w14:paraId="3CF0482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TSP</w:t>
            </w:r>
          </w:p>
        </w:tc>
        <w:tc>
          <w:tcPr>
            <w:tcW w:w="1134" w:type="dxa"/>
            <w:vAlign w:val="center"/>
          </w:tcPr>
          <w:p w14:paraId="690C1CE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间断</w:t>
            </w:r>
          </w:p>
        </w:tc>
        <w:tc>
          <w:tcPr>
            <w:tcW w:w="3827" w:type="dxa"/>
            <w:vAlign w:val="center"/>
          </w:tcPr>
          <w:p w14:paraId="10BD16D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采取标准密闭式垃圾车运输，洒水抑尘</w:t>
            </w:r>
          </w:p>
        </w:tc>
      </w:tr>
      <w:tr w:rsidR="00D12939" w14:paraId="4F9E619B" w14:textId="77777777">
        <w:trPr>
          <w:trHeight w:val="473"/>
          <w:jc w:val="center"/>
        </w:trPr>
        <w:tc>
          <w:tcPr>
            <w:tcW w:w="1143" w:type="dxa"/>
            <w:vMerge w:val="restart"/>
            <w:vAlign w:val="center"/>
          </w:tcPr>
          <w:p w14:paraId="30FE4DD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废水</w:t>
            </w:r>
          </w:p>
        </w:tc>
        <w:tc>
          <w:tcPr>
            <w:tcW w:w="1687" w:type="dxa"/>
            <w:vAlign w:val="center"/>
          </w:tcPr>
          <w:p w14:paraId="6D7B98F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w:t>
            </w:r>
          </w:p>
        </w:tc>
        <w:tc>
          <w:tcPr>
            <w:tcW w:w="1985" w:type="dxa"/>
            <w:vAlign w:val="center"/>
          </w:tcPr>
          <w:p w14:paraId="39A96C9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pH</w:t>
            </w:r>
            <w:r>
              <w:rPr>
                <w:rFonts w:ascii="Times New Roman" w:eastAsia="宋体" w:hAnsi="Times New Roman" w:cs="Times New Roman"/>
              </w:rPr>
              <w:t>、</w:t>
            </w:r>
            <w:r>
              <w:rPr>
                <w:rFonts w:ascii="Times New Roman" w:eastAsia="宋体" w:hAnsi="Times New Roman" w:cs="Times New Roman"/>
              </w:rPr>
              <w:t>COD</w:t>
            </w:r>
            <w:r>
              <w:rPr>
                <w:rFonts w:ascii="Times New Roman" w:eastAsia="宋体" w:hAnsi="Times New Roman" w:cs="Times New Roman"/>
              </w:rPr>
              <w:t>、</w:t>
            </w:r>
            <w:r>
              <w:rPr>
                <w:rFonts w:ascii="Times New Roman" w:eastAsia="宋体" w:hAnsi="Times New Roman" w:cs="Times New Roman"/>
              </w:rPr>
              <w:t>BOD</w:t>
            </w:r>
            <w:r>
              <w:rPr>
                <w:rFonts w:ascii="Times New Roman" w:eastAsia="宋体" w:hAnsi="Times New Roman" w:cs="Times New Roman"/>
                <w:vertAlign w:val="subscript"/>
              </w:rPr>
              <w:t>5</w:t>
            </w:r>
            <w:r>
              <w:rPr>
                <w:rFonts w:ascii="Times New Roman" w:eastAsia="宋体" w:hAnsi="Times New Roman" w:cs="Times New Roman"/>
              </w:rPr>
              <w:t>、</w:t>
            </w:r>
            <w:r>
              <w:rPr>
                <w:rFonts w:ascii="Times New Roman" w:eastAsia="宋体" w:hAnsi="Times New Roman" w:cs="Times New Roman"/>
              </w:rPr>
              <w:t>SS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1134" w:type="dxa"/>
            <w:vAlign w:val="center"/>
          </w:tcPr>
          <w:p w14:paraId="33B7C3B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连续</w:t>
            </w:r>
          </w:p>
        </w:tc>
        <w:tc>
          <w:tcPr>
            <w:tcW w:w="3827" w:type="dxa"/>
            <w:vAlign w:val="center"/>
          </w:tcPr>
          <w:p w14:paraId="2BDCC5D6" w14:textId="78288322" w:rsidR="00D12939" w:rsidRDefault="004F47F5" w:rsidP="00DA291F">
            <w:pPr>
              <w:pStyle w:val="affffd"/>
              <w:rPr>
                <w:rFonts w:ascii="Times New Roman" w:eastAsia="宋体" w:hAnsi="Times New Roman" w:cs="Times New Roman"/>
              </w:rPr>
            </w:pPr>
            <w:r>
              <w:rPr>
                <w:rFonts w:ascii="Times New Roman" w:eastAsia="宋体" w:hAnsi="Times New Roman" w:cs="Times New Roman"/>
                <w:kern w:val="0"/>
              </w:rPr>
              <w:t>经收集处理达标后，</w:t>
            </w:r>
            <w:r>
              <w:rPr>
                <w:rFonts w:ascii="Times New Roman" w:eastAsia="宋体" w:hAnsi="Times New Roman" w:cs="Times New Roman" w:hint="eastAsia"/>
                <w:kern w:val="0"/>
              </w:rPr>
              <w:t>部分</w:t>
            </w:r>
            <w:r>
              <w:rPr>
                <w:rFonts w:ascii="Times New Roman" w:eastAsia="宋体" w:hAnsi="Times New Roman" w:cs="Times New Roman"/>
                <w:kern w:val="0"/>
              </w:rPr>
              <w:t>用于场内自用，</w:t>
            </w:r>
            <w:r>
              <w:rPr>
                <w:rFonts w:ascii="Times New Roman" w:eastAsia="宋体" w:hAnsi="Times New Roman" w:cs="Times New Roman" w:hint="eastAsia"/>
                <w:kern w:val="0"/>
              </w:rPr>
              <w:t>剩余尾水</w:t>
            </w:r>
            <w:r>
              <w:rPr>
                <w:rFonts w:ascii="Times New Roman" w:eastAsia="宋体" w:hAnsi="Times New Roman" w:cs="Times New Roman"/>
                <w:kern w:val="0"/>
              </w:rPr>
              <w:t>采用槽罐车运输方式，运至柞水县污水处理厂进一步处理</w:t>
            </w:r>
            <w:r w:rsidR="00DA291F">
              <w:rPr>
                <w:rFonts w:ascii="Times New Roman" w:eastAsia="宋体" w:hAnsi="Times New Roman" w:cs="Times New Roman" w:hint="eastAsia"/>
                <w:kern w:val="0"/>
              </w:rPr>
              <w:t>，</w:t>
            </w:r>
            <w:r w:rsidR="00DA291F" w:rsidRPr="00DA291F">
              <w:rPr>
                <w:rFonts w:ascii="Times New Roman" w:eastAsia="宋体" w:hAnsi="Times New Roman" w:cs="Times New Roman" w:hint="eastAsia"/>
                <w:kern w:val="0"/>
              </w:rPr>
              <w:t>浓缩液回灌至填埋场</w:t>
            </w:r>
          </w:p>
        </w:tc>
      </w:tr>
      <w:tr w:rsidR="00D12939" w14:paraId="17C10B32" w14:textId="77777777">
        <w:trPr>
          <w:trHeight w:val="473"/>
          <w:jc w:val="center"/>
        </w:trPr>
        <w:tc>
          <w:tcPr>
            <w:tcW w:w="1143" w:type="dxa"/>
            <w:vMerge/>
            <w:vAlign w:val="center"/>
          </w:tcPr>
          <w:p w14:paraId="0A13605D" w14:textId="77777777" w:rsidR="00D12939" w:rsidRDefault="00D12939">
            <w:pPr>
              <w:pStyle w:val="affffd"/>
              <w:rPr>
                <w:rFonts w:ascii="Times New Roman" w:eastAsia="宋体" w:hAnsi="Times New Roman" w:cs="Times New Roman"/>
              </w:rPr>
            </w:pPr>
          </w:p>
        </w:tc>
        <w:tc>
          <w:tcPr>
            <w:tcW w:w="1687" w:type="dxa"/>
            <w:vAlign w:val="center"/>
          </w:tcPr>
          <w:p w14:paraId="2464763A"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反冲洗废水</w:t>
            </w:r>
          </w:p>
        </w:tc>
        <w:tc>
          <w:tcPr>
            <w:tcW w:w="1985" w:type="dxa"/>
            <w:vAlign w:val="center"/>
          </w:tcPr>
          <w:p w14:paraId="3D18498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pH</w:t>
            </w:r>
            <w:r>
              <w:rPr>
                <w:rFonts w:ascii="Times New Roman" w:eastAsia="宋体" w:hAnsi="Times New Roman" w:cs="Times New Roman"/>
              </w:rPr>
              <w:t>、</w:t>
            </w:r>
            <w:r>
              <w:rPr>
                <w:rFonts w:ascii="Times New Roman" w:eastAsia="宋体" w:hAnsi="Times New Roman" w:cs="Times New Roman"/>
              </w:rPr>
              <w:t>COD</w:t>
            </w:r>
            <w:r>
              <w:rPr>
                <w:rFonts w:ascii="Times New Roman" w:eastAsia="宋体" w:hAnsi="Times New Roman" w:cs="Times New Roman"/>
              </w:rPr>
              <w:t>、</w:t>
            </w:r>
            <w:r>
              <w:rPr>
                <w:rFonts w:ascii="Times New Roman" w:eastAsia="宋体" w:hAnsi="Times New Roman" w:cs="Times New Roman"/>
              </w:rPr>
              <w:t>BOD</w:t>
            </w:r>
            <w:r>
              <w:rPr>
                <w:rFonts w:ascii="Times New Roman" w:eastAsia="宋体" w:hAnsi="Times New Roman" w:cs="Times New Roman"/>
                <w:vertAlign w:val="subscript"/>
              </w:rPr>
              <w:t>5</w:t>
            </w:r>
            <w:r>
              <w:rPr>
                <w:rFonts w:ascii="Times New Roman" w:eastAsia="宋体" w:hAnsi="Times New Roman" w:cs="Times New Roman"/>
              </w:rPr>
              <w:t>、</w:t>
            </w:r>
            <w:r>
              <w:rPr>
                <w:rFonts w:ascii="Times New Roman" w:eastAsia="宋体" w:hAnsi="Times New Roman" w:cs="Times New Roman"/>
              </w:rPr>
              <w:t>SS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1134" w:type="dxa"/>
            <w:vAlign w:val="center"/>
          </w:tcPr>
          <w:p w14:paraId="67C91A80"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间断</w:t>
            </w:r>
          </w:p>
        </w:tc>
        <w:tc>
          <w:tcPr>
            <w:tcW w:w="3827" w:type="dxa"/>
            <w:vAlign w:val="center"/>
          </w:tcPr>
          <w:p w14:paraId="290AA0A1" w14:textId="77777777" w:rsidR="00D12939" w:rsidRDefault="004F47F5">
            <w:pPr>
              <w:pStyle w:val="affffd"/>
              <w:rPr>
                <w:rFonts w:ascii="Times New Roman" w:eastAsia="宋体" w:hAnsi="Times New Roman" w:cs="Times New Roman"/>
                <w:kern w:val="0"/>
              </w:rPr>
            </w:pPr>
            <w:r>
              <w:rPr>
                <w:rFonts w:ascii="Times New Roman" w:eastAsia="宋体" w:hAnsi="Times New Roman" w:cs="Times New Roman"/>
              </w:rPr>
              <w:t>进入渗沥液处理站处理</w:t>
            </w:r>
          </w:p>
        </w:tc>
      </w:tr>
      <w:tr w:rsidR="00D12939" w14:paraId="62573B3F" w14:textId="77777777">
        <w:trPr>
          <w:trHeight w:val="473"/>
          <w:jc w:val="center"/>
        </w:trPr>
        <w:tc>
          <w:tcPr>
            <w:tcW w:w="1143" w:type="dxa"/>
            <w:vMerge/>
            <w:vAlign w:val="center"/>
          </w:tcPr>
          <w:p w14:paraId="63D7344F" w14:textId="77777777" w:rsidR="00D12939" w:rsidRDefault="00D12939">
            <w:pPr>
              <w:pStyle w:val="affffd"/>
              <w:rPr>
                <w:rFonts w:ascii="Times New Roman" w:eastAsia="宋体" w:hAnsi="Times New Roman" w:cs="Times New Roman"/>
              </w:rPr>
            </w:pPr>
          </w:p>
        </w:tc>
        <w:tc>
          <w:tcPr>
            <w:tcW w:w="1687" w:type="dxa"/>
            <w:vAlign w:val="center"/>
          </w:tcPr>
          <w:p w14:paraId="51FEAEEA"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渗滤液处理车间地面冲洗水</w:t>
            </w:r>
          </w:p>
        </w:tc>
        <w:tc>
          <w:tcPr>
            <w:tcW w:w="1985" w:type="dxa"/>
            <w:vAlign w:val="center"/>
          </w:tcPr>
          <w:p w14:paraId="3289164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pH</w:t>
            </w:r>
            <w:r>
              <w:rPr>
                <w:rFonts w:ascii="Times New Roman" w:eastAsia="宋体" w:hAnsi="Times New Roman" w:cs="Times New Roman"/>
              </w:rPr>
              <w:t>、</w:t>
            </w:r>
            <w:r>
              <w:rPr>
                <w:rFonts w:ascii="Times New Roman" w:eastAsia="宋体" w:hAnsi="Times New Roman" w:cs="Times New Roman"/>
              </w:rPr>
              <w:t>COD</w:t>
            </w:r>
            <w:r>
              <w:rPr>
                <w:rFonts w:ascii="Times New Roman" w:eastAsia="宋体" w:hAnsi="Times New Roman" w:cs="Times New Roman"/>
              </w:rPr>
              <w:t>、</w:t>
            </w:r>
            <w:r>
              <w:rPr>
                <w:rFonts w:ascii="Times New Roman" w:eastAsia="宋体" w:hAnsi="Times New Roman" w:cs="Times New Roman"/>
              </w:rPr>
              <w:t>BOD</w:t>
            </w:r>
            <w:r>
              <w:rPr>
                <w:rFonts w:ascii="Times New Roman" w:eastAsia="宋体" w:hAnsi="Times New Roman" w:cs="Times New Roman"/>
                <w:vertAlign w:val="subscript"/>
              </w:rPr>
              <w:t>5</w:t>
            </w:r>
            <w:r>
              <w:rPr>
                <w:rFonts w:ascii="Times New Roman" w:eastAsia="宋体" w:hAnsi="Times New Roman" w:cs="Times New Roman"/>
              </w:rPr>
              <w:t>、</w:t>
            </w:r>
            <w:r>
              <w:rPr>
                <w:rFonts w:ascii="Times New Roman" w:eastAsia="宋体" w:hAnsi="Times New Roman" w:cs="Times New Roman"/>
              </w:rPr>
              <w:t>SS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1134" w:type="dxa"/>
            <w:vAlign w:val="center"/>
          </w:tcPr>
          <w:p w14:paraId="5028A8BD"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间断</w:t>
            </w:r>
          </w:p>
        </w:tc>
        <w:tc>
          <w:tcPr>
            <w:tcW w:w="3827" w:type="dxa"/>
            <w:vAlign w:val="center"/>
          </w:tcPr>
          <w:p w14:paraId="42DE39AB" w14:textId="77777777" w:rsidR="00D12939" w:rsidRDefault="004F47F5">
            <w:pPr>
              <w:pStyle w:val="affffd"/>
              <w:rPr>
                <w:rFonts w:ascii="Times New Roman" w:eastAsia="宋体" w:hAnsi="Times New Roman" w:cs="Times New Roman"/>
                <w:kern w:val="0"/>
              </w:rPr>
            </w:pPr>
            <w:r>
              <w:rPr>
                <w:rFonts w:ascii="Times New Roman" w:eastAsia="宋体" w:hAnsi="Times New Roman" w:cs="Times New Roman"/>
              </w:rPr>
              <w:t>进入渗沥液处理站处理</w:t>
            </w:r>
          </w:p>
        </w:tc>
      </w:tr>
      <w:tr w:rsidR="00D12939" w14:paraId="63979799" w14:textId="77777777">
        <w:trPr>
          <w:trHeight w:val="473"/>
          <w:jc w:val="center"/>
        </w:trPr>
        <w:tc>
          <w:tcPr>
            <w:tcW w:w="1143" w:type="dxa"/>
            <w:vMerge/>
            <w:vAlign w:val="center"/>
          </w:tcPr>
          <w:p w14:paraId="4788CFD4" w14:textId="77777777" w:rsidR="00D12939" w:rsidRDefault="00D12939">
            <w:pPr>
              <w:pStyle w:val="affffd"/>
              <w:rPr>
                <w:rFonts w:ascii="Times New Roman" w:eastAsia="宋体" w:hAnsi="Times New Roman" w:cs="Times New Roman"/>
              </w:rPr>
            </w:pPr>
          </w:p>
        </w:tc>
        <w:tc>
          <w:tcPr>
            <w:tcW w:w="1687" w:type="dxa"/>
            <w:vAlign w:val="center"/>
          </w:tcPr>
          <w:p w14:paraId="6699E01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生活污水</w:t>
            </w:r>
          </w:p>
        </w:tc>
        <w:tc>
          <w:tcPr>
            <w:tcW w:w="1985" w:type="dxa"/>
            <w:vAlign w:val="center"/>
          </w:tcPr>
          <w:p w14:paraId="3836B7A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pH</w:t>
            </w:r>
            <w:r>
              <w:rPr>
                <w:rFonts w:ascii="Times New Roman" w:eastAsia="宋体" w:hAnsi="Times New Roman" w:cs="Times New Roman"/>
              </w:rPr>
              <w:t>、</w:t>
            </w:r>
            <w:r>
              <w:rPr>
                <w:rFonts w:ascii="Times New Roman" w:eastAsia="宋体" w:hAnsi="Times New Roman" w:cs="Times New Roman"/>
              </w:rPr>
              <w:t>COD</w:t>
            </w:r>
            <w:r>
              <w:rPr>
                <w:rFonts w:ascii="Times New Roman" w:eastAsia="宋体" w:hAnsi="Times New Roman" w:cs="Times New Roman"/>
              </w:rPr>
              <w:t>、</w:t>
            </w:r>
            <w:r>
              <w:rPr>
                <w:rFonts w:ascii="Times New Roman" w:eastAsia="宋体" w:hAnsi="Times New Roman" w:cs="Times New Roman"/>
              </w:rPr>
              <w:t>BOD</w:t>
            </w:r>
            <w:r>
              <w:rPr>
                <w:rFonts w:ascii="Times New Roman" w:eastAsia="宋体" w:hAnsi="Times New Roman" w:cs="Times New Roman"/>
                <w:vertAlign w:val="subscript"/>
              </w:rPr>
              <w:t>5</w:t>
            </w:r>
            <w:r>
              <w:rPr>
                <w:rFonts w:ascii="Times New Roman" w:eastAsia="宋体" w:hAnsi="Times New Roman" w:cs="Times New Roman"/>
              </w:rPr>
              <w:t>、</w:t>
            </w:r>
            <w:r>
              <w:rPr>
                <w:rFonts w:ascii="Times New Roman" w:eastAsia="宋体" w:hAnsi="Times New Roman" w:cs="Times New Roman"/>
              </w:rPr>
              <w:t>SS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1134" w:type="dxa"/>
            <w:vAlign w:val="center"/>
          </w:tcPr>
          <w:p w14:paraId="2630980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连续</w:t>
            </w:r>
          </w:p>
        </w:tc>
        <w:tc>
          <w:tcPr>
            <w:tcW w:w="3827" w:type="dxa"/>
            <w:vAlign w:val="center"/>
          </w:tcPr>
          <w:p w14:paraId="3145F368" w14:textId="77777777" w:rsidR="00D12939" w:rsidRDefault="004F47F5">
            <w:pPr>
              <w:pStyle w:val="affffd"/>
              <w:rPr>
                <w:rFonts w:ascii="Times New Roman" w:eastAsia="宋体" w:hAnsi="Times New Roman" w:cs="Times New Roman"/>
                <w:kern w:val="0"/>
              </w:rPr>
            </w:pPr>
            <w:r>
              <w:rPr>
                <w:rFonts w:ascii="Times New Roman" w:eastAsia="宋体" w:hAnsi="Times New Roman" w:cs="Times New Roman"/>
              </w:rPr>
              <w:t>化粪池处理后排至填埋场调节池内，进入渗沥液处理站处理</w:t>
            </w:r>
          </w:p>
        </w:tc>
      </w:tr>
      <w:tr w:rsidR="00D12939" w14:paraId="33142DB3" w14:textId="77777777">
        <w:trPr>
          <w:trHeight w:val="158"/>
          <w:jc w:val="center"/>
        </w:trPr>
        <w:tc>
          <w:tcPr>
            <w:tcW w:w="1143" w:type="dxa"/>
            <w:vMerge/>
            <w:vAlign w:val="center"/>
          </w:tcPr>
          <w:p w14:paraId="499FB8F9" w14:textId="77777777" w:rsidR="00D12939" w:rsidRDefault="00D12939">
            <w:pPr>
              <w:pStyle w:val="affffd"/>
              <w:rPr>
                <w:rFonts w:ascii="Times New Roman" w:eastAsia="宋体" w:hAnsi="Times New Roman" w:cs="Times New Roman"/>
              </w:rPr>
            </w:pPr>
          </w:p>
        </w:tc>
        <w:tc>
          <w:tcPr>
            <w:tcW w:w="1687" w:type="dxa"/>
            <w:vAlign w:val="center"/>
          </w:tcPr>
          <w:p w14:paraId="0F8813F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洗车废水</w:t>
            </w:r>
          </w:p>
        </w:tc>
        <w:tc>
          <w:tcPr>
            <w:tcW w:w="1985" w:type="dxa"/>
            <w:vAlign w:val="center"/>
          </w:tcPr>
          <w:p w14:paraId="727350C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悬浮物、</w:t>
            </w:r>
            <w:r>
              <w:rPr>
                <w:rFonts w:ascii="Times New Roman" w:eastAsia="宋体" w:hAnsi="Times New Roman" w:cs="Times New Roman"/>
              </w:rPr>
              <w:t>COD</w:t>
            </w:r>
            <w:r>
              <w:rPr>
                <w:rFonts w:ascii="Times New Roman" w:eastAsia="宋体" w:hAnsi="Times New Roman" w:cs="Times New Roman"/>
              </w:rPr>
              <w:t>、石油类等</w:t>
            </w:r>
          </w:p>
        </w:tc>
        <w:tc>
          <w:tcPr>
            <w:tcW w:w="1134" w:type="dxa"/>
            <w:vAlign w:val="center"/>
          </w:tcPr>
          <w:p w14:paraId="4CEE14B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间断</w:t>
            </w:r>
          </w:p>
        </w:tc>
        <w:tc>
          <w:tcPr>
            <w:tcW w:w="3827" w:type="dxa"/>
            <w:vAlign w:val="center"/>
          </w:tcPr>
          <w:p w14:paraId="649E970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经自然沉淀处理后全部回用于填埋场洒水降尘</w:t>
            </w:r>
          </w:p>
        </w:tc>
      </w:tr>
      <w:tr w:rsidR="00D12939" w14:paraId="63668445" w14:textId="77777777">
        <w:trPr>
          <w:trHeight w:val="230"/>
          <w:jc w:val="center"/>
        </w:trPr>
        <w:tc>
          <w:tcPr>
            <w:tcW w:w="1143" w:type="dxa"/>
            <w:vMerge w:val="restart"/>
            <w:vAlign w:val="center"/>
          </w:tcPr>
          <w:p w14:paraId="2829FD2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lastRenderedPageBreak/>
              <w:t>噪声</w:t>
            </w:r>
          </w:p>
        </w:tc>
        <w:tc>
          <w:tcPr>
            <w:tcW w:w="1687" w:type="dxa"/>
            <w:vAlign w:val="center"/>
          </w:tcPr>
          <w:p w14:paraId="6DE2765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设备运行</w:t>
            </w:r>
          </w:p>
        </w:tc>
        <w:tc>
          <w:tcPr>
            <w:tcW w:w="1985" w:type="dxa"/>
            <w:vAlign w:val="center"/>
          </w:tcPr>
          <w:p w14:paraId="23E212D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机械噪声</w:t>
            </w:r>
          </w:p>
        </w:tc>
        <w:tc>
          <w:tcPr>
            <w:tcW w:w="1134" w:type="dxa"/>
            <w:vAlign w:val="center"/>
          </w:tcPr>
          <w:p w14:paraId="32FA717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间断</w:t>
            </w:r>
          </w:p>
        </w:tc>
        <w:tc>
          <w:tcPr>
            <w:tcW w:w="3827" w:type="dxa"/>
            <w:vAlign w:val="center"/>
          </w:tcPr>
          <w:p w14:paraId="4CE0B40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消声、减振及隔声等</w:t>
            </w:r>
          </w:p>
        </w:tc>
      </w:tr>
      <w:tr w:rsidR="00D12939" w14:paraId="5B3EA3A2" w14:textId="77777777">
        <w:trPr>
          <w:trHeight w:val="258"/>
          <w:jc w:val="center"/>
        </w:trPr>
        <w:tc>
          <w:tcPr>
            <w:tcW w:w="1143" w:type="dxa"/>
            <w:vMerge/>
            <w:vAlign w:val="center"/>
          </w:tcPr>
          <w:p w14:paraId="6EED3935" w14:textId="77777777" w:rsidR="00D12939" w:rsidRDefault="00D12939">
            <w:pPr>
              <w:pStyle w:val="affffd"/>
              <w:rPr>
                <w:rFonts w:ascii="Times New Roman" w:eastAsia="宋体" w:hAnsi="Times New Roman" w:cs="Times New Roman"/>
              </w:rPr>
            </w:pPr>
          </w:p>
        </w:tc>
        <w:tc>
          <w:tcPr>
            <w:tcW w:w="1687" w:type="dxa"/>
            <w:vAlign w:val="center"/>
          </w:tcPr>
          <w:p w14:paraId="1DB8A6E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运输工程</w:t>
            </w:r>
          </w:p>
        </w:tc>
        <w:tc>
          <w:tcPr>
            <w:tcW w:w="1985" w:type="dxa"/>
            <w:vAlign w:val="center"/>
          </w:tcPr>
          <w:p w14:paraId="4FE7E77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运输噪声</w:t>
            </w:r>
          </w:p>
        </w:tc>
        <w:tc>
          <w:tcPr>
            <w:tcW w:w="1134" w:type="dxa"/>
            <w:vAlign w:val="center"/>
          </w:tcPr>
          <w:p w14:paraId="0EA7FAF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间断</w:t>
            </w:r>
          </w:p>
        </w:tc>
        <w:tc>
          <w:tcPr>
            <w:tcW w:w="3827" w:type="dxa"/>
            <w:vAlign w:val="center"/>
          </w:tcPr>
          <w:p w14:paraId="5D532EF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低速行驶</w:t>
            </w:r>
          </w:p>
        </w:tc>
      </w:tr>
      <w:tr w:rsidR="00D12939" w14:paraId="4931CC19" w14:textId="77777777">
        <w:trPr>
          <w:trHeight w:val="258"/>
          <w:jc w:val="center"/>
        </w:trPr>
        <w:tc>
          <w:tcPr>
            <w:tcW w:w="1143" w:type="dxa"/>
            <w:vMerge w:val="restart"/>
            <w:vAlign w:val="center"/>
          </w:tcPr>
          <w:p w14:paraId="0D18642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固体废物</w:t>
            </w:r>
          </w:p>
        </w:tc>
        <w:tc>
          <w:tcPr>
            <w:tcW w:w="1687" w:type="dxa"/>
            <w:vMerge w:val="restart"/>
            <w:vAlign w:val="center"/>
          </w:tcPr>
          <w:p w14:paraId="7BC61D8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渗滤液处理车间</w:t>
            </w:r>
          </w:p>
        </w:tc>
        <w:tc>
          <w:tcPr>
            <w:tcW w:w="1985" w:type="dxa"/>
            <w:vAlign w:val="center"/>
          </w:tcPr>
          <w:p w14:paraId="7A66BDB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废滤膜</w:t>
            </w:r>
          </w:p>
        </w:tc>
        <w:tc>
          <w:tcPr>
            <w:tcW w:w="1134" w:type="dxa"/>
          </w:tcPr>
          <w:p w14:paraId="52883BC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3827" w:type="dxa"/>
            <w:vMerge w:val="restart"/>
            <w:vAlign w:val="center"/>
          </w:tcPr>
          <w:p w14:paraId="4F6AA46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收集后暂存于危废间，定期交有资质单位进行处理</w:t>
            </w:r>
          </w:p>
        </w:tc>
      </w:tr>
      <w:tr w:rsidR="00D12939" w14:paraId="47316065" w14:textId="77777777">
        <w:trPr>
          <w:trHeight w:val="258"/>
          <w:jc w:val="center"/>
        </w:trPr>
        <w:tc>
          <w:tcPr>
            <w:tcW w:w="1143" w:type="dxa"/>
            <w:vMerge/>
            <w:vAlign w:val="center"/>
          </w:tcPr>
          <w:p w14:paraId="166FBC44" w14:textId="77777777" w:rsidR="00D12939" w:rsidRDefault="00D12939">
            <w:pPr>
              <w:pStyle w:val="affffd"/>
              <w:rPr>
                <w:rFonts w:ascii="Times New Roman" w:eastAsia="宋体" w:hAnsi="Times New Roman" w:cs="Times New Roman"/>
              </w:rPr>
            </w:pPr>
          </w:p>
        </w:tc>
        <w:tc>
          <w:tcPr>
            <w:tcW w:w="1687" w:type="dxa"/>
            <w:vMerge/>
            <w:vAlign w:val="center"/>
          </w:tcPr>
          <w:p w14:paraId="579646BB" w14:textId="77777777" w:rsidR="00D12939" w:rsidRDefault="00D12939">
            <w:pPr>
              <w:pStyle w:val="affffd"/>
              <w:rPr>
                <w:rFonts w:ascii="Times New Roman" w:eastAsia="宋体" w:hAnsi="Times New Roman" w:cs="Times New Roman"/>
              </w:rPr>
            </w:pPr>
          </w:p>
        </w:tc>
        <w:tc>
          <w:tcPr>
            <w:tcW w:w="1985" w:type="dxa"/>
            <w:vAlign w:val="center"/>
          </w:tcPr>
          <w:p w14:paraId="3B245F75"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废药剂包装袋</w:t>
            </w:r>
          </w:p>
        </w:tc>
        <w:tc>
          <w:tcPr>
            <w:tcW w:w="1134" w:type="dxa"/>
          </w:tcPr>
          <w:p w14:paraId="7D6ED81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3827" w:type="dxa"/>
            <w:vMerge/>
            <w:vAlign w:val="center"/>
          </w:tcPr>
          <w:p w14:paraId="20646989" w14:textId="77777777" w:rsidR="00D12939" w:rsidRDefault="00D12939">
            <w:pPr>
              <w:pStyle w:val="affffd"/>
              <w:rPr>
                <w:rFonts w:ascii="Times New Roman" w:eastAsia="宋体" w:hAnsi="Times New Roman" w:cs="Times New Roman"/>
              </w:rPr>
            </w:pPr>
          </w:p>
        </w:tc>
      </w:tr>
      <w:tr w:rsidR="00D12939" w14:paraId="68BD1EB4" w14:textId="77777777">
        <w:trPr>
          <w:trHeight w:val="258"/>
          <w:jc w:val="center"/>
        </w:trPr>
        <w:tc>
          <w:tcPr>
            <w:tcW w:w="1143" w:type="dxa"/>
            <w:vMerge/>
            <w:vAlign w:val="center"/>
          </w:tcPr>
          <w:p w14:paraId="4C4BE24D" w14:textId="77777777" w:rsidR="00D12939" w:rsidRDefault="00D12939">
            <w:pPr>
              <w:pStyle w:val="affffd"/>
              <w:rPr>
                <w:rFonts w:ascii="Times New Roman" w:eastAsia="宋体" w:hAnsi="Times New Roman" w:cs="Times New Roman"/>
              </w:rPr>
            </w:pPr>
          </w:p>
        </w:tc>
        <w:tc>
          <w:tcPr>
            <w:tcW w:w="1687" w:type="dxa"/>
            <w:vMerge/>
            <w:vAlign w:val="center"/>
          </w:tcPr>
          <w:p w14:paraId="1635751F" w14:textId="77777777" w:rsidR="00D12939" w:rsidRDefault="00D12939">
            <w:pPr>
              <w:pStyle w:val="affffd"/>
              <w:rPr>
                <w:rFonts w:ascii="Times New Roman" w:eastAsia="宋体" w:hAnsi="Times New Roman" w:cs="Times New Roman"/>
              </w:rPr>
            </w:pPr>
          </w:p>
        </w:tc>
        <w:tc>
          <w:tcPr>
            <w:tcW w:w="1985" w:type="dxa"/>
            <w:vAlign w:val="center"/>
          </w:tcPr>
          <w:p w14:paraId="1BDAF53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污泥</w:t>
            </w:r>
          </w:p>
        </w:tc>
        <w:tc>
          <w:tcPr>
            <w:tcW w:w="1134" w:type="dxa"/>
            <w:vAlign w:val="center"/>
          </w:tcPr>
          <w:p w14:paraId="39FEE9D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3827" w:type="dxa"/>
            <w:vAlign w:val="center"/>
          </w:tcPr>
          <w:p w14:paraId="035ED92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经脱水处理后，进入生活垃圾填埋场填埋处理</w:t>
            </w:r>
          </w:p>
        </w:tc>
      </w:tr>
      <w:tr w:rsidR="00D12939" w14:paraId="5F3C0096" w14:textId="77777777">
        <w:trPr>
          <w:trHeight w:val="258"/>
          <w:jc w:val="center"/>
        </w:trPr>
        <w:tc>
          <w:tcPr>
            <w:tcW w:w="1143" w:type="dxa"/>
            <w:vMerge/>
            <w:vAlign w:val="center"/>
          </w:tcPr>
          <w:p w14:paraId="3A4FDD6C" w14:textId="77777777" w:rsidR="00D12939" w:rsidRDefault="00D12939">
            <w:pPr>
              <w:pStyle w:val="affffd"/>
              <w:rPr>
                <w:rFonts w:ascii="Times New Roman" w:eastAsia="宋体" w:hAnsi="Times New Roman" w:cs="Times New Roman"/>
              </w:rPr>
            </w:pPr>
          </w:p>
        </w:tc>
        <w:tc>
          <w:tcPr>
            <w:tcW w:w="1687" w:type="dxa"/>
            <w:vMerge w:val="restart"/>
            <w:vAlign w:val="center"/>
          </w:tcPr>
          <w:p w14:paraId="24EE3FA5"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填埋区</w:t>
            </w:r>
          </w:p>
        </w:tc>
        <w:tc>
          <w:tcPr>
            <w:tcW w:w="1985" w:type="dxa"/>
            <w:vAlign w:val="center"/>
          </w:tcPr>
          <w:p w14:paraId="630C5463"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除臭剂包装</w:t>
            </w:r>
          </w:p>
        </w:tc>
        <w:tc>
          <w:tcPr>
            <w:tcW w:w="1134" w:type="dxa"/>
            <w:vAlign w:val="center"/>
          </w:tcPr>
          <w:p w14:paraId="6B0E43B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3827" w:type="dxa"/>
            <w:vMerge w:val="restart"/>
            <w:vAlign w:val="center"/>
          </w:tcPr>
          <w:p w14:paraId="1D479C1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收集后暂存于危废间，定期交有资质单位进行处理</w:t>
            </w:r>
          </w:p>
        </w:tc>
      </w:tr>
      <w:tr w:rsidR="00D12939" w14:paraId="5564F66D" w14:textId="77777777">
        <w:trPr>
          <w:trHeight w:val="258"/>
          <w:jc w:val="center"/>
        </w:trPr>
        <w:tc>
          <w:tcPr>
            <w:tcW w:w="1143" w:type="dxa"/>
            <w:vMerge/>
            <w:vAlign w:val="center"/>
          </w:tcPr>
          <w:p w14:paraId="1BEF595B" w14:textId="77777777" w:rsidR="00D12939" w:rsidRDefault="00D12939">
            <w:pPr>
              <w:pStyle w:val="affffd"/>
              <w:rPr>
                <w:rFonts w:ascii="Times New Roman" w:eastAsia="宋体" w:hAnsi="Times New Roman" w:cs="Times New Roman"/>
              </w:rPr>
            </w:pPr>
          </w:p>
        </w:tc>
        <w:tc>
          <w:tcPr>
            <w:tcW w:w="1687" w:type="dxa"/>
            <w:vMerge/>
            <w:vAlign w:val="center"/>
          </w:tcPr>
          <w:p w14:paraId="4843A9E3" w14:textId="77777777" w:rsidR="00D12939" w:rsidRDefault="00D12939">
            <w:pPr>
              <w:pStyle w:val="affffd"/>
              <w:rPr>
                <w:rFonts w:ascii="Times New Roman" w:eastAsia="宋体" w:hAnsi="Times New Roman" w:cs="Times New Roman"/>
              </w:rPr>
            </w:pPr>
          </w:p>
        </w:tc>
        <w:tc>
          <w:tcPr>
            <w:tcW w:w="1985" w:type="dxa"/>
            <w:vAlign w:val="center"/>
          </w:tcPr>
          <w:p w14:paraId="66D93B49"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废机油</w:t>
            </w:r>
          </w:p>
        </w:tc>
        <w:tc>
          <w:tcPr>
            <w:tcW w:w="1134" w:type="dxa"/>
            <w:vAlign w:val="center"/>
          </w:tcPr>
          <w:p w14:paraId="36C446D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3827" w:type="dxa"/>
            <w:vMerge/>
            <w:vAlign w:val="center"/>
          </w:tcPr>
          <w:p w14:paraId="22DEB8D1" w14:textId="77777777" w:rsidR="00D12939" w:rsidRDefault="00D12939">
            <w:pPr>
              <w:pStyle w:val="affffd"/>
              <w:rPr>
                <w:rFonts w:ascii="Times New Roman" w:eastAsia="宋体" w:hAnsi="Times New Roman" w:cs="Times New Roman"/>
              </w:rPr>
            </w:pPr>
          </w:p>
        </w:tc>
      </w:tr>
      <w:tr w:rsidR="00D12939" w14:paraId="02B5BE8D" w14:textId="77777777">
        <w:trPr>
          <w:trHeight w:val="258"/>
          <w:jc w:val="center"/>
        </w:trPr>
        <w:tc>
          <w:tcPr>
            <w:tcW w:w="1143" w:type="dxa"/>
            <w:vMerge/>
            <w:vAlign w:val="center"/>
          </w:tcPr>
          <w:p w14:paraId="1D4E9EE6" w14:textId="77777777" w:rsidR="00D12939" w:rsidRDefault="00D12939">
            <w:pPr>
              <w:pStyle w:val="affffd"/>
              <w:rPr>
                <w:rFonts w:ascii="Times New Roman" w:eastAsia="宋体" w:hAnsi="Times New Roman" w:cs="Times New Roman"/>
              </w:rPr>
            </w:pPr>
          </w:p>
        </w:tc>
        <w:tc>
          <w:tcPr>
            <w:tcW w:w="1687" w:type="dxa"/>
            <w:vAlign w:val="center"/>
          </w:tcPr>
          <w:p w14:paraId="6C32953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管理办公区</w:t>
            </w:r>
          </w:p>
        </w:tc>
        <w:tc>
          <w:tcPr>
            <w:tcW w:w="1985" w:type="dxa"/>
            <w:vAlign w:val="center"/>
          </w:tcPr>
          <w:p w14:paraId="6B93AA5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生活垃圾</w:t>
            </w:r>
          </w:p>
        </w:tc>
        <w:tc>
          <w:tcPr>
            <w:tcW w:w="1134" w:type="dxa"/>
          </w:tcPr>
          <w:p w14:paraId="1AFA7E2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间断</w:t>
            </w:r>
          </w:p>
        </w:tc>
        <w:tc>
          <w:tcPr>
            <w:tcW w:w="3827" w:type="dxa"/>
            <w:vAlign w:val="center"/>
          </w:tcPr>
          <w:p w14:paraId="16C79BE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进入生活垃圾填埋场填埋处理</w:t>
            </w:r>
          </w:p>
        </w:tc>
      </w:tr>
    </w:tbl>
    <w:p w14:paraId="115BC679"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45" w:name="_Toc121411733"/>
      <w:r>
        <w:rPr>
          <w:rFonts w:ascii="Times New Roman" w:eastAsia="黑体" w:hAnsi="Times New Roman" w:cs="Times New Roman"/>
          <w:b w:val="0"/>
          <w:sz w:val="24"/>
        </w:rPr>
        <w:t xml:space="preserve">4.2.2 </w:t>
      </w:r>
      <w:r>
        <w:rPr>
          <w:rFonts w:ascii="Times New Roman" w:eastAsia="黑体" w:hAnsi="Times New Roman" w:cs="Times New Roman" w:hint="eastAsia"/>
          <w:b w:val="0"/>
          <w:sz w:val="24"/>
        </w:rPr>
        <w:t>运营期污染物源强核算</w:t>
      </w:r>
      <w:bookmarkEnd w:id="345"/>
    </w:p>
    <w:p w14:paraId="08D9B9A0"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4.2.3.1废水</w:t>
      </w:r>
    </w:p>
    <w:p w14:paraId="23B2D2F1"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项目运营期废水主要有垃圾渗滤液、渗滤液处理站反冲洗废水、渗滤液处理站地面冲洗废水、洗车废水和员工生活污水。</w:t>
      </w:r>
    </w:p>
    <w:p w14:paraId="1E533AA6"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w:t>
      </w:r>
      <w:r>
        <w:rPr>
          <w:rFonts w:ascii="Times New Roman" w:eastAsia="宋体" w:hAnsi="Times New Roman" w:cs="Times New Roman" w:hint="eastAsia"/>
          <w:kern w:val="0"/>
          <w:sz w:val="24"/>
          <w:szCs w:val="24"/>
        </w:rPr>
        <w:t>1</w:t>
      </w:r>
      <w:r>
        <w:rPr>
          <w:rFonts w:ascii="Times New Roman" w:eastAsia="宋体" w:hAnsi="Times New Roman" w:cs="Times New Roman" w:hint="eastAsia"/>
          <w:kern w:val="0"/>
          <w:sz w:val="24"/>
          <w:szCs w:val="24"/>
        </w:rPr>
        <w:t>）垃圾渗滤液</w:t>
      </w:r>
    </w:p>
    <w:p w14:paraId="79FDB6A3"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填埋场垃圾渗沥液主要来源于两个方面：一是垃圾本身所带的水分和垃圾中有机物经分解后所产生的水</w:t>
      </w:r>
      <w:r>
        <w:rPr>
          <w:rFonts w:ascii="Times New Roman" w:eastAsia="宋体" w:hAnsi="Times New Roman" w:cs="Times New Roman"/>
          <w:kern w:val="0"/>
          <w:sz w:val="24"/>
          <w:szCs w:val="24"/>
        </w:rPr>
        <w:t>，二是以各种途径进入垃圾填埋场的大气降水。相对大气降水产生的渗沥液而言，垃圾本身所带水分和有机物分解产生的水分微乎其微，因此，预测填埋场垃圾渗沥液的产生量主要为填埋区集雨面积范围内降雨入渗产生的水量。</w:t>
      </w:r>
    </w:p>
    <w:p w14:paraId="15547E3C"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本项目渗滤液产生量参照《生活垃圾卫生填埋处理技术规范》（</w:t>
      </w:r>
      <w:r>
        <w:rPr>
          <w:rFonts w:ascii="Times New Roman" w:eastAsia="宋体" w:hAnsi="Times New Roman" w:cs="Times New Roman"/>
          <w:kern w:val="0"/>
          <w:sz w:val="24"/>
          <w:szCs w:val="24"/>
        </w:rPr>
        <w:t>GB50869-2013</w:t>
      </w:r>
      <w:r>
        <w:rPr>
          <w:rFonts w:ascii="Times New Roman" w:eastAsia="宋体" w:hAnsi="Times New Roman" w:cs="Times New Roman"/>
          <w:kern w:val="0"/>
          <w:sz w:val="24"/>
          <w:szCs w:val="24"/>
        </w:rPr>
        <w:t>）采用经验公式法（浸出系数法）计算，公式如下：</w:t>
      </w:r>
    </w:p>
    <w:p w14:paraId="657B7061" w14:textId="77777777" w:rsidR="00D12939" w:rsidRDefault="004F47F5">
      <w:pPr>
        <w:widowControl/>
        <w:spacing w:line="360" w:lineRule="auto"/>
        <w:ind w:firstLine="480"/>
        <w:jc w:val="center"/>
        <w:rPr>
          <w:rFonts w:ascii="Times New Roman" w:eastAsia="宋体" w:hAnsi="Times New Roman" w:cs="Times New Roman"/>
          <w:sz w:val="24"/>
          <w:szCs w:val="24"/>
        </w:rPr>
      </w:pPr>
      <w:r>
        <w:rPr>
          <w:rFonts w:ascii="Times New Roman" w:eastAsia="宋体" w:hAnsi="Times New Roman" w:cs="Times New Roman"/>
          <w:kern w:val="0"/>
          <w:sz w:val="24"/>
          <w:szCs w:val="24"/>
          <w:lang w:bidi="ar"/>
        </w:rPr>
        <w:t>Q=1000</w:t>
      </w:r>
      <w:r>
        <w:rPr>
          <w:rFonts w:ascii="Times New Roman" w:eastAsia="宋体" w:hAnsi="Times New Roman" w:cs="Times New Roman"/>
          <w:kern w:val="0"/>
          <w:sz w:val="24"/>
          <w:szCs w:val="24"/>
          <w:vertAlign w:val="superscript"/>
          <w:lang w:bidi="ar"/>
        </w:rPr>
        <w:t>-1</w:t>
      </w:r>
      <w:r>
        <w:rPr>
          <w:rFonts w:ascii="Times New Roman" w:eastAsia="宋体" w:hAnsi="Times New Roman" w:cs="Times New Roman"/>
          <w:kern w:val="0"/>
          <w:sz w:val="24"/>
          <w:szCs w:val="24"/>
          <w:lang w:bidi="ar"/>
        </w:rPr>
        <w:t>×I×</w:t>
      </w:r>
      <w:r>
        <w:rPr>
          <w:rFonts w:ascii="Times New Roman" w:eastAsia="宋体" w:hAnsi="Times New Roman" w:cs="Times New Roman"/>
          <w:kern w:val="0"/>
          <w:sz w:val="24"/>
          <w:szCs w:val="24"/>
          <w:lang w:bidi="ar"/>
        </w:rPr>
        <w:t>（</w:t>
      </w:r>
      <w:r>
        <w:rPr>
          <w:rFonts w:ascii="Times New Roman" w:eastAsia="宋体" w:hAnsi="Times New Roman" w:cs="Times New Roman"/>
          <w:kern w:val="0"/>
          <w:sz w:val="24"/>
          <w:szCs w:val="24"/>
          <w:lang w:bidi="ar"/>
        </w:rPr>
        <w:t>C</w:t>
      </w:r>
      <w:r>
        <w:rPr>
          <w:rFonts w:ascii="Times New Roman" w:eastAsia="宋体" w:hAnsi="Times New Roman" w:cs="Times New Roman"/>
          <w:kern w:val="0"/>
          <w:sz w:val="24"/>
          <w:szCs w:val="24"/>
          <w:vertAlign w:val="subscript"/>
          <w:lang w:bidi="ar"/>
        </w:rPr>
        <w:t>1</w:t>
      </w:r>
      <w:r>
        <w:rPr>
          <w:rFonts w:ascii="Times New Roman" w:eastAsia="宋体" w:hAnsi="Times New Roman" w:cs="Times New Roman"/>
          <w:kern w:val="0"/>
          <w:sz w:val="24"/>
          <w:szCs w:val="24"/>
          <w:lang w:bidi="ar"/>
        </w:rPr>
        <w:t>A</w:t>
      </w:r>
      <w:r>
        <w:rPr>
          <w:rFonts w:ascii="Times New Roman" w:eastAsia="宋体" w:hAnsi="Times New Roman" w:cs="Times New Roman"/>
          <w:kern w:val="0"/>
          <w:sz w:val="24"/>
          <w:szCs w:val="24"/>
          <w:vertAlign w:val="subscript"/>
          <w:lang w:bidi="ar"/>
        </w:rPr>
        <w:t>1</w:t>
      </w:r>
      <w:r>
        <w:rPr>
          <w:rFonts w:ascii="Times New Roman" w:eastAsia="宋体" w:hAnsi="Times New Roman" w:cs="Times New Roman"/>
          <w:kern w:val="0"/>
          <w:sz w:val="24"/>
          <w:szCs w:val="24"/>
          <w:lang w:bidi="ar"/>
        </w:rPr>
        <w:t>+ C</w:t>
      </w:r>
      <w:r>
        <w:rPr>
          <w:rFonts w:ascii="Times New Roman" w:eastAsia="宋体" w:hAnsi="Times New Roman" w:cs="Times New Roman"/>
          <w:kern w:val="0"/>
          <w:sz w:val="24"/>
          <w:szCs w:val="24"/>
          <w:vertAlign w:val="subscript"/>
          <w:lang w:bidi="ar"/>
        </w:rPr>
        <w:t>2</w:t>
      </w:r>
      <w:r>
        <w:rPr>
          <w:rFonts w:ascii="Times New Roman" w:eastAsia="宋体" w:hAnsi="Times New Roman" w:cs="Times New Roman"/>
          <w:kern w:val="0"/>
          <w:sz w:val="24"/>
          <w:szCs w:val="24"/>
          <w:lang w:bidi="ar"/>
        </w:rPr>
        <w:t>A</w:t>
      </w:r>
      <w:r>
        <w:rPr>
          <w:rFonts w:ascii="Times New Roman" w:eastAsia="宋体" w:hAnsi="Times New Roman" w:cs="Times New Roman"/>
          <w:kern w:val="0"/>
          <w:sz w:val="24"/>
          <w:szCs w:val="24"/>
          <w:vertAlign w:val="subscript"/>
          <w:lang w:bidi="ar"/>
        </w:rPr>
        <w:t>2</w:t>
      </w:r>
      <w:r>
        <w:rPr>
          <w:rFonts w:ascii="Times New Roman" w:eastAsia="宋体" w:hAnsi="Times New Roman" w:cs="Times New Roman"/>
          <w:kern w:val="0"/>
          <w:sz w:val="24"/>
          <w:szCs w:val="24"/>
          <w:lang w:bidi="ar"/>
        </w:rPr>
        <w:t>+C</w:t>
      </w:r>
      <w:r>
        <w:rPr>
          <w:rFonts w:ascii="Times New Roman" w:eastAsia="宋体" w:hAnsi="Times New Roman" w:cs="Times New Roman"/>
          <w:kern w:val="0"/>
          <w:sz w:val="24"/>
          <w:szCs w:val="24"/>
          <w:vertAlign w:val="subscript"/>
          <w:lang w:bidi="ar"/>
        </w:rPr>
        <w:t>3</w:t>
      </w:r>
      <w:r>
        <w:rPr>
          <w:rFonts w:ascii="Times New Roman" w:eastAsia="宋体" w:hAnsi="Times New Roman" w:cs="Times New Roman"/>
          <w:kern w:val="0"/>
          <w:sz w:val="24"/>
          <w:szCs w:val="24"/>
          <w:lang w:bidi="ar"/>
        </w:rPr>
        <w:t>A</w:t>
      </w:r>
      <w:r>
        <w:rPr>
          <w:rFonts w:ascii="Times New Roman" w:eastAsia="宋体" w:hAnsi="Times New Roman" w:cs="Times New Roman"/>
          <w:kern w:val="0"/>
          <w:sz w:val="24"/>
          <w:szCs w:val="24"/>
          <w:vertAlign w:val="subscript"/>
          <w:lang w:bidi="ar"/>
        </w:rPr>
        <w:t>3</w:t>
      </w:r>
      <w:r>
        <w:rPr>
          <w:rFonts w:ascii="Times New Roman" w:eastAsia="宋体" w:hAnsi="Times New Roman" w:cs="Times New Roman"/>
          <w:kern w:val="0"/>
          <w:sz w:val="24"/>
          <w:szCs w:val="24"/>
          <w:lang w:bidi="ar"/>
        </w:rPr>
        <w:t>+ C</w:t>
      </w:r>
      <w:r>
        <w:rPr>
          <w:rFonts w:ascii="Times New Roman" w:eastAsia="宋体" w:hAnsi="Times New Roman" w:cs="Times New Roman"/>
          <w:kern w:val="0"/>
          <w:sz w:val="24"/>
          <w:szCs w:val="24"/>
          <w:vertAlign w:val="subscript"/>
          <w:lang w:bidi="ar"/>
        </w:rPr>
        <w:t>4</w:t>
      </w:r>
      <w:r>
        <w:rPr>
          <w:rFonts w:ascii="Times New Roman" w:eastAsia="宋体" w:hAnsi="Times New Roman" w:cs="Times New Roman"/>
          <w:kern w:val="0"/>
          <w:sz w:val="24"/>
          <w:szCs w:val="24"/>
          <w:lang w:bidi="ar"/>
        </w:rPr>
        <w:t>A</w:t>
      </w:r>
      <w:r>
        <w:rPr>
          <w:rFonts w:ascii="Times New Roman" w:eastAsia="宋体" w:hAnsi="Times New Roman" w:cs="Times New Roman"/>
          <w:kern w:val="0"/>
          <w:sz w:val="24"/>
          <w:szCs w:val="24"/>
          <w:vertAlign w:val="subscript"/>
          <w:lang w:bidi="ar"/>
        </w:rPr>
        <w:t>4</w:t>
      </w:r>
      <w:r>
        <w:rPr>
          <w:rFonts w:ascii="Times New Roman" w:eastAsia="宋体" w:hAnsi="Times New Roman" w:cs="Times New Roman"/>
          <w:kern w:val="0"/>
          <w:sz w:val="24"/>
          <w:szCs w:val="24"/>
          <w:lang w:bidi="ar"/>
        </w:rPr>
        <w:t>）</w:t>
      </w:r>
    </w:p>
    <w:p w14:paraId="4B931600"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式中：</w:t>
      </w:r>
    </w:p>
    <w:p w14:paraId="64BFD2E4"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Q—</w:t>
      </w:r>
      <w:r>
        <w:rPr>
          <w:rFonts w:ascii="Times New Roman" w:eastAsia="宋体" w:hAnsi="Times New Roman" w:cs="Times New Roman"/>
          <w:sz w:val="24"/>
          <w:szCs w:val="24"/>
        </w:rPr>
        <w:t>渗滤液平均日产生量，</w:t>
      </w:r>
      <w:r>
        <w:rPr>
          <w:rFonts w:ascii="Times New Roman" w:eastAsia="宋体" w:hAnsi="Times New Roman" w:cs="Times New Roman"/>
          <w:sz w:val="24"/>
          <w:szCs w:val="24"/>
        </w:rPr>
        <w:t>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w:t>
      </w:r>
    </w:p>
    <w:p w14:paraId="2E0A6D50"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I—</w:t>
      </w:r>
      <w:r>
        <w:rPr>
          <w:rFonts w:ascii="Times New Roman" w:eastAsia="宋体" w:hAnsi="Times New Roman" w:cs="Times New Roman"/>
          <w:sz w:val="24"/>
          <w:szCs w:val="24"/>
        </w:rPr>
        <w:t>多年逐月平均降雨量，</w:t>
      </w:r>
      <w:r>
        <w:rPr>
          <w:rFonts w:ascii="Times New Roman" w:eastAsia="宋体" w:hAnsi="Times New Roman" w:cs="Times New Roman"/>
          <w:sz w:val="24"/>
          <w:szCs w:val="24"/>
        </w:rPr>
        <w:t>mm/</w:t>
      </w:r>
      <w:r>
        <w:rPr>
          <w:rFonts w:ascii="Times New Roman" w:eastAsia="宋体" w:hAnsi="Times New Roman" w:cs="Times New Roman" w:hint="eastAsia"/>
          <w:sz w:val="24"/>
          <w:szCs w:val="24"/>
        </w:rPr>
        <w:t>d</w:t>
      </w:r>
      <w:r>
        <w:rPr>
          <w:rFonts w:ascii="Times New Roman" w:eastAsia="宋体" w:hAnsi="Times New Roman" w:cs="Times New Roman"/>
          <w:sz w:val="24"/>
          <w:szCs w:val="24"/>
        </w:rPr>
        <w:t>；</w:t>
      </w:r>
      <w:r>
        <w:rPr>
          <w:rFonts w:ascii="Times New Roman" w:eastAsia="宋体" w:hAnsi="Times New Roman" w:cs="Times New Roman" w:hint="eastAsia"/>
          <w:kern w:val="0"/>
          <w:sz w:val="24"/>
          <w:szCs w:val="24"/>
        </w:rPr>
        <w:t>柞水县</w:t>
      </w:r>
      <w:r>
        <w:rPr>
          <w:rFonts w:ascii="Times New Roman" w:eastAsia="宋体" w:hAnsi="Times New Roman" w:cs="Times New Roman"/>
          <w:kern w:val="0"/>
          <w:sz w:val="24"/>
          <w:szCs w:val="24"/>
        </w:rPr>
        <w:t>20</w:t>
      </w:r>
      <w:r>
        <w:rPr>
          <w:rFonts w:ascii="Times New Roman" w:eastAsia="宋体" w:hAnsi="Times New Roman" w:cs="Times New Roman"/>
          <w:kern w:val="0"/>
          <w:sz w:val="24"/>
          <w:szCs w:val="24"/>
        </w:rPr>
        <w:t>年平均降雨量为</w:t>
      </w:r>
      <w:r>
        <w:rPr>
          <w:rFonts w:ascii="Times New Roman" w:eastAsia="宋体" w:hAnsi="Times New Roman" w:cs="Times New Roman"/>
          <w:kern w:val="0"/>
          <w:sz w:val="24"/>
          <w:szCs w:val="24"/>
        </w:rPr>
        <w:t>772.6mm</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2.12mm/</w:t>
      </w:r>
      <w:r>
        <w:rPr>
          <w:rFonts w:ascii="Times New Roman" w:eastAsia="宋体" w:hAnsi="Times New Roman" w:cs="Times New Roman" w:hint="eastAsia"/>
          <w:kern w:val="0"/>
          <w:sz w:val="24"/>
          <w:szCs w:val="24"/>
        </w:rPr>
        <w:t>d</w:t>
      </w:r>
      <w:r>
        <w:rPr>
          <w:rFonts w:ascii="Times New Roman" w:eastAsia="宋体" w:hAnsi="Times New Roman" w:cs="Times New Roman"/>
          <w:kern w:val="0"/>
          <w:sz w:val="24"/>
          <w:szCs w:val="24"/>
        </w:rPr>
        <w:t>；</w:t>
      </w:r>
    </w:p>
    <w:p w14:paraId="611072E6"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C</w:t>
      </w:r>
      <w:r>
        <w:rPr>
          <w:rFonts w:ascii="Times New Roman" w:eastAsia="宋体" w:hAnsi="Times New Roman" w:cs="Times New Roman"/>
          <w:sz w:val="24"/>
          <w:szCs w:val="24"/>
          <w:vertAlign w:val="subscript"/>
        </w:rPr>
        <w:t>1</w:t>
      </w:r>
      <w:r>
        <w:rPr>
          <w:rFonts w:ascii="Times New Roman" w:eastAsia="宋体" w:hAnsi="Times New Roman" w:cs="Times New Roman"/>
          <w:sz w:val="24"/>
          <w:szCs w:val="24"/>
        </w:rPr>
        <w:t>—</w:t>
      </w:r>
      <w:r>
        <w:rPr>
          <w:rFonts w:ascii="Times New Roman" w:eastAsia="宋体" w:hAnsi="Times New Roman" w:cs="Times New Roman"/>
          <w:sz w:val="24"/>
          <w:szCs w:val="24"/>
        </w:rPr>
        <w:t>正在填埋作业区浸出系数，宜取</w:t>
      </w:r>
      <w:r>
        <w:rPr>
          <w:rFonts w:ascii="Times New Roman" w:eastAsia="宋体" w:hAnsi="Times New Roman" w:cs="Times New Roman"/>
          <w:sz w:val="24"/>
          <w:szCs w:val="24"/>
        </w:rPr>
        <w:t>0.4~1.0</w:t>
      </w:r>
      <w:r>
        <w:rPr>
          <w:rFonts w:ascii="Times New Roman" w:eastAsia="宋体" w:hAnsi="Times New Roman" w:cs="Times New Roman" w:hint="eastAsia"/>
          <w:sz w:val="24"/>
          <w:szCs w:val="24"/>
        </w:rPr>
        <w:t>，</w:t>
      </w:r>
      <w:r>
        <w:rPr>
          <w:rFonts w:ascii="Times New Roman" w:eastAsia="宋体" w:hAnsi="Times New Roman" w:cs="Times New Roman"/>
          <w:sz w:val="24"/>
          <w:szCs w:val="24"/>
        </w:rPr>
        <w:t>参考《生活垃圾卫生填埋处理技术规范》</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GB50869-2013</w:t>
      </w:r>
      <w:r>
        <w:rPr>
          <w:rFonts w:ascii="Times New Roman" w:eastAsia="宋体" w:hAnsi="Times New Roman" w:cs="Times New Roman"/>
          <w:kern w:val="0"/>
          <w:sz w:val="24"/>
          <w:szCs w:val="24"/>
        </w:rPr>
        <w:t>）</w:t>
      </w:r>
      <w:r>
        <w:rPr>
          <w:rFonts w:ascii="Times New Roman" w:eastAsia="宋体" w:hAnsi="Times New Roman" w:cs="Times New Roman"/>
          <w:sz w:val="24"/>
          <w:szCs w:val="24"/>
        </w:rPr>
        <w:t>附录表</w:t>
      </w:r>
      <w:r>
        <w:rPr>
          <w:rFonts w:ascii="Times New Roman" w:eastAsia="宋体" w:hAnsi="Times New Roman" w:cs="Times New Roman"/>
          <w:sz w:val="24"/>
          <w:szCs w:val="24"/>
        </w:rPr>
        <w:t>B</w:t>
      </w:r>
      <w:r>
        <w:rPr>
          <w:rFonts w:ascii="Times New Roman" w:eastAsia="宋体" w:hAnsi="Times New Roman" w:cs="Times New Roman" w:hint="eastAsia"/>
          <w:sz w:val="24"/>
          <w:szCs w:val="24"/>
        </w:rPr>
        <w:t>.</w:t>
      </w:r>
      <w:r>
        <w:rPr>
          <w:rFonts w:ascii="Times New Roman" w:eastAsia="宋体" w:hAnsi="Times New Roman" w:cs="Times New Roman"/>
          <w:sz w:val="24"/>
          <w:szCs w:val="24"/>
        </w:rPr>
        <w:t>0.1</w:t>
      </w:r>
      <w:r>
        <w:rPr>
          <w:rFonts w:ascii="Times New Roman" w:eastAsia="宋体" w:hAnsi="Times New Roman" w:cs="Times New Roman"/>
          <w:sz w:val="24"/>
          <w:szCs w:val="24"/>
        </w:rPr>
        <w:t>中取值条件，本次取</w:t>
      </w:r>
      <w:r>
        <w:rPr>
          <w:rFonts w:ascii="Times New Roman" w:eastAsia="宋体" w:hAnsi="Times New Roman" w:cs="Times New Roman"/>
          <w:sz w:val="24"/>
          <w:szCs w:val="24"/>
        </w:rPr>
        <w:t>0.</w:t>
      </w:r>
      <w:r>
        <w:rPr>
          <w:rFonts w:ascii="Times New Roman" w:eastAsia="宋体" w:hAnsi="Times New Roman" w:cs="Times New Roman" w:hint="eastAsia"/>
          <w:sz w:val="24"/>
          <w:szCs w:val="24"/>
        </w:rPr>
        <w:t>7</w:t>
      </w:r>
      <w:r>
        <w:rPr>
          <w:rFonts w:ascii="Times New Roman" w:eastAsia="宋体" w:hAnsi="Times New Roman" w:cs="Times New Roman"/>
          <w:sz w:val="24"/>
          <w:szCs w:val="24"/>
        </w:rPr>
        <w:t>；</w:t>
      </w:r>
    </w:p>
    <w:p w14:paraId="4F14BD6B"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A</w:t>
      </w:r>
      <w:r>
        <w:rPr>
          <w:rFonts w:ascii="Times New Roman" w:eastAsia="宋体" w:hAnsi="Times New Roman" w:cs="Times New Roman"/>
          <w:sz w:val="24"/>
          <w:szCs w:val="24"/>
          <w:vertAlign w:val="subscript"/>
        </w:rPr>
        <w:t>1</w:t>
      </w:r>
      <w:r>
        <w:rPr>
          <w:rFonts w:ascii="Times New Roman" w:eastAsia="宋体" w:hAnsi="Times New Roman" w:cs="Times New Roman"/>
          <w:sz w:val="24"/>
          <w:szCs w:val="24"/>
        </w:rPr>
        <w:t>—</w:t>
      </w:r>
      <w:r>
        <w:rPr>
          <w:rFonts w:ascii="Times New Roman" w:eastAsia="宋体" w:hAnsi="Times New Roman" w:cs="Times New Roman"/>
          <w:sz w:val="24"/>
          <w:szCs w:val="24"/>
        </w:rPr>
        <w:t>作业单元汇水面积，取</w:t>
      </w:r>
      <w:r>
        <w:rPr>
          <w:rFonts w:ascii="Times New Roman" w:eastAsia="宋体" w:hAnsi="Times New Roman" w:cs="Times New Roman" w:hint="eastAsia"/>
          <w:sz w:val="24"/>
          <w:szCs w:val="24"/>
        </w:rPr>
        <w:t>5000</w:t>
      </w:r>
      <w:r>
        <w:rPr>
          <w:rFonts w:ascii="Times New Roman" w:eastAsia="宋体" w:hAnsi="Times New Roman" w:cs="Times New Roman"/>
          <w:sz w:val="24"/>
          <w:szCs w:val="24"/>
        </w:rPr>
        <w:t>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w:t>
      </w:r>
    </w:p>
    <w:p w14:paraId="69B37FDF"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C</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w:t>
      </w:r>
      <w:r>
        <w:rPr>
          <w:rFonts w:ascii="Times New Roman" w:eastAsia="宋体" w:hAnsi="Times New Roman" w:cs="Times New Roman"/>
          <w:sz w:val="24"/>
          <w:szCs w:val="24"/>
        </w:rPr>
        <w:t>已中间覆盖区浸出系数，本次取</w:t>
      </w:r>
      <w:r>
        <w:rPr>
          <w:rFonts w:ascii="Times New Roman" w:eastAsia="宋体" w:hAnsi="Times New Roman" w:cs="Times New Roman" w:hint="eastAsia"/>
          <w:sz w:val="24"/>
          <w:szCs w:val="24"/>
        </w:rPr>
        <w:t>0</w:t>
      </w:r>
      <w:r>
        <w:rPr>
          <w:rFonts w:ascii="Times New Roman" w:eastAsia="宋体" w:hAnsi="Times New Roman" w:cs="Times New Roman"/>
          <w:sz w:val="24"/>
          <w:szCs w:val="24"/>
        </w:rPr>
        <w:t>.35</w:t>
      </w:r>
      <w:r>
        <w:rPr>
          <w:rFonts w:ascii="Times New Roman" w:eastAsia="宋体" w:hAnsi="Times New Roman" w:cs="Times New Roman" w:hint="eastAsia"/>
          <w:sz w:val="24"/>
          <w:szCs w:val="24"/>
        </w:rPr>
        <w:t>；</w:t>
      </w:r>
    </w:p>
    <w:p w14:paraId="263D6B39"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A</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w:t>
      </w:r>
      <w:r>
        <w:rPr>
          <w:rFonts w:ascii="Times New Roman" w:eastAsia="宋体" w:hAnsi="Times New Roman" w:cs="Times New Roman"/>
          <w:sz w:val="24"/>
          <w:szCs w:val="24"/>
        </w:rPr>
        <w:t>中间覆盖单元汇水面积，</w:t>
      </w:r>
      <w:r>
        <w:rPr>
          <w:rFonts w:ascii="Times New Roman" w:eastAsia="宋体" w:hAnsi="Times New Roman" w:cs="Times New Roman"/>
          <w:sz w:val="24"/>
          <w:szCs w:val="24"/>
        </w:rPr>
        <w:t>44753m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w:t>
      </w:r>
    </w:p>
    <w:p w14:paraId="1D47420D"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C</w:t>
      </w:r>
      <w:r>
        <w:rPr>
          <w:rFonts w:ascii="Times New Roman" w:eastAsia="宋体" w:hAnsi="Times New Roman" w:cs="Times New Roman"/>
          <w:sz w:val="24"/>
          <w:szCs w:val="24"/>
          <w:vertAlign w:val="subscript"/>
        </w:rPr>
        <w:t>3</w:t>
      </w:r>
      <w:r>
        <w:rPr>
          <w:rFonts w:ascii="Times New Roman" w:eastAsia="宋体" w:hAnsi="Times New Roman" w:cs="Times New Roman"/>
          <w:sz w:val="24"/>
          <w:szCs w:val="24"/>
        </w:rPr>
        <w:t>—</w:t>
      </w:r>
      <w:r>
        <w:rPr>
          <w:rFonts w:ascii="Times New Roman" w:eastAsia="宋体" w:hAnsi="Times New Roman" w:cs="Times New Roman"/>
          <w:sz w:val="24"/>
          <w:szCs w:val="24"/>
        </w:rPr>
        <w:t>终场覆盖单元渗出系数，一般取</w:t>
      </w:r>
      <w:r>
        <w:rPr>
          <w:rFonts w:ascii="Times New Roman" w:eastAsia="宋体" w:hAnsi="Times New Roman" w:cs="Times New Roman"/>
          <w:sz w:val="24"/>
          <w:szCs w:val="24"/>
        </w:rPr>
        <w:t>0.1~0.2</w:t>
      </w:r>
      <w:r>
        <w:rPr>
          <w:rFonts w:ascii="Times New Roman" w:eastAsia="宋体" w:hAnsi="Times New Roman" w:cs="Times New Roman"/>
          <w:sz w:val="24"/>
          <w:szCs w:val="24"/>
        </w:rPr>
        <w:t>，本项目取</w:t>
      </w:r>
      <w:r>
        <w:rPr>
          <w:rFonts w:ascii="Times New Roman" w:eastAsia="宋体" w:hAnsi="Times New Roman" w:cs="Times New Roman"/>
          <w:sz w:val="24"/>
          <w:szCs w:val="24"/>
        </w:rPr>
        <w:t>0.15</w:t>
      </w:r>
      <w:r>
        <w:rPr>
          <w:rFonts w:ascii="Times New Roman" w:eastAsia="宋体" w:hAnsi="Times New Roman" w:cs="Times New Roman"/>
          <w:sz w:val="24"/>
          <w:szCs w:val="24"/>
        </w:rPr>
        <w:t>；</w:t>
      </w:r>
    </w:p>
    <w:p w14:paraId="51BDA61E"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A</w:t>
      </w:r>
      <w:r>
        <w:rPr>
          <w:rFonts w:ascii="Times New Roman" w:eastAsia="宋体" w:hAnsi="Times New Roman" w:cs="Times New Roman"/>
          <w:sz w:val="24"/>
          <w:szCs w:val="24"/>
          <w:vertAlign w:val="subscript"/>
        </w:rPr>
        <w:t>3</w:t>
      </w:r>
      <w:r>
        <w:rPr>
          <w:rFonts w:ascii="Times New Roman" w:eastAsia="宋体" w:hAnsi="Times New Roman" w:cs="Times New Roman"/>
          <w:sz w:val="24"/>
          <w:szCs w:val="24"/>
        </w:rPr>
        <w:t>—</w:t>
      </w:r>
      <w:r>
        <w:rPr>
          <w:rFonts w:ascii="Times New Roman" w:eastAsia="宋体" w:hAnsi="Times New Roman" w:cs="Times New Roman"/>
          <w:sz w:val="24"/>
          <w:szCs w:val="24"/>
        </w:rPr>
        <w:t>终场覆盖单元汇水面积，</w:t>
      </w:r>
      <w:r>
        <w:rPr>
          <w:rFonts w:ascii="Times New Roman" w:eastAsia="宋体" w:hAnsi="Times New Roman" w:cs="Times New Roman"/>
          <w:sz w:val="24"/>
          <w:szCs w:val="24"/>
        </w:rPr>
        <w:t>0m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w:t>
      </w:r>
    </w:p>
    <w:p w14:paraId="739AABFB"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lastRenderedPageBreak/>
        <w:t>C</w:t>
      </w:r>
      <w:r>
        <w:rPr>
          <w:rFonts w:ascii="Times New Roman" w:eastAsia="宋体" w:hAnsi="Times New Roman" w:cs="Times New Roman"/>
          <w:sz w:val="24"/>
          <w:szCs w:val="24"/>
          <w:vertAlign w:val="subscript"/>
        </w:rPr>
        <w:t>4</w:t>
      </w:r>
      <w:r>
        <w:rPr>
          <w:rFonts w:ascii="Times New Roman" w:eastAsia="宋体" w:hAnsi="Times New Roman" w:cs="Times New Roman"/>
          <w:sz w:val="24"/>
          <w:szCs w:val="24"/>
        </w:rPr>
        <w:t>—</w:t>
      </w:r>
      <w:r>
        <w:rPr>
          <w:rFonts w:ascii="Times New Roman" w:eastAsia="宋体" w:hAnsi="Times New Roman" w:cs="Times New Roman"/>
          <w:sz w:val="24"/>
          <w:szCs w:val="24"/>
        </w:rPr>
        <w:t>收集池渗出系数，取</w:t>
      </w:r>
      <w:r>
        <w:rPr>
          <w:rFonts w:ascii="Times New Roman" w:eastAsia="宋体" w:hAnsi="Times New Roman" w:cs="Times New Roman"/>
          <w:sz w:val="24"/>
          <w:szCs w:val="24"/>
        </w:rPr>
        <w:t>0</w:t>
      </w:r>
      <w:r>
        <w:rPr>
          <w:rFonts w:ascii="Times New Roman" w:eastAsia="宋体" w:hAnsi="Times New Roman" w:cs="Times New Roman"/>
          <w:sz w:val="24"/>
          <w:szCs w:val="24"/>
        </w:rPr>
        <w:t>或</w:t>
      </w:r>
      <w:r>
        <w:rPr>
          <w:rFonts w:ascii="Times New Roman" w:eastAsia="宋体" w:hAnsi="Times New Roman" w:cs="Times New Roman"/>
          <w:sz w:val="24"/>
          <w:szCs w:val="24"/>
        </w:rPr>
        <w:t>1</w:t>
      </w:r>
      <w:r>
        <w:rPr>
          <w:rFonts w:ascii="Times New Roman" w:eastAsia="宋体" w:hAnsi="Times New Roman" w:cs="Times New Roman"/>
          <w:sz w:val="24"/>
          <w:szCs w:val="24"/>
        </w:rPr>
        <w:t>，收集池有覆盖取</w:t>
      </w:r>
      <w:r>
        <w:rPr>
          <w:rFonts w:ascii="Times New Roman" w:eastAsia="宋体" w:hAnsi="Times New Roman" w:cs="Times New Roman"/>
          <w:sz w:val="24"/>
          <w:szCs w:val="24"/>
        </w:rPr>
        <w:t>0</w:t>
      </w:r>
      <w:r>
        <w:rPr>
          <w:rFonts w:ascii="Times New Roman" w:eastAsia="宋体" w:hAnsi="Times New Roman" w:cs="Times New Roman"/>
          <w:sz w:val="24"/>
          <w:szCs w:val="24"/>
        </w:rPr>
        <w:t>，无覆盖取</w:t>
      </w:r>
      <w:r>
        <w:rPr>
          <w:rFonts w:ascii="Times New Roman" w:eastAsia="宋体" w:hAnsi="Times New Roman" w:cs="Times New Roman"/>
          <w:sz w:val="24"/>
          <w:szCs w:val="24"/>
        </w:rPr>
        <w:t>1</w:t>
      </w:r>
      <w:r>
        <w:rPr>
          <w:rFonts w:ascii="Times New Roman" w:eastAsia="宋体" w:hAnsi="Times New Roman" w:cs="Times New Roman"/>
          <w:sz w:val="24"/>
          <w:szCs w:val="24"/>
        </w:rPr>
        <w:t>，本项目设置密封，取</w:t>
      </w:r>
      <w:r>
        <w:rPr>
          <w:rFonts w:ascii="Times New Roman" w:eastAsia="宋体" w:hAnsi="Times New Roman" w:cs="Times New Roman"/>
          <w:sz w:val="24"/>
          <w:szCs w:val="24"/>
        </w:rPr>
        <w:t>0</w:t>
      </w:r>
      <w:r>
        <w:rPr>
          <w:rFonts w:ascii="Times New Roman" w:eastAsia="宋体" w:hAnsi="Times New Roman" w:cs="Times New Roman"/>
          <w:sz w:val="24"/>
          <w:szCs w:val="24"/>
        </w:rPr>
        <w:t>；</w:t>
      </w:r>
    </w:p>
    <w:p w14:paraId="0FC4A948" w14:textId="77777777" w:rsidR="00D12939" w:rsidRDefault="004F47F5">
      <w:pPr>
        <w:spacing w:line="360" w:lineRule="auto"/>
        <w:ind w:firstLine="462"/>
        <w:rPr>
          <w:rFonts w:ascii="Times New Roman" w:eastAsia="宋体" w:hAnsi="Times New Roman" w:cs="Times New Roman"/>
          <w:sz w:val="24"/>
          <w:szCs w:val="24"/>
        </w:rPr>
      </w:pPr>
      <w:r>
        <w:rPr>
          <w:rFonts w:ascii="Times New Roman" w:eastAsia="宋体" w:hAnsi="Times New Roman" w:cs="Times New Roman"/>
          <w:sz w:val="24"/>
          <w:szCs w:val="24"/>
        </w:rPr>
        <w:t>A</w:t>
      </w:r>
      <w:r>
        <w:rPr>
          <w:rFonts w:ascii="Times New Roman" w:eastAsia="宋体" w:hAnsi="Times New Roman" w:cs="Times New Roman"/>
          <w:sz w:val="24"/>
          <w:szCs w:val="24"/>
          <w:vertAlign w:val="subscript"/>
        </w:rPr>
        <w:t>4</w:t>
      </w:r>
      <w:r>
        <w:rPr>
          <w:rFonts w:ascii="Times New Roman" w:eastAsia="宋体" w:hAnsi="Times New Roman" w:cs="Times New Roman"/>
          <w:sz w:val="24"/>
          <w:szCs w:val="24"/>
        </w:rPr>
        <w:t>—</w:t>
      </w:r>
      <w:r>
        <w:rPr>
          <w:rFonts w:ascii="Times New Roman" w:eastAsia="宋体" w:hAnsi="Times New Roman" w:cs="Times New Roman"/>
          <w:sz w:val="24"/>
          <w:szCs w:val="24"/>
        </w:rPr>
        <w:t>收集池汇水面积，</w:t>
      </w:r>
      <w:r>
        <w:rPr>
          <w:rFonts w:ascii="Times New Roman" w:eastAsia="宋体" w:hAnsi="Times New Roman" w:cs="Times New Roman"/>
          <w:sz w:val="24"/>
          <w:szCs w:val="24"/>
        </w:rPr>
        <w:t>400m</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w:t>
      </w:r>
    </w:p>
    <w:p w14:paraId="069EF49E" w14:textId="77777777" w:rsidR="00D12939" w:rsidRDefault="004F47F5">
      <w:pPr>
        <w:spacing w:line="360" w:lineRule="auto"/>
        <w:ind w:firstLine="462"/>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综上，经计算本工程运营中生活垃圾填埋库区生活垃圾填埋区渗沥液产生量为</w:t>
      </w:r>
      <w:r>
        <w:rPr>
          <w:rFonts w:ascii="Times New Roman" w:eastAsia="宋体" w:hAnsi="Times New Roman" w:cs="Times New Roman"/>
          <w:kern w:val="0"/>
          <w:sz w:val="24"/>
          <w:szCs w:val="24"/>
        </w:rPr>
        <w:t>Q=40.56m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hint="eastAsia"/>
          <w:kern w:val="0"/>
          <w:sz w:val="24"/>
          <w:szCs w:val="24"/>
        </w:rPr>
        <w:t>，考虑</w:t>
      </w:r>
      <w:r>
        <w:rPr>
          <w:rFonts w:ascii="Times New Roman" w:eastAsia="宋体" w:hAnsi="Times New Roman" w:cs="Times New Roman"/>
          <w:kern w:val="0"/>
          <w:sz w:val="24"/>
          <w:szCs w:val="24"/>
        </w:rPr>
        <w:t xml:space="preserve">1.5 </w:t>
      </w:r>
      <w:r>
        <w:rPr>
          <w:rFonts w:ascii="Times New Roman" w:eastAsia="宋体" w:hAnsi="Times New Roman" w:cs="Times New Roman"/>
          <w:kern w:val="0"/>
          <w:sz w:val="24"/>
          <w:szCs w:val="24"/>
        </w:rPr>
        <w:t>的的安全富余系数，生活垃圾</w:t>
      </w:r>
      <w:r>
        <w:rPr>
          <w:rFonts w:ascii="Times New Roman" w:eastAsia="宋体" w:hAnsi="Times New Roman" w:cs="Times New Roman" w:hint="eastAsia"/>
          <w:kern w:val="0"/>
          <w:sz w:val="24"/>
          <w:szCs w:val="24"/>
        </w:rPr>
        <w:t>渗沥液平均处理规模为</w:t>
      </w:r>
      <w:r>
        <w:rPr>
          <w:rFonts w:ascii="Times New Roman" w:eastAsia="宋体" w:hAnsi="Times New Roman" w:cs="Times New Roman"/>
          <w:kern w:val="0"/>
          <w:sz w:val="24"/>
          <w:szCs w:val="24"/>
        </w:rPr>
        <w:t>65t/d</w:t>
      </w:r>
      <w:r>
        <w:rPr>
          <w:rFonts w:ascii="Times New Roman" w:eastAsia="宋体" w:hAnsi="Times New Roman" w:cs="Times New Roman"/>
          <w:kern w:val="0"/>
          <w:sz w:val="24"/>
          <w:szCs w:val="24"/>
        </w:rPr>
        <w:t>。</w:t>
      </w:r>
    </w:p>
    <w:p w14:paraId="1B1B137D" w14:textId="77777777" w:rsidR="00D12939" w:rsidRDefault="004F47F5">
      <w:pPr>
        <w:spacing w:line="360" w:lineRule="auto"/>
        <w:ind w:firstLine="462"/>
        <w:rPr>
          <w:rFonts w:ascii="宋体" w:eastAsia="宋体" w:cs="宋体"/>
          <w:kern w:val="0"/>
          <w:sz w:val="24"/>
          <w:szCs w:val="24"/>
        </w:rPr>
      </w:pPr>
      <w:r>
        <w:rPr>
          <w:rFonts w:ascii="宋体" w:eastAsia="宋体" w:cs="宋体" w:hint="eastAsia"/>
          <w:kern w:val="0"/>
          <w:sz w:val="24"/>
          <w:szCs w:val="24"/>
        </w:rPr>
        <w:t>生活垃圾渗沥液水质特点为高氨氮和高有机物，生活污水主要以有机物污染物和氨氮为主，参考类似工程的水质情况，本工程生活垃圾渗沥液设计进水水质见下表。</w:t>
      </w:r>
    </w:p>
    <w:p w14:paraId="78C75DD3" w14:textId="77777777" w:rsidR="00D12939" w:rsidRDefault="004F47F5">
      <w:pPr>
        <w:ind w:firstLine="482"/>
        <w:jc w:val="center"/>
        <w:rPr>
          <w:rFonts w:ascii="黑体" w:eastAsia="黑体" w:hAnsi="黑体"/>
          <w:bCs/>
          <w:sz w:val="24"/>
        </w:rPr>
      </w:pPr>
      <w:r>
        <w:rPr>
          <w:rFonts w:ascii="黑体" w:eastAsia="黑体" w:hAnsi="黑体" w:hint="eastAsia"/>
          <w:bCs/>
          <w:sz w:val="24"/>
        </w:rPr>
        <w:t>表4</w:t>
      </w:r>
      <w:r>
        <w:rPr>
          <w:rFonts w:ascii="黑体" w:eastAsia="黑体" w:hAnsi="黑体"/>
          <w:bCs/>
          <w:sz w:val="24"/>
        </w:rPr>
        <w:t>.2-1  项目生活垃圾填埋区渗滤液水质</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0"/>
        <w:gridCol w:w="1516"/>
        <w:gridCol w:w="1456"/>
        <w:gridCol w:w="1456"/>
        <w:gridCol w:w="1455"/>
        <w:gridCol w:w="1095"/>
        <w:gridCol w:w="1430"/>
      </w:tblGrid>
      <w:tr w:rsidR="00D12939" w14:paraId="7BDD65C7" w14:textId="77777777">
        <w:trPr>
          <w:trHeight w:val="182"/>
        </w:trPr>
        <w:tc>
          <w:tcPr>
            <w:tcW w:w="1190" w:type="dxa"/>
            <w:vAlign w:val="center"/>
          </w:tcPr>
          <w:p w14:paraId="1367696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项目</w:t>
            </w:r>
          </w:p>
        </w:tc>
        <w:tc>
          <w:tcPr>
            <w:tcW w:w="1516" w:type="dxa"/>
            <w:vAlign w:val="center"/>
          </w:tcPr>
          <w:p w14:paraId="01446B8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COD</w:t>
            </w:r>
          </w:p>
        </w:tc>
        <w:tc>
          <w:tcPr>
            <w:tcW w:w="1456" w:type="dxa"/>
            <w:vAlign w:val="center"/>
          </w:tcPr>
          <w:p w14:paraId="38DD768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BOD</w:t>
            </w:r>
            <w:r>
              <w:rPr>
                <w:rFonts w:ascii="Times New Roman" w:eastAsia="宋体" w:hAnsi="Times New Roman" w:cs="Times New Roman"/>
                <w:vertAlign w:val="subscript"/>
              </w:rPr>
              <w:t>5</w:t>
            </w:r>
          </w:p>
        </w:tc>
        <w:tc>
          <w:tcPr>
            <w:tcW w:w="1456" w:type="dxa"/>
            <w:vAlign w:val="center"/>
          </w:tcPr>
          <w:p w14:paraId="2318EF2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1455" w:type="dxa"/>
            <w:vAlign w:val="center"/>
          </w:tcPr>
          <w:p w14:paraId="0E9AEBB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SS</w:t>
            </w:r>
          </w:p>
        </w:tc>
        <w:tc>
          <w:tcPr>
            <w:tcW w:w="1095" w:type="dxa"/>
            <w:vAlign w:val="center"/>
          </w:tcPr>
          <w:p w14:paraId="685137F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pH</w:t>
            </w:r>
            <w:r>
              <w:rPr>
                <w:rFonts w:ascii="Times New Roman" w:eastAsia="宋体" w:hAnsi="Times New Roman" w:cs="Times New Roman"/>
              </w:rPr>
              <w:t>值</w:t>
            </w:r>
          </w:p>
        </w:tc>
        <w:tc>
          <w:tcPr>
            <w:tcW w:w="1430" w:type="dxa"/>
            <w:vAlign w:val="center"/>
          </w:tcPr>
          <w:p w14:paraId="0EDE292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TN</w:t>
            </w:r>
          </w:p>
        </w:tc>
      </w:tr>
      <w:tr w:rsidR="00D12939" w14:paraId="4693AE92" w14:textId="77777777">
        <w:trPr>
          <w:trHeight w:val="182"/>
        </w:trPr>
        <w:tc>
          <w:tcPr>
            <w:tcW w:w="1190" w:type="dxa"/>
            <w:vAlign w:val="center"/>
          </w:tcPr>
          <w:p w14:paraId="77966E5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指标</w:t>
            </w:r>
          </w:p>
        </w:tc>
        <w:tc>
          <w:tcPr>
            <w:tcW w:w="1516" w:type="dxa"/>
            <w:vAlign w:val="center"/>
          </w:tcPr>
          <w:p w14:paraId="6114D55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≤20000mg/L</w:t>
            </w:r>
          </w:p>
        </w:tc>
        <w:tc>
          <w:tcPr>
            <w:tcW w:w="1456" w:type="dxa"/>
            <w:vAlign w:val="center"/>
          </w:tcPr>
          <w:p w14:paraId="7749C95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≤12000 mg/L</w:t>
            </w:r>
          </w:p>
        </w:tc>
        <w:tc>
          <w:tcPr>
            <w:tcW w:w="1456" w:type="dxa"/>
            <w:vAlign w:val="center"/>
          </w:tcPr>
          <w:p w14:paraId="64BEF5A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≤1200 mg/L</w:t>
            </w:r>
          </w:p>
        </w:tc>
        <w:tc>
          <w:tcPr>
            <w:tcW w:w="1455" w:type="dxa"/>
            <w:vAlign w:val="center"/>
          </w:tcPr>
          <w:p w14:paraId="0CE33E6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≤1500 mg/L</w:t>
            </w:r>
          </w:p>
        </w:tc>
        <w:tc>
          <w:tcPr>
            <w:tcW w:w="1095" w:type="dxa"/>
            <w:vAlign w:val="center"/>
          </w:tcPr>
          <w:p w14:paraId="04DE698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4~7</w:t>
            </w:r>
          </w:p>
        </w:tc>
        <w:tc>
          <w:tcPr>
            <w:tcW w:w="1430" w:type="dxa"/>
            <w:vAlign w:val="center"/>
          </w:tcPr>
          <w:p w14:paraId="63837E5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≤1500 mg/L</w:t>
            </w:r>
          </w:p>
        </w:tc>
      </w:tr>
    </w:tbl>
    <w:p w14:paraId="2A9CE963"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rPr>
      </w:pPr>
      <w:r>
        <w:rPr>
          <w:rFonts w:ascii="宋体" w:eastAsia="宋体" w:cs="宋体" w:hint="eastAsia"/>
          <w:kern w:val="0"/>
          <w:sz w:val="24"/>
          <w:szCs w:val="24"/>
        </w:rPr>
        <w:t>本项目</w:t>
      </w:r>
      <w:r>
        <w:rPr>
          <w:rFonts w:ascii="Times New Roman" w:eastAsia="宋体" w:hAnsi="Times New Roman" w:cs="Times New Roman" w:hint="eastAsia"/>
          <w:kern w:val="0"/>
          <w:sz w:val="24"/>
          <w:szCs w:val="24"/>
        </w:rPr>
        <w:t>设有</w:t>
      </w:r>
      <w:r>
        <w:rPr>
          <w:rFonts w:ascii="Times New Roman" w:eastAsia="宋体" w:hAnsi="Times New Roman" w:cs="Times New Roman" w:hint="eastAsia"/>
          <w:kern w:val="0"/>
          <w:sz w:val="24"/>
          <w:szCs w:val="24"/>
        </w:rPr>
        <w:t>1</w:t>
      </w:r>
      <w:r>
        <w:rPr>
          <w:rFonts w:ascii="Times New Roman" w:eastAsia="宋体" w:hAnsi="Times New Roman" w:cs="Times New Roman" w:hint="eastAsia"/>
          <w:kern w:val="0"/>
          <w:sz w:val="24"/>
          <w:szCs w:val="24"/>
        </w:rPr>
        <w:t>座有效容积为</w:t>
      </w:r>
      <w:r>
        <w:rPr>
          <w:rFonts w:ascii="Times New Roman" w:eastAsia="宋体" w:hAnsi="Times New Roman" w:cs="Times New Roman" w:hint="eastAsia"/>
          <w:kern w:val="0"/>
          <w:sz w:val="24"/>
          <w:szCs w:val="24"/>
        </w:rPr>
        <w:t>1</w:t>
      </w:r>
      <w:r>
        <w:rPr>
          <w:rFonts w:ascii="Times New Roman" w:eastAsia="宋体" w:hAnsi="Times New Roman" w:cs="Times New Roman"/>
          <w:kern w:val="0"/>
          <w:sz w:val="24"/>
          <w:szCs w:val="24"/>
        </w:rPr>
        <w:t>800</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hint="eastAsia"/>
          <w:kern w:val="0"/>
          <w:sz w:val="24"/>
          <w:szCs w:val="24"/>
        </w:rPr>
        <w:t>的填埋场渗沥液调节池，本项目生活垃圾填埋场渗沥液原液进水设有填埋场渗沥液调节池，在调节池内均质、除臭、曝气处理后进入渗滤液处理系统进行处理，渗滤液处理系统</w:t>
      </w:r>
      <w:r>
        <w:rPr>
          <w:rFonts w:ascii="宋体" w:eastAsia="宋体" w:cs="宋体" w:hint="eastAsia"/>
          <w:kern w:val="0"/>
          <w:sz w:val="24"/>
          <w:szCs w:val="24"/>
        </w:rPr>
        <w:t>设计处理规模为</w:t>
      </w:r>
      <w:r>
        <w:rPr>
          <w:rFonts w:ascii="Times New Roman" w:eastAsia="宋体" w:hAnsi="Times New Roman" w:cs="Times New Roman"/>
          <w:kern w:val="0"/>
          <w:sz w:val="24"/>
          <w:szCs w:val="24"/>
        </w:rPr>
        <w:t>65t/d</w:t>
      </w:r>
      <w:r>
        <w:rPr>
          <w:rFonts w:ascii="宋体" w:eastAsia="宋体" w:cs="宋体" w:hint="eastAsia"/>
          <w:kern w:val="0"/>
          <w:sz w:val="24"/>
          <w:szCs w:val="24"/>
        </w:rPr>
        <w:t>，</w:t>
      </w:r>
      <w:r>
        <w:rPr>
          <w:rFonts w:ascii="Times New Roman" w:eastAsia="宋体" w:hAnsi="Times New Roman" w:cs="Times New Roman"/>
          <w:sz w:val="24"/>
        </w:rPr>
        <w:t>处理工艺为预处理</w:t>
      </w:r>
      <w:r>
        <w:rPr>
          <w:rFonts w:ascii="Times New Roman" w:eastAsia="宋体" w:hAnsi="Times New Roman" w:cs="Times New Roman"/>
          <w:sz w:val="24"/>
        </w:rPr>
        <w:t>-</w:t>
      </w:r>
      <w:r>
        <w:rPr>
          <w:rFonts w:ascii="Times New Roman" w:eastAsia="宋体" w:hAnsi="Times New Roman" w:cs="Times New Roman"/>
          <w:sz w:val="24"/>
        </w:rPr>
        <w:t>一体化反应池</w:t>
      </w:r>
      <w:r>
        <w:rPr>
          <w:rFonts w:ascii="Times New Roman" w:eastAsia="宋体" w:hAnsi="Times New Roman" w:cs="Times New Roman"/>
          <w:sz w:val="24"/>
        </w:rPr>
        <w:t>-</w:t>
      </w:r>
      <w:r>
        <w:rPr>
          <w:rFonts w:ascii="Times New Roman" w:eastAsia="宋体" w:hAnsi="Times New Roman" w:cs="Times New Roman"/>
          <w:sz w:val="24"/>
        </w:rPr>
        <w:t>气浮</w:t>
      </w:r>
      <w:r>
        <w:rPr>
          <w:rFonts w:ascii="Times New Roman" w:eastAsia="宋体" w:hAnsi="Times New Roman" w:cs="Times New Roman"/>
          <w:sz w:val="24"/>
        </w:rPr>
        <w:t>-</w:t>
      </w:r>
      <w:r>
        <w:rPr>
          <w:rFonts w:ascii="Times New Roman" w:eastAsia="宋体" w:hAnsi="Times New Roman" w:cs="Times New Roman"/>
          <w:sz w:val="24"/>
        </w:rPr>
        <w:t>斜板沉淀</w:t>
      </w:r>
      <w:r>
        <w:rPr>
          <w:rFonts w:ascii="Times New Roman" w:eastAsia="宋体" w:hAnsi="Times New Roman" w:cs="Times New Roman"/>
          <w:sz w:val="24"/>
        </w:rPr>
        <w:t>-A</w:t>
      </w:r>
      <w:r>
        <w:rPr>
          <w:rFonts w:ascii="Times New Roman" w:eastAsia="宋体" w:hAnsi="Times New Roman" w:cs="Times New Roman"/>
          <w:sz w:val="24"/>
          <w:vertAlign w:val="superscript"/>
        </w:rPr>
        <w:t>2</w:t>
      </w:r>
      <w:r>
        <w:rPr>
          <w:rFonts w:ascii="Times New Roman" w:eastAsia="宋体" w:hAnsi="Times New Roman" w:cs="Times New Roman"/>
          <w:sz w:val="24"/>
        </w:rPr>
        <w:t>/O-MBR</w:t>
      </w:r>
      <w:r>
        <w:rPr>
          <w:rFonts w:ascii="Times New Roman" w:eastAsia="宋体" w:hAnsi="Times New Roman" w:cs="Times New Roman"/>
          <w:sz w:val="24"/>
        </w:rPr>
        <w:t>膜池</w:t>
      </w:r>
      <w:r>
        <w:rPr>
          <w:rFonts w:ascii="Times New Roman" w:eastAsia="宋体" w:hAnsi="Times New Roman" w:cs="Times New Roman"/>
          <w:sz w:val="24"/>
        </w:rPr>
        <w:t>-</w:t>
      </w:r>
      <w:r>
        <w:rPr>
          <w:rFonts w:ascii="Times New Roman" w:eastAsia="宋体" w:hAnsi="Times New Roman" w:cs="Times New Roman"/>
          <w:sz w:val="24"/>
        </w:rPr>
        <w:t>纳滤</w:t>
      </w:r>
      <w:r>
        <w:rPr>
          <w:rFonts w:ascii="Times New Roman" w:eastAsia="宋体" w:hAnsi="Times New Roman" w:cs="Times New Roman"/>
          <w:sz w:val="24"/>
        </w:rPr>
        <w:t>-</w:t>
      </w:r>
      <w:r>
        <w:rPr>
          <w:rFonts w:ascii="Times New Roman" w:eastAsia="宋体" w:hAnsi="Times New Roman" w:cs="Times New Roman"/>
          <w:sz w:val="24"/>
        </w:rPr>
        <w:t>反渗透，</w:t>
      </w:r>
      <w:r>
        <w:rPr>
          <w:rFonts w:ascii="Times New Roman" w:eastAsia="宋体" w:hAnsi="Times New Roman" w:cs="Times New Roman"/>
          <w:kern w:val="0"/>
          <w:sz w:val="24"/>
        </w:rPr>
        <w:t>填埋场渗沥液经收集处理</w:t>
      </w:r>
      <w:r>
        <w:rPr>
          <w:rFonts w:ascii="Times New Roman" w:eastAsia="宋体" w:hAnsi="Times New Roman" w:cs="Times New Roman" w:hint="eastAsia"/>
          <w:kern w:val="0"/>
          <w:sz w:val="24"/>
        </w:rPr>
        <w:t>满足《生活垃圾填埋场污染控制标准》（</w:t>
      </w:r>
      <w:r>
        <w:rPr>
          <w:rFonts w:ascii="Times New Roman" w:eastAsia="宋体" w:hAnsi="Times New Roman" w:cs="Times New Roman"/>
          <w:kern w:val="0"/>
          <w:sz w:val="24"/>
        </w:rPr>
        <w:t>GB 16889-2008</w:t>
      </w:r>
      <w:r>
        <w:rPr>
          <w:rFonts w:ascii="Times New Roman" w:eastAsia="宋体" w:hAnsi="Times New Roman" w:cs="Times New Roman"/>
          <w:kern w:val="0"/>
          <w:sz w:val="24"/>
        </w:rPr>
        <w:t>）表</w:t>
      </w:r>
      <w:r>
        <w:rPr>
          <w:rFonts w:ascii="Times New Roman" w:eastAsia="宋体" w:hAnsi="Times New Roman" w:cs="Times New Roman"/>
          <w:kern w:val="0"/>
          <w:sz w:val="24"/>
        </w:rPr>
        <w:t xml:space="preserve">2 </w:t>
      </w:r>
      <w:r>
        <w:rPr>
          <w:rFonts w:ascii="Times New Roman" w:eastAsia="宋体" w:hAnsi="Times New Roman" w:cs="Times New Roman"/>
          <w:kern w:val="0"/>
          <w:sz w:val="24"/>
        </w:rPr>
        <w:t>规定的</w:t>
      </w:r>
      <w:r>
        <w:rPr>
          <w:rFonts w:ascii="Times New Roman" w:eastAsia="宋体" w:hAnsi="Times New Roman" w:cs="Times New Roman" w:hint="eastAsia"/>
          <w:kern w:val="0"/>
          <w:sz w:val="24"/>
        </w:rPr>
        <w:t>限值</w:t>
      </w:r>
      <w:r>
        <w:rPr>
          <w:rFonts w:ascii="Times New Roman" w:eastAsia="宋体" w:hAnsi="Times New Roman" w:cs="Times New Roman"/>
          <w:kern w:val="0"/>
          <w:sz w:val="24"/>
        </w:rPr>
        <w:t>后，</w:t>
      </w:r>
      <w:r>
        <w:rPr>
          <w:rFonts w:ascii="Times New Roman" w:eastAsia="宋体" w:hAnsi="Times New Roman" w:cs="Times New Roman" w:hint="eastAsia"/>
          <w:kern w:val="0"/>
          <w:sz w:val="24"/>
        </w:rPr>
        <w:t>部分回用于库区洒水，剩余尾水</w:t>
      </w:r>
      <w:r>
        <w:rPr>
          <w:rFonts w:ascii="Times New Roman" w:eastAsia="宋体" w:hAnsi="Times New Roman" w:cs="Times New Roman"/>
          <w:kern w:val="0"/>
          <w:sz w:val="24"/>
        </w:rPr>
        <w:t>采用槽罐车运输方式，运至柞水县污水处理厂</w:t>
      </w:r>
      <w:r>
        <w:rPr>
          <w:rFonts w:ascii="Times New Roman" w:eastAsia="宋体" w:hAnsi="Times New Roman" w:cs="Times New Roman" w:hint="eastAsia"/>
          <w:kern w:val="0"/>
          <w:sz w:val="24"/>
        </w:rPr>
        <w:t>进一步处理</w:t>
      </w:r>
      <w:r>
        <w:rPr>
          <w:rFonts w:ascii="Times New Roman" w:eastAsia="宋体" w:hAnsi="Times New Roman" w:cs="Times New Roman"/>
          <w:kern w:val="0"/>
          <w:sz w:val="24"/>
        </w:rPr>
        <w:t>。</w:t>
      </w:r>
    </w:p>
    <w:p w14:paraId="60B24657" w14:textId="77777777" w:rsidR="00D12939" w:rsidRDefault="004F47F5">
      <w:pPr>
        <w:ind w:firstLine="480"/>
        <w:rPr>
          <w:rFonts w:ascii="Times New Roman" w:eastAsia="宋体" w:hAnsi="Times New Roman" w:cs="Times New Roman"/>
          <w:kern w:val="0"/>
          <w:sz w:val="24"/>
        </w:rPr>
      </w:pPr>
      <w:r>
        <w:rPr>
          <w:rFonts w:ascii="Times New Roman" w:eastAsia="宋体" w:hAnsi="Times New Roman" w:cs="Times New Roman" w:hint="eastAsia"/>
          <w:kern w:val="0"/>
          <w:sz w:val="24"/>
        </w:rPr>
        <w:t>本项目渗滤液产排情况见表</w:t>
      </w:r>
      <w:r>
        <w:rPr>
          <w:rFonts w:ascii="Times New Roman" w:eastAsia="宋体" w:hAnsi="Times New Roman" w:cs="Times New Roman" w:hint="eastAsia"/>
          <w:kern w:val="0"/>
          <w:sz w:val="24"/>
        </w:rPr>
        <w:t>4.2-</w:t>
      </w:r>
      <w:r>
        <w:rPr>
          <w:rFonts w:ascii="Times New Roman" w:eastAsia="宋体" w:hAnsi="Times New Roman" w:cs="Times New Roman"/>
          <w:kern w:val="0"/>
          <w:sz w:val="24"/>
        </w:rPr>
        <w:t>2</w:t>
      </w:r>
      <w:r>
        <w:rPr>
          <w:rFonts w:ascii="Times New Roman" w:eastAsia="宋体" w:hAnsi="Times New Roman" w:cs="Times New Roman" w:hint="eastAsia"/>
          <w:kern w:val="0"/>
          <w:sz w:val="24"/>
        </w:rPr>
        <w:t>。</w:t>
      </w:r>
    </w:p>
    <w:p w14:paraId="32416D78" w14:textId="77777777" w:rsidR="00D12939" w:rsidRDefault="004F47F5">
      <w:pPr>
        <w:ind w:firstLine="482"/>
        <w:jc w:val="center"/>
        <w:rPr>
          <w:rFonts w:ascii="黑体" w:eastAsia="黑体" w:hAnsi="黑体"/>
          <w:sz w:val="24"/>
        </w:rPr>
      </w:pPr>
      <w:r>
        <w:rPr>
          <w:rFonts w:ascii="黑体" w:eastAsia="黑体" w:hAnsi="黑体"/>
          <w:sz w:val="24"/>
        </w:rPr>
        <w:t>表</w:t>
      </w:r>
      <w:r>
        <w:rPr>
          <w:rFonts w:ascii="黑体" w:eastAsia="黑体" w:hAnsi="黑体" w:hint="eastAsia"/>
          <w:sz w:val="24"/>
        </w:rPr>
        <w:t>4.2-</w:t>
      </w:r>
      <w:r>
        <w:rPr>
          <w:rFonts w:ascii="黑体" w:eastAsia="黑体" w:hAnsi="黑体"/>
          <w:sz w:val="24"/>
        </w:rPr>
        <w:t>2渗滤液</w:t>
      </w:r>
      <w:r>
        <w:rPr>
          <w:rFonts w:ascii="黑体" w:eastAsia="黑体" w:hAnsi="黑体" w:hint="eastAsia"/>
          <w:sz w:val="24"/>
        </w:rPr>
        <w:t>产排</w:t>
      </w:r>
      <w:r>
        <w:rPr>
          <w:rFonts w:ascii="黑体" w:eastAsia="黑体" w:hAnsi="黑体"/>
          <w:sz w:val="24"/>
        </w:rPr>
        <w:t>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67"/>
        <w:gridCol w:w="1659"/>
        <w:gridCol w:w="1163"/>
        <w:gridCol w:w="1161"/>
        <w:gridCol w:w="1161"/>
        <w:gridCol w:w="1161"/>
        <w:gridCol w:w="996"/>
        <w:gridCol w:w="768"/>
      </w:tblGrid>
      <w:tr w:rsidR="00D12939" w14:paraId="5C33C560" w14:textId="77777777">
        <w:trPr>
          <w:trHeight w:val="340"/>
          <w:jc w:val="center"/>
        </w:trPr>
        <w:tc>
          <w:tcPr>
            <w:tcW w:w="3326" w:type="dxa"/>
            <w:gridSpan w:val="2"/>
            <w:vAlign w:val="center"/>
          </w:tcPr>
          <w:p w14:paraId="131163B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项目</w:t>
            </w:r>
          </w:p>
        </w:tc>
        <w:tc>
          <w:tcPr>
            <w:tcW w:w="1163" w:type="dxa"/>
            <w:vAlign w:val="center"/>
          </w:tcPr>
          <w:p w14:paraId="1D2B5C7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COD</w:t>
            </w:r>
            <w:r>
              <w:rPr>
                <w:rFonts w:ascii="Times New Roman" w:eastAsia="宋体" w:hAnsi="Times New Roman" w:cs="Times New Roman"/>
                <w:vertAlign w:val="subscript"/>
              </w:rPr>
              <w:t>cr</w:t>
            </w:r>
          </w:p>
        </w:tc>
        <w:tc>
          <w:tcPr>
            <w:tcW w:w="1161" w:type="dxa"/>
            <w:vAlign w:val="center"/>
          </w:tcPr>
          <w:p w14:paraId="23880EA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BOD</w:t>
            </w:r>
            <w:r>
              <w:rPr>
                <w:rFonts w:ascii="Times New Roman" w:eastAsia="宋体" w:hAnsi="Times New Roman" w:cs="Times New Roman"/>
                <w:vertAlign w:val="subscript"/>
              </w:rPr>
              <w:t>5</w:t>
            </w:r>
          </w:p>
        </w:tc>
        <w:tc>
          <w:tcPr>
            <w:tcW w:w="1161" w:type="dxa"/>
            <w:vAlign w:val="center"/>
          </w:tcPr>
          <w:p w14:paraId="35A74EC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SS</w:t>
            </w:r>
          </w:p>
        </w:tc>
        <w:tc>
          <w:tcPr>
            <w:tcW w:w="1161" w:type="dxa"/>
            <w:vAlign w:val="center"/>
          </w:tcPr>
          <w:p w14:paraId="6E85D28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996" w:type="dxa"/>
            <w:vAlign w:val="center"/>
          </w:tcPr>
          <w:p w14:paraId="1EEB562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TN</w:t>
            </w:r>
          </w:p>
        </w:tc>
        <w:tc>
          <w:tcPr>
            <w:tcW w:w="768" w:type="dxa"/>
            <w:vAlign w:val="center"/>
          </w:tcPr>
          <w:p w14:paraId="4554AB1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pH</w:t>
            </w:r>
          </w:p>
        </w:tc>
      </w:tr>
      <w:tr w:rsidR="00D12939" w14:paraId="7AF3C401" w14:textId="77777777">
        <w:trPr>
          <w:trHeight w:val="340"/>
          <w:jc w:val="center"/>
        </w:trPr>
        <w:tc>
          <w:tcPr>
            <w:tcW w:w="1667" w:type="dxa"/>
            <w:vMerge w:val="restart"/>
            <w:vAlign w:val="center"/>
          </w:tcPr>
          <w:p w14:paraId="4927ED0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w:t>
            </w:r>
            <w:r>
              <w:rPr>
                <w:rFonts w:ascii="Times New Roman" w:eastAsia="宋体" w:hAnsi="Times New Roman" w:cs="Times New Roman"/>
              </w:rPr>
              <w:t>40.56m</w:t>
            </w:r>
            <w:r>
              <w:rPr>
                <w:rFonts w:ascii="Times New Roman" w:eastAsia="宋体" w:hAnsi="Times New Roman" w:cs="Times New Roman"/>
                <w:vertAlign w:val="superscript"/>
              </w:rPr>
              <w:t>3</w:t>
            </w:r>
            <w:r>
              <w:rPr>
                <w:rFonts w:ascii="Times New Roman" w:eastAsia="宋体" w:hAnsi="Times New Roman" w:cs="Times New Roman"/>
              </w:rPr>
              <w:t>/d</w:t>
            </w:r>
            <w:r>
              <w:rPr>
                <w:rFonts w:ascii="Times New Roman" w:eastAsia="宋体" w:hAnsi="Times New Roman" w:cs="Times New Roman"/>
              </w:rPr>
              <w:t>）</w:t>
            </w:r>
          </w:p>
        </w:tc>
        <w:tc>
          <w:tcPr>
            <w:tcW w:w="1659" w:type="dxa"/>
            <w:vAlign w:val="center"/>
          </w:tcPr>
          <w:p w14:paraId="1BBD411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产生浓度</w:t>
            </w:r>
            <w:r>
              <w:rPr>
                <w:rFonts w:ascii="Times New Roman" w:eastAsia="宋体" w:hAnsi="Times New Roman" w:cs="Times New Roman"/>
              </w:rPr>
              <w:t>(mg/L)</w:t>
            </w:r>
          </w:p>
        </w:tc>
        <w:tc>
          <w:tcPr>
            <w:tcW w:w="1163" w:type="dxa"/>
            <w:vAlign w:val="center"/>
          </w:tcPr>
          <w:p w14:paraId="467712D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20000</w:t>
            </w:r>
          </w:p>
        </w:tc>
        <w:tc>
          <w:tcPr>
            <w:tcW w:w="1161" w:type="dxa"/>
            <w:vAlign w:val="center"/>
          </w:tcPr>
          <w:p w14:paraId="611B2CE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12000</w:t>
            </w:r>
          </w:p>
        </w:tc>
        <w:tc>
          <w:tcPr>
            <w:tcW w:w="1161" w:type="dxa"/>
            <w:vAlign w:val="center"/>
          </w:tcPr>
          <w:p w14:paraId="6A978A5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1500</w:t>
            </w:r>
          </w:p>
        </w:tc>
        <w:tc>
          <w:tcPr>
            <w:tcW w:w="1161" w:type="dxa"/>
            <w:vAlign w:val="center"/>
          </w:tcPr>
          <w:p w14:paraId="52A30A5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1200</w:t>
            </w:r>
          </w:p>
        </w:tc>
        <w:tc>
          <w:tcPr>
            <w:tcW w:w="996" w:type="dxa"/>
            <w:vAlign w:val="center"/>
          </w:tcPr>
          <w:p w14:paraId="53CF8FA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1500</w:t>
            </w:r>
          </w:p>
        </w:tc>
        <w:tc>
          <w:tcPr>
            <w:tcW w:w="768" w:type="dxa"/>
            <w:vAlign w:val="center"/>
          </w:tcPr>
          <w:p w14:paraId="5CC7E04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6~9</w:t>
            </w:r>
          </w:p>
        </w:tc>
      </w:tr>
      <w:tr w:rsidR="00D12939" w14:paraId="6AFDA28B" w14:textId="77777777">
        <w:trPr>
          <w:trHeight w:val="340"/>
          <w:jc w:val="center"/>
        </w:trPr>
        <w:tc>
          <w:tcPr>
            <w:tcW w:w="1667" w:type="dxa"/>
            <w:vMerge/>
            <w:vAlign w:val="center"/>
          </w:tcPr>
          <w:p w14:paraId="74B34DC0" w14:textId="77777777" w:rsidR="00D12939" w:rsidRDefault="00D12939">
            <w:pPr>
              <w:pStyle w:val="affffd"/>
              <w:rPr>
                <w:rFonts w:ascii="Times New Roman" w:eastAsia="宋体" w:hAnsi="Times New Roman" w:cs="Times New Roman"/>
              </w:rPr>
            </w:pPr>
          </w:p>
        </w:tc>
        <w:tc>
          <w:tcPr>
            <w:tcW w:w="1659" w:type="dxa"/>
            <w:vAlign w:val="center"/>
          </w:tcPr>
          <w:p w14:paraId="1DBAB47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产生量（</w:t>
            </w:r>
            <w:r>
              <w:rPr>
                <w:rFonts w:ascii="Times New Roman" w:eastAsia="宋体" w:hAnsi="Times New Roman" w:cs="Times New Roman"/>
              </w:rPr>
              <w:t>t/a</w:t>
            </w:r>
            <w:r>
              <w:rPr>
                <w:rFonts w:ascii="Times New Roman" w:eastAsia="宋体" w:hAnsi="Times New Roman" w:cs="Times New Roman"/>
              </w:rPr>
              <w:t>）</w:t>
            </w:r>
          </w:p>
        </w:tc>
        <w:tc>
          <w:tcPr>
            <w:tcW w:w="1163" w:type="dxa"/>
            <w:vAlign w:val="center"/>
          </w:tcPr>
          <w:p w14:paraId="1EA9FA7F" w14:textId="77777777" w:rsidR="00D12939" w:rsidRDefault="004F47F5">
            <w:pPr>
              <w:widowControl/>
              <w:jc w:val="center"/>
              <w:rPr>
                <w:rFonts w:ascii="Times New Roman" w:hAnsi="Times New Roman" w:cs="Times New Roman"/>
                <w:szCs w:val="21"/>
              </w:rPr>
            </w:pPr>
            <w:r>
              <w:rPr>
                <w:rFonts w:ascii="Times New Roman" w:hAnsi="Times New Roman" w:cs="Times New Roman"/>
                <w:szCs w:val="21"/>
              </w:rPr>
              <w:t xml:space="preserve">296.09 </w:t>
            </w:r>
          </w:p>
        </w:tc>
        <w:tc>
          <w:tcPr>
            <w:tcW w:w="1161" w:type="dxa"/>
            <w:vAlign w:val="center"/>
          </w:tcPr>
          <w:p w14:paraId="79FB95A0"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177.65 </w:t>
            </w:r>
          </w:p>
        </w:tc>
        <w:tc>
          <w:tcPr>
            <w:tcW w:w="1161" w:type="dxa"/>
            <w:vAlign w:val="center"/>
          </w:tcPr>
          <w:p w14:paraId="43A823DF"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22.21 </w:t>
            </w:r>
          </w:p>
        </w:tc>
        <w:tc>
          <w:tcPr>
            <w:tcW w:w="1161" w:type="dxa"/>
            <w:vAlign w:val="center"/>
          </w:tcPr>
          <w:p w14:paraId="2474E885"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17.77 </w:t>
            </w:r>
          </w:p>
        </w:tc>
        <w:tc>
          <w:tcPr>
            <w:tcW w:w="996" w:type="dxa"/>
            <w:vAlign w:val="center"/>
          </w:tcPr>
          <w:p w14:paraId="34090D3C"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22.21 </w:t>
            </w:r>
          </w:p>
        </w:tc>
        <w:tc>
          <w:tcPr>
            <w:tcW w:w="768" w:type="dxa"/>
            <w:vAlign w:val="center"/>
          </w:tcPr>
          <w:p w14:paraId="5A4D853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r>
      <w:tr w:rsidR="00D12939" w14:paraId="5F5F9493" w14:textId="77777777">
        <w:trPr>
          <w:trHeight w:val="340"/>
          <w:jc w:val="center"/>
        </w:trPr>
        <w:tc>
          <w:tcPr>
            <w:tcW w:w="1667" w:type="dxa"/>
            <w:vMerge/>
            <w:vAlign w:val="center"/>
          </w:tcPr>
          <w:p w14:paraId="1F51947A" w14:textId="77777777" w:rsidR="00D12939" w:rsidRDefault="00D12939">
            <w:pPr>
              <w:pStyle w:val="affffd"/>
              <w:rPr>
                <w:rFonts w:ascii="Times New Roman" w:eastAsia="宋体" w:hAnsi="Times New Roman" w:cs="Times New Roman"/>
              </w:rPr>
            </w:pPr>
          </w:p>
        </w:tc>
        <w:tc>
          <w:tcPr>
            <w:tcW w:w="1659" w:type="dxa"/>
            <w:vAlign w:val="center"/>
          </w:tcPr>
          <w:p w14:paraId="17B9C80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去除率</w:t>
            </w:r>
          </w:p>
        </w:tc>
        <w:tc>
          <w:tcPr>
            <w:tcW w:w="1163" w:type="dxa"/>
            <w:vAlign w:val="center"/>
          </w:tcPr>
          <w:p w14:paraId="4D3BF88E" w14:textId="77777777" w:rsidR="00D12939" w:rsidRDefault="004F47F5">
            <w:pPr>
              <w:jc w:val="center"/>
              <w:rPr>
                <w:rFonts w:ascii="Times New Roman" w:hAnsi="Times New Roman" w:cs="Times New Roman"/>
                <w:szCs w:val="21"/>
              </w:rPr>
            </w:pPr>
            <w:r>
              <w:rPr>
                <w:rFonts w:ascii="Times New Roman" w:hAnsi="Times New Roman" w:cs="Times New Roman"/>
                <w:szCs w:val="21"/>
              </w:rPr>
              <w:t>99.50%</w:t>
            </w:r>
          </w:p>
        </w:tc>
        <w:tc>
          <w:tcPr>
            <w:tcW w:w="1161" w:type="dxa"/>
            <w:vAlign w:val="center"/>
          </w:tcPr>
          <w:p w14:paraId="10BB4006" w14:textId="77777777" w:rsidR="00D12939" w:rsidRDefault="004F47F5">
            <w:pPr>
              <w:jc w:val="center"/>
              <w:rPr>
                <w:rFonts w:ascii="Times New Roman" w:hAnsi="Times New Roman" w:cs="Times New Roman"/>
                <w:szCs w:val="21"/>
              </w:rPr>
            </w:pPr>
            <w:r>
              <w:rPr>
                <w:rFonts w:ascii="Times New Roman" w:hAnsi="Times New Roman" w:cs="Times New Roman"/>
                <w:szCs w:val="21"/>
              </w:rPr>
              <w:t>99.75%</w:t>
            </w:r>
          </w:p>
        </w:tc>
        <w:tc>
          <w:tcPr>
            <w:tcW w:w="1161" w:type="dxa"/>
            <w:vAlign w:val="center"/>
          </w:tcPr>
          <w:p w14:paraId="7A93D0E3" w14:textId="77777777" w:rsidR="00D12939" w:rsidRDefault="004F47F5">
            <w:pPr>
              <w:jc w:val="center"/>
              <w:rPr>
                <w:rFonts w:ascii="Times New Roman" w:hAnsi="Times New Roman" w:cs="Times New Roman"/>
                <w:szCs w:val="21"/>
              </w:rPr>
            </w:pPr>
            <w:r>
              <w:rPr>
                <w:rFonts w:ascii="Times New Roman" w:hAnsi="Times New Roman" w:cs="Times New Roman"/>
                <w:szCs w:val="21"/>
              </w:rPr>
              <w:t>98.00%</w:t>
            </w:r>
          </w:p>
        </w:tc>
        <w:tc>
          <w:tcPr>
            <w:tcW w:w="1161" w:type="dxa"/>
            <w:vAlign w:val="center"/>
          </w:tcPr>
          <w:p w14:paraId="13C182D6" w14:textId="77777777" w:rsidR="00D12939" w:rsidRDefault="004F47F5">
            <w:pPr>
              <w:jc w:val="center"/>
              <w:rPr>
                <w:rFonts w:ascii="Times New Roman" w:hAnsi="Times New Roman" w:cs="Times New Roman"/>
                <w:szCs w:val="21"/>
              </w:rPr>
            </w:pPr>
            <w:r>
              <w:rPr>
                <w:rFonts w:ascii="Times New Roman" w:hAnsi="Times New Roman" w:cs="Times New Roman"/>
                <w:szCs w:val="21"/>
              </w:rPr>
              <w:t>97.92%</w:t>
            </w:r>
          </w:p>
        </w:tc>
        <w:tc>
          <w:tcPr>
            <w:tcW w:w="996" w:type="dxa"/>
            <w:vAlign w:val="center"/>
          </w:tcPr>
          <w:p w14:paraId="01C514A7" w14:textId="77777777" w:rsidR="00D12939" w:rsidRDefault="004F47F5">
            <w:pPr>
              <w:jc w:val="center"/>
              <w:rPr>
                <w:rFonts w:ascii="Times New Roman" w:hAnsi="Times New Roman" w:cs="Times New Roman"/>
                <w:szCs w:val="21"/>
              </w:rPr>
            </w:pPr>
            <w:r>
              <w:rPr>
                <w:rFonts w:ascii="Times New Roman" w:hAnsi="Times New Roman" w:cs="Times New Roman"/>
                <w:szCs w:val="21"/>
              </w:rPr>
              <w:t>97.33%</w:t>
            </w:r>
          </w:p>
        </w:tc>
        <w:tc>
          <w:tcPr>
            <w:tcW w:w="768" w:type="dxa"/>
            <w:vAlign w:val="center"/>
          </w:tcPr>
          <w:p w14:paraId="00B5F40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r>
      <w:tr w:rsidR="00D12939" w14:paraId="5C74F0C5" w14:textId="77777777">
        <w:trPr>
          <w:trHeight w:val="340"/>
          <w:jc w:val="center"/>
        </w:trPr>
        <w:tc>
          <w:tcPr>
            <w:tcW w:w="1667" w:type="dxa"/>
            <w:vMerge/>
            <w:vAlign w:val="center"/>
          </w:tcPr>
          <w:p w14:paraId="70D3A8AE" w14:textId="77777777" w:rsidR="00D12939" w:rsidRDefault="00D12939">
            <w:pPr>
              <w:pStyle w:val="affffd"/>
              <w:rPr>
                <w:rFonts w:ascii="Times New Roman" w:eastAsia="宋体" w:hAnsi="Times New Roman" w:cs="Times New Roman"/>
              </w:rPr>
            </w:pPr>
          </w:p>
        </w:tc>
        <w:tc>
          <w:tcPr>
            <w:tcW w:w="1659" w:type="dxa"/>
            <w:vAlign w:val="center"/>
          </w:tcPr>
          <w:p w14:paraId="02FB0DC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排放浓度</w:t>
            </w:r>
            <w:r>
              <w:rPr>
                <w:rFonts w:ascii="Times New Roman" w:eastAsia="宋体" w:hAnsi="Times New Roman" w:cs="Times New Roman"/>
              </w:rPr>
              <w:t>(mg/L)</w:t>
            </w:r>
          </w:p>
        </w:tc>
        <w:tc>
          <w:tcPr>
            <w:tcW w:w="1163" w:type="dxa"/>
            <w:vAlign w:val="center"/>
          </w:tcPr>
          <w:p w14:paraId="744C5ACA" w14:textId="77777777" w:rsidR="00D12939" w:rsidRDefault="004F47F5">
            <w:pPr>
              <w:jc w:val="center"/>
              <w:rPr>
                <w:rFonts w:ascii="Times New Roman" w:hAnsi="Times New Roman" w:cs="Times New Roman"/>
                <w:szCs w:val="21"/>
              </w:rPr>
            </w:pPr>
            <w:r>
              <w:rPr>
                <w:rFonts w:ascii="Times New Roman" w:hAnsi="Times New Roman" w:cs="Times New Roman"/>
                <w:szCs w:val="21"/>
              </w:rPr>
              <w:t>100</w:t>
            </w:r>
          </w:p>
        </w:tc>
        <w:tc>
          <w:tcPr>
            <w:tcW w:w="1161" w:type="dxa"/>
            <w:vAlign w:val="center"/>
          </w:tcPr>
          <w:p w14:paraId="3043ECE0" w14:textId="77777777" w:rsidR="00D12939" w:rsidRDefault="004F47F5">
            <w:pPr>
              <w:jc w:val="center"/>
              <w:rPr>
                <w:rFonts w:ascii="Times New Roman" w:hAnsi="Times New Roman" w:cs="Times New Roman"/>
                <w:szCs w:val="21"/>
              </w:rPr>
            </w:pPr>
            <w:r>
              <w:rPr>
                <w:rFonts w:ascii="Times New Roman" w:hAnsi="Times New Roman" w:cs="Times New Roman"/>
                <w:szCs w:val="21"/>
              </w:rPr>
              <w:t>30</w:t>
            </w:r>
          </w:p>
        </w:tc>
        <w:tc>
          <w:tcPr>
            <w:tcW w:w="1161" w:type="dxa"/>
            <w:vAlign w:val="center"/>
          </w:tcPr>
          <w:p w14:paraId="38E310BC" w14:textId="77777777" w:rsidR="00D12939" w:rsidRDefault="004F47F5">
            <w:pPr>
              <w:jc w:val="center"/>
              <w:rPr>
                <w:rFonts w:ascii="Times New Roman" w:hAnsi="Times New Roman" w:cs="Times New Roman"/>
                <w:szCs w:val="21"/>
              </w:rPr>
            </w:pPr>
            <w:r>
              <w:rPr>
                <w:rFonts w:ascii="Times New Roman" w:hAnsi="Times New Roman" w:cs="Times New Roman"/>
                <w:szCs w:val="21"/>
              </w:rPr>
              <w:t>30</w:t>
            </w:r>
          </w:p>
        </w:tc>
        <w:tc>
          <w:tcPr>
            <w:tcW w:w="1161" w:type="dxa"/>
            <w:vAlign w:val="center"/>
          </w:tcPr>
          <w:p w14:paraId="7A05E172" w14:textId="77777777" w:rsidR="00D12939" w:rsidRDefault="004F47F5">
            <w:pPr>
              <w:jc w:val="center"/>
              <w:rPr>
                <w:rFonts w:ascii="Times New Roman" w:hAnsi="Times New Roman" w:cs="Times New Roman"/>
                <w:szCs w:val="21"/>
              </w:rPr>
            </w:pPr>
            <w:r>
              <w:rPr>
                <w:rFonts w:ascii="Times New Roman" w:hAnsi="Times New Roman" w:cs="Times New Roman"/>
                <w:szCs w:val="21"/>
              </w:rPr>
              <w:t>25</w:t>
            </w:r>
          </w:p>
        </w:tc>
        <w:tc>
          <w:tcPr>
            <w:tcW w:w="996" w:type="dxa"/>
            <w:vAlign w:val="center"/>
          </w:tcPr>
          <w:p w14:paraId="4EA6DADC" w14:textId="77777777" w:rsidR="00D12939" w:rsidRDefault="004F47F5">
            <w:pPr>
              <w:jc w:val="center"/>
              <w:rPr>
                <w:rFonts w:ascii="Times New Roman" w:hAnsi="Times New Roman" w:cs="Times New Roman"/>
                <w:szCs w:val="21"/>
              </w:rPr>
            </w:pPr>
            <w:r>
              <w:rPr>
                <w:rFonts w:ascii="Times New Roman" w:hAnsi="Times New Roman" w:cs="Times New Roman"/>
                <w:szCs w:val="21"/>
              </w:rPr>
              <w:t>40</w:t>
            </w:r>
          </w:p>
        </w:tc>
        <w:tc>
          <w:tcPr>
            <w:tcW w:w="768" w:type="dxa"/>
            <w:vAlign w:val="center"/>
          </w:tcPr>
          <w:p w14:paraId="7226FAE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r>
      <w:tr w:rsidR="00D12939" w14:paraId="4652E818" w14:textId="77777777">
        <w:trPr>
          <w:trHeight w:val="340"/>
          <w:jc w:val="center"/>
        </w:trPr>
        <w:tc>
          <w:tcPr>
            <w:tcW w:w="1667" w:type="dxa"/>
            <w:vMerge/>
            <w:vAlign w:val="center"/>
          </w:tcPr>
          <w:p w14:paraId="0D45A8E2" w14:textId="77777777" w:rsidR="00D12939" w:rsidRDefault="00D12939">
            <w:pPr>
              <w:pStyle w:val="affffd"/>
              <w:rPr>
                <w:rFonts w:ascii="Times New Roman" w:eastAsia="宋体" w:hAnsi="Times New Roman" w:cs="Times New Roman"/>
              </w:rPr>
            </w:pPr>
          </w:p>
        </w:tc>
        <w:tc>
          <w:tcPr>
            <w:tcW w:w="1659" w:type="dxa"/>
            <w:vAlign w:val="center"/>
          </w:tcPr>
          <w:p w14:paraId="446CAE7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排放量（</w:t>
            </w:r>
            <w:r>
              <w:rPr>
                <w:rFonts w:ascii="Times New Roman" w:eastAsia="宋体" w:hAnsi="Times New Roman" w:cs="Times New Roman"/>
              </w:rPr>
              <w:t>t/a</w:t>
            </w:r>
            <w:r>
              <w:rPr>
                <w:rFonts w:ascii="Times New Roman" w:eastAsia="宋体" w:hAnsi="Times New Roman" w:cs="Times New Roman"/>
              </w:rPr>
              <w:t>）</w:t>
            </w:r>
          </w:p>
        </w:tc>
        <w:tc>
          <w:tcPr>
            <w:tcW w:w="1163" w:type="dxa"/>
            <w:vAlign w:val="center"/>
          </w:tcPr>
          <w:p w14:paraId="186E905C"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1.48 </w:t>
            </w:r>
          </w:p>
        </w:tc>
        <w:tc>
          <w:tcPr>
            <w:tcW w:w="1161" w:type="dxa"/>
            <w:vAlign w:val="center"/>
          </w:tcPr>
          <w:p w14:paraId="64A4CD92"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0.44 </w:t>
            </w:r>
          </w:p>
        </w:tc>
        <w:tc>
          <w:tcPr>
            <w:tcW w:w="1161" w:type="dxa"/>
            <w:vAlign w:val="center"/>
          </w:tcPr>
          <w:p w14:paraId="216F4411"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0.44 </w:t>
            </w:r>
          </w:p>
        </w:tc>
        <w:tc>
          <w:tcPr>
            <w:tcW w:w="1161" w:type="dxa"/>
            <w:vAlign w:val="center"/>
          </w:tcPr>
          <w:p w14:paraId="4492F47A"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0.37 </w:t>
            </w:r>
          </w:p>
        </w:tc>
        <w:tc>
          <w:tcPr>
            <w:tcW w:w="996" w:type="dxa"/>
            <w:vAlign w:val="center"/>
          </w:tcPr>
          <w:p w14:paraId="54B9BDEB" w14:textId="77777777" w:rsidR="00D12939" w:rsidRDefault="004F47F5">
            <w:pPr>
              <w:jc w:val="center"/>
              <w:rPr>
                <w:rFonts w:ascii="Times New Roman" w:hAnsi="Times New Roman" w:cs="Times New Roman"/>
                <w:szCs w:val="21"/>
              </w:rPr>
            </w:pPr>
            <w:r>
              <w:rPr>
                <w:rFonts w:ascii="Times New Roman" w:hAnsi="Times New Roman" w:cs="Times New Roman"/>
                <w:szCs w:val="21"/>
              </w:rPr>
              <w:t xml:space="preserve">0.59 </w:t>
            </w:r>
          </w:p>
        </w:tc>
        <w:tc>
          <w:tcPr>
            <w:tcW w:w="768" w:type="dxa"/>
            <w:vAlign w:val="center"/>
          </w:tcPr>
          <w:p w14:paraId="74B7B2C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r>
    </w:tbl>
    <w:p w14:paraId="759EAC2B"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hint="eastAsia"/>
          <w:kern w:val="0"/>
          <w:sz w:val="24"/>
          <w:szCs w:val="24"/>
        </w:rPr>
        <w:t>）反冲洗废水</w:t>
      </w:r>
    </w:p>
    <w:p w14:paraId="633FEA73" w14:textId="04833A4E"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szCs w:val="24"/>
        </w:rPr>
        <w:t>本项目渗滤液处理系统的处理工艺采用“预处理</w:t>
      </w:r>
      <w:r>
        <w:rPr>
          <w:rFonts w:ascii="Times New Roman" w:eastAsia="宋体" w:hAnsi="Times New Roman" w:cs="Times New Roman"/>
          <w:sz w:val="24"/>
          <w:szCs w:val="24"/>
        </w:rPr>
        <w:t>-</w:t>
      </w:r>
      <w:r>
        <w:rPr>
          <w:rFonts w:ascii="Times New Roman" w:eastAsia="宋体" w:hAnsi="Times New Roman" w:cs="Times New Roman"/>
          <w:sz w:val="24"/>
          <w:szCs w:val="24"/>
        </w:rPr>
        <w:t>一体化反应池</w:t>
      </w:r>
      <w:r>
        <w:rPr>
          <w:rFonts w:ascii="Times New Roman" w:eastAsia="宋体" w:hAnsi="Times New Roman" w:cs="Times New Roman"/>
          <w:sz w:val="24"/>
          <w:szCs w:val="24"/>
        </w:rPr>
        <w:t>-</w:t>
      </w:r>
      <w:r>
        <w:rPr>
          <w:rFonts w:ascii="Times New Roman" w:eastAsia="宋体" w:hAnsi="Times New Roman" w:cs="Times New Roman"/>
          <w:sz w:val="24"/>
          <w:szCs w:val="24"/>
        </w:rPr>
        <w:t>气浮</w:t>
      </w:r>
      <w:r>
        <w:rPr>
          <w:rFonts w:ascii="Times New Roman" w:eastAsia="宋体" w:hAnsi="Times New Roman" w:cs="Times New Roman"/>
          <w:sz w:val="24"/>
          <w:szCs w:val="24"/>
        </w:rPr>
        <w:t>-</w:t>
      </w:r>
      <w:r>
        <w:rPr>
          <w:rFonts w:ascii="Times New Roman" w:eastAsia="宋体" w:hAnsi="Times New Roman" w:cs="Times New Roman"/>
          <w:sz w:val="24"/>
          <w:szCs w:val="24"/>
        </w:rPr>
        <w:t>斜板沉淀</w:t>
      </w:r>
      <w:r>
        <w:rPr>
          <w:rFonts w:ascii="Times New Roman" w:eastAsia="宋体" w:hAnsi="Times New Roman" w:cs="Times New Roman"/>
          <w:sz w:val="24"/>
          <w:szCs w:val="24"/>
        </w:rPr>
        <w:t>-A</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/O-MBR</w:t>
      </w:r>
      <w:r>
        <w:rPr>
          <w:rFonts w:ascii="Times New Roman" w:eastAsia="宋体" w:hAnsi="Times New Roman" w:cs="Times New Roman"/>
          <w:sz w:val="24"/>
          <w:szCs w:val="24"/>
        </w:rPr>
        <w:t>膜池</w:t>
      </w:r>
      <w:r>
        <w:rPr>
          <w:rFonts w:ascii="Times New Roman" w:eastAsia="宋体" w:hAnsi="Times New Roman" w:cs="Times New Roman"/>
          <w:sz w:val="24"/>
          <w:szCs w:val="24"/>
        </w:rPr>
        <w:t>-</w:t>
      </w:r>
      <w:r>
        <w:rPr>
          <w:rFonts w:ascii="Times New Roman" w:eastAsia="宋体" w:hAnsi="Times New Roman" w:cs="Times New Roman"/>
          <w:sz w:val="24"/>
          <w:szCs w:val="24"/>
        </w:rPr>
        <w:t>纳滤</w:t>
      </w:r>
      <w:r>
        <w:rPr>
          <w:rFonts w:ascii="Times New Roman" w:eastAsia="宋体" w:hAnsi="Times New Roman" w:cs="Times New Roman"/>
          <w:sz w:val="24"/>
          <w:szCs w:val="24"/>
        </w:rPr>
        <w:t>-</w:t>
      </w:r>
      <w:r>
        <w:rPr>
          <w:rFonts w:ascii="Times New Roman" w:eastAsia="宋体" w:hAnsi="Times New Roman" w:cs="Times New Roman"/>
          <w:sz w:val="24"/>
          <w:szCs w:val="24"/>
        </w:rPr>
        <w:t>反渗透</w:t>
      </w:r>
      <w:r>
        <w:rPr>
          <w:rFonts w:ascii="Times New Roman" w:eastAsia="宋体" w:hAnsi="Times New Roman" w:cs="Times New Roman"/>
          <w:sz w:val="24"/>
          <w:szCs w:val="24"/>
        </w:rPr>
        <w:t>”</w:t>
      </w:r>
      <w:r>
        <w:rPr>
          <w:rFonts w:ascii="Times New Roman" w:eastAsia="宋体" w:hAnsi="Times New Roman" w:cs="Times New Roman"/>
          <w:sz w:val="24"/>
          <w:szCs w:val="24"/>
        </w:rPr>
        <w:t>，</w:t>
      </w:r>
      <w:r>
        <w:rPr>
          <w:rFonts w:ascii="Times New Roman" w:eastAsia="宋体" w:hAnsi="Times New Roman" w:cs="Times New Roman"/>
          <w:kern w:val="0"/>
          <w:sz w:val="24"/>
          <w:szCs w:val="24"/>
        </w:rPr>
        <w:t>所使用的</w:t>
      </w:r>
      <w:r>
        <w:rPr>
          <w:rFonts w:ascii="Times New Roman" w:eastAsia="宋体" w:hAnsi="Times New Roman" w:cs="Times New Roman" w:hint="eastAsia"/>
          <w:kern w:val="0"/>
          <w:sz w:val="24"/>
          <w:szCs w:val="24"/>
        </w:rPr>
        <w:t>纳滤</w:t>
      </w:r>
      <w:r>
        <w:rPr>
          <w:rFonts w:ascii="Times New Roman" w:eastAsia="宋体" w:hAnsi="Times New Roman" w:cs="Times New Roman"/>
          <w:kern w:val="0"/>
          <w:sz w:val="24"/>
          <w:szCs w:val="24"/>
        </w:rPr>
        <w:t>膜</w:t>
      </w:r>
      <w:r>
        <w:rPr>
          <w:rFonts w:ascii="Times New Roman" w:eastAsia="宋体" w:hAnsi="Times New Roman" w:cs="Times New Roman" w:hint="eastAsia"/>
          <w:kern w:val="0"/>
          <w:sz w:val="24"/>
          <w:szCs w:val="24"/>
        </w:rPr>
        <w:t>和反渗透膜</w:t>
      </w:r>
      <w:r>
        <w:rPr>
          <w:rFonts w:ascii="Times New Roman" w:eastAsia="宋体" w:hAnsi="Times New Roman" w:cs="Times New Roman"/>
          <w:kern w:val="0"/>
          <w:sz w:val="24"/>
          <w:szCs w:val="24"/>
        </w:rPr>
        <w:t>需要定期进行反冲洗，提高膜处理效率，</w:t>
      </w:r>
      <w:r>
        <w:rPr>
          <w:rFonts w:ascii="Times New Roman" w:eastAsia="宋体" w:hAnsi="Times New Roman" w:cs="Times New Roman" w:hint="eastAsia"/>
          <w:sz w:val="24"/>
        </w:rPr>
        <w:t>建设单位提供资料，渗滤液处理车间反冲洗废水量为</w:t>
      </w:r>
      <w:r>
        <w:rPr>
          <w:rFonts w:ascii="Times New Roman" w:eastAsia="宋体" w:hAnsi="Times New Roman" w:cs="Times New Roman" w:hint="eastAsia"/>
          <w:sz w:val="24"/>
        </w:rPr>
        <w:t>5m</w:t>
      </w:r>
      <w:r>
        <w:rPr>
          <w:rFonts w:ascii="Times New Roman" w:eastAsia="宋体" w:hAnsi="Times New Roman" w:cs="Times New Roman"/>
          <w:sz w:val="24"/>
          <w:vertAlign w:val="superscript"/>
        </w:rPr>
        <w:t>3</w:t>
      </w:r>
      <w:r>
        <w:rPr>
          <w:rFonts w:ascii="Times New Roman" w:eastAsia="宋体" w:hAnsi="Times New Roman" w:cs="Times New Roman"/>
          <w:sz w:val="24"/>
        </w:rPr>
        <w:t>/</w:t>
      </w:r>
      <w:r>
        <w:rPr>
          <w:rFonts w:ascii="Times New Roman" w:eastAsia="宋体" w:hAnsi="Times New Roman" w:cs="Times New Roman" w:hint="eastAsia"/>
          <w:sz w:val="24"/>
        </w:rPr>
        <w:t>d</w:t>
      </w:r>
      <w:r>
        <w:rPr>
          <w:rFonts w:ascii="Times New Roman" w:eastAsia="宋体" w:hAnsi="Times New Roman" w:cs="Times New Roman" w:hint="eastAsia"/>
          <w:sz w:val="24"/>
        </w:rPr>
        <w:t>。</w:t>
      </w:r>
      <w:r>
        <w:rPr>
          <w:rFonts w:ascii="Times New Roman" w:eastAsia="宋体" w:hAnsi="Times New Roman" w:cs="Times New Roman" w:hint="eastAsia"/>
          <w:kern w:val="0"/>
          <w:sz w:val="24"/>
          <w:szCs w:val="24"/>
        </w:rPr>
        <w:t>反冲洗废水</w:t>
      </w:r>
      <w:r>
        <w:rPr>
          <w:rFonts w:ascii="Times New Roman" w:eastAsia="宋体" w:hAnsi="Times New Roman" w:cs="Times New Roman" w:hint="eastAsia"/>
          <w:sz w:val="24"/>
        </w:rPr>
        <w:t>主要污染物为</w:t>
      </w:r>
      <w:r>
        <w:rPr>
          <w:rFonts w:ascii="Times New Roman" w:eastAsia="宋体" w:hAnsi="Times New Roman" w:cs="Times New Roman"/>
          <w:sz w:val="24"/>
        </w:rPr>
        <w:t>COD</w:t>
      </w:r>
      <w:r>
        <w:rPr>
          <w:rFonts w:ascii="Times New Roman" w:eastAsia="宋体" w:hAnsi="Times New Roman" w:cs="Times New Roman"/>
          <w:sz w:val="24"/>
        </w:rPr>
        <w:t>、</w:t>
      </w:r>
      <w:r>
        <w:rPr>
          <w:rFonts w:ascii="Times New Roman" w:eastAsia="宋体" w:hAnsi="Times New Roman" w:cs="Times New Roman"/>
          <w:sz w:val="24"/>
        </w:rPr>
        <w:t>BOD</w:t>
      </w:r>
      <w:r>
        <w:rPr>
          <w:rFonts w:ascii="Times New Roman" w:eastAsia="宋体" w:hAnsi="Times New Roman" w:cs="Times New Roman"/>
          <w:sz w:val="24"/>
          <w:vertAlign w:val="subscript"/>
        </w:rPr>
        <w:t>5</w:t>
      </w:r>
      <w:r>
        <w:rPr>
          <w:rFonts w:ascii="Times New Roman" w:eastAsia="宋体" w:hAnsi="Times New Roman" w:cs="Times New Roman"/>
          <w:sz w:val="24"/>
        </w:rPr>
        <w:t>、</w:t>
      </w:r>
      <w:r>
        <w:rPr>
          <w:rFonts w:ascii="Times New Roman" w:eastAsia="宋体" w:hAnsi="Times New Roman" w:cs="Times New Roman"/>
          <w:sz w:val="24"/>
        </w:rPr>
        <w:t>SS</w:t>
      </w:r>
      <w:r>
        <w:rPr>
          <w:rFonts w:ascii="Times New Roman" w:eastAsia="宋体" w:hAnsi="Times New Roman" w:cs="Times New Roman"/>
          <w:sz w:val="24"/>
        </w:rPr>
        <w:t>、</w:t>
      </w:r>
      <w:r>
        <w:rPr>
          <w:rFonts w:ascii="Times New Roman" w:eastAsia="宋体" w:hAnsi="Times New Roman" w:cs="Times New Roman" w:hint="eastAsia"/>
          <w:sz w:val="24"/>
        </w:rPr>
        <w:t>氨氮等。</w:t>
      </w:r>
      <w:r w:rsidR="00E01AD5" w:rsidRPr="001A4637">
        <w:rPr>
          <w:rFonts w:ascii="Times New Roman" w:eastAsia="宋体" w:hAnsi="Times New Roman" w:cs="Times New Roman" w:hint="eastAsia"/>
          <w:color w:val="FF0000"/>
          <w:sz w:val="24"/>
        </w:rPr>
        <w:t>类比同类型项目，</w:t>
      </w:r>
      <w:r w:rsidR="001A4637" w:rsidRPr="001A4637">
        <w:rPr>
          <w:rFonts w:ascii="Times New Roman" w:eastAsia="宋体" w:hAnsi="Times New Roman" w:cs="Times New Roman" w:hint="eastAsia"/>
          <w:color w:val="FF0000"/>
          <w:kern w:val="0"/>
          <w:sz w:val="24"/>
          <w:szCs w:val="24"/>
        </w:rPr>
        <w:t>反冲洗废水</w:t>
      </w:r>
      <w:r w:rsidRPr="001A4637">
        <w:rPr>
          <w:rFonts w:ascii="Times New Roman" w:eastAsia="宋体" w:hAnsi="Times New Roman" w:cs="Times New Roman" w:hint="eastAsia"/>
          <w:color w:val="FF0000"/>
          <w:sz w:val="24"/>
        </w:rPr>
        <w:t>水质如下：</w:t>
      </w:r>
      <w:r w:rsidRPr="001A4637">
        <w:rPr>
          <w:rFonts w:ascii="Times New Roman" w:eastAsia="宋体" w:hAnsi="Times New Roman" w:cs="Times New Roman"/>
          <w:color w:val="FF0000"/>
          <w:sz w:val="24"/>
        </w:rPr>
        <w:t>COD5000mg/L</w:t>
      </w:r>
      <w:r w:rsidRPr="001A4637">
        <w:rPr>
          <w:rFonts w:ascii="Times New Roman" w:eastAsia="宋体" w:hAnsi="Times New Roman" w:cs="Times New Roman"/>
          <w:color w:val="FF0000"/>
          <w:sz w:val="24"/>
        </w:rPr>
        <w:t>、</w:t>
      </w:r>
      <w:r w:rsidRPr="001A4637">
        <w:rPr>
          <w:rFonts w:ascii="Times New Roman" w:eastAsia="宋体" w:hAnsi="Times New Roman" w:cs="Times New Roman"/>
          <w:color w:val="FF0000"/>
          <w:sz w:val="24"/>
        </w:rPr>
        <w:t>BOD</w:t>
      </w:r>
      <w:r w:rsidRPr="001A4637">
        <w:rPr>
          <w:rFonts w:ascii="Times New Roman" w:eastAsia="宋体" w:hAnsi="Times New Roman" w:cs="Times New Roman"/>
          <w:color w:val="FF0000"/>
          <w:sz w:val="24"/>
          <w:vertAlign w:val="subscript"/>
        </w:rPr>
        <w:t xml:space="preserve">5 </w:t>
      </w:r>
      <w:r w:rsidRPr="001A4637">
        <w:rPr>
          <w:rFonts w:ascii="Times New Roman" w:eastAsia="宋体" w:hAnsi="Times New Roman" w:cs="Times New Roman"/>
          <w:color w:val="FF0000"/>
          <w:sz w:val="24"/>
        </w:rPr>
        <w:t>1500mg/L</w:t>
      </w:r>
      <w:r w:rsidRPr="001A4637">
        <w:rPr>
          <w:rFonts w:ascii="Times New Roman" w:eastAsia="宋体" w:hAnsi="Times New Roman" w:cs="Times New Roman"/>
          <w:color w:val="FF0000"/>
          <w:sz w:val="24"/>
        </w:rPr>
        <w:t>、</w:t>
      </w:r>
      <w:r w:rsidRPr="001A4637">
        <w:rPr>
          <w:rFonts w:ascii="Times New Roman" w:eastAsia="宋体" w:hAnsi="Times New Roman" w:cs="Times New Roman"/>
          <w:color w:val="FF0000"/>
          <w:sz w:val="24"/>
        </w:rPr>
        <w:t>SS 300mg/L</w:t>
      </w:r>
      <w:r w:rsidRPr="001A4637">
        <w:rPr>
          <w:rFonts w:ascii="Times New Roman" w:eastAsia="宋体" w:hAnsi="Times New Roman" w:cs="Times New Roman"/>
          <w:color w:val="FF0000"/>
          <w:sz w:val="24"/>
        </w:rPr>
        <w:t>、氨氮</w:t>
      </w:r>
      <w:r w:rsidRPr="001A4637">
        <w:rPr>
          <w:rFonts w:ascii="Times New Roman" w:eastAsia="宋体" w:hAnsi="Times New Roman" w:cs="Times New Roman"/>
          <w:color w:val="FF0000"/>
          <w:sz w:val="24"/>
        </w:rPr>
        <w:t>500mg/L</w:t>
      </w:r>
      <w:r w:rsidRPr="001A4637">
        <w:rPr>
          <w:rFonts w:ascii="Times New Roman" w:eastAsia="宋体" w:hAnsi="Times New Roman" w:cs="Times New Roman" w:hint="eastAsia"/>
          <w:color w:val="FF0000"/>
          <w:sz w:val="24"/>
        </w:rPr>
        <w:t>。</w:t>
      </w:r>
      <w:r>
        <w:rPr>
          <w:rFonts w:ascii="Times New Roman" w:eastAsia="宋体" w:hAnsi="Times New Roman" w:cs="Times New Roman" w:hint="eastAsia"/>
          <w:sz w:val="24"/>
        </w:rPr>
        <w:t>反冲洗废水进入渗沥液处理站处理。</w:t>
      </w:r>
    </w:p>
    <w:p w14:paraId="22AD3135"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hint="eastAsia"/>
          <w:kern w:val="0"/>
          <w:sz w:val="24"/>
          <w:szCs w:val="24"/>
        </w:rPr>
        <w:t>）渗滤液处理站地面冲洗废水</w:t>
      </w:r>
    </w:p>
    <w:p w14:paraId="69457360"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根据建设单位提供资料，车间地面冲洗废水产生量为</w:t>
      </w:r>
      <w:r>
        <w:rPr>
          <w:rFonts w:ascii="Times New Roman" w:eastAsia="宋体" w:hAnsi="Times New Roman" w:cs="Times New Roman"/>
          <w:sz w:val="24"/>
        </w:rPr>
        <w:t>3</w:t>
      </w:r>
      <w:r>
        <w:rPr>
          <w:rFonts w:ascii="Times New Roman" w:eastAsia="宋体" w:hAnsi="Times New Roman" w:cs="Times New Roman" w:hint="eastAsia"/>
          <w:sz w:val="24"/>
        </w:rPr>
        <w:t>m</w:t>
      </w:r>
      <w:r>
        <w:rPr>
          <w:rFonts w:ascii="Times New Roman" w:eastAsia="宋体" w:hAnsi="Times New Roman" w:cs="Times New Roman"/>
          <w:sz w:val="24"/>
          <w:vertAlign w:val="superscript"/>
        </w:rPr>
        <w:t>3</w:t>
      </w:r>
      <w:r>
        <w:rPr>
          <w:rFonts w:ascii="Times New Roman" w:eastAsia="宋体" w:hAnsi="Times New Roman" w:cs="Times New Roman"/>
          <w:sz w:val="24"/>
        </w:rPr>
        <w:t>/</w:t>
      </w:r>
      <w:r>
        <w:rPr>
          <w:rFonts w:ascii="Times New Roman" w:eastAsia="宋体" w:hAnsi="Times New Roman" w:cs="Times New Roman" w:hint="eastAsia"/>
          <w:sz w:val="24"/>
        </w:rPr>
        <w:t>d</w:t>
      </w:r>
      <w:r>
        <w:rPr>
          <w:rFonts w:ascii="Times New Roman" w:eastAsia="宋体" w:hAnsi="Times New Roman" w:cs="Times New Roman" w:hint="eastAsia"/>
          <w:sz w:val="24"/>
        </w:rPr>
        <w:t>。主要污染物为</w:t>
      </w:r>
      <w:r>
        <w:rPr>
          <w:rFonts w:ascii="Times New Roman" w:eastAsia="宋体" w:hAnsi="Times New Roman" w:cs="Times New Roman"/>
          <w:sz w:val="24"/>
        </w:rPr>
        <w:t>COD</w:t>
      </w:r>
      <w:r>
        <w:rPr>
          <w:rFonts w:ascii="Times New Roman" w:eastAsia="宋体" w:hAnsi="Times New Roman" w:cs="Times New Roman"/>
          <w:sz w:val="24"/>
        </w:rPr>
        <w:t>、</w:t>
      </w:r>
      <w:r>
        <w:rPr>
          <w:rFonts w:ascii="Times New Roman" w:eastAsia="宋体" w:hAnsi="Times New Roman" w:cs="Times New Roman"/>
          <w:sz w:val="24"/>
        </w:rPr>
        <w:t>BOD</w:t>
      </w:r>
      <w:r>
        <w:rPr>
          <w:rFonts w:ascii="Times New Roman" w:eastAsia="宋体" w:hAnsi="Times New Roman" w:cs="Times New Roman"/>
          <w:sz w:val="24"/>
          <w:vertAlign w:val="subscript"/>
        </w:rPr>
        <w:t>5</w:t>
      </w:r>
      <w:r>
        <w:rPr>
          <w:rFonts w:ascii="Times New Roman" w:eastAsia="宋体" w:hAnsi="Times New Roman" w:cs="Times New Roman"/>
          <w:sz w:val="24"/>
        </w:rPr>
        <w:t>、</w:t>
      </w:r>
      <w:r>
        <w:rPr>
          <w:rFonts w:ascii="Times New Roman" w:eastAsia="宋体" w:hAnsi="Times New Roman" w:cs="Times New Roman"/>
          <w:sz w:val="24"/>
        </w:rPr>
        <w:t>SS</w:t>
      </w:r>
      <w:r>
        <w:rPr>
          <w:rFonts w:ascii="Times New Roman" w:eastAsia="宋体" w:hAnsi="Times New Roman" w:cs="Times New Roman"/>
          <w:sz w:val="24"/>
        </w:rPr>
        <w:t>、</w:t>
      </w:r>
      <w:r>
        <w:rPr>
          <w:rFonts w:ascii="Times New Roman" w:eastAsia="宋体" w:hAnsi="Times New Roman" w:cs="Times New Roman" w:hint="eastAsia"/>
          <w:sz w:val="24"/>
        </w:rPr>
        <w:t>氨氮等。水质如下：</w:t>
      </w:r>
      <w:r>
        <w:rPr>
          <w:rFonts w:ascii="Times New Roman" w:eastAsia="宋体" w:hAnsi="Times New Roman" w:cs="Times New Roman"/>
          <w:sz w:val="24"/>
        </w:rPr>
        <w:t>COD2000mg/L</w:t>
      </w:r>
      <w:r>
        <w:rPr>
          <w:rFonts w:ascii="Times New Roman" w:eastAsia="宋体" w:hAnsi="Times New Roman" w:cs="Times New Roman"/>
          <w:sz w:val="24"/>
        </w:rPr>
        <w:t>、</w:t>
      </w:r>
      <w:r>
        <w:rPr>
          <w:rFonts w:ascii="Times New Roman" w:eastAsia="宋体" w:hAnsi="Times New Roman" w:cs="Times New Roman"/>
          <w:sz w:val="24"/>
        </w:rPr>
        <w:t>BOD</w:t>
      </w:r>
      <w:r>
        <w:rPr>
          <w:rFonts w:ascii="Times New Roman" w:eastAsia="宋体" w:hAnsi="Times New Roman" w:cs="Times New Roman"/>
          <w:sz w:val="24"/>
          <w:vertAlign w:val="subscript"/>
        </w:rPr>
        <w:t xml:space="preserve">5 </w:t>
      </w:r>
      <w:r>
        <w:rPr>
          <w:rFonts w:ascii="Times New Roman" w:eastAsia="宋体" w:hAnsi="Times New Roman" w:cs="Times New Roman"/>
          <w:sz w:val="24"/>
        </w:rPr>
        <w:t>1600mg/L</w:t>
      </w:r>
      <w:r>
        <w:rPr>
          <w:rFonts w:ascii="Times New Roman" w:eastAsia="宋体" w:hAnsi="Times New Roman" w:cs="Times New Roman"/>
          <w:sz w:val="24"/>
        </w:rPr>
        <w:t>、</w:t>
      </w:r>
      <w:r>
        <w:rPr>
          <w:rFonts w:ascii="Times New Roman" w:eastAsia="宋体" w:hAnsi="Times New Roman" w:cs="Times New Roman"/>
          <w:sz w:val="24"/>
        </w:rPr>
        <w:t>SS 500mg/L</w:t>
      </w:r>
      <w:r>
        <w:rPr>
          <w:rFonts w:ascii="Times New Roman" w:eastAsia="宋体" w:hAnsi="Times New Roman" w:cs="Times New Roman"/>
          <w:sz w:val="24"/>
        </w:rPr>
        <w:t>、氨氮</w:t>
      </w:r>
      <w:r>
        <w:rPr>
          <w:rFonts w:ascii="Times New Roman" w:eastAsia="宋体" w:hAnsi="Times New Roman" w:cs="Times New Roman"/>
          <w:sz w:val="24"/>
        </w:rPr>
        <w:t>200mg/L</w:t>
      </w:r>
      <w:r>
        <w:rPr>
          <w:rFonts w:ascii="Times New Roman" w:eastAsia="宋体" w:hAnsi="Times New Roman" w:cs="Times New Roman" w:hint="eastAsia"/>
          <w:sz w:val="24"/>
        </w:rPr>
        <w:t>。渗沥</w:t>
      </w:r>
      <w:r>
        <w:rPr>
          <w:rFonts w:ascii="Times New Roman" w:eastAsia="宋体" w:hAnsi="Times New Roman" w:cs="Times New Roman" w:hint="eastAsia"/>
          <w:sz w:val="24"/>
        </w:rPr>
        <w:lastRenderedPageBreak/>
        <w:t>液处理车间地面冲洗废水进入渗沥液处理站处理。</w:t>
      </w:r>
    </w:p>
    <w:p w14:paraId="286821C3"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4</w:t>
      </w:r>
      <w:r>
        <w:rPr>
          <w:rFonts w:ascii="Times New Roman" w:eastAsia="宋体" w:hAnsi="Times New Roman" w:cs="Times New Roman" w:hint="eastAsia"/>
          <w:kern w:val="0"/>
          <w:sz w:val="24"/>
          <w:szCs w:val="24"/>
        </w:rPr>
        <w:t>）洗车废水</w:t>
      </w:r>
    </w:p>
    <w:p w14:paraId="3DE4014B"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一辆垃圾车运输量约为</w:t>
      </w:r>
      <w:r>
        <w:rPr>
          <w:rFonts w:ascii="Times New Roman" w:eastAsia="宋体" w:hAnsi="Times New Roman" w:cs="Times New Roman"/>
          <w:kern w:val="0"/>
          <w:sz w:val="24"/>
          <w:szCs w:val="24"/>
        </w:rPr>
        <w:t>6t</w:t>
      </w:r>
      <w:r>
        <w:rPr>
          <w:rFonts w:ascii="Times New Roman" w:eastAsia="宋体" w:hAnsi="Times New Roman" w:cs="Times New Roman"/>
          <w:kern w:val="0"/>
          <w:sz w:val="24"/>
          <w:szCs w:val="24"/>
        </w:rPr>
        <w:t>，每天运输垃圾车运输次数为</w:t>
      </w:r>
      <w:r>
        <w:rPr>
          <w:rFonts w:ascii="Times New Roman" w:eastAsia="宋体" w:hAnsi="Times New Roman" w:cs="Times New Roman"/>
          <w:kern w:val="0"/>
          <w:sz w:val="24"/>
          <w:szCs w:val="24"/>
        </w:rPr>
        <w:t>19</w:t>
      </w:r>
      <w:r>
        <w:rPr>
          <w:rFonts w:ascii="Times New Roman" w:eastAsia="宋体" w:hAnsi="Times New Roman" w:cs="Times New Roman"/>
          <w:kern w:val="0"/>
          <w:sz w:val="24"/>
          <w:szCs w:val="24"/>
        </w:rPr>
        <w:t>次</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天，</w:t>
      </w:r>
      <w:r>
        <w:rPr>
          <w:rFonts w:ascii="Times New Roman" w:eastAsia="宋体" w:hAnsi="Times New Roman" w:cs="Times New Roman" w:hint="eastAsia"/>
          <w:kern w:val="0"/>
          <w:sz w:val="24"/>
          <w:szCs w:val="24"/>
        </w:rPr>
        <w:t>厂区主要车辆共</w:t>
      </w:r>
      <w:r>
        <w:rPr>
          <w:rFonts w:ascii="Times New Roman" w:eastAsia="宋体" w:hAnsi="Times New Roman" w:cs="Times New Roman" w:hint="eastAsia"/>
          <w:kern w:val="0"/>
          <w:sz w:val="24"/>
          <w:szCs w:val="24"/>
        </w:rPr>
        <w:t>7</w:t>
      </w:r>
      <w:r>
        <w:rPr>
          <w:rFonts w:ascii="Times New Roman" w:eastAsia="宋体" w:hAnsi="Times New Roman" w:cs="Times New Roman" w:hint="eastAsia"/>
          <w:kern w:val="0"/>
          <w:sz w:val="24"/>
          <w:szCs w:val="24"/>
        </w:rPr>
        <w:t>辆，</w:t>
      </w:r>
      <w:r>
        <w:rPr>
          <w:rFonts w:ascii="Times New Roman" w:eastAsia="宋体" w:hAnsi="Times New Roman" w:cs="Times New Roman"/>
          <w:kern w:val="0"/>
          <w:sz w:val="24"/>
          <w:szCs w:val="24"/>
        </w:rPr>
        <w:t>根据《建筑给水排水设计规范》（</w:t>
      </w:r>
      <w:r>
        <w:rPr>
          <w:rFonts w:ascii="Times New Roman" w:eastAsia="宋体" w:hAnsi="Times New Roman" w:cs="Times New Roman"/>
          <w:kern w:val="0"/>
          <w:sz w:val="24"/>
          <w:szCs w:val="24"/>
        </w:rPr>
        <w:t>GB50015-2010</w:t>
      </w:r>
      <w:r>
        <w:rPr>
          <w:rFonts w:ascii="Times New Roman" w:eastAsia="宋体" w:hAnsi="Times New Roman" w:cs="Times New Roman"/>
          <w:kern w:val="0"/>
          <w:sz w:val="24"/>
          <w:szCs w:val="24"/>
        </w:rPr>
        <w:t>），汽车冲洗用水取值为</w:t>
      </w:r>
      <w:r>
        <w:rPr>
          <w:rFonts w:ascii="Times New Roman" w:eastAsia="宋体" w:hAnsi="Times New Roman" w:cs="Times New Roman"/>
          <w:kern w:val="0"/>
          <w:sz w:val="24"/>
          <w:szCs w:val="24"/>
        </w:rPr>
        <w:t>100L</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200L/</w:t>
      </w:r>
      <w:r>
        <w:rPr>
          <w:rFonts w:ascii="Times New Roman" w:eastAsia="宋体" w:hAnsi="Times New Roman" w:cs="Times New Roman"/>
          <w:kern w:val="0"/>
          <w:sz w:val="24"/>
          <w:szCs w:val="24"/>
        </w:rPr>
        <w:t>辆</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次，用水定额按</w:t>
      </w:r>
      <w:r>
        <w:rPr>
          <w:rFonts w:ascii="Times New Roman" w:eastAsia="宋体" w:hAnsi="Times New Roman" w:cs="Times New Roman"/>
          <w:kern w:val="0"/>
          <w:sz w:val="24"/>
          <w:szCs w:val="24"/>
        </w:rPr>
        <w:t>150L/</w:t>
      </w:r>
      <w:r>
        <w:rPr>
          <w:rFonts w:ascii="Times New Roman" w:eastAsia="宋体" w:hAnsi="Times New Roman" w:cs="Times New Roman"/>
          <w:kern w:val="0"/>
          <w:sz w:val="24"/>
          <w:szCs w:val="24"/>
        </w:rPr>
        <w:t>车</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次计算</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则</w:t>
      </w:r>
      <w:r>
        <w:rPr>
          <w:rFonts w:ascii="Times New Roman" w:eastAsia="宋体" w:hAnsi="Times New Roman" w:cs="Times New Roman" w:hint="eastAsia"/>
          <w:kern w:val="0"/>
          <w:sz w:val="24"/>
          <w:szCs w:val="24"/>
        </w:rPr>
        <w:t>全厂</w:t>
      </w:r>
      <w:r>
        <w:rPr>
          <w:rFonts w:ascii="Times New Roman" w:eastAsia="宋体" w:hAnsi="Times New Roman" w:cs="Times New Roman"/>
          <w:kern w:val="0"/>
          <w:sz w:val="24"/>
          <w:szCs w:val="24"/>
        </w:rPr>
        <w:t>车辆冲洗用水量</w:t>
      </w:r>
      <w:r>
        <w:rPr>
          <w:rFonts w:ascii="Times New Roman" w:eastAsia="宋体" w:hAnsi="Times New Roman" w:cs="Times New Roman"/>
          <w:kern w:val="0"/>
          <w:sz w:val="24"/>
          <w:szCs w:val="24"/>
        </w:rPr>
        <w:t>3.9m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，即</w:t>
      </w:r>
      <w:r>
        <w:rPr>
          <w:rFonts w:ascii="Times New Roman" w:eastAsia="宋体" w:hAnsi="Times New Roman" w:cs="Times New Roman"/>
          <w:kern w:val="0"/>
          <w:sz w:val="24"/>
          <w:szCs w:val="24"/>
        </w:rPr>
        <w:t>1423.5m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。污水量按用水量的</w:t>
      </w:r>
      <w:r>
        <w:rPr>
          <w:rFonts w:ascii="Times New Roman" w:eastAsia="宋体" w:hAnsi="Times New Roman" w:cs="Times New Roman"/>
          <w:kern w:val="0"/>
          <w:sz w:val="24"/>
          <w:szCs w:val="24"/>
        </w:rPr>
        <w:t>80%</w:t>
      </w:r>
      <w:r>
        <w:rPr>
          <w:rFonts w:ascii="Times New Roman" w:eastAsia="宋体" w:hAnsi="Times New Roman" w:cs="Times New Roman"/>
          <w:kern w:val="0"/>
          <w:sz w:val="24"/>
          <w:szCs w:val="24"/>
        </w:rPr>
        <w:t>计，冲洗废水产生量为</w:t>
      </w:r>
      <w:r>
        <w:rPr>
          <w:rFonts w:ascii="Times New Roman" w:eastAsia="宋体" w:hAnsi="Times New Roman" w:cs="Times New Roman"/>
          <w:kern w:val="0"/>
          <w:sz w:val="24"/>
          <w:szCs w:val="24"/>
        </w:rPr>
        <w:t>3.12m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，即</w:t>
      </w:r>
      <w:r>
        <w:rPr>
          <w:rFonts w:ascii="Times New Roman" w:eastAsia="宋体" w:hAnsi="Times New Roman" w:cs="Times New Roman"/>
          <w:kern w:val="0"/>
          <w:sz w:val="24"/>
          <w:szCs w:val="24"/>
        </w:rPr>
        <w:t>1138.8m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/a</w:t>
      </w:r>
      <w:r>
        <w:rPr>
          <w:rFonts w:ascii="Times New Roman" w:eastAsia="宋体" w:hAnsi="Times New Roman" w:cs="Times New Roman"/>
          <w:kern w:val="0"/>
          <w:sz w:val="24"/>
          <w:szCs w:val="24"/>
        </w:rPr>
        <w:t>。主要污染物为</w:t>
      </w:r>
      <w:r>
        <w:rPr>
          <w:rFonts w:ascii="Times New Roman" w:eastAsia="宋体" w:hAnsi="Times New Roman" w:cs="Times New Roman"/>
          <w:kern w:val="0"/>
          <w:sz w:val="24"/>
          <w:szCs w:val="24"/>
        </w:rPr>
        <w:t>COD 500mg/L</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BOD</w:t>
      </w:r>
      <w:r>
        <w:rPr>
          <w:rFonts w:ascii="Times New Roman" w:eastAsia="宋体" w:hAnsi="Times New Roman" w:cs="Times New Roman"/>
          <w:kern w:val="0"/>
          <w:sz w:val="24"/>
          <w:szCs w:val="24"/>
          <w:vertAlign w:val="subscript"/>
        </w:rPr>
        <w:t>5</w:t>
      </w:r>
      <w:r>
        <w:rPr>
          <w:rFonts w:ascii="Times New Roman" w:eastAsia="宋体" w:hAnsi="Times New Roman" w:cs="Times New Roman"/>
          <w:kern w:val="0"/>
          <w:sz w:val="24"/>
          <w:szCs w:val="24"/>
        </w:rPr>
        <w:t xml:space="preserve"> 400mg/L</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SS 800mg/L</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NH3-N 50mg/L</w:t>
      </w:r>
      <w:r>
        <w:rPr>
          <w:rFonts w:ascii="Times New Roman" w:eastAsia="宋体" w:hAnsi="Times New Roman" w:cs="Times New Roman"/>
          <w:kern w:val="0"/>
          <w:sz w:val="24"/>
          <w:szCs w:val="24"/>
        </w:rPr>
        <w:t>、动植物油</w:t>
      </w:r>
      <w:r>
        <w:rPr>
          <w:rFonts w:ascii="Times New Roman" w:eastAsia="宋体" w:hAnsi="Times New Roman" w:cs="Times New Roman"/>
          <w:kern w:val="0"/>
          <w:sz w:val="24"/>
          <w:szCs w:val="24"/>
        </w:rPr>
        <w:t>100mg/L</w:t>
      </w:r>
      <w:r>
        <w:rPr>
          <w:rFonts w:ascii="Times New Roman" w:eastAsia="宋体" w:hAnsi="Times New Roman" w:cs="Times New Roman" w:hint="eastAsia"/>
          <w:kern w:val="0"/>
          <w:sz w:val="24"/>
          <w:szCs w:val="24"/>
        </w:rPr>
        <w:t>等</w:t>
      </w:r>
      <w:r>
        <w:rPr>
          <w:rFonts w:ascii="Times New Roman" w:eastAsia="宋体" w:hAnsi="Times New Roman" w:cs="Times New Roman"/>
          <w:kern w:val="0"/>
          <w:sz w:val="24"/>
          <w:szCs w:val="24"/>
        </w:rPr>
        <w:t>。</w:t>
      </w:r>
    </w:p>
    <w:p w14:paraId="6F1270B6"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5</w:t>
      </w:r>
      <w:r>
        <w:rPr>
          <w:rFonts w:ascii="Times New Roman" w:eastAsia="宋体" w:hAnsi="Times New Roman" w:cs="Times New Roman" w:hint="eastAsia"/>
          <w:kern w:val="0"/>
          <w:sz w:val="24"/>
          <w:szCs w:val="24"/>
        </w:rPr>
        <w:t>）生活污水</w:t>
      </w:r>
    </w:p>
    <w:p w14:paraId="317AE77C"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本项目劳动定员</w:t>
      </w:r>
      <w:r>
        <w:rPr>
          <w:rFonts w:ascii="Times New Roman" w:eastAsia="宋体" w:hAnsi="Times New Roman" w:cs="Times New Roman"/>
          <w:sz w:val="24"/>
        </w:rPr>
        <w:t xml:space="preserve">16 </w:t>
      </w:r>
      <w:r>
        <w:rPr>
          <w:rFonts w:ascii="Times New Roman" w:eastAsia="宋体" w:hAnsi="Times New Roman" w:cs="Times New Roman"/>
          <w:sz w:val="24"/>
        </w:rPr>
        <w:t>人，</w:t>
      </w:r>
      <w:r>
        <w:rPr>
          <w:rFonts w:ascii="Times New Roman" w:eastAsia="宋体" w:hAnsi="Times New Roman" w:cs="Times New Roman" w:hint="eastAsia"/>
          <w:sz w:val="24"/>
        </w:rPr>
        <w:t>根据《陕西省行业用水定额》（</w:t>
      </w:r>
      <w:r>
        <w:rPr>
          <w:rFonts w:ascii="Times New Roman" w:eastAsia="宋体" w:hAnsi="Times New Roman" w:cs="Times New Roman"/>
          <w:sz w:val="24"/>
        </w:rPr>
        <w:t>DB61/T 943—2020</w:t>
      </w:r>
      <w:r>
        <w:rPr>
          <w:rFonts w:ascii="Times New Roman" w:eastAsia="宋体" w:hAnsi="Times New Roman" w:cs="Times New Roman" w:hint="eastAsia"/>
          <w:sz w:val="24"/>
        </w:rPr>
        <w:t>），</w:t>
      </w:r>
      <w:r>
        <w:rPr>
          <w:rFonts w:ascii="Times New Roman" w:eastAsia="宋体" w:hAnsi="Times New Roman" w:cs="Times New Roman"/>
          <w:sz w:val="24"/>
        </w:rPr>
        <w:t>用水量按</w:t>
      </w:r>
      <w:r>
        <w:rPr>
          <w:rFonts w:ascii="Times New Roman" w:eastAsia="宋体" w:hAnsi="Times New Roman" w:cs="Times New Roman"/>
          <w:sz w:val="24"/>
        </w:rPr>
        <w:t>80L/d▪</w:t>
      </w:r>
      <w:r>
        <w:rPr>
          <w:rFonts w:ascii="Times New Roman" w:eastAsia="宋体" w:hAnsi="Times New Roman" w:cs="Times New Roman"/>
          <w:sz w:val="24"/>
        </w:rPr>
        <w:t>人计，</w:t>
      </w:r>
      <w:r>
        <w:rPr>
          <w:rFonts w:ascii="Times New Roman" w:eastAsia="宋体" w:hAnsi="Times New Roman" w:cs="Times New Roman" w:hint="eastAsia"/>
          <w:sz w:val="24"/>
        </w:rPr>
        <w:t>生活污水的产生量按用水量的</w:t>
      </w:r>
      <w:r>
        <w:rPr>
          <w:rFonts w:ascii="Times New Roman" w:eastAsia="宋体" w:hAnsi="Times New Roman" w:cs="Times New Roman" w:hint="eastAsia"/>
          <w:sz w:val="24"/>
        </w:rPr>
        <w:t>8</w:t>
      </w:r>
      <w:r>
        <w:rPr>
          <w:rFonts w:ascii="Times New Roman" w:eastAsia="宋体" w:hAnsi="Times New Roman" w:cs="Times New Roman"/>
          <w:sz w:val="24"/>
        </w:rPr>
        <w:t>0</w:t>
      </w:r>
      <w:r>
        <w:rPr>
          <w:rFonts w:ascii="Times New Roman" w:eastAsia="宋体" w:hAnsi="Times New Roman" w:cs="Times New Roman" w:hint="eastAsia"/>
          <w:sz w:val="24"/>
        </w:rPr>
        <w:t>%</w:t>
      </w:r>
      <w:r>
        <w:rPr>
          <w:rFonts w:ascii="Times New Roman" w:eastAsia="宋体" w:hAnsi="Times New Roman" w:cs="Times New Roman" w:hint="eastAsia"/>
          <w:sz w:val="24"/>
        </w:rPr>
        <w:t>计算，则生活污水的产生量为</w:t>
      </w:r>
      <w:r>
        <w:rPr>
          <w:rFonts w:ascii="Times New Roman" w:eastAsia="宋体" w:hAnsi="Times New Roman" w:cs="Times New Roman" w:hint="eastAsia"/>
          <w:sz w:val="24"/>
        </w:rPr>
        <w:t>1</w:t>
      </w:r>
      <w:r>
        <w:rPr>
          <w:rFonts w:ascii="Times New Roman" w:eastAsia="宋体" w:hAnsi="Times New Roman" w:cs="Times New Roman"/>
          <w:sz w:val="24"/>
        </w:rPr>
        <w:t>.024</w:t>
      </w:r>
      <w:r>
        <w:rPr>
          <w:rFonts w:ascii="Times New Roman" w:eastAsia="宋体" w:hAnsi="Times New Roman" w:cs="Times New Roman" w:hint="eastAsia"/>
          <w:sz w:val="24"/>
        </w:rPr>
        <w:t>m</w:t>
      </w:r>
      <w:r>
        <w:rPr>
          <w:rFonts w:ascii="Times New Roman" w:eastAsia="宋体" w:hAnsi="Times New Roman" w:cs="Times New Roman"/>
          <w:sz w:val="24"/>
          <w:vertAlign w:val="superscript"/>
        </w:rPr>
        <w:t>3</w:t>
      </w:r>
      <w:r>
        <w:rPr>
          <w:rFonts w:ascii="Times New Roman" w:eastAsia="宋体" w:hAnsi="Times New Roman" w:cs="Times New Roman"/>
          <w:sz w:val="24"/>
        </w:rPr>
        <w:t>/</w:t>
      </w:r>
      <w:r>
        <w:rPr>
          <w:rFonts w:ascii="Times New Roman" w:eastAsia="宋体" w:hAnsi="Times New Roman" w:cs="Times New Roman" w:hint="eastAsia"/>
          <w:sz w:val="24"/>
        </w:rPr>
        <w:t>d</w:t>
      </w:r>
      <w:r>
        <w:rPr>
          <w:rFonts w:ascii="Times New Roman" w:eastAsia="宋体" w:hAnsi="Times New Roman" w:cs="Times New Roman" w:hint="eastAsia"/>
          <w:sz w:val="24"/>
        </w:rPr>
        <w:t>，生活污水主要污染物为</w:t>
      </w:r>
      <w:r>
        <w:rPr>
          <w:rFonts w:ascii="Times New Roman" w:eastAsia="宋体" w:hAnsi="Times New Roman" w:cs="Times New Roman"/>
          <w:sz w:val="24"/>
        </w:rPr>
        <w:t>COD</w:t>
      </w:r>
      <w:r>
        <w:rPr>
          <w:rFonts w:ascii="Times New Roman" w:eastAsia="宋体" w:hAnsi="Times New Roman" w:cs="Times New Roman"/>
          <w:sz w:val="24"/>
        </w:rPr>
        <w:t>、</w:t>
      </w:r>
      <w:r>
        <w:rPr>
          <w:rFonts w:ascii="Times New Roman" w:eastAsia="宋体" w:hAnsi="Times New Roman" w:cs="Times New Roman"/>
          <w:sz w:val="24"/>
        </w:rPr>
        <w:t>BOD</w:t>
      </w:r>
      <w:r>
        <w:rPr>
          <w:rFonts w:ascii="Times New Roman" w:eastAsia="宋体" w:hAnsi="Times New Roman" w:cs="Times New Roman"/>
          <w:sz w:val="24"/>
          <w:vertAlign w:val="subscript"/>
        </w:rPr>
        <w:t>5</w:t>
      </w:r>
      <w:r>
        <w:rPr>
          <w:rFonts w:ascii="Times New Roman" w:eastAsia="宋体" w:hAnsi="Times New Roman" w:cs="Times New Roman"/>
          <w:sz w:val="24"/>
        </w:rPr>
        <w:t>、</w:t>
      </w:r>
      <w:r>
        <w:rPr>
          <w:rFonts w:ascii="Times New Roman" w:eastAsia="宋体" w:hAnsi="Times New Roman" w:cs="Times New Roman"/>
          <w:sz w:val="24"/>
        </w:rPr>
        <w:t>SS</w:t>
      </w:r>
      <w:r>
        <w:rPr>
          <w:rFonts w:ascii="Times New Roman" w:eastAsia="宋体" w:hAnsi="Times New Roman" w:cs="Times New Roman"/>
          <w:sz w:val="24"/>
        </w:rPr>
        <w:t>、</w:t>
      </w:r>
      <w:r>
        <w:rPr>
          <w:rFonts w:ascii="Times New Roman" w:eastAsia="宋体" w:hAnsi="Times New Roman" w:cs="Times New Roman" w:hint="eastAsia"/>
          <w:sz w:val="24"/>
        </w:rPr>
        <w:t>氨氮等。水质如下：</w:t>
      </w:r>
      <w:r>
        <w:rPr>
          <w:rFonts w:ascii="Times New Roman" w:eastAsia="宋体" w:hAnsi="Times New Roman" w:cs="Times New Roman"/>
          <w:sz w:val="24"/>
        </w:rPr>
        <w:t>COD 280mg/L</w:t>
      </w:r>
      <w:r>
        <w:rPr>
          <w:rFonts w:ascii="Times New Roman" w:eastAsia="宋体" w:hAnsi="Times New Roman" w:cs="Times New Roman"/>
          <w:sz w:val="24"/>
        </w:rPr>
        <w:t>、</w:t>
      </w:r>
      <w:r>
        <w:rPr>
          <w:rFonts w:ascii="Times New Roman" w:eastAsia="宋体" w:hAnsi="Times New Roman" w:cs="Times New Roman"/>
          <w:sz w:val="24"/>
        </w:rPr>
        <w:t>BOD</w:t>
      </w:r>
      <w:r>
        <w:rPr>
          <w:rFonts w:ascii="Times New Roman" w:eastAsia="宋体" w:hAnsi="Times New Roman" w:cs="Times New Roman"/>
          <w:sz w:val="24"/>
          <w:vertAlign w:val="subscript"/>
        </w:rPr>
        <w:t xml:space="preserve">5 </w:t>
      </w:r>
      <w:r>
        <w:rPr>
          <w:rFonts w:ascii="Times New Roman" w:eastAsia="宋体" w:hAnsi="Times New Roman" w:cs="Times New Roman"/>
          <w:sz w:val="24"/>
        </w:rPr>
        <w:t>200mg/L</w:t>
      </w:r>
      <w:r>
        <w:rPr>
          <w:rFonts w:ascii="Times New Roman" w:eastAsia="宋体" w:hAnsi="Times New Roman" w:cs="Times New Roman"/>
          <w:sz w:val="24"/>
        </w:rPr>
        <w:t>、</w:t>
      </w:r>
      <w:r>
        <w:rPr>
          <w:rFonts w:ascii="Times New Roman" w:eastAsia="宋体" w:hAnsi="Times New Roman" w:cs="Times New Roman"/>
          <w:sz w:val="24"/>
        </w:rPr>
        <w:t>SS 200mg/L</w:t>
      </w:r>
      <w:r>
        <w:rPr>
          <w:rFonts w:ascii="Times New Roman" w:eastAsia="宋体" w:hAnsi="Times New Roman" w:cs="Times New Roman"/>
          <w:sz w:val="24"/>
        </w:rPr>
        <w:t>、氨氮</w:t>
      </w:r>
      <w:r>
        <w:rPr>
          <w:rFonts w:ascii="Times New Roman" w:eastAsia="宋体" w:hAnsi="Times New Roman" w:cs="Times New Roman"/>
          <w:sz w:val="24"/>
        </w:rPr>
        <w:t>30mg/L</w:t>
      </w:r>
      <w:r>
        <w:rPr>
          <w:rFonts w:ascii="Times New Roman" w:eastAsia="宋体" w:hAnsi="Times New Roman" w:cs="Times New Roman" w:hint="eastAsia"/>
          <w:sz w:val="24"/>
        </w:rPr>
        <w:t>。生活污水经化粪池处理后排至填埋场调节池内，进入渗沥液处理站处理。</w:t>
      </w:r>
    </w:p>
    <w:p w14:paraId="530F5324"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项目废水污染物产排情况汇总见表</w:t>
      </w:r>
      <w:r>
        <w:rPr>
          <w:rFonts w:ascii="Times New Roman" w:eastAsia="宋体" w:hAnsi="Times New Roman" w:cs="Times New Roman" w:hint="eastAsia"/>
          <w:sz w:val="24"/>
        </w:rPr>
        <w:t>4</w:t>
      </w:r>
      <w:r>
        <w:rPr>
          <w:rFonts w:ascii="Times New Roman" w:eastAsia="宋体" w:hAnsi="Times New Roman" w:cs="Times New Roman"/>
          <w:sz w:val="24"/>
        </w:rPr>
        <w:t>.2-3</w:t>
      </w:r>
      <w:r>
        <w:rPr>
          <w:rFonts w:ascii="Times New Roman" w:eastAsia="宋体" w:hAnsi="Times New Roman" w:cs="Times New Roman" w:hint="eastAsia"/>
          <w:sz w:val="24"/>
        </w:rPr>
        <w:t>。</w:t>
      </w:r>
    </w:p>
    <w:p w14:paraId="0DF576C8" w14:textId="77777777" w:rsidR="00D12939" w:rsidRDefault="004F47F5">
      <w:pPr>
        <w:spacing w:line="360" w:lineRule="auto"/>
        <w:ind w:firstLine="462"/>
        <w:jc w:val="center"/>
        <w:rPr>
          <w:rFonts w:ascii="黑体" w:eastAsia="黑体" w:hAnsi="黑体" w:cs="Times New Roman"/>
          <w:sz w:val="24"/>
        </w:rPr>
      </w:pPr>
      <w:r>
        <w:rPr>
          <w:rFonts w:ascii="黑体" w:eastAsia="黑体" w:hAnsi="黑体" w:cs="Times New Roman" w:hint="eastAsia"/>
          <w:sz w:val="24"/>
        </w:rPr>
        <w:t>表</w:t>
      </w:r>
      <w:r>
        <w:rPr>
          <w:rFonts w:ascii="黑体" w:eastAsia="黑体" w:hAnsi="黑体" w:cs="Times New Roman"/>
          <w:sz w:val="24"/>
        </w:rPr>
        <w:t xml:space="preserve">4.2-3   </w:t>
      </w:r>
      <w:r>
        <w:rPr>
          <w:rFonts w:ascii="黑体" w:eastAsia="黑体" w:hAnsi="黑体" w:cs="Times New Roman" w:hint="eastAsia"/>
          <w:sz w:val="24"/>
        </w:rPr>
        <w:t>项目废水污染物产排情况一览表</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10"/>
        <w:gridCol w:w="749"/>
        <w:gridCol w:w="1033"/>
        <w:gridCol w:w="891"/>
        <w:gridCol w:w="891"/>
        <w:gridCol w:w="891"/>
        <w:gridCol w:w="891"/>
        <w:gridCol w:w="648"/>
        <w:gridCol w:w="850"/>
        <w:gridCol w:w="1445"/>
      </w:tblGrid>
      <w:tr w:rsidR="00D12939" w14:paraId="12FEB184" w14:textId="77777777" w:rsidTr="00DA291F">
        <w:trPr>
          <w:trHeight w:val="300"/>
        </w:trPr>
        <w:tc>
          <w:tcPr>
            <w:tcW w:w="988" w:type="dxa"/>
            <w:vMerge w:val="restart"/>
            <w:vAlign w:val="center"/>
          </w:tcPr>
          <w:p w14:paraId="1CDA7CF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种类</w:t>
            </w:r>
          </w:p>
        </w:tc>
        <w:tc>
          <w:tcPr>
            <w:tcW w:w="810" w:type="dxa"/>
            <w:vMerge w:val="restart"/>
            <w:vAlign w:val="center"/>
          </w:tcPr>
          <w:p w14:paraId="04F822CA" w14:textId="6D19042B"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废水量</w:t>
            </w:r>
            <w:r>
              <w:rPr>
                <w:rFonts w:ascii="Times New Roman" w:eastAsia="宋体" w:hAnsi="Times New Roman" w:cs="Times New Roman"/>
                <w:sz w:val="18"/>
                <w:szCs w:val="18"/>
              </w:rPr>
              <w:t>m</w:t>
            </w:r>
            <w:r>
              <w:rPr>
                <w:rFonts w:ascii="Times New Roman" w:eastAsia="宋体" w:hAnsi="Times New Roman" w:cs="Times New Roman"/>
                <w:sz w:val="18"/>
                <w:szCs w:val="18"/>
                <w:vertAlign w:val="superscript"/>
              </w:rPr>
              <w:t>3</w:t>
            </w:r>
            <w:r>
              <w:rPr>
                <w:rFonts w:ascii="Times New Roman" w:eastAsia="宋体" w:hAnsi="Times New Roman" w:cs="Times New Roman"/>
                <w:sz w:val="18"/>
                <w:szCs w:val="18"/>
              </w:rPr>
              <w:t>/a</w:t>
            </w:r>
          </w:p>
        </w:tc>
        <w:tc>
          <w:tcPr>
            <w:tcW w:w="6844" w:type="dxa"/>
            <w:gridSpan w:val="8"/>
            <w:vAlign w:val="center"/>
          </w:tcPr>
          <w:p w14:paraId="3E5B4ED0"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污染物浓度及产生量</w:t>
            </w:r>
          </w:p>
        </w:tc>
        <w:tc>
          <w:tcPr>
            <w:tcW w:w="1445" w:type="dxa"/>
            <w:vMerge w:val="restart"/>
            <w:vAlign w:val="center"/>
          </w:tcPr>
          <w:p w14:paraId="4FEB5A94"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处理措施</w:t>
            </w:r>
          </w:p>
        </w:tc>
      </w:tr>
      <w:tr w:rsidR="00D12939" w14:paraId="518D349D" w14:textId="77777777" w:rsidTr="00DA291F">
        <w:trPr>
          <w:trHeight w:val="300"/>
        </w:trPr>
        <w:tc>
          <w:tcPr>
            <w:tcW w:w="988" w:type="dxa"/>
            <w:vMerge/>
            <w:vAlign w:val="center"/>
          </w:tcPr>
          <w:p w14:paraId="4FECCEF2" w14:textId="77777777" w:rsidR="00D12939" w:rsidRDefault="00D12939">
            <w:pPr>
              <w:jc w:val="center"/>
              <w:rPr>
                <w:rFonts w:ascii="Times New Roman" w:eastAsia="宋体" w:hAnsi="Times New Roman" w:cs="Times New Roman"/>
                <w:sz w:val="18"/>
                <w:szCs w:val="18"/>
              </w:rPr>
            </w:pPr>
          </w:p>
        </w:tc>
        <w:tc>
          <w:tcPr>
            <w:tcW w:w="810" w:type="dxa"/>
            <w:vMerge/>
            <w:vAlign w:val="center"/>
          </w:tcPr>
          <w:p w14:paraId="4ACC0A62" w14:textId="77777777" w:rsidR="00D12939" w:rsidRDefault="00D12939">
            <w:pPr>
              <w:jc w:val="center"/>
              <w:rPr>
                <w:rFonts w:ascii="Times New Roman" w:eastAsia="宋体" w:hAnsi="Times New Roman" w:cs="Times New Roman"/>
                <w:sz w:val="18"/>
                <w:szCs w:val="18"/>
              </w:rPr>
            </w:pPr>
          </w:p>
        </w:tc>
        <w:tc>
          <w:tcPr>
            <w:tcW w:w="1782" w:type="dxa"/>
            <w:gridSpan w:val="2"/>
            <w:vAlign w:val="center"/>
          </w:tcPr>
          <w:p w14:paraId="10B71DBB"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COD</w:t>
            </w:r>
          </w:p>
        </w:tc>
        <w:tc>
          <w:tcPr>
            <w:tcW w:w="1782" w:type="dxa"/>
            <w:gridSpan w:val="2"/>
            <w:vAlign w:val="center"/>
          </w:tcPr>
          <w:p w14:paraId="5BFC5763"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BOD</w:t>
            </w:r>
            <w:r>
              <w:rPr>
                <w:rFonts w:ascii="Times New Roman" w:eastAsia="宋体" w:hAnsi="Times New Roman" w:cs="Times New Roman"/>
                <w:sz w:val="18"/>
                <w:szCs w:val="18"/>
                <w:vertAlign w:val="subscript"/>
              </w:rPr>
              <w:t>5</w:t>
            </w:r>
          </w:p>
        </w:tc>
        <w:tc>
          <w:tcPr>
            <w:tcW w:w="1782" w:type="dxa"/>
            <w:gridSpan w:val="2"/>
            <w:vAlign w:val="center"/>
          </w:tcPr>
          <w:p w14:paraId="7AB1639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SS</w:t>
            </w:r>
          </w:p>
        </w:tc>
        <w:tc>
          <w:tcPr>
            <w:tcW w:w="1498" w:type="dxa"/>
            <w:gridSpan w:val="2"/>
            <w:vAlign w:val="center"/>
          </w:tcPr>
          <w:p w14:paraId="024707B4"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氨氮</w:t>
            </w:r>
          </w:p>
        </w:tc>
        <w:tc>
          <w:tcPr>
            <w:tcW w:w="1445" w:type="dxa"/>
            <w:vMerge/>
            <w:vAlign w:val="center"/>
          </w:tcPr>
          <w:p w14:paraId="79FF487F" w14:textId="77777777" w:rsidR="00D12939" w:rsidRDefault="00D12939">
            <w:pPr>
              <w:jc w:val="center"/>
              <w:rPr>
                <w:rFonts w:ascii="Times New Roman" w:eastAsia="宋体" w:hAnsi="Times New Roman" w:cs="Times New Roman"/>
                <w:sz w:val="18"/>
                <w:szCs w:val="18"/>
              </w:rPr>
            </w:pPr>
          </w:p>
        </w:tc>
      </w:tr>
      <w:tr w:rsidR="00D12939" w14:paraId="516E718B" w14:textId="77777777" w:rsidTr="00DA291F">
        <w:trPr>
          <w:trHeight w:val="471"/>
        </w:trPr>
        <w:tc>
          <w:tcPr>
            <w:tcW w:w="988" w:type="dxa"/>
            <w:vMerge/>
            <w:vAlign w:val="center"/>
          </w:tcPr>
          <w:p w14:paraId="31283AFC" w14:textId="77777777" w:rsidR="00D12939" w:rsidRDefault="00D12939">
            <w:pPr>
              <w:jc w:val="center"/>
              <w:rPr>
                <w:rFonts w:ascii="Times New Roman" w:eastAsia="宋体" w:hAnsi="Times New Roman" w:cs="Times New Roman"/>
                <w:sz w:val="18"/>
                <w:szCs w:val="18"/>
              </w:rPr>
            </w:pPr>
          </w:p>
        </w:tc>
        <w:tc>
          <w:tcPr>
            <w:tcW w:w="810" w:type="dxa"/>
            <w:vMerge/>
            <w:vAlign w:val="center"/>
          </w:tcPr>
          <w:p w14:paraId="6F6BA81E" w14:textId="77777777" w:rsidR="00D12939" w:rsidRDefault="00D12939">
            <w:pPr>
              <w:jc w:val="center"/>
              <w:rPr>
                <w:rFonts w:ascii="Times New Roman" w:eastAsia="宋体" w:hAnsi="Times New Roman" w:cs="Times New Roman"/>
                <w:sz w:val="18"/>
                <w:szCs w:val="18"/>
              </w:rPr>
            </w:pPr>
          </w:p>
        </w:tc>
        <w:tc>
          <w:tcPr>
            <w:tcW w:w="749" w:type="dxa"/>
            <w:vAlign w:val="center"/>
          </w:tcPr>
          <w:p w14:paraId="101D672F"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浓度</w:t>
            </w:r>
            <w:r>
              <w:rPr>
                <w:rFonts w:ascii="Times New Roman" w:eastAsia="宋体" w:hAnsi="Times New Roman" w:cs="Times New Roman"/>
                <w:sz w:val="18"/>
                <w:szCs w:val="18"/>
              </w:rPr>
              <w:t>mg/L</w:t>
            </w:r>
          </w:p>
        </w:tc>
        <w:tc>
          <w:tcPr>
            <w:tcW w:w="1033" w:type="dxa"/>
            <w:vAlign w:val="center"/>
          </w:tcPr>
          <w:p w14:paraId="530C3949"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产生量</w:t>
            </w:r>
          </w:p>
          <w:p w14:paraId="16FE7CBD"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t/a</w:t>
            </w:r>
          </w:p>
        </w:tc>
        <w:tc>
          <w:tcPr>
            <w:tcW w:w="891" w:type="dxa"/>
            <w:vAlign w:val="center"/>
          </w:tcPr>
          <w:p w14:paraId="3C04229F"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浓度</w:t>
            </w:r>
            <w:r>
              <w:rPr>
                <w:rFonts w:ascii="Times New Roman" w:eastAsia="宋体" w:hAnsi="Times New Roman" w:cs="Times New Roman"/>
                <w:sz w:val="18"/>
                <w:szCs w:val="18"/>
              </w:rPr>
              <w:t>mg/L</w:t>
            </w:r>
          </w:p>
        </w:tc>
        <w:tc>
          <w:tcPr>
            <w:tcW w:w="891" w:type="dxa"/>
            <w:vAlign w:val="center"/>
          </w:tcPr>
          <w:p w14:paraId="05B0FDF0"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产生量</w:t>
            </w:r>
          </w:p>
          <w:p w14:paraId="720AA14C"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t/a</w:t>
            </w:r>
          </w:p>
        </w:tc>
        <w:tc>
          <w:tcPr>
            <w:tcW w:w="891" w:type="dxa"/>
            <w:vAlign w:val="center"/>
          </w:tcPr>
          <w:p w14:paraId="1CDADAE5"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浓度</w:t>
            </w:r>
            <w:r>
              <w:rPr>
                <w:rFonts w:ascii="Times New Roman" w:eastAsia="宋体" w:hAnsi="Times New Roman" w:cs="Times New Roman"/>
                <w:sz w:val="18"/>
                <w:szCs w:val="18"/>
              </w:rPr>
              <w:t>mg/L</w:t>
            </w:r>
          </w:p>
        </w:tc>
        <w:tc>
          <w:tcPr>
            <w:tcW w:w="891" w:type="dxa"/>
            <w:vAlign w:val="center"/>
          </w:tcPr>
          <w:p w14:paraId="130C4774"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产生量</w:t>
            </w:r>
          </w:p>
          <w:p w14:paraId="591DF2D3"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t/a</w:t>
            </w:r>
          </w:p>
        </w:tc>
        <w:tc>
          <w:tcPr>
            <w:tcW w:w="648" w:type="dxa"/>
            <w:vAlign w:val="center"/>
          </w:tcPr>
          <w:p w14:paraId="6CF95FA4"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浓度</w:t>
            </w:r>
            <w:r>
              <w:rPr>
                <w:rFonts w:ascii="Times New Roman" w:eastAsia="宋体" w:hAnsi="Times New Roman" w:cs="Times New Roman"/>
                <w:sz w:val="18"/>
                <w:szCs w:val="18"/>
              </w:rPr>
              <w:t>mg/L</w:t>
            </w:r>
          </w:p>
        </w:tc>
        <w:tc>
          <w:tcPr>
            <w:tcW w:w="850" w:type="dxa"/>
            <w:vAlign w:val="center"/>
          </w:tcPr>
          <w:p w14:paraId="35D7125C"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产生量</w:t>
            </w:r>
          </w:p>
          <w:p w14:paraId="16E82FF6"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t/a</w:t>
            </w:r>
          </w:p>
        </w:tc>
        <w:tc>
          <w:tcPr>
            <w:tcW w:w="1445" w:type="dxa"/>
            <w:vMerge/>
            <w:vAlign w:val="center"/>
          </w:tcPr>
          <w:p w14:paraId="6484B05B" w14:textId="77777777" w:rsidR="00D12939" w:rsidRDefault="00D12939">
            <w:pPr>
              <w:jc w:val="center"/>
              <w:rPr>
                <w:rFonts w:ascii="Times New Roman" w:eastAsia="宋体" w:hAnsi="Times New Roman" w:cs="Times New Roman"/>
                <w:sz w:val="18"/>
                <w:szCs w:val="18"/>
              </w:rPr>
            </w:pPr>
          </w:p>
        </w:tc>
      </w:tr>
      <w:tr w:rsidR="00D12939" w14:paraId="17DFB1DB" w14:textId="77777777" w:rsidTr="00DA291F">
        <w:trPr>
          <w:trHeight w:val="601"/>
        </w:trPr>
        <w:tc>
          <w:tcPr>
            <w:tcW w:w="988" w:type="dxa"/>
            <w:vAlign w:val="center"/>
          </w:tcPr>
          <w:p w14:paraId="1506BD36"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垃圾渗滤液</w:t>
            </w:r>
          </w:p>
        </w:tc>
        <w:tc>
          <w:tcPr>
            <w:tcW w:w="810" w:type="dxa"/>
            <w:vAlign w:val="center"/>
          </w:tcPr>
          <w:p w14:paraId="3E9580AE"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14804.4</w:t>
            </w:r>
          </w:p>
        </w:tc>
        <w:tc>
          <w:tcPr>
            <w:tcW w:w="749" w:type="dxa"/>
            <w:vAlign w:val="center"/>
          </w:tcPr>
          <w:p w14:paraId="087678AB"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20000</w:t>
            </w:r>
          </w:p>
        </w:tc>
        <w:tc>
          <w:tcPr>
            <w:tcW w:w="1033" w:type="dxa"/>
            <w:vAlign w:val="center"/>
          </w:tcPr>
          <w:p w14:paraId="43FFE959"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296.09</w:t>
            </w:r>
          </w:p>
        </w:tc>
        <w:tc>
          <w:tcPr>
            <w:tcW w:w="891" w:type="dxa"/>
            <w:vAlign w:val="center"/>
          </w:tcPr>
          <w:p w14:paraId="4BA7E22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12000</w:t>
            </w:r>
          </w:p>
        </w:tc>
        <w:tc>
          <w:tcPr>
            <w:tcW w:w="891" w:type="dxa"/>
            <w:vAlign w:val="center"/>
          </w:tcPr>
          <w:p w14:paraId="029B1449"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177.65</w:t>
            </w:r>
          </w:p>
        </w:tc>
        <w:tc>
          <w:tcPr>
            <w:tcW w:w="891" w:type="dxa"/>
            <w:vAlign w:val="center"/>
          </w:tcPr>
          <w:p w14:paraId="1265F78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1500</w:t>
            </w:r>
          </w:p>
        </w:tc>
        <w:tc>
          <w:tcPr>
            <w:tcW w:w="891" w:type="dxa"/>
            <w:vAlign w:val="center"/>
          </w:tcPr>
          <w:p w14:paraId="6CD4F88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22.21</w:t>
            </w:r>
          </w:p>
        </w:tc>
        <w:tc>
          <w:tcPr>
            <w:tcW w:w="648" w:type="dxa"/>
            <w:vAlign w:val="center"/>
          </w:tcPr>
          <w:p w14:paraId="414FAD76"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1200</w:t>
            </w:r>
          </w:p>
        </w:tc>
        <w:tc>
          <w:tcPr>
            <w:tcW w:w="850" w:type="dxa"/>
            <w:vAlign w:val="center"/>
          </w:tcPr>
          <w:p w14:paraId="28BE4DED"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17.77</w:t>
            </w:r>
          </w:p>
        </w:tc>
        <w:tc>
          <w:tcPr>
            <w:tcW w:w="1445" w:type="dxa"/>
            <w:vMerge w:val="restart"/>
            <w:vAlign w:val="center"/>
          </w:tcPr>
          <w:p w14:paraId="27C0509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进入渗滤液处理站进行处理</w:t>
            </w:r>
          </w:p>
        </w:tc>
      </w:tr>
      <w:tr w:rsidR="00D12939" w14:paraId="7433DE20" w14:textId="77777777" w:rsidTr="00DA291F">
        <w:trPr>
          <w:trHeight w:val="333"/>
        </w:trPr>
        <w:tc>
          <w:tcPr>
            <w:tcW w:w="988" w:type="dxa"/>
            <w:vAlign w:val="center"/>
          </w:tcPr>
          <w:p w14:paraId="7BB6D69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反冲洗废水</w:t>
            </w:r>
          </w:p>
        </w:tc>
        <w:tc>
          <w:tcPr>
            <w:tcW w:w="810" w:type="dxa"/>
            <w:vAlign w:val="center"/>
          </w:tcPr>
          <w:p w14:paraId="3053CD0E"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1825</w:t>
            </w:r>
          </w:p>
        </w:tc>
        <w:tc>
          <w:tcPr>
            <w:tcW w:w="749" w:type="dxa"/>
            <w:vAlign w:val="center"/>
          </w:tcPr>
          <w:p w14:paraId="19EE5659"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5000</w:t>
            </w:r>
          </w:p>
        </w:tc>
        <w:tc>
          <w:tcPr>
            <w:tcW w:w="1033" w:type="dxa"/>
            <w:vAlign w:val="center"/>
          </w:tcPr>
          <w:p w14:paraId="67735A03"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9.13 </w:t>
            </w:r>
          </w:p>
        </w:tc>
        <w:tc>
          <w:tcPr>
            <w:tcW w:w="891" w:type="dxa"/>
            <w:vAlign w:val="center"/>
          </w:tcPr>
          <w:p w14:paraId="4F51227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1500</w:t>
            </w:r>
          </w:p>
        </w:tc>
        <w:tc>
          <w:tcPr>
            <w:tcW w:w="891" w:type="dxa"/>
            <w:vAlign w:val="center"/>
          </w:tcPr>
          <w:p w14:paraId="76A344D4"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2.74 </w:t>
            </w:r>
          </w:p>
        </w:tc>
        <w:tc>
          <w:tcPr>
            <w:tcW w:w="891" w:type="dxa"/>
            <w:vAlign w:val="center"/>
          </w:tcPr>
          <w:p w14:paraId="70947BE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300</w:t>
            </w:r>
          </w:p>
        </w:tc>
        <w:tc>
          <w:tcPr>
            <w:tcW w:w="891" w:type="dxa"/>
            <w:vAlign w:val="center"/>
          </w:tcPr>
          <w:p w14:paraId="0B62A670"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0.55 </w:t>
            </w:r>
          </w:p>
        </w:tc>
        <w:tc>
          <w:tcPr>
            <w:tcW w:w="648" w:type="dxa"/>
            <w:vAlign w:val="center"/>
          </w:tcPr>
          <w:p w14:paraId="6297D5D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500</w:t>
            </w:r>
          </w:p>
        </w:tc>
        <w:tc>
          <w:tcPr>
            <w:tcW w:w="850" w:type="dxa"/>
            <w:vAlign w:val="center"/>
          </w:tcPr>
          <w:p w14:paraId="75F3EAC0"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0.91 </w:t>
            </w:r>
          </w:p>
        </w:tc>
        <w:tc>
          <w:tcPr>
            <w:tcW w:w="1445" w:type="dxa"/>
            <w:vMerge/>
          </w:tcPr>
          <w:p w14:paraId="2981D0CC" w14:textId="77777777" w:rsidR="00D12939" w:rsidRDefault="00D12939">
            <w:pPr>
              <w:jc w:val="center"/>
              <w:rPr>
                <w:rFonts w:ascii="Times New Roman" w:eastAsia="宋体" w:hAnsi="Times New Roman" w:cs="Times New Roman"/>
                <w:sz w:val="18"/>
                <w:szCs w:val="18"/>
              </w:rPr>
            </w:pPr>
          </w:p>
        </w:tc>
      </w:tr>
      <w:tr w:rsidR="00D12939" w14:paraId="6E95BB56" w14:textId="77777777" w:rsidTr="00DA291F">
        <w:trPr>
          <w:trHeight w:val="554"/>
        </w:trPr>
        <w:tc>
          <w:tcPr>
            <w:tcW w:w="988" w:type="dxa"/>
            <w:vAlign w:val="center"/>
          </w:tcPr>
          <w:p w14:paraId="04DD5E6D"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车间地面冲洗废水</w:t>
            </w:r>
          </w:p>
        </w:tc>
        <w:tc>
          <w:tcPr>
            <w:tcW w:w="810" w:type="dxa"/>
            <w:vAlign w:val="center"/>
          </w:tcPr>
          <w:p w14:paraId="3B7C252F"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1095</w:t>
            </w:r>
          </w:p>
        </w:tc>
        <w:tc>
          <w:tcPr>
            <w:tcW w:w="749" w:type="dxa"/>
            <w:vAlign w:val="center"/>
          </w:tcPr>
          <w:p w14:paraId="24AB4EA6"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2000</w:t>
            </w:r>
          </w:p>
        </w:tc>
        <w:tc>
          <w:tcPr>
            <w:tcW w:w="1033" w:type="dxa"/>
            <w:vAlign w:val="center"/>
          </w:tcPr>
          <w:p w14:paraId="5AF4F039"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2.19 </w:t>
            </w:r>
          </w:p>
        </w:tc>
        <w:tc>
          <w:tcPr>
            <w:tcW w:w="891" w:type="dxa"/>
            <w:vAlign w:val="center"/>
          </w:tcPr>
          <w:p w14:paraId="01B0A436"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1600</w:t>
            </w:r>
          </w:p>
        </w:tc>
        <w:tc>
          <w:tcPr>
            <w:tcW w:w="891" w:type="dxa"/>
            <w:vAlign w:val="center"/>
          </w:tcPr>
          <w:p w14:paraId="70985580"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1.75 </w:t>
            </w:r>
          </w:p>
        </w:tc>
        <w:tc>
          <w:tcPr>
            <w:tcW w:w="891" w:type="dxa"/>
            <w:vAlign w:val="center"/>
          </w:tcPr>
          <w:p w14:paraId="1F14FDF3"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500</w:t>
            </w:r>
          </w:p>
        </w:tc>
        <w:tc>
          <w:tcPr>
            <w:tcW w:w="891" w:type="dxa"/>
            <w:vAlign w:val="center"/>
          </w:tcPr>
          <w:p w14:paraId="035F13CB"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0.55 </w:t>
            </w:r>
          </w:p>
        </w:tc>
        <w:tc>
          <w:tcPr>
            <w:tcW w:w="648" w:type="dxa"/>
            <w:vAlign w:val="center"/>
          </w:tcPr>
          <w:p w14:paraId="71871548"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200</w:t>
            </w:r>
          </w:p>
        </w:tc>
        <w:tc>
          <w:tcPr>
            <w:tcW w:w="850" w:type="dxa"/>
            <w:vAlign w:val="center"/>
          </w:tcPr>
          <w:p w14:paraId="6648506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0.22 </w:t>
            </w:r>
          </w:p>
        </w:tc>
        <w:tc>
          <w:tcPr>
            <w:tcW w:w="1445" w:type="dxa"/>
            <w:vMerge/>
          </w:tcPr>
          <w:p w14:paraId="7F40A8B9" w14:textId="77777777" w:rsidR="00D12939" w:rsidRDefault="00D12939">
            <w:pPr>
              <w:jc w:val="center"/>
              <w:rPr>
                <w:rFonts w:ascii="Times New Roman" w:eastAsia="宋体" w:hAnsi="Times New Roman" w:cs="Times New Roman"/>
                <w:sz w:val="18"/>
                <w:szCs w:val="18"/>
              </w:rPr>
            </w:pPr>
          </w:p>
        </w:tc>
      </w:tr>
      <w:tr w:rsidR="00D12939" w14:paraId="0F5C7079" w14:textId="77777777" w:rsidTr="00DA291F">
        <w:trPr>
          <w:trHeight w:val="85"/>
        </w:trPr>
        <w:tc>
          <w:tcPr>
            <w:tcW w:w="988" w:type="dxa"/>
            <w:vAlign w:val="center"/>
          </w:tcPr>
          <w:p w14:paraId="0140D57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生活污水</w:t>
            </w:r>
          </w:p>
        </w:tc>
        <w:tc>
          <w:tcPr>
            <w:tcW w:w="810" w:type="dxa"/>
            <w:vAlign w:val="center"/>
          </w:tcPr>
          <w:p w14:paraId="2F492BFD"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373.76</w:t>
            </w:r>
          </w:p>
        </w:tc>
        <w:tc>
          <w:tcPr>
            <w:tcW w:w="749" w:type="dxa"/>
            <w:vAlign w:val="center"/>
          </w:tcPr>
          <w:p w14:paraId="25295DE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280</w:t>
            </w:r>
          </w:p>
        </w:tc>
        <w:tc>
          <w:tcPr>
            <w:tcW w:w="1033" w:type="dxa"/>
            <w:vAlign w:val="center"/>
          </w:tcPr>
          <w:p w14:paraId="3F036554"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0.0106 </w:t>
            </w:r>
          </w:p>
        </w:tc>
        <w:tc>
          <w:tcPr>
            <w:tcW w:w="891" w:type="dxa"/>
            <w:vAlign w:val="center"/>
          </w:tcPr>
          <w:p w14:paraId="00532EE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200</w:t>
            </w:r>
          </w:p>
        </w:tc>
        <w:tc>
          <w:tcPr>
            <w:tcW w:w="891" w:type="dxa"/>
            <w:vAlign w:val="center"/>
          </w:tcPr>
          <w:p w14:paraId="123A4A5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0.0076</w:t>
            </w:r>
          </w:p>
        </w:tc>
        <w:tc>
          <w:tcPr>
            <w:tcW w:w="891" w:type="dxa"/>
            <w:vAlign w:val="center"/>
          </w:tcPr>
          <w:p w14:paraId="614325A7"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200</w:t>
            </w:r>
          </w:p>
        </w:tc>
        <w:tc>
          <w:tcPr>
            <w:tcW w:w="891" w:type="dxa"/>
            <w:vAlign w:val="center"/>
          </w:tcPr>
          <w:p w14:paraId="68086066"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0.0076 </w:t>
            </w:r>
          </w:p>
        </w:tc>
        <w:tc>
          <w:tcPr>
            <w:tcW w:w="648" w:type="dxa"/>
            <w:vAlign w:val="center"/>
          </w:tcPr>
          <w:p w14:paraId="24670837"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30</w:t>
            </w:r>
          </w:p>
        </w:tc>
        <w:tc>
          <w:tcPr>
            <w:tcW w:w="850" w:type="dxa"/>
            <w:vAlign w:val="center"/>
          </w:tcPr>
          <w:p w14:paraId="1FB2F3AF"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0.0011 </w:t>
            </w:r>
          </w:p>
        </w:tc>
        <w:tc>
          <w:tcPr>
            <w:tcW w:w="1445" w:type="dxa"/>
            <w:vMerge/>
          </w:tcPr>
          <w:p w14:paraId="2F3B41EA" w14:textId="77777777" w:rsidR="00D12939" w:rsidRDefault="00D12939">
            <w:pPr>
              <w:jc w:val="center"/>
              <w:rPr>
                <w:rFonts w:ascii="Times New Roman" w:eastAsia="宋体" w:hAnsi="Times New Roman" w:cs="Times New Roman"/>
                <w:sz w:val="18"/>
                <w:szCs w:val="18"/>
              </w:rPr>
            </w:pPr>
          </w:p>
        </w:tc>
      </w:tr>
      <w:tr w:rsidR="00D12939" w14:paraId="52EB9AD7" w14:textId="77777777" w:rsidTr="00DA291F">
        <w:trPr>
          <w:trHeight w:val="580"/>
        </w:trPr>
        <w:tc>
          <w:tcPr>
            <w:tcW w:w="988" w:type="dxa"/>
            <w:vAlign w:val="center"/>
          </w:tcPr>
          <w:p w14:paraId="685389D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洗车废水</w:t>
            </w:r>
          </w:p>
        </w:tc>
        <w:tc>
          <w:tcPr>
            <w:tcW w:w="810" w:type="dxa"/>
            <w:vAlign w:val="center"/>
          </w:tcPr>
          <w:p w14:paraId="67DC5D5D"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1138.8</w:t>
            </w:r>
          </w:p>
        </w:tc>
        <w:tc>
          <w:tcPr>
            <w:tcW w:w="749" w:type="dxa"/>
            <w:vAlign w:val="center"/>
          </w:tcPr>
          <w:p w14:paraId="0BF6AB94"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500</w:t>
            </w:r>
          </w:p>
        </w:tc>
        <w:tc>
          <w:tcPr>
            <w:tcW w:w="1033" w:type="dxa"/>
            <w:vAlign w:val="center"/>
          </w:tcPr>
          <w:p w14:paraId="11210ABC"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0.57 </w:t>
            </w:r>
          </w:p>
        </w:tc>
        <w:tc>
          <w:tcPr>
            <w:tcW w:w="891" w:type="dxa"/>
            <w:vAlign w:val="center"/>
          </w:tcPr>
          <w:p w14:paraId="3BA58A17"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400</w:t>
            </w:r>
          </w:p>
        </w:tc>
        <w:tc>
          <w:tcPr>
            <w:tcW w:w="891" w:type="dxa"/>
            <w:vAlign w:val="center"/>
          </w:tcPr>
          <w:p w14:paraId="58AF6C3F"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0.46 </w:t>
            </w:r>
          </w:p>
        </w:tc>
        <w:tc>
          <w:tcPr>
            <w:tcW w:w="891" w:type="dxa"/>
            <w:vAlign w:val="center"/>
          </w:tcPr>
          <w:p w14:paraId="5CD8893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800</w:t>
            </w:r>
          </w:p>
        </w:tc>
        <w:tc>
          <w:tcPr>
            <w:tcW w:w="891" w:type="dxa"/>
            <w:vAlign w:val="center"/>
          </w:tcPr>
          <w:p w14:paraId="7A143AF9"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0.91 </w:t>
            </w:r>
          </w:p>
        </w:tc>
        <w:tc>
          <w:tcPr>
            <w:tcW w:w="648" w:type="dxa"/>
            <w:vAlign w:val="center"/>
          </w:tcPr>
          <w:p w14:paraId="75274D4D"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50</w:t>
            </w:r>
          </w:p>
        </w:tc>
        <w:tc>
          <w:tcPr>
            <w:tcW w:w="850" w:type="dxa"/>
            <w:vAlign w:val="center"/>
          </w:tcPr>
          <w:p w14:paraId="7FCD8412"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0.06 </w:t>
            </w:r>
          </w:p>
        </w:tc>
        <w:tc>
          <w:tcPr>
            <w:tcW w:w="1445" w:type="dxa"/>
          </w:tcPr>
          <w:p w14:paraId="0A50A58C"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简单沉淀后回用于填埋区洒水</w:t>
            </w:r>
          </w:p>
        </w:tc>
      </w:tr>
      <w:tr w:rsidR="00DA291F" w14:paraId="2F22B42D" w14:textId="77777777" w:rsidTr="00DA291F">
        <w:trPr>
          <w:trHeight w:val="60"/>
        </w:trPr>
        <w:tc>
          <w:tcPr>
            <w:tcW w:w="988" w:type="dxa"/>
            <w:vAlign w:val="center"/>
          </w:tcPr>
          <w:p w14:paraId="339FFFAD" w14:textId="77777777" w:rsidR="00DA291F" w:rsidRDefault="00DA291F" w:rsidP="00DA291F">
            <w:pPr>
              <w:jc w:val="center"/>
              <w:rPr>
                <w:rFonts w:ascii="Times New Roman" w:eastAsia="宋体" w:hAnsi="Times New Roman" w:cs="Times New Roman"/>
                <w:sz w:val="18"/>
                <w:szCs w:val="18"/>
              </w:rPr>
            </w:pPr>
            <w:r>
              <w:rPr>
                <w:rFonts w:ascii="Times New Roman" w:eastAsia="宋体" w:hAnsi="Times New Roman" w:cs="Times New Roman"/>
                <w:sz w:val="18"/>
                <w:szCs w:val="18"/>
              </w:rPr>
              <w:t>污染物排放量</w:t>
            </w:r>
          </w:p>
        </w:tc>
        <w:tc>
          <w:tcPr>
            <w:tcW w:w="810" w:type="dxa"/>
            <w:vAlign w:val="center"/>
          </w:tcPr>
          <w:p w14:paraId="1C2053F6" w14:textId="1470BB3F"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eastAsia="宋体" w:hAnsi="Times New Roman" w:cs="Times New Roman"/>
                <w:color w:val="FF0000"/>
                <w:sz w:val="18"/>
                <w:szCs w:val="18"/>
              </w:rPr>
              <w:t>12834.13</w:t>
            </w:r>
          </w:p>
        </w:tc>
        <w:tc>
          <w:tcPr>
            <w:tcW w:w="749" w:type="dxa"/>
            <w:vAlign w:val="center"/>
          </w:tcPr>
          <w:p w14:paraId="1F41BC1E" w14:textId="02A42087"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hAnsi="Times New Roman" w:cs="Times New Roman"/>
                <w:color w:val="FF0000"/>
                <w:sz w:val="18"/>
                <w:szCs w:val="18"/>
              </w:rPr>
              <w:t>100</w:t>
            </w:r>
          </w:p>
        </w:tc>
        <w:tc>
          <w:tcPr>
            <w:tcW w:w="1033" w:type="dxa"/>
            <w:vAlign w:val="center"/>
          </w:tcPr>
          <w:p w14:paraId="37DA83C5" w14:textId="78894EBF"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hAnsi="Times New Roman" w:cs="Times New Roman"/>
                <w:color w:val="FF0000"/>
                <w:sz w:val="18"/>
                <w:szCs w:val="18"/>
              </w:rPr>
              <w:t xml:space="preserve">1.28 </w:t>
            </w:r>
          </w:p>
        </w:tc>
        <w:tc>
          <w:tcPr>
            <w:tcW w:w="891" w:type="dxa"/>
            <w:vAlign w:val="center"/>
          </w:tcPr>
          <w:p w14:paraId="54FDF13C" w14:textId="58CDCFCB"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hAnsi="Times New Roman" w:cs="Times New Roman"/>
                <w:color w:val="FF0000"/>
                <w:sz w:val="18"/>
                <w:szCs w:val="18"/>
              </w:rPr>
              <w:t>30</w:t>
            </w:r>
          </w:p>
        </w:tc>
        <w:tc>
          <w:tcPr>
            <w:tcW w:w="891" w:type="dxa"/>
            <w:vAlign w:val="center"/>
          </w:tcPr>
          <w:p w14:paraId="2D1C6E61" w14:textId="05E51D3E"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hAnsi="Times New Roman" w:cs="Times New Roman"/>
                <w:color w:val="FF0000"/>
                <w:sz w:val="18"/>
                <w:szCs w:val="18"/>
              </w:rPr>
              <w:t xml:space="preserve">0.39 </w:t>
            </w:r>
          </w:p>
        </w:tc>
        <w:tc>
          <w:tcPr>
            <w:tcW w:w="891" w:type="dxa"/>
            <w:vAlign w:val="center"/>
          </w:tcPr>
          <w:p w14:paraId="36C34213" w14:textId="1E0E1391"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hAnsi="Times New Roman" w:cs="Times New Roman"/>
                <w:color w:val="FF0000"/>
                <w:sz w:val="18"/>
                <w:szCs w:val="18"/>
              </w:rPr>
              <w:t>30</w:t>
            </w:r>
          </w:p>
        </w:tc>
        <w:tc>
          <w:tcPr>
            <w:tcW w:w="891" w:type="dxa"/>
            <w:vAlign w:val="center"/>
          </w:tcPr>
          <w:p w14:paraId="7BCAADA3" w14:textId="3CFF6AB6"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hAnsi="Times New Roman" w:cs="Times New Roman"/>
                <w:color w:val="FF0000"/>
                <w:sz w:val="18"/>
                <w:szCs w:val="18"/>
              </w:rPr>
              <w:t xml:space="preserve">0.39 </w:t>
            </w:r>
          </w:p>
        </w:tc>
        <w:tc>
          <w:tcPr>
            <w:tcW w:w="648" w:type="dxa"/>
            <w:vAlign w:val="center"/>
          </w:tcPr>
          <w:p w14:paraId="29744525" w14:textId="787BAD90"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hAnsi="Times New Roman" w:cs="Times New Roman"/>
                <w:color w:val="FF0000"/>
                <w:sz w:val="18"/>
                <w:szCs w:val="18"/>
              </w:rPr>
              <w:t>25</w:t>
            </w:r>
          </w:p>
        </w:tc>
        <w:tc>
          <w:tcPr>
            <w:tcW w:w="850" w:type="dxa"/>
            <w:vAlign w:val="center"/>
          </w:tcPr>
          <w:p w14:paraId="6C8D6AE4" w14:textId="10D8B105"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hAnsi="Times New Roman" w:cs="Times New Roman"/>
                <w:color w:val="FF0000"/>
                <w:sz w:val="18"/>
                <w:szCs w:val="18"/>
              </w:rPr>
              <w:t xml:space="preserve">0.32 </w:t>
            </w:r>
          </w:p>
        </w:tc>
        <w:tc>
          <w:tcPr>
            <w:tcW w:w="1445" w:type="dxa"/>
          </w:tcPr>
          <w:p w14:paraId="084A8D7D" w14:textId="0B0D1EF1" w:rsidR="00DA291F" w:rsidRPr="008A0E9B" w:rsidRDefault="00DA291F" w:rsidP="00DA291F">
            <w:pPr>
              <w:jc w:val="center"/>
              <w:rPr>
                <w:rFonts w:ascii="Times New Roman" w:eastAsia="宋体" w:hAnsi="Times New Roman" w:cs="Times New Roman"/>
                <w:color w:val="FF0000"/>
                <w:sz w:val="18"/>
                <w:szCs w:val="18"/>
              </w:rPr>
            </w:pPr>
            <w:r w:rsidRPr="008A0E9B">
              <w:rPr>
                <w:rFonts w:ascii="Times New Roman" w:eastAsia="宋体" w:hAnsi="Times New Roman" w:cs="Times New Roman" w:hint="eastAsia"/>
                <w:color w:val="FF0000"/>
                <w:sz w:val="18"/>
                <w:szCs w:val="18"/>
              </w:rPr>
              <w:t>浓缩液回灌至填埋场，处理达标的清液</w:t>
            </w:r>
            <w:r w:rsidRPr="008A0E9B">
              <w:rPr>
                <w:rFonts w:ascii="Times New Roman" w:eastAsia="宋体" w:hAnsi="Times New Roman" w:cs="Times New Roman"/>
                <w:color w:val="FF0000"/>
                <w:sz w:val="18"/>
                <w:szCs w:val="18"/>
              </w:rPr>
              <w:t>部分回用，剩余运至柞水县污水处理厂进一步处理</w:t>
            </w:r>
          </w:p>
        </w:tc>
      </w:tr>
    </w:tbl>
    <w:p w14:paraId="6166EBED"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lastRenderedPageBreak/>
        <w:t>4.2.3.2</w:t>
      </w:r>
      <w:r>
        <w:rPr>
          <w:rFonts w:ascii="宋体" w:eastAsia="宋体" w:hAnsi="宋体" w:hint="eastAsia"/>
          <w:sz w:val="24"/>
        </w:rPr>
        <w:t>废气</w:t>
      </w:r>
    </w:p>
    <w:p w14:paraId="4475CB2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）填埋废气</w:t>
      </w:r>
    </w:p>
    <w:p w14:paraId="0215AC8B"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①</w:t>
      </w:r>
      <w:r>
        <w:rPr>
          <w:rFonts w:ascii="Times New Roman" w:eastAsia="宋体" w:hAnsi="Times New Roman" w:cs="Times New Roman"/>
          <w:sz w:val="24"/>
        </w:rPr>
        <w:t>垃圾分解与</w:t>
      </w:r>
      <w:r>
        <w:rPr>
          <w:rFonts w:ascii="Times New Roman" w:eastAsia="宋体" w:hAnsi="Times New Roman" w:cs="Times New Roman" w:hint="eastAsia"/>
          <w:sz w:val="24"/>
        </w:rPr>
        <w:t>填埋废气</w:t>
      </w:r>
      <w:r>
        <w:rPr>
          <w:rFonts w:ascii="Times New Roman" w:eastAsia="宋体" w:hAnsi="Times New Roman" w:cs="Times New Roman"/>
          <w:sz w:val="24"/>
        </w:rPr>
        <w:t>产生机理</w:t>
      </w:r>
    </w:p>
    <w:p w14:paraId="1488F2E4"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生活垃圾填埋后，有机物在微生物的参与下产生降解作用。在生活垃圾填埋初期，垃圾中的溶解氧及垃圾空隙中的氧较多，这时有机物的分解为好氧生物分解，历时几天到几星期，产生</w:t>
      </w:r>
      <w:r>
        <w:rPr>
          <w:rFonts w:ascii="Times New Roman" w:eastAsia="宋体" w:hAnsi="Times New Roman" w:cs="Times New Roman"/>
          <w:sz w:val="24"/>
        </w:rPr>
        <w:t>CO</w:t>
      </w:r>
      <w:r>
        <w:rPr>
          <w:rFonts w:ascii="Times New Roman" w:eastAsia="宋体" w:hAnsi="Times New Roman" w:cs="Times New Roman"/>
          <w:sz w:val="24"/>
          <w:vertAlign w:val="subscript"/>
        </w:rPr>
        <w:t>2</w:t>
      </w:r>
      <w:r>
        <w:rPr>
          <w:rFonts w:ascii="Times New Roman" w:eastAsia="宋体" w:hAnsi="Times New Roman" w:cs="Times New Roman"/>
          <w:sz w:val="24"/>
        </w:rPr>
        <w:t>和</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O</w:t>
      </w:r>
      <w:r>
        <w:rPr>
          <w:rFonts w:ascii="Times New Roman" w:eastAsia="宋体" w:hAnsi="Times New Roman" w:cs="Times New Roman"/>
          <w:sz w:val="24"/>
        </w:rPr>
        <w:t>；当垃圾中的溶解氧及空隙中的氧消耗怠尽时，这时有机物开始厌氧分解，历时两个月到一年，主要产生</w:t>
      </w:r>
      <w:r>
        <w:rPr>
          <w:rFonts w:ascii="Times New Roman" w:eastAsia="宋体" w:hAnsi="Times New Roman" w:cs="Times New Roman"/>
          <w:sz w:val="24"/>
        </w:rPr>
        <w:t>CO</w:t>
      </w:r>
      <w:r>
        <w:rPr>
          <w:rFonts w:ascii="Times New Roman" w:eastAsia="宋体" w:hAnsi="Times New Roman" w:cs="Times New Roman"/>
          <w:sz w:val="24"/>
          <w:vertAlign w:val="subscript"/>
        </w:rPr>
        <w:t>2</w:t>
      </w:r>
      <w:r>
        <w:rPr>
          <w:rFonts w:ascii="Times New Roman" w:eastAsia="宋体" w:hAnsi="Times New Roman" w:cs="Times New Roman"/>
          <w:sz w:val="24"/>
        </w:rPr>
        <w:t>、</w:t>
      </w:r>
      <w:r>
        <w:rPr>
          <w:rFonts w:ascii="Times New Roman" w:eastAsia="宋体" w:hAnsi="Times New Roman" w:cs="Times New Roman"/>
          <w:sz w:val="24"/>
        </w:rPr>
        <w:t>N</w:t>
      </w:r>
      <w:r>
        <w:rPr>
          <w:rFonts w:ascii="Times New Roman" w:eastAsia="宋体" w:hAnsi="Times New Roman" w:cs="Times New Roman"/>
          <w:sz w:val="24"/>
          <w:vertAlign w:val="subscript"/>
        </w:rPr>
        <w:t>2</w:t>
      </w:r>
      <w:r>
        <w:rPr>
          <w:rFonts w:ascii="Times New Roman" w:eastAsia="宋体" w:hAnsi="Times New Roman" w:cs="Times New Roman"/>
          <w:sz w:val="24"/>
        </w:rPr>
        <w:t>及少量的</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w:t>
      </w:r>
      <w:r>
        <w:rPr>
          <w:rFonts w:ascii="Times New Roman" w:eastAsia="宋体" w:hAnsi="Times New Roman" w:cs="Times New Roman"/>
          <w:sz w:val="24"/>
        </w:rPr>
        <w:t>CO</w:t>
      </w:r>
      <w:r>
        <w:rPr>
          <w:rFonts w:ascii="Times New Roman" w:eastAsia="宋体" w:hAnsi="Times New Roman" w:cs="Times New Roman"/>
          <w:sz w:val="24"/>
        </w:rPr>
        <w:t>、</w:t>
      </w:r>
      <w:r>
        <w:rPr>
          <w:rFonts w:ascii="Times New Roman" w:eastAsia="宋体" w:hAnsi="Times New Roman" w:cs="Times New Roman"/>
          <w:sz w:val="24"/>
        </w:rPr>
        <w:t>O</w:t>
      </w:r>
      <w:r>
        <w:rPr>
          <w:rFonts w:ascii="Times New Roman" w:eastAsia="宋体" w:hAnsi="Times New Roman" w:cs="Times New Roman"/>
          <w:sz w:val="24"/>
          <w:vertAlign w:val="subscript"/>
        </w:rPr>
        <w:t>2</w:t>
      </w:r>
      <w:r>
        <w:rPr>
          <w:rFonts w:ascii="Times New Roman" w:eastAsia="宋体" w:hAnsi="Times New Roman" w:cs="Times New Roman"/>
          <w:sz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；接下来进入甲烷发酵不稳定期和稳定期，产生大量的</w:t>
      </w:r>
      <w:r>
        <w:rPr>
          <w:rFonts w:ascii="Times New Roman" w:eastAsia="宋体" w:hAnsi="Times New Roman" w:cs="Times New Roman"/>
          <w:sz w:val="24"/>
        </w:rPr>
        <w:t>CH</w:t>
      </w:r>
      <w:r>
        <w:rPr>
          <w:rFonts w:ascii="Times New Roman" w:eastAsia="宋体" w:hAnsi="Times New Roman" w:cs="Times New Roman"/>
          <w:sz w:val="24"/>
          <w:vertAlign w:val="subscript"/>
        </w:rPr>
        <w:t>4</w:t>
      </w:r>
      <w:r>
        <w:rPr>
          <w:rFonts w:ascii="Times New Roman" w:eastAsia="宋体" w:hAnsi="Times New Roman" w:cs="Times New Roman"/>
          <w:sz w:val="24"/>
        </w:rPr>
        <w:t>和</w:t>
      </w:r>
      <w:r>
        <w:rPr>
          <w:rFonts w:ascii="Times New Roman" w:eastAsia="宋体" w:hAnsi="Times New Roman" w:cs="Times New Roman"/>
          <w:sz w:val="24"/>
        </w:rPr>
        <w:t>CO</w:t>
      </w:r>
      <w:r>
        <w:rPr>
          <w:rFonts w:ascii="Times New Roman" w:eastAsia="宋体" w:hAnsi="Times New Roman" w:cs="Times New Roman"/>
          <w:sz w:val="24"/>
          <w:vertAlign w:val="subscript"/>
        </w:rPr>
        <w:t>2</w:t>
      </w:r>
      <w:r>
        <w:rPr>
          <w:rFonts w:ascii="Times New Roman" w:eastAsia="宋体" w:hAnsi="Times New Roman" w:cs="Times New Roman"/>
          <w:sz w:val="24"/>
        </w:rPr>
        <w:t>，垃圾分解过程见图</w:t>
      </w:r>
      <w:r>
        <w:rPr>
          <w:rFonts w:ascii="Times New Roman" w:eastAsia="宋体" w:hAnsi="Times New Roman" w:cs="Times New Roman"/>
          <w:sz w:val="24"/>
        </w:rPr>
        <w:t>4.2-1</w:t>
      </w:r>
      <w:r>
        <w:rPr>
          <w:rFonts w:ascii="Times New Roman" w:eastAsia="宋体" w:hAnsi="Times New Roman" w:cs="Times New Roman"/>
          <w:sz w:val="24"/>
        </w:rPr>
        <w:t>。</w:t>
      </w:r>
    </w:p>
    <w:p w14:paraId="64DAD69E" w14:textId="77777777" w:rsidR="00D12939" w:rsidRDefault="004F47F5">
      <w:pPr>
        <w:jc w:val="center"/>
      </w:pPr>
      <w:r>
        <w:rPr>
          <w:noProof/>
        </w:rPr>
        <w:drawing>
          <wp:inline distT="0" distB="0" distL="0" distR="0">
            <wp:extent cx="5314950" cy="20002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7">
                      <a:extLst>
                        <a:ext uri="{28A0092B-C50C-407E-A947-70E740481C1C}">
                          <a14:useLocalDpi xmlns:a14="http://schemas.microsoft.com/office/drawing/2010/main" val="0"/>
                        </a:ext>
                      </a:extLst>
                    </a:blip>
                    <a:srcRect b="11392"/>
                    <a:stretch>
                      <a:fillRect/>
                    </a:stretch>
                  </pic:blipFill>
                  <pic:spPr>
                    <a:xfrm>
                      <a:off x="0" y="0"/>
                      <a:ext cx="5314950" cy="2000250"/>
                    </a:xfrm>
                    <a:prstGeom prst="rect">
                      <a:avLst/>
                    </a:prstGeom>
                    <a:noFill/>
                    <a:ln>
                      <a:noFill/>
                    </a:ln>
                  </pic:spPr>
                </pic:pic>
              </a:graphicData>
            </a:graphic>
          </wp:inline>
        </w:drawing>
      </w:r>
    </w:p>
    <w:p w14:paraId="3A68484F" w14:textId="77777777" w:rsidR="00D12939" w:rsidRDefault="004F47F5">
      <w:pPr>
        <w:ind w:firstLine="482"/>
        <w:jc w:val="center"/>
        <w:rPr>
          <w:rFonts w:ascii="黑体" w:eastAsia="黑体" w:hAnsi="黑体"/>
          <w:bCs/>
          <w:sz w:val="24"/>
        </w:rPr>
      </w:pPr>
      <w:r>
        <w:rPr>
          <w:rFonts w:ascii="黑体" w:eastAsia="黑体" w:hAnsi="黑体"/>
          <w:bCs/>
          <w:sz w:val="24"/>
        </w:rPr>
        <w:t>图4.2-1  垃圾分解过程示意图</w:t>
      </w:r>
    </w:p>
    <w:p w14:paraId="4DAAE187"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生活垃圾卫生填埋后其有机组分要进行一系列复杂的生化反应，填埋气体是其主要产物之一。废物分解产生气体是一个严格的厌氧过程。开始时出现短暂的好氧消化，这主要是由于堆放垃圾时进入了大量的空气，产酸菌把有机垃圾还原为有机酸和酒精，然后通过产甲烷菌的作用产生甲烷。随着氧气的耗尽，则转变为厌氧消化过程，反应式为：</w:t>
      </w:r>
    </w:p>
    <w:p w14:paraId="2F9AE849"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好氧分解：有机物质</w:t>
      </w:r>
      <w:r>
        <w:rPr>
          <w:rFonts w:ascii="Times New Roman" w:eastAsia="宋体" w:hAnsi="Times New Roman" w:cs="Times New Roman"/>
          <w:sz w:val="24"/>
        </w:rPr>
        <w:t>+O</w:t>
      </w:r>
      <w:r>
        <w:rPr>
          <w:rFonts w:ascii="Times New Roman" w:eastAsia="宋体" w:hAnsi="Times New Roman" w:cs="Times New Roman"/>
          <w:sz w:val="24"/>
          <w:vertAlign w:val="subscript"/>
        </w:rPr>
        <w:t>2</w:t>
      </w:r>
      <w:r>
        <w:rPr>
          <w:rFonts w:ascii="Times New Roman" w:eastAsia="宋体" w:hAnsi="Times New Roman" w:cs="Times New Roman"/>
          <w:sz w:val="24"/>
        </w:rPr>
        <w:t>→CO</w:t>
      </w:r>
      <w:r>
        <w:rPr>
          <w:rFonts w:ascii="Times New Roman" w:eastAsia="宋体" w:hAnsi="Times New Roman" w:cs="Times New Roman"/>
          <w:sz w:val="24"/>
          <w:vertAlign w:val="subscript"/>
        </w:rPr>
        <w:t>2</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O</w:t>
      </w:r>
    </w:p>
    <w:p w14:paraId="64CE161A"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厌氧分解：有机物质</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O→CH</w:t>
      </w:r>
      <w:r>
        <w:rPr>
          <w:rFonts w:ascii="Times New Roman" w:eastAsia="宋体" w:hAnsi="Times New Roman" w:cs="Times New Roman"/>
          <w:sz w:val="24"/>
          <w:vertAlign w:val="subscript"/>
        </w:rPr>
        <w:t>4</w:t>
      </w:r>
      <w:r>
        <w:rPr>
          <w:rFonts w:ascii="Times New Roman" w:eastAsia="宋体" w:hAnsi="Times New Roman" w:cs="Times New Roman"/>
          <w:sz w:val="24"/>
        </w:rPr>
        <w:t>+CO</w:t>
      </w:r>
      <w:r>
        <w:rPr>
          <w:rFonts w:ascii="Times New Roman" w:eastAsia="宋体" w:hAnsi="Times New Roman" w:cs="Times New Roman"/>
          <w:sz w:val="24"/>
          <w:vertAlign w:val="subscript"/>
        </w:rPr>
        <w:t>2</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p>
    <w:p w14:paraId="5132DEA0"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sz w:val="24"/>
        </w:rPr>
        <w:t>②</w:t>
      </w:r>
      <w:r>
        <w:rPr>
          <w:rFonts w:ascii="Times New Roman" w:eastAsia="宋体" w:hAnsi="Times New Roman" w:cs="Times New Roman"/>
          <w:sz w:val="24"/>
        </w:rPr>
        <w:t>生活垃圾填埋场区产气成份及性质分析</w:t>
      </w:r>
    </w:p>
    <w:p w14:paraId="279391A5" w14:textId="77777777" w:rsidR="00D12939" w:rsidRDefault="004F47F5">
      <w:pPr>
        <w:spacing w:line="360" w:lineRule="auto"/>
        <w:ind w:firstLine="462"/>
        <w:rPr>
          <w:rFonts w:ascii="宋体" w:eastAsia="宋体" w:hAnsi="宋体" w:cs="宋体"/>
          <w:sz w:val="24"/>
        </w:rPr>
      </w:pPr>
      <w:r>
        <w:rPr>
          <w:rFonts w:ascii="宋体" w:eastAsia="宋体" w:hAnsi="宋体" w:cs="宋体"/>
          <w:sz w:val="24"/>
        </w:rPr>
        <w:t>生活垃圾填埋场区产气组份分析见表4.2-4。</w:t>
      </w:r>
    </w:p>
    <w:p w14:paraId="63472189" w14:textId="77777777" w:rsidR="00D12939" w:rsidRDefault="004F47F5">
      <w:pPr>
        <w:ind w:firstLine="482"/>
        <w:jc w:val="center"/>
        <w:rPr>
          <w:rFonts w:ascii="黑体" w:eastAsia="黑体" w:hAnsi="黑体"/>
          <w:bCs/>
          <w:sz w:val="24"/>
        </w:rPr>
      </w:pPr>
      <w:r>
        <w:rPr>
          <w:rFonts w:ascii="黑体" w:eastAsia="黑体" w:hAnsi="黑体" w:hint="eastAsia"/>
          <w:bCs/>
          <w:sz w:val="24"/>
        </w:rPr>
        <w:t>表4</w:t>
      </w:r>
      <w:r>
        <w:rPr>
          <w:rFonts w:ascii="黑体" w:eastAsia="黑体" w:hAnsi="黑体"/>
          <w:bCs/>
          <w:sz w:val="24"/>
        </w:rPr>
        <w:t>.2-4 垃圾填埋场产气组份分析表</w:t>
      </w:r>
    </w:p>
    <w:tbl>
      <w:tblPr>
        <w:tblW w:w="47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65"/>
        <w:gridCol w:w="796"/>
        <w:gridCol w:w="957"/>
        <w:gridCol w:w="801"/>
        <w:gridCol w:w="801"/>
        <w:gridCol w:w="801"/>
        <w:gridCol w:w="799"/>
        <w:gridCol w:w="801"/>
        <w:gridCol w:w="637"/>
        <w:gridCol w:w="920"/>
        <w:gridCol w:w="1132"/>
      </w:tblGrid>
      <w:tr w:rsidR="00D12939" w14:paraId="53FE821D" w14:textId="77777777">
        <w:trPr>
          <w:trHeight w:val="415"/>
          <w:jc w:val="center"/>
        </w:trPr>
        <w:tc>
          <w:tcPr>
            <w:tcW w:w="465" w:type="pct"/>
            <w:vAlign w:val="center"/>
          </w:tcPr>
          <w:p w14:paraId="3ADE604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项目</w:t>
            </w:r>
          </w:p>
        </w:tc>
        <w:tc>
          <w:tcPr>
            <w:tcW w:w="428" w:type="pct"/>
            <w:vAlign w:val="center"/>
          </w:tcPr>
          <w:p w14:paraId="001F958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甲烷</w:t>
            </w:r>
          </w:p>
        </w:tc>
        <w:tc>
          <w:tcPr>
            <w:tcW w:w="514" w:type="pct"/>
            <w:vAlign w:val="center"/>
          </w:tcPr>
          <w:p w14:paraId="56B71AF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二氧化碳</w:t>
            </w:r>
          </w:p>
        </w:tc>
        <w:tc>
          <w:tcPr>
            <w:tcW w:w="430" w:type="pct"/>
            <w:vAlign w:val="center"/>
          </w:tcPr>
          <w:p w14:paraId="4991D91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氮</w:t>
            </w:r>
          </w:p>
        </w:tc>
        <w:tc>
          <w:tcPr>
            <w:tcW w:w="430" w:type="pct"/>
            <w:vAlign w:val="center"/>
          </w:tcPr>
          <w:p w14:paraId="7B42E08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氧</w:t>
            </w:r>
          </w:p>
        </w:tc>
        <w:tc>
          <w:tcPr>
            <w:tcW w:w="430" w:type="pct"/>
            <w:vAlign w:val="center"/>
          </w:tcPr>
          <w:p w14:paraId="4FADC28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硫化氢</w:t>
            </w:r>
          </w:p>
        </w:tc>
        <w:tc>
          <w:tcPr>
            <w:tcW w:w="429" w:type="pct"/>
            <w:vAlign w:val="center"/>
          </w:tcPr>
          <w:p w14:paraId="580CF3E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氨</w:t>
            </w:r>
          </w:p>
        </w:tc>
        <w:tc>
          <w:tcPr>
            <w:tcW w:w="430" w:type="pct"/>
            <w:vAlign w:val="center"/>
          </w:tcPr>
          <w:p w14:paraId="03F5177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甲硫醇</w:t>
            </w:r>
          </w:p>
        </w:tc>
        <w:tc>
          <w:tcPr>
            <w:tcW w:w="342" w:type="pct"/>
            <w:vAlign w:val="center"/>
          </w:tcPr>
          <w:p w14:paraId="6C912AE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氢</w:t>
            </w:r>
          </w:p>
        </w:tc>
        <w:tc>
          <w:tcPr>
            <w:tcW w:w="494" w:type="pct"/>
            <w:vAlign w:val="center"/>
          </w:tcPr>
          <w:p w14:paraId="1828E75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一氧化碳</w:t>
            </w:r>
          </w:p>
        </w:tc>
        <w:tc>
          <w:tcPr>
            <w:tcW w:w="610" w:type="pct"/>
            <w:vAlign w:val="center"/>
          </w:tcPr>
          <w:p w14:paraId="743FF09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微量组份</w:t>
            </w:r>
          </w:p>
        </w:tc>
      </w:tr>
      <w:tr w:rsidR="00D12939" w14:paraId="3C5FE27F" w14:textId="77777777">
        <w:trPr>
          <w:trHeight w:val="658"/>
          <w:jc w:val="center"/>
        </w:trPr>
        <w:tc>
          <w:tcPr>
            <w:tcW w:w="465" w:type="pct"/>
            <w:vAlign w:val="center"/>
          </w:tcPr>
          <w:p w14:paraId="65D26CA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体积百分比（</w:t>
            </w:r>
            <w:r>
              <w:rPr>
                <w:rFonts w:ascii="Times New Roman" w:eastAsia="宋体" w:hAnsi="Times New Roman" w:cs="Times New Roman"/>
              </w:rPr>
              <w:t>%</w:t>
            </w:r>
            <w:r>
              <w:rPr>
                <w:rFonts w:ascii="Times New Roman" w:eastAsia="宋体" w:hAnsi="Times New Roman" w:cs="Times New Roman"/>
              </w:rPr>
              <w:t>）</w:t>
            </w:r>
          </w:p>
        </w:tc>
        <w:tc>
          <w:tcPr>
            <w:tcW w:w="428" w:type="pct"/>
            <w:vAlign w:val="center"/>
          </w:tcPr>
          <w:p w14:paraId="549FF00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45~50</w:t>
            </w:r>
          </w:p>
        </w:tc>
        <w:tc>
          <w:tcPr>
            <w:tcW w:w="514" w:type="pct"/>
            <w:vAlign w:val="center"/>
          </w:tcPr>
          <w:p w14:paraId="16C82BD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40~60</w:t>
            </w:r>
          </w:p>
        </w:tc>
        <w:tc>
          <w:tcPr>
            <w:tcW w:w="430" w:type="pct"/>
            <w:vAlign w:val="center"/>
          </w:tcPr>
          <w:p w14:paraId="18459A4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2~5</w:t>
            </w:r>
          </w:p>
        </w:tc>
        <w:tc>
          <w:tcPr>
            <w:tcW w:w="430" w:type="pct"/>
            <w:vAlign w:val="center"/>
          </w:tcPr>
          <w:p w14:paraId="413CC68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0.1~1.0</w:t>
            </w:r>
          </w:p>
        </w:tc>
        <w:tc>
          <w:tcPr>
            <w:tcW w:w="430" w:type="pct"/>
            <w:vAlign w:val="center"/>
          </w:tcPr>
          <w:p w14:paraId="5399D58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0~1.0</w:t>
            </w:r>
          </w:p>
        </w:tc>
        <w:tc>
          <w:tcPr>
            <w:tcW w:w="429" w:type="pct"/>
            <w:vAlign w:val="center"/>
          </w:tcPr>
          <w:p w14:paraId="4FA09E3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0.1~1.0</w:t>
            </w:r>
          </w:p>
        </w:tc>
        <w:tc>
          <w:tcPr>
            <w:tcW w:w="430" w:type="pct"/>
            <w:vAlign w:val="center"/>
          </w:tcPr>
          <w:p w14:paraId="5FE364F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2~3</w:t>
            </w:r>
          </w:p>
        </w:tc>
        <w:tc>
          <w:tcPr>
            <w:tcW w:w="342" w:type="pct"/>
            <w:vAlign w:val="center"/>
          </w:tcPr>
          <w:p w14:paraId="31A583F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0~0.2</w:t>
            </w:r>
          </w:p>
        </w:tc>
        <w:tc>
          <w:tcPr>
            <w:tcW w:w="494" w:type="pct"/>
            <w:vAlign w:val="center"/>
          </w:tcPr>
          <w:p w14:paraId="35C5717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0~0.2</w:t>
            </w:r>
          </w:p>
        </w:tc>
        <w:tc>
          <w:tcPr>
            <w:tcW w:w="610" w:type="pct"/>
            <w:vAlign w:val="center"/>
          </w:tcPr>
          <w:p w14:paraId="729E423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0.001~0.006</w:t>
            </w:r>
          </w:p>
        </w:tc>
      </w:tr>
    </w:tbl>
    <w:p w14:paraId="4580EECA" w14:textId="77777777" w:rsidR="00D12939" w:rsidRDefault="004F47F5">
      <w:pPr>
        <w:spacing w:line="360" w:lineRule="auto"/>
        <w:ind w:firstLine="462"/>
        <w:rPr>
          <w:rFonts w:ascii="宋体" w:eastAsia="宋体" w:hAnsi="宋体" w:cs="宋体"/>
          <w:sz w:val="24"/>
        </w:rPr>
      </w:pPr>
      <w:r>
        <w:rPr>
          <w:rFonts w:ascii="宋体" w:eastAsia="宋体" w:hAnsi="宋体" w:cs="宋体"/>
          <w:sz w:val="24"/>
        </w:rPr>
        <w:t>由表4.2-2可以看出，可以看出，填埋气体的主要成分是甲烷和二氧化碳，甲烷含量约占45~50%，二氧化碳约占40~60%，其余为少量的氢、氮、硫化氢等气体。填埋气体各主要成分的</w:t>
      </w:r>
      <w:r>
        <w:rPr>
          <w:rFonts w:ascii="宋体" w:eastAsia="宋体" w:hAnsi="宋体" w:cs="宋体"/>
          <w:sz w:val="24"/>
        </w:rPr>
        <w:lastRenderedPageBreak/>
        <w:t>物理性质见表4.2-5。</w:t>
      </w:r>
    </w:p>
    <w:p w14:paraId="7E558E40" w14:textId="77777777" w:rsidR="00D12939" w:rsidRDefault="004F47F5">
      <w:pPr>
        <w:ind w:firstLine="482"/>
        <w:jc w:val="center"/>
        <w:rPr>
          <w:rFonts w:ascii="黑体" w:eastAsia="黑体" w:hAnsi="黑体"/>
          <w:bCs/>
          <w:sz w:val="24"/>
        </w:rPr>
      </w:pPr>
      <w:r>
        <w:rPr>
          <w:rFonts w:ascii="黑体" w:eastAsia="黑体" w:hAnsi="黑体" w:hint="eastAsia"/>
          <w:bCs/>
          <w:sz w:val="24"/>
        </w:rPr>
        <w:t>表4</w:t>
      </w:r>
      <w:r>
        <w:rPr>
          <w:rFonts w:ascii="黑体" w:eastAsia="黑体" w:hAnsi="黑体"/>
          <w:bCs/>
          <w:sz w:val="24"/>
        </w:rPr>
        <w:t>.2-5   填埋气体各成分的物理性质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78"/>
        <w:gridCol w:w="854"/>
        <w:gridCol w:w="1170"/>
        <w:gridCol w:w="854"/>
        <w:gridCol w:w="1065"/>
        <w:gridCol w:w="1162"/>
        <w:gridCol w:w="811"/>
        <w:gridCol w:w="854"/>
        <w:gridCol w:w="885"/>
      </w:tblGrid>
      <w:tr w:rsidR="00D12939" w14:paraId="1DF02A72" w14:textId="77777777">
        <w:trPr>
          <w:trHeight w:val="261"/>
          <w:jc w:val="center"/>
        </w:trPr>
        <w:tc>
          <w:tcPr>
            <w:tcW w:w="1878" w:type="dxa"/>
            <w:vAlign w:val="center"/>
          </w:tcPr>
          <w:p w14:paraId="333F296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项</w:t>
            </w:r>
            <w:r>
              <w:rPr>
                <w:rFonts w:ascii="Times New Roman" w:eastAsia="宋体" w:hAnsi="Times New Roman" w:cs="Times New Roman"/>
              </w:rPr>
              <w:t xml:space="preserve">   </w:t>
            </w:r>
            <w:r>
              <w:rPr>
                <w:rFonts w:ascii="Times New Roman" w:eastAsia="宋体" w:hAnsi="Times New Roman" w:cs="Times New Roman"/>
              </w:rPr>
              <w:t>目</w:t>
            </w:r>
          </w:p>
        </w:tc>
        <w:tc>
          <w:tcPr>
            <w:tcW w:w="854" w:type="dxa"/>
            <w:vAlign w:val="center"/>
          </w:tcPr>
          <w:p w14:paraId="192453E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甲烷</w:t>
            </w:r>
          </w:p>
        </w:tc>
        <w:tc>
          <w:tcPr>
            <w:tcW w:w="1170" w:type="dxa"/>
            <w:vAlign w:val="center"/>
          </w:tcPr>
          <w:p w14:paraId="21B26AB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二氧化碳</w:t>
            </w:r>
          </w:p>
        </w:tc>
        <w:tc>
          <w:tcPr>
            <w:tcW w:w="854" w:type="dxa"/>
            <w:vAlign w:val="center"/>
          </w:tcPr>
          <w:p w14:paraId="54B53DC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氢</w:t>
            </w:r>
          </w:p>
        </w:tc>
        <w:tc>
          <w:tcPr>
            <w:tcW w:w="1065" w:type="dxa"/>
            <w:vAlign w:val="center"/>
          </w:tcPr>
          <w:p w14:paraId="4810F8A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硫化氢</w:t>
            </w:r>
          </w:p>
        </w:tc>
        <w:tc>
          <w:tcPr>
            <w:tcW w:w="1162" w:type="dxa"/>
            <w:vAlign w:val="center"/>
          </w:tcPr>
          <w:p w14:paraId="4E20F3D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一氧化碳</w:t>
            </w:r>
          </w:p>
        </w:tc>
        <w:tc>
          <w:tcPr>
            <w:tcW w:w="811" w:type="dxa"/>
            <w:vAlign w:val="center"/>
          </w:tcPr>
          <w:p w14:paraId="6136732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氮气</w:t>
            </w:r>
          </w:p>
        </w:tc>
        <w:tc>
          <w:tcPr>
            <w:tcW w:w="854" w:type="dxa"/>
            <w:vAlign w:val="center"/>
          </w:tcPr>
          <w:p w14:paraId="00EBFA3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氨</w:t>
            </w:r>
          </w:p>
        </w:tc>
        <w:tc>
          <w:tcPr>
            <w:tcW w:w="885" w:type="dxa"/>
            <w:vAlign w:val="center"/>
          </w:tcPr>
          <w:p w14:paraId="77EB6E3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甲硫醇</w:t>
            </w:r>
          </w:p>
        </w:tc>
      </w:tr>
      <w:tr w:rsidR="00D12939" w14:paraId="089AEA02" w14:textId="77777777">
        <w:trPr>
          <w:trHeight w:val="261"/>
          <w:jc w:val="center"/>
        </w:trPr>
        <w:tc>
          <w:tcPr>
            <w:tcW w:w="1878" w:type="dxa"/>
            <w:vAlign w:val="center"/>
          </w:tcPr>
          <w:p w14:paraId="21991D2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密度（</w:t>
            </w:r>
            <w:r>
              <w:rPr>
                <w:rFonts w:ascii="Times New Roman" w:eastAsia="宋体" w:hAnsi="Times New Roman" w:cs="Times New Roman"/>
              </w:rPr>
              <w:t>g/L</w:t>
            </w:r>
            <w:r>
              <w:rPr>
                <w:rFonts w:ascii="Times New Roman" w:eastAsia="宋体" w:hAnsi="Times New Roman" w:cs="Times New Roman"/>
              </w:rPr>
              <w:t>）</w:t>
            </w:r>
          </w:p>
        </w:tc>
        <w:tc>
          <w:tcPr>
            <w:tcW w:w="854" w:type="dxa"/>
            <w:vAlign w:val="center"/>
          </w:tcPr>
          <w:p w14:paraId="0A00FEF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0.56</w:t>
            </w:r>
          </w:p>
        </w:tc>
        <w:tc>
          <w:tcPr>
            <w:tcW w:w="1170" w:type="dxa"/>
            <w:vAlign w:val="center"/>
          </w:tcPr>
          <w:p w14:paraId="63415B3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1.9768</w:t>
            </w:r>
          </w:p>
        </w:tc>
        <w:tc>
          <w:tcPr>
            <w:tcW w:w="854" w:type="dxa"/>
            <w:vAlign w:val="center"/>
          </w:tcPr>
          <w:p w14:paraId="5D55038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0.0898</w:t>
            </w:r>
          </w:p>
        </w:tc>
        <w:tc>
          <w:tcPr>
            <w:tcW w:w="1065" w:type="dxa"/>
            <w:vAlign w:val="center"/>
          </w:tcPr>
          <w:p w14:paraId="217534E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1.52</w:t>
            </w:r>
          </w:p>
        </w:tc>
        <w:tc>
          <w:tcPr>
            <w:tcW w:w="1162" w:type="dxa"/>
            <w:vAlign w:val="center"/>
          </w:tcPr>
          <w:p w14:paraId="287A3F4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1.25</w:t>
            </w:r>
          </w:p>
        </w:tc>
        <w:tc>
          <w:tcPr>
            <w:tcW w:w="811" w:type="dxa"/>
            <w:vAlign w:val="center"/>
          </w:tcPr>
          <w:p w14:paraId="74D97E3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1.25</w:t>
            </w:r>
          </w:p>
        </w:tc>
        <w:tc>
          <w:tcPr>
            <w:tcW w:w="854" w:type="dxa"/>
            <w:vAlign w:val="center"/>
          </w:tcPr>
          <w:p w14:paraId="56CB3F5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0.77</w:t>
            </w:r>
          </w:p>
        </w:tc>
        <w:tc>
          <w:tcPr>
            <w:tcW w:w="885" w:type="dxa"/>
            <w:vAlign w:val="center"/>
          </w:tcPr>
          <w:p w14:paraId="4E4A047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1.66</w:t>
            </w:r>
          </w:p>
        </w:tc>
      </w:tr>
      <w:tr w:rsidR="00D12939" w14:paraId="715DF187" w14:textId="77777777">
        <w:trPr>
          <w:trHeight w:val="261"/>
          <w:jc w:val="center"/>
        </w:trPr>
        <w:tc>
          <w:tcPr>
            <w:tcW w:w="1878" w:type="dxa"/>
            <w:vAlign w:val="center"/>
          </w:tcPr>
          <w:p w14:paraId="3A1003D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可燃性</w:t>
            </w:r>
          </w:p>
        </w:tc>
        <w:tc>
          <w:tcPr>
            <w:tcW w:w="854" w:type="dxa"/>
            <w:vAlign w:val="center"/>
          </w:tcPr>
          <w:p w14:paraId="137093B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可燃</w:t>
            </w:r>
          </w:p>
        </w:tc>
        <w:tc>
          <w:tcPr>
            <w:tcW w:w="1170" w:type="dxa"/>
            <w:vAlign w:val="center"/>
          </w:tcPr>
          <w:p w14:paraId="60DFC54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854" w:type="dxa"/>
            <w:vAlign w:val="center"/>
          </w:tcPr>
          <w:p w14:paraId="03A0CB1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可燃</w:t>
            </w:r>
          </w:p>
        </w:tc>
        <w:tc>
          <w:tcPr>
            <w:tcW w:w="1065" w:type="dxa"/>
            <w:vAlign w:val="center"/>
          </w:tcPr>
          <w:p w14:paraId="4A9B894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可燃</w:t>
            </w:r>
          </w:p>
        </w:tc>
        <w:tc>
          <w:tcPr>
            <w:tcW w:w="1162" w:type="dxa"/>
            <w:vAlign w:val="center"/>
          </w:tcPr>
          <w:p w14:paraId="4BEDEF1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可燃</w:t>
            </w:r>
          </w:p>
        </w:tc>
        <w:tc>
          <w:tcPr>
            <w:tcW w:w="811" w:type="dxa"/>
            <w:vAlign w:val="center"/>
          </w:tcPr>
          <w:p w14:paraId="01FA02B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854" w:type="dxa"/>
            <w:vAlign w:val="center"/>
          </w:tcPr>
          <w:p w14:paraId="6F4743F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可燃</w:t>
            </w:r>
          </w:p>
        </w:tc>
        <w:tc>
          <w:tcPr>
            <w:tcW w:w="885" w:type="dxa"/>
            <w:vAlign w:val="center"/>
          </w:tcPr>
          <w:p w14:paraId="1C07C6A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可燃</w:t>
            </w:r>
          </w:p>
        </w:tc>
      </w:tr>
      <w:tr w:rsidR="00D12939" w14:paraId="4B3A6763" w14:textId="77777777">
        <w:trPr>
          <w:trHeight w:val="261"/>
          <w:jc w:val="center"/>
        </w:trPr>
        <w:tc>
          <w:tcPr>
            <w:tcW w:w="1878" w:type="dxa"/>
            <w:vAlign w:val="center"/>
          </w:tcPr>
          <w:p w14:paraId="3C07AC9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与空气混合的爆炸体积范围（</w:t>
            </w:r>
            <w:r>
              <w:rPr>
                <w:rFonts w:ascii="Times New Roman" w:eastAsia="宋体" w:hAnsi="Times New Roman" w:cs="Times New Roman"/>
              </w:rPr>
              <w:t>%</w:t>
            </w:r>
            <w:r>
              <w:rPr>
                <w:rFonts w:ascii="Times New Roman" w:eastAsia="宋体" w:hAnsi="Times New Roman" w:cs="Times New Roman"/>
              </w:rPr>
              <w:t>）</w:t>
            </w:r>
          </w:p>
        </w:tc>
        <w:tc>
          <w:tcPr>
            <w:tcW w:w="854" w:type="dxa"/>
            <w:vAlign w:val="center"/>
          </w:tcPr>
          <w:p w14:paraId="0D753A6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5-15</w:t>
            </w:r>
          </w:p>
        </w:tc>
        <w:tc>
          <w:tcPr>
            <w:tcW w:w="1170" w:type="dxa"/>
            <w:vAlign w:val="center"/>
          </w:tcPr>
          <w:p w14:paraId="654F676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854" w:type="dxa"/>
            <w:vAlign w:val="center"/>
          </w:tcPr>
          <w:p w14:paraId="323F95C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4~75.6</w:t>
            </w:r>
          </w:p>
        </w:tc>
        <w:tc>
          <w:tcPr>
            <w:tcW w:w="1065" w:type="dxa"/>
            <w:vAlign w:val="center"/>
          </w:tcPr>
          <w:p w14:paraId="4C62546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4.3~45.5</w:t>
            </w:r>
          </w:p>
        </w:tc>
        <w:tc>
          <w:tcPr>
            <w:tcW w:w="1162" w:type="dxa"/>
            <w:vAlign w:val="center"/>
          </w:tcPr>
          <w:p w14:paraId="734BD99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12.5~74</w:t>
            </w:r>
          </w:p>
        </w:tc>
        <w:tc>
          <w:tcPr>
            <w:tcW w:w="811" w:type="dxa"/>
            <w:vAlign w:val="center"/>
          </w:tcPr>
          <w:p w14:paraId="3FE7533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854" w:type="dxa"/>
            <w:vAlign w:val="center"/>
          </w:tcPr>
          <w:p w14:paraId="28704B6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885" w:type="dxa"/>
            <w:vAlign w:val="center"/>
          </w:tcPr>
          <w:p w14:paraId="7709BA3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r>
      <w:tr w:rsidR="00D12939" w14:paraId="737DB60E" w14:textId="77777777">
        <w:trPr>
          <w:trHeight w:val="261"/>
          <w:jc w:val="center"/>
        </w:trPr>
        <w:tc>
          <w:tcPr>
            <w:tcW w:w="1878" w:type="dxa"/>
            <w:vAlign w:val="center"/>
          </w:tcPr>
          <w:p w14:paraId="1A9D27D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臭</w:t>
            </w:r>
            <w:r>
              <w:rPr>
                <w:rFonts w:ascii="Times New Roman" w:eastAsia="宋体" w:hAnsi="Times New Roman" w:cs="Times New Roman"/>
              </w:rPr>
              <w:t xml:space="preserve">  </w:t>
            </w:r>
            <w:r>
              <w:rPr>
                <w:rFonts w:ascii="Times New Roman" w:eastAsia="宋体" w:hAnsi="Times New Roman" w:cs="Times New Roman"/>
              </w:rPr>
              <w:t>味</w:t>
            </w:r>
          </w:p>
        </w:tc>
        <w:tc>
          <w:tcPr>
            <w:tcW w:w="854" w:type="dxa"/>
            <w:vAlign w:val="center"/>
          </w:tcPr>
          <w:p w14:paraId="1A0E4C0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无</w:t>
            </w:r>
          </w:p>
        </w:tc>
        <w:tc>
          <w:tcPr>
            <w:tcW w:w="1170" w:type="dxa"/>
            <w:vAlign w:val="center"/>
          </w:tcPr>
          <w:p w14:paraId="3186A79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无</w:t>
            </w:r>
          </w:p>
        </w:tc>
        <w:tc>
          <w:tcPr>
            <w:tcW w:w="854" w:type="dxa"/>
            <w:vAlign w:val="center"/>
          </w:tcPr>
          <w:p w14:paraId="15D834E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1065" w:type="dxa"/>
            <w:vAlign w:val="center"/>
          </w:tcPr>
          <w:p w14:paraId="2272751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有</w:t>
            </w:r>
          </w:p>
        </w:tc>
        <w:tc>
          <w:tcPr>
            <w:tcW w:w="1162" w:type="dxa"/>
            <w:vAlign w:val="center"/>
          </w:tcPr>
          <w:p w14:paraId="1C02877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轻微</w:t>
            </w:r>
          </w:p>
        </w:tc>
        <w:tc>
          <w:tcPr>
            <w:tcW w:w="811" w:type="dxa"/>
            <w:vAlign w:val="center"/>
          </w:tcPr>
          <w:p w14:paraId="2812A13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无</w:t>
            </w:r>
          </w:p>
        </w:tc>
        <w:tc>
          <w:tcPr>
            <w:tcW w:w="854" w:type="dxa"/>
            <w:vAlign w:val="center"/>
          </w:tcPr>
          <w:p w14:paraId="6DC07AE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有</w:t>
            </w:r>
          </w:p>
        </w:tc>
        <w:tc>
          <w:tcPr>
            <w:tcW w:w="885" w:type="dxa"/>
            <w:vAlign w:val="center"/>
          </w:tcPr>
          <w:p w14:paraId="0C38A0C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有</w:t>
            </w:r>
          </w:p>
        </w:tc>
      </w:tr>
      <w:tr w:rsidR="00D12939" w14:paraId="39244044" w14:textId="77777777">
        <w:trPr>
          <w:trHeight w:val="261"/>
          <w:jc w:val="center"/>
        </w:trPr>
        <w:tc>
          <w:tcPr>
            <w:tcW w:w="1878" w:type="dxa"/>
            <w:vAlign w:val="center"/>
          </w:tcPr>
          <w:p w14:paraId="38BE324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毒</w:t>
            </w:r>
            <w:r>
              <w:rPr>
                <w:rFonts w:ascii="Times New Roman" w:eastAsia="宋体" w:hAnsi="Times New Roman" w:cs="Times New Roman"/>
              </w:rPr>
              <w:t xml:space="preserve">  </w:t>
            </w:r>
            <w:r>
              <w:rPr>
                <w:rFonts w:ascii="Times New Roman" w:eastAsia="宋体" w:hAnsi="Times New Roman" w:cs="Times New Roman"/>
              </w:rPr>
              <w:t>性</w:t>
            </w:r>
          </w:p>
        </w:tc>
        <w:tc>
          <w:tcPr>
            <w:tcW w:w="854" w:type="dxa"/>
            <w:vAlign w:val="center"/>
          </w:tcPr>
          <w:p w14:paraId="739B4C3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无</w:t>
            </w:r>
          </w:p>
        </w:tc>
        <w:tc>
          <w:tcPr>
            <w:tcW w:w="1170" w:type="dxa"/>
            <w:vAlign w:val="center"/>
          </w:tcPr>
          <w:p w14:paraId="27C7E14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无</w:t>
            </w:r>
          </w:p>
        </w:tc>
        <w:tc>
          <w:tcPr>
            <w:tcW w:w="854" w:type="dxa"/>
            <w:vAlign w:val="center"/>
          </w:tcPr>
          <w:p w14:paraId="3A1B229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1065" w:type="dxa"/>
            <w:vAlign w:val="center"/>
          </w:tcPr>
          <w:p w14:paraId="3E0B9A2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有</w:t>
            </w:r>
          </w:p>
        </w:tc>
        <w:tc>
          <w:tcPr>
            <w:tcW w:w="1162" w:type="dxa"/>
            <w:vAlign w:val="center"/>
          </w:tcPr>
          <w:p w14:paraId="5E24CD9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有</w:t>
            </w:r>
          </w:p>
        </w:tc>
        <w:tc>
          <w:tcPr>
            <w:tcW w:w="811" w:type="dxa"/>
            <w:vAlign w:val="center"/>
          </w:tcPr>
          <w:p w14:paraId="44EEE48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无</w:t>
            </w:r>
          </w:p>
        </w:tc>
        <w:tc>
          <w:tcPr>
            <w:tcW w:w="854" w:type="dxa"/>
            <w:vAlign w:val="center"/>
          </w:tcPr>
          <w:p w14:paraId="1BC1F95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有</w:t>
            </w:r>
          </w:p>
        </w:tc>
        <w:tc>
          <w:tcPr>
            <w:tcW w:w="885" w:type="dxa"/>
            <w:vAlign w:val="center"/>
          </w:tcPr>
          <w:p w14:paraId="7B885B5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有</w:t>
            </w:r>
          </w:p>
        </w:tc>
      </w:tr>
    </w:tbl>
    <w:p w14:paraId="3EC244B3"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从表</w:t>
      </w:r>
      <w:r>
        <w:rPr>
          <w:rFonts w:ascii="Times New Roman" w:eastAsia="宋体" w:hAnsi="Times New Roman" w:cs="Times New Roman"/>
          <w:sz w:val="24"/>
        </w:rPr>
        <w:t>4.2-3</w:t>
      </w:r>
      <w:r>
        <w:rPr>
          <w:rFonts w:ascii="Times New Roman" w:eastAsia="宋体" w:hAnsi="Times New Roman" w:cs="Times New Roman"/>
          <w:sz w:val="24"/>
        </w:rPr>
        <w:t>可以看出，填埋气体的主要成分</w:t>
      </w:r>
      <w:r>
        <w:rPr>
          <w:rFonts w:ascii="Times New Roman" w:eastAsia="宋体" w:hAnsi="Times New Roman" w:cs="Times New Roman"/>
          <w:sz w:val="24"/>
        </w:rPr>
        <w:t>CH</w:t>
      </w:r>
      <w:r>
        <w:rPr>
          <w:rFonts w:ascii="Times New Roman" w:eastAsia="宋体" w:hAnsi="Times New Roman" w:cs="Times New Roman"/>
          <w:sz w:val="24"/>
          <w:vertAlign w:val="subscript"/>
        </w:rPr>
        <w:t>4</w:t>
      </w:r>
      <w:r>
        <w:rPr>
          <w:rFonts w:ascii="Times New Roman" w:eastAsia="宋体" w:hAnsi="Times New Roman" w:cs="Times New Roman"/>
          <w:sz w:val="24"/>
        </w:rPr>
        <w:t>是一种可燃气体，其低位发热值为</w:t>
      </w:r>
      <w:r>
        <w:rPr>
          <w:rFonts w:ascii="Times New Roman" w:eastAsia="宋体" w:hAnsi="Times New Roman" w:cs="Times New Roman"/>
          <w:sz w:val="24"/>
        </w:rPr>
        <w:t>8570kcal/Nm</w:t>
      </w:r>
      <w:r>
        <w:rPr>
          <w:rFonts w:ascii="Times New Roman" w:eastAsia="宋体" w:hAnsi="Times New Roman" w:cs="Times New Roman"/>
          <w:sz w:val="24"/>
          <w:vertAlign w:val="superscript"/>
        </w:rPr>
        <w:t>3</w:t>
      </w:r>
      <w:r>
        <w:rPr>
          <w:rFonts w:ascii="Times New Roman" w:eastAsia="宋体" w:hAnsi="Times New Roman" w:cs="Times New Roman"/>
          <w:sz w:val="24"/>
        </w:rPr>
        <w:t>，当它在空气中的体积达到</w:t>
      </w:r>
      <w:r>
        <w:rPr>
          <w:rFonts w:ascii="Times New Roman" w:eastAsia="宋体" w:hAnsi="Times New Roman" w:cs="Times New Roman"/>
          <w:sz w:val="24"/>
        </w:rPr>
        <w:t>5~15%</w:t>
      </w:r>
      <w:r>
        <w:rPr>
          <w:rFonts w:ascii="Times New Roman" w:eastAsia="宋体" w:hAnsi="Times New Roman" w:cs="Times New Roman"/>
          <w:sz w:val="24"/>
        </w:rPr>
        <w:t>时，可能导致火灾和爆炸事故；另外植物对</w:t>
      </w:r>
      <w:r>
        <w:rPr>
          <w:rFonts w:ascii="Times New Roman" w:eastAsia="宋体" w:hAnsi="Times New Roman" w:cs="Times New Roman"/>
          <w:sz w:val="24"/>
        </w:rPr>
        <w:t>CO</w:t>
      </w:r>
      <w:r>
        <w:rPr>
          <w:rFonts w:ascii="Times New Roman" w:eastAsia="宋体" w:hAnsi="Times New Roman" w:cs="Times New Roman"/>
          <w:sz w:val="24"/>
          <w:vertAlign w:val="subscript"/>
        </w:rPr>
        <w:t>2</w:t>
      </w:r>
      <w:r>
        <w:rPr>
          <w:rFonts w:ascii="Times New Roman" w:eastAsia="宋体" w:hAnsi="Times New Roman" w:cs="Times New Roman"/>
          <w:sz w:val="24"/>
        </w:rPr>
        <w:t>和</w:t>
      </w:r>
      <w:r>
        <w:rPr>
          <w:rFonts w:ascii="Times New Roman" w:eastAsia="宋体" w:hAnsi="Times New Roman" w:cs="Times New Roman"/>
          <w:sz w:val="24"/>
        </w:rPr>
        <w:t>CH</w:t>
      </w:r>
      <w:r>
        <w:rPr>
          <w:rFonts w:ascii="Times New Roman" w:eastAsia="宋体" w:hAnsi="Times New Roman" w:cs="Times New Roman"/>
          <w:sz w:val="24"/>
          <w:vertAlign w:val="subscript"/>
        </w:rPr>
        <w:t>4</w:t>
      </w:r>
      <w:r>
        <w:rPr>
          <w:rFonts w:ascii="Times New Roman" w:eastAsia="宋体" w:hAnsi="Times New Roman" w:cs="Times New Roman"/>
          <w:sz w:val="24"/>
        </w:rPr>
        <w:t>具有一定的敏感性，如果聚集在植物根部则会导致植物根部缺氧，从而危害其生长。硫化氢的主要影响是在大量气体逸出的地方产生臭味。二氧化碳的主要影响是在水中溶解形成碳酸，从而溶解矿物质使地下水矿化，也可能引起土壤酸性改变，破坏填埋场周围植被和环境绿化。</w:t>
      </w:r>
    </w:p>
    <w:p w14:paraId="3DD25241"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hint="eastAsia"/>
          <w:sz w:val="24"/>
        </w:rPr>
        <w:t>③垃圾填埋产气源强确定</w:t>
      </w:r>
    </w:p>
    <w:p w14:paraId="48AA6F8A" w14:textId="77777777" w:rsidR="00D12939" w:rsidRDefault="004F47F5">
      <w:pPr>
        <w:pStyle w:val="affffffffe"/>
        <w:ind w:firstLine="496"/>
        <w:rPr>
          <w:color w:val="auto"/>
        </w:rPr>
      </w:pPr>
      <w:r>
        <w:rPr>
          <w:rFonts w:hint="eastAsia"/>
          <w:color w:val="auto"/>
        </w:rPr>
        <w:t>目前广泛应用的是《生活或垃圾填埋场填埋气体收集处理及利用工程技术规范》（</w:t>
      </w:r>
      <w:r>
        <w:rPr>
          <w:rFonts w:hint="eastAsia"/>
          <w:color w:val="auto"/>
        </w:rPr>
        <w:t>CJJ133-2009</w:t>
      </w:r>
      <w:r>
        <w:rPr>
          <w:rFonts w:hint="eastAsia"/>
          <w:color w:val="auto"/>
        </w:rPr>
        <w:t>）中推荐的</w:t>
      </w:r>
      <w:r>
        <w:rPr>
          <w:rFonts w:hint="eastAsia"/>
          <w:color w:val="auto"/>
        </w:rPr>
        <w:t>Scholl Canyon</w:t>
      </w:r>
      <w:r>
        <w:rPr>
          <w:rFonts w:hint="eastAsia"/>
          <w:color w:val="auto"/>
        </w:rPr>
        <w:t>一阶动力学模型。该模型数学式为：</w:t>
      </w:r>
    </w:p>
    <w:p w14:paraId="4D85D880" w14:textId="77777777" w:rsidR="00D12939" w:rsidRDefault="004F47F5">
      <w:pPr>
        <w:pStyle w:val="affffffffe"/>
        <w:ind w:firstLine="496"/>
        <w:rPr>
          <w:color w:val="auto"/>
        </w:rPr>
      </w:pPr>
      <w:r>
        <w:rPr>
          <w:rFonts w:hint="eastAsia"/>
          <w:color w:val="auto"/>
        </w:rPr>
        <w:t>A</w:t>
      </w:r>
      <w:r>
        <w:rPr>
          <w:rFonts w:hint="eastAsia"/>
          <w:color w:val="auto"/>
        </w:rPr>
        <w:t>、对某一时刻填入垃圾场的生活垃圾，其填埋气体产生量宜按照以下公示计算：</w:t>
      </w:r>
    </w:p>
    <w:p w14:paraId="22CF7866" w14:textId="77777777" w:rsidR="00D12939" w:rsidRDefault="004F47F5">
      <w:pPr>
        <w:pStyle w:val="affffffffe"/>
        <w:ind w:firstLine="496"/>
        <w:jc w:val="center"/>
        <w:rPr>
          <w:color w:val="auto"/>
        </w:rPr>
      </w:pPr>
      <w:r>
        <w:rPr>
          <w:rFonts w:hint="eastAsia"/>
          <w:color w:val="auto"/>
        </w:rPr>
        <w:t>G=ML</w:t>
      </w:r>
      <w:r>
        <w:rPr>
          <w:rFonts w:hint="eastAsia"/>
          <w:color w:val="auto"/>
          <w:vertAlign w:val="subscript"/>
        </w:rPr>
        <w:t>0</w:t>
      </w:r>
      <w:r>
        <w:rPr>
          <w:rFonts w:hint="eastAsia"/>
          <w:color w:val="auto"/>
        </w:rPr>
        <w:t>（</w:t>
      </w:r>
      <w:r>
        <w:rPr>
          <w:rFonts w:hint="eastAsia"/>
          <w:color w:val="auto"/>
        </w:rPr>
        <w:t>1-e</w:t>
      </w:r>
      <w:r>
        <w:rPr>
          <w:rFonts w:hint="eastAsia"/>
          <w:color w:val="auto"/>
          <w:vertAlign w:val="superscript"/>
        </w:rPr>
        <w:t>-kt</w:t>
      </w:r>
      <w:r>
        <w:rPr>
          <w:rFonts w:hint="eastAsia"/>
          <w:color w:val="auto"/>
        </w:rPr>
        <w:t>）</w:t>
      </w:r>
    </w:p>
    <w:p w14:paraId="0C4AA8FD" w14:textId="77777777" w:rsidR="00D12939" w:rsidRDefault="004F47F5">
      <w:pPr>
        <w:pStyle w:val="affffffffe"/>
        <w:ind w:firstLine="496"/>
        <w:rPr>
          <w:color w:val="auto"/>
        </w:rPr>
      </w:pPr>
      <w:r>
        <w:rPr>
          <w:rFonts w:hint="eastAsia"/>
          <w:color w:val="auto"/>
        </w:rPr>
        <w:t>式中：</w:t>
      </w:r>
      <w:r>
        <w:rPr>
          <w:rFonts w:hint="eastAsia"/>
          <w:color w:val="auto"/>
        </w:rPr>
        <w:t>G</w:t>
      </w:r>
      <w:r>
        <w:rPr>
          <w:rFonts w:hint="eastAsia"/>
          <w:color w:val="auto"/>
        </w:rPr>
        <w:t>—从垃圾填埋开始到第</w:t>
      </w:r>
      <w:r>
        <w:rPr>
          <w:rFonts w:hint="eastAsia"/>
          <w:color w:val="auto"/>
        </w:rPr>
        <w:t>t</w:t>
      </w:r>
      <w:r>
        <w:rPr>
          <w:rFonts w:hint="eastAsia"/>
          <w:color w:val="auto"/>
        </w:rPr>
        <w:t>年的填埋气体产生总量，</w:t>
      </w:r>
      <w:r>
        <w:rPr>
          <w:rFonts w:hint="eastAsia"/>
          <w:color w:val="auto"/>
        </w:rPr>
        <w:t>m</w:t>
      </w:r>
      <w:r>
        <w:rPr>
          <w:rFonts w:hint="eastAsia"/>
          <w:color w:val="auto"/>
          <w:vertAlign w:val="superscript"/>
        </w:rPr>
        <w:t>3</w:t>
      </w:r>
      <w:r>
        <w:rPr>
          <w:rFonts w:hint="eastAsia"/>
          <w:color w:val="auto"/>
        </w:rPr>
        <w:t>；</w:t>
      </w:r>
    </w:p>
    <w:p w14:paraId="2741B3C6" w14:textId="77777777" w:rsidR="00D12939" w:rsidRDefault="004F47F5">
      <w:pPr>
        <w:pStyle w:val="affffffffe"/>
        <w:ind w:firstLineChars="500" w:firstLine="1240"/>
        <w:rPr>
          <w:color w:val="auto"/>
        </w:rPr>
      </w:pPr>
      <w:r>
        <w:rPr>
          <w:rFonts w:hint="eastAsia"/>
          <w:color w:val="auto"/>
        </w:rPr>
        <w:t>M</w:t>
      </w:r>
      <w:r>
        <w:rPr>
          <w:rFonts w:hint="eastAsia"/>
          <w:color w:val="auto"/>
        </w:rPr>
        <w:t>—所填垃圾的重量，</w:t>
      </w:r>
      <w:r>
        <w:rPr>
          <w:rFonts w:hint="eastAsia"/>
          <w:color w:val="auto"/>
        </w:rPr>
        <w:t>t</w:t>
      </w:r>
      <w:r>
        <w:rPr>
          <w:rFonts w:hint="eastAsia"/>
          <w:color w:val="auto"/>
        </w:rPr>
        <w:t>；</w:t>
      </w:r>
    </w:p>
    <w:p w14:paraId="1E9A7FCF" w14:textId="77777777" w:rsidR="00D12939" w:rsidRDefault="004F47F5">
      <w:pPr>
        <w:pStyle w:val="affffffffe"/>
        <w:ind w:firstLineChars="500" w:firstLine="1240"/>
        <w:rPr>
          <w:color w:val="auto"/>
        </w:rPr>
      </w:pPr>
      <w:r>
        <w:rPr>
          <w:rFonts w:hint="eastAsia"/>
          <w:color w:val="auto"/>
        </w:rPr>
        <w:t>L</w:t>
      </w:r>
      <w:r>
        <w:rPr>
          <w:rFonts w:hint="eastAsia"/>
          <w:color w:val="auto"/>
          <w:vertAlign w:val="subscript"/>
        </w:rPr>
        <w:t>0</w:t>
      </w:r>
      <w:r>
        <w:rPr>
          <w:rFonts w:hint="eastAsia"/>
          <w:color w:val="auto"/>
        </w:rPr>
        <w:t>—单位重量垃圾的填埋气体最大产气量，</w:t>
      </w:r>
      <w:r>
        <w:rPr>
          <w:rFonts w:hint="eastAsia"/>
          <w:color w:val="auto"/>
        </w:rPr>
        <w:t>m</w:t>
      </w:r>
      <w:r>
        <w:rPr>
          <w:rFonts w:hint="eastAsia"/>
          <w:color w:val="auto"/>
          <w:vertAlign w:val="superscript"/>
        </w:rPr>
        <w:t>3</w:t>
      </w:r>
      <w:r>
        <w:rPr>
          <w:rFonts w:hint="eastAsia"/>
          <w:color w:val="auto"/>
        </w:rPr>
        <w:t>/t</w:t>
      </w:r>
      <w:r>
        <w:rPr>
          <w:rFonts w:hint="eastAsia"/>
          <w:color w:val="auto"/>
        </w:rPr>
        <w:t>；</w:t>
      </w:r>
    </w:p>
    <w:p w14:paraId="2825E99D" w14:textId="77777777" w:rsidR="00D12939" w:rsidRDefault="004F47F5">
      <w:pPr>
        <w:pStyle w:val="affffffffe"/>
        <w:ind w:firstLineChars="500" w:firstLine="1240"/>
        <w:rPr>
          <w:color w:val="auto"/>
        </w:rPr>
      </w:pPr>
      <w:r>
        <w:rPr>
          <w:rFonts w:hint="eastAsia"/>
          <w:color w:val="auto"/>
        </w:rPr>
        <w:t>k</w:t>
      </w:r>
      <w:r>
        <w:rPr>
          <w:rFonts w:hint="eastAsia"/>
          <w:color w:val="auto"/>
        </w:rPr>
        <w:t>—产气速率常数，</w:t>
      </w:r>
      <w:r>
        <w:rPr>
          <w:rFonts w:hint="eastAsia"/>
          <w:color w:val="auto"/>
        </w:rPr>
        <w:t>1/a</w:t>
      </w:r>
      <w:r>
        <w:rPr>
          <w:rFonts w:hint="eastAsia"/>
          <w:color w:val="auto"/>
        </w:rPr>
        <w:t>，本项目取</w:t>
      </w:r>
      <w:r>
        <w:rPr>
          <w:rFonts w:hint="eastAsia"/>
          <w:color w:val="auto"/>
        </w:rPr>
        <w:t>0</w:t>
      </w:r>
      <w:r>
        <w:rPr>
          <w:color w:val="auto"/>
        </w:rPr>
        <w:t>.1</w:t>
      </w:r>
      <w:r>
        <w:rPr>
          <w:rFonts w:hint="eastAsia"/>
          <w:color w:val="auto"/>
        </w:rPr>
        <w:t>；</w:t>
      </w:r>
    </w:p>
    <w:p w14:paraId="517FF577" w14:textId="77777777" w:rsidR="00D12939" w:rsidRDefault="004F47F5">
      <w:pPr>
        <w:pStyle w:val="affffffffe"/>
        <w:ind w:firstLineChars="500" w:firstLine="1240"/>
        <w:rPr>
          <w:color w:val="auto"/>
        </w:rPr>
      </w:pPr>
      <w:r>
        <w:rPr>
          <w:rFonts w:hint="eastAsia"/>
          <w:color w:val="auto"/>
        </w:rPr>
        <w:t>t</w:t>
      </w:r>
      <w:r>
        <w:rPr>
          <w:rFonts w:hint="eastAsia"/>
          <w:color w:val="auto"/>
        </w:rPr>
        <w:t>—从垃圾进入填埋场时算起的时间，</w:t>
      </w:r>
      <w:r>
        <w:rPr>
          <w:rFonts w:hint="eastAsia"/>
          <w:color w:val="auto"/>
        </w:rPr>
        <w:t>a</w:t>
      </w:r>
      <w:r>
        <w:rPr>
          <w:rFonts w:hint="eastAsia"/>
          <w:color w:val="auto"/>
        </w:rPr>
        <w:t>。</w:t>
      </w:r>
    </w:p>
    <w:p w14:paraId="34F8B05F" w14:textId="77777777" w:rsidR="00D12939" w:rsidRDefault="004F47F5">
      <w:pPr>
        <w:pStyle w:val="affffffffe"/>
        <w:ind w:firstLine="496"/>
        <w:rPr>
          <w:color w:val="auto"/>
        </w:rPr>
      </w:pPr>
      <w:r>
        <w:rPr>
          <w:rFonts w:hint="eastAsia"/>
          <w:color w:val="auto"/>
        </w:rPr>
        <w:t>B</w:t>
      </w:r>
      <w:r>
        <w:rPr>
          <w:rFonts w:hint="eastAsia"/>
          <w:color w:val="auto"/>
        </w:rPr>
        <w:t>、对某一时刻填入填埋场的生活垃圾，其填埋气体产气速率宜按以下公示计算：</w:t>
      </w:r>
    </w:p>
    <w:p w14:paraId="4392F3B2" w14:textId="77777777" w:rsidR="00D12939" w:rsidRDefault="004F47F5">
      <w:pPr>
        <w:pStyle w:val="affffffffe"/>
        <w:ind w:firstLine="496"/>
        <w:jc w:val="center"/>
        <w:rPr>
          <w:color w:val="auto"/>
        </w:rPr>
      </w:pPr>
      <w:r>
        <w:rPr>
          <w:rFonts w:hint="eastAsia"/>
          <w:color w:val="auto"/>
        </w:rPr>
        <w:t>Q</w:t>
      </w:r>
      <w:r>
        <w:rPr>
          <w:rFonts w:hint="eastAsia"/>
          <w:color w:val="auto"/>
          <w:vertAlign w:val="subscript"/>
        </w:rPr>
        <w:t>t</w:t>
      </w:r>
      <w:r>
        <w:rPr>
          <w:rFonts w:hint="eastAsia"/>
          <w:color w:val="auto"/>
        </w:rPr>
        <w:t>=ML</w:t>
      </w:r>
      <w:r>
        <w:rPr>
          <w:rFonts w:hint="eastAsia"/>
          <w:color w:val="auto"/>
          <w:vertAlign w:val="subscript"/>
        </w:rPr>
        <w:t>0</w:t>
      </w:r>
      <w:r>
        <w:rPr>
          <w:rFonts w:hint="eastAsia"/>
          <w:color w:val="auto"/>
        </w:rPr>
        <w:t>ke</w:t>
      </w:r>
      <w:r>
        <w:rPr>
          <w:rFonts w:hint="eastAsia"/>
          <w:color w:val="auto"/>
          <w:vertAlign w:val="superscript"/>
        </w:rPr>
        <w:t>-kt</w:t>
      </w:r>
    </w:p>
    <w:p w14:paraId="779BBC91" w14:textId="77777777" w:rsidR="00D12939" w:rsidRDefault="004F47F5">
      <w:pPr>
        <w:pStyle w:val="affffffffe"/>
        <w:ind w:firstLine="496"/>
        <w:rPr>
          <w:color w:val="auto"/>
        </w:rPr>
      </w:pPr>
      <w:r>
        <w:rPr>
          <w:rFonts w:hint="eastAsia"/>
          <w:color w:val="auto"/>
        </w:rPr>
        <w:t>式中：</w:t>
      </w:r>
      <w:r>
        <w:rPr>
          <w:rFonts w:hint="eastAsia"/>
          <w:color w:val="auto"/>
        </w:rPr>
        <w:t>Q</w:t>
      </w:r>
      <w:r>
        <w:rPr>
          <w:rFonts w:hint="eastAsia"/>
          <w:color w:val="auto"/>
          <w:vertAlign w:val="subscript"/>
        </w:rPr>
        <w:t>t</w:t>
      </w:r>
      <w:r>
        <w:rPr>
          <w:rFonts w:hint="eastAsia"/>
          <w:color w:val="auto"/>
        </w:rPr>
        <w:t>—所填埋垃圾在时间</w:t>
      </w:r>
      <w:r>
        <w:rPr>
          <w:rFonts w:hint="eastAsia"/>
          <w:color w:val="auto"/>
        </w:rPr>
        <w:t>t</w:t>
      </w:r>
      <w:r>
        <w:rPr>
          <w:rFonts w:hint="eastAsia"/>
          <w:color w:val="auto"/>
        </w:rPr>
        <w:t>时刻（第</w:t>
      </w:r>
      <w:r>
        <w:rPr>
          <w:rFonts w:hint="eastAsia"/>
          <w:color w:val="auto"/>
        </w:rPr>
        <w:t>t</w:t>
      </w:r>
      <w:r>
        <w:rPr>
          <w:rFonts w:hint="eastAsia"/>
          <w:color w:val="auto"/>
        </w:rPr>
        <w:t>年）的产气速率，</w:t>
      </w:r>
      <w:r>
        <w:rPr>
          <w:rFonts w:hint="eastAsia"/>
          <w:color w:val="auto"/>
        </w:rPr>
        <w:t>m</w:t>
      </w:r>
      <w:r>
        <w:rPr>
          <w:rFonts w:hint="eastAsia"/>
          <w:color w:val="auto"/>
          <w:vertAlign w:val="superscript"/>
        </w:rPr>
        <w:t>3</w:t>
      </w:r>
      <w:r>
        <w:rPr>
          <w:rFonts w:hint="eastAsia"/>
          <w:color w:val="auto"/>
        </w:rPr>
        <w:t>/a</w:t>
      </w:r>
      <w:r>
        <w:rPr>
          <w:rFonts w:hint="eastAsia"/>
          <w:color w:val="auto"/>
        </w:rPr>
        <w:t>；</w:t>
      </w:r>
    </w:p>
    <w:p w14:paraId="2C9DFCC4" w14:textId="77777777" w:rsidR="00D12939" w:rsidRDefault="004F47F5">
      <w:pPr>
        <w:pStyle w:val="affffffffe"/>
        <w:ind w:firstLineChars="500" w:firstLine="1240"/>
        <w:rPr>
          <w:color w:val="auto"/>
        </w:rPr>
      </w:pPr>
      <w:r>
        <w:rPr>
          <w:rFonts w:hint="eastAsia"/>
          <w:color w:val="auto"/>
        </w:rPr>
        <w:t>M</w:t>
      </w:r>
      <w:r>
        <w:rPr>
          <w:rFonts w:hint="eastAsia"/>
          <w:color w:val="auto"/>
        </w:rPr>
        <w:t>—所填垃圾的重量，</w:t>
      </w:r>
      <w:r>
        <w:rPr>
          <w:rFonts w:hint="eastAsia"/>
          <w:color w:val="auto"/>
        </w:rPr>
        <w:t>t</w:t>
      </w:r>
      <w:r>
        <w:rPr>
          <w:rFonts w:hint="eastAsia"/>
          <w:color w:val="auto"/>
        </w:rPr>
        <w:t>；</w:t>
      </w:r>
    </w:p>
    <w:p w14:paraId="43F6A8DF" w14:textId="77777777" w:rsidR="00D12939" w:rsidRDefault="004F47F5">
      <w:pPr>
        <w:pStyle w:val="affffffffe"/>
        <w:ind w:firstLineChars="500" w:firstLine="1240"/>
        <w:rPr>
          <w:color w:val="auto"/>
        </w:rPr>
      </w:pPr>
      <w:r>
        <w:rPr>
          <w:rFonts w:hint="eastAsia"/>
          <w:color w:val="auto"/>
        </w:rPr>
        <w:t>L</w:t>
      </w:r>
      <w:r>
        <w:rPr>
          <w:rFonts w:hint="eastAsia"/>
          <w:color w:val="auto"/>
          <w:vertAlign w:val="subscript"/>
        </w:rPr>
        <w:t>0</w:t>
      </w:r>
      <w:r>
        <w:rPr>
          <w:rFonts w:hint="eastAsia"/>
          <w:color w:val="auto"/>
        </w:rPr>
        <w:t>—单位重量垃圾的填埋气体最大产气量，</w:t>
      </w:r>
      <w:r>
        <w:rPr>
          <w:rFonts w:hint="eastAsia"/>
          <w:color w:val="auto"/>
        </w:rPr>
        <w:t>m</w:t>
      </w:r>
      <w:r>
        <w:rPr>
          <w:rFonts w:hint="eastAsia"/>
          <w:color w:val="auto"/>
          <w:vertAlign w:val="superscript"/>
        </w:rPr>
        <w:t>3</w:t>
      </w:r>
      <w:r>
        <w:rPr>
          <w:rFonts w:hint="eastAsia"/>
          <w:color w:val="auto"/>
        </w:rPr>
        <w:t>/t</w:t>
      </w:r>
      <w:r>
        <w:rPr>
          <w:rFonts w:hint="eastAsia"/>
          <w:color w:val="auto"/>
        </w:rPr>
        <w:t>；</w:t>
      </w:r>
    </w:p>
    <w:p w14:paraId="68B9394B" w14:textId="77777777" w:rsidR="00D12939" w:rsidRDefault="004F47F5">
      <w:pPr>
        <w:pStyle w:val="affffffffe"/>
        <w:ind w:firstLineChars="500" w:firstLine="1240"/>
        <w:rPr>
          <w:color w:val="auto"/>
        </w:rPr>
      </w:pPr>
      <w:r>
        <w:rPr>
          <w:rFonts w:hint="eastAsia"/>
          <w:color w:val="auto"/>
        </w:rPr>
        <w:t>k</w:t>
      </w:r>
      <w:r>
        <w:rPr>
          <w:rFonts w:hint="eastAsia"/>
          <w:color w:val="auto"/>
        </w:rPr>
        <w:t>—产气速率常数，</w:t>
      </w:r>
      <w:r>
        <w:rPr>
          <w:rFonts w:hint="eastAsia"/>
          <w:color w:val="auto"/>
        </w:rPr>
        <w:t>1/a</w:t>
      </w:r>
      <w:r>
        <w:rPr>
          <w:rFonts w:hint="eastAsia"/>
          <w:color w:val="auto"/>
        </w:rPr>
        <w:t>；</w:t>
      </w:r>
    </w:p>
    <w:p w14:paraId="24D7DAA0" w14:textId="77777777" w:rsidR="00D12939" w:rsidRDefault="004F47F5">
      <w:pPr>
        <w:pStyle w:val="affffffffe"/>
        <w:ind w:firstLineChars="500" w:firstLine="1240"/>
        <w:rPr>
          <w:color w:val="auto"/>
        </w:rPr>
      </w:pPr>
      <w:r>
        <w:rPr>
          <w:rFonts w:hint="eastAsia"/>
          <w:color w:val="auto"/>
        </w:rPr>
        <w:t>t</w:t>
      </w:r>
      <w:r>
        <w:rPr>
          <w:rFonts w:hint="eastAsia"/>
          <w:color w:val="auto"/>
        </w:rPr>
        <w:t>—从垃圾进入填埋场时算起的时间，</w:t>
      </w:r>
      <w:r>
        <w:rPr>
          <w:rFonts w:hint="eastAsia"/>
          <w:color w:val="auto"/>
        </w:rPr>
        <w:t>a</w:t>
      </w:r>
      <w:r>
        <w:rPr>
          <w:rFonts w:hint="eastAsia"/>
          <w:color w:val="auto"/>
        </w:rPr>
        <w:t>。</w:t>
      </w:r>
    </w:p>
    <w:p w14:paraId="07EAE094" w14:textId="77777777" w:rsidR="00D12939" w:rsidRDefault="004F47F5">
      <w:pPr>
        <w:pStyle w:val="affffffffe"/>
        <w:ind w:firstLine="496"/>
        <w:rPr>
          <w:color w:val="auto"/>
        </w:rPr>
      </w:pPr>
      <w:r>
        <w:rPr>
          <w:rFonts w:hint="eastAsia"/>
          <w:color w:val="auto"/>
        </w:rPr>
        <w:t>C</w:t>
      </w:r>
      <w:r>
        <w:rPr>
          <w:rFonts w:hint="eastAsia"/>
          <w:color w:val="auto"/>
        </w:rPr>
        <w:t>、垃圾填埋场填埋气体产气速率宜按下式逐年叠加计算：</w:t>
      </w:r>
    </w:p>
    <w:p w14:paraId="58B646EF" w14:textId="77777777" w:rsidR="00D12939" w:rsidRDefault="004F47F5">
      <w:pPr>
        <w:pStyle w:val="affffffffe"/>
        <w:ind w:firstLineChars="0"/>
        <w:jc w:val="center"/>
        <w:rPr>
          <w:color w:val="auto"/>
        </w:rPr>
      </w:pPr>
      <w:r>
        <w:rPr>
          <w:noProof/>
          <w:color w:val="auto"/>
        </w:rPr>
        <w:lastRenderedPageBreak/>
        <w:drawing>
          <wp:inline distT="0" distB="0" distL="0" distR="0">
            <wp:extent cx="3310890" cy="95758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8" cstate="print"/>
                    <a:stretch>
                      <a:fillRect/>
                    </a:stretch>
                  </pic:blipFill>
                  <pic:spPr>
                    <a:xfrm>
                      <a:off x="0" y="0"/>
                      <a:ext cx="3322202" cy="960905"/>
                    </a:xfrm>
                    <a:prstGeom prst="rect">
                      <a:avLst/>
                    </a:prstGeom>
                  </pic:spPr>
                </pic:pic>
              </a:graphicData>
            </a:graphic>
          </wp:inline>
        </w:drawing>
      </w:r>
    </w:p>
    <w:p w14:paraId="63CC2F5D" w14:textId="77777777" w:rsidR="00D12939" w:rsidRDefault="004F47F5">
      <w:pPr>
        <w:pStyle w:val="affffffffe"/>
        <w:ind w:firstLine="496"/>
        <w:rPr>
          <w:color w:val="auto"/>
        </w:rPr>
      </w:pPr>
      <w:r>
        <w:rPr>
          <w:rFonts w:hint="eastAsia"/>
          <w:color w:val="auto"/>
        </w:rPr>
        <w:t>式中：</w:t>
      </w:r>
      <w:r>
        <w:rPr>
          <w:rFonts w:hint="eastAsia"/>
          <w:color w:val="auto"/>
        </w:rPr>
        <w:t>G</w:t>
      </w:r>
      <w:r>
        <w:rPr>
          <w:rFonts w:hint="eastAsia"/>
          <w:color w:val="auto"/>
          <w:vertAlign w:val="subscript"/>
        </w:rPr>
        <w:t>n</w:t>
      </w:r>
      <w:r>
        <w:rPr>
          <w:rFonts w:hint="eastAsia"/>
          <w:color w:val="auto"/>
        </w:rPr>
        <w:t>—填埋场在投运后第</w:t>
      </w:r>
      <w:r>
        <w:rPr>
          <w:rFonts w:hint="eastAsia"/>
          <w:color w:val="auto"/>
        </w:rPr>
        <w:t>n</w:t>
      </w:r>
      <w:r>
        <w:rPr>
          <w:rFonts w:hint="eastAsia"/>
          <w:color w:val="auto"/>
        </w:rPr>
        <w:t>年的填埋气体产气速率，</w:t>
      </w:r>
      <w:r>
        <w:rPr>
          <w:rFonts w:hint="eastAsia"/>
          <w:color w:val="auto"/>
        </w:rPr>
        <w:t>m</w:t>
      </w:r>
      <w:r>
        <w:rPr>
          <w:rFonts w:hint="eastAsia"/>
          <w:color w:val="auto"/>
          <w:vertAlign w:val="superscript"/>
        </w:rPr>
        <w:t>3</w:t>
      </w:r>
      <w:r>
        <w:rPr>
          <w:rFonts w:hint="eastAsia"/>
          <w:color w:val="auto"/>
        </w:rPr>
        <w:t>/t</w:t>
      </w:r>
      <w:r>
        <w:rPr>
          <w:rFonts w:hint="eastAsia"/>
          <w:color w:val="auto"/>
        </w:rPr>
        <w:t>；</w:t>
      </w:r>
    </w:p>
    <w:p w14:paraId="2B41FC3F" w14:textId="77777777" w:rsidR="00D12939" w:rsidRDefault="004F47F5">
      <w:pPr>
        <w:pStyle w:val="affffffffe"/>
        <w:ind w:firstLineChars="500" w:firstLine="1240"/>
        <w:rPr>
          <w:color w:val="auto"/>
        </w:rPr>
      </w:pPr>
      <w:r>
        <w:rPr>
          <w:color w:val="auto"/>
        </w:rPr>
        <w:t>n</w:t>
      </w:r>
      <w:r>
        <w:rPr>
          <w:rFonts w:hint="eastAsia"/>
          <w:color w:val="auto"/>
        </w:rPr>
        <w:t>—自填埋场投运年至计算年的年数，</w:t>
      </w:r>
      <w:r>
        <w:rPr>
          <w:rFonts w:hint="eastAsia"/>
          <w:color w:val="auto"/>
        </w:rPr>
        <w:t>a</w:t>
      </w:r>
      <w:r>
        <w:rPr>
          <w:rFonts w:hint="eastAsia"/>
          <w:color w:val="auto"/>
        </w:rPr>
        <w:t>；</w:t>
      </w:r>
    </w:p>
    <w:p w14:paraId="1D76C139" w14:textId="77777777" w:rsidR="00D12939" w:rsidRDefault="004F47F5">
      <w:pPr>
        <w:pStyle w:val="affffffffe"/>
        <w:ind w:firstLineChars="500" w:firstLine="1240"/>
        <w:rPr>
          <w:color w:val="auto"/>
        </w:rPr>
      </w:pPr>
      <w:r>
        <w:rPr>
          <w:rFonts w:hint="eastAsia"/>
          <w:color w:val="auto"/>
        </w:rPr>
        <w:t>M</w:t>
      </w:r>
      <w:r>
        <w:rPr>
          <w:rFonts w:hint="eastAsia"/>
          <w:color w:val="auto"/>
          <w:vertAlign w:val="subscript"/>
        </w:rPr>
        <w:t>t</w:t>
      </w:r>
      <w:r>
        <w:rPr>
          <w:rFonts w:hint="eastAsia"/>
          <w:color w:val="auto"/>
        </w:rPr>
        <w:t>—填埋场在第</w:t>
      </w:r>
      <w:r>
        <w:rPr>
          <w:rFonts w:hint="eastAsia"/>
          <w:color w:val="auto"/>
        </w:rPr>
        <w:t>t</w:t>
      </w:r>
      <w:r>
        <w:rPr>
          <w:rFonts w:hint="eastAsia"/>
          <w:color w:val="auto"/>
        </w:rPr>
        <w:t>年填埋的垃圾量，</w:t>
      </w:r>
      <w:r>
        <w:rPr>
          <w:rFonts w:hint="eastAsia"/>
          <w:color w:val="auto"/>
        </w:rPr>
        <w:t>t</w:t>
      </w:r>
      <w:r>
        <w:rPr>
          <w:rFonts w:hint="eastAsia"/>
          <w:color w:val="auto"/>
        </w:rPr>
        <w:t>；</w:t>
      </w:r>
    </w:p>
    <w:p w14:paraId="6FDF745B" w14:textId="77777777" w:rsidR="00D12939" w:rsidRDefault="004F47F5">
      <w:pPr>
        <w:pStyle w:val="affffffffe"/>
        <w:ind w:firstLineChars="500" w:firstLine="1240"/>
        <w:rPr>
          <w:color w:val="auto"/>
        </w:rPr>
      </w:pPr>
      <w:r>
        <w:rPr>
          <w:rFonts w:hint="eastAsia"/>
          <w:color w:val="auto"/>
        </w:rPr>
        <w:t>L</w:t>
      </w:r>
      <w:r>
        <w:rPr>
          <w:rFonts w:hint="eastAsia"/>
          <w:color w:val="auto"/>
          <w:vertAlign w:val="subscript"/>
        </w:rPr>
        <w:t>0</w:t>
      </w:r>
      <w:r>
        <w:rPr>
          <w:rFonts w:hint="eastAsia"/>
          <w:color w:val="auto"/>
        </w:rPr>
        <w:t>—单位重量垃圾的填埋气体最大产气量，</w:t>
      </w:r>
      <w:r>
        <w:rPr>
          <w:rFonts w:hint="eastAsia"/>
          <w:color w:val="auto"/>
        </w:rPr>
        <w:t>m</w:t>
      </w:r>
      <w:r>
        <w:rPr>
          <w:rFonts w:hint="eastAsia"/>
          <w:color w:val="auto"/>
          <w:vertAlign w:val="superscript"/>
        </w:rPr>
        <w:t>3</w:t>
      </w:r>
      <w:r>
        <w:rPr>
          <w:rFonts w:hint="eastAsia"/>
          <w:color w:val="auto"/>
        </w:rPr>
        <w:t>/t</w:t>
      </w:r>
      <w:r>
        <w:rPr>
          <w:rFonts w:hint="eastAsia"/>
          <w:color w:val="auto"/>
        </w:rPr>
        <w:t>；</w:t>
      </w:r>
    </w:p>
    <w:p w14:paraId="6A7FC04A" w14:textId="77777777" w:rsidR="00D12939" w:rsidRDefault="004F47F5">
      <w:pPr>
        <w:pStyle w:val="affffffffe"/>
        <w:ind w:firstLineChars="500" w:firstLine="1240"/>
        <w:rPr>
          <w:color w:val="auto"/>
        </w:rPr>
      </w:pPr>
      <w:r>
        <w:rPr>
          <w:rFonts w:hint="eastAsia"/>
          <w:color w:val="auto"/>
        </w:rPr>
        <w:t>k</w:t>
      </w:r>
      <w:r>
        <w:rPr>
          <w:rFonts w:hint="eastAsia"/>
          <w:color w:val="auto"/>
        </w:rPr>
        <w:t>—产气速率常数，</w:t>
      </w:r>
      <w:r>
        <w:rPr>
          <w:rFonts w:hint="eastAsia"/>
          <w:color w:val="auto"/>
        </w:rPr>
        <w:t>1/a</w:t>
      </w:r>
      <w:r>
        <w:rPr>
          <w:rFonts w:hint="eastAsia"/>
          <w:color w:val="auto"/>
        </w:rPr>
        <w:t>；</w:t>
      </w:r>
    </w:p>
    <w:p w14:paraId="4200D330" w14:textId="77777777" w:rsidR="00D12939" w:rsidRDefault="004F47F5">
      <w:pPr>
        <w:pStyle w:val="affffffffe"/>
        <w:ind w:firstLineChars="500" w:firstLine="1240"/>
        <w:rPr>
          <w:color w:val="auto"/>
        </w:rPr>
      </w:pPr>
      <w:r>
        <w:rPr>
          <w:rFonts w:hint="eastAsia"/>
          <w:color w:val="auto"/>
        </w:rPr>
        <w:t>t</w:t>
      </w:r>
      <w:r>
        <w:rPr>
          <w:rFonts w:hint="eastAsia"/>
          <w:color w:val="auto"/>
        </w:rPr>
        <w:t>—从垃圾进入填埋场时算起的时间，</w:t>
      </w:r>
      <w:r>
        <w:rPr>
          <w:rFonts w:hint="eastAsia"/>
          <w:color w:val="auto"/>
        </w:rPr>
        <w:t>a</w:t>
      </w:r>
      <w:r>
        <w:rPr>
          <w:rFonts w:hint="eastAsia"/>
          <w:color w:val="auto"/>
        </w:rPr>
        <w:t>。</w:t>
      </w:r>
    </w:p>
    <w:p w14:paraId="34B2BF64" w14:textId="77777777" w:rsidR="00D12939" w:rsidRDefault="004F47F5">
      <w:pPr>
        <w:pStyle w:val="affffffffe"/>
        <w:ind w:firstLine="496"/>
        <w:rPr>
          <w:color w:val="auto"/>
        </w:rPr>
      </w:pPr>
      <w:r>
        <w:rPr>
          <w:rFonts w:hint="eastAsia"/>
          <w:color w:val="auto"/>
        </w:rPr>
        <w:t>D</w:t>
      </w:r>
      <w:r>
        <w:rPr>
          <w:rFonts w:hint="eastAsia"/>
          <w:color w:val="auto"/>
        </w:rPr>
        <w:t>、填埋场单位重量垃圾的填埋气体最大产气量（</w:t>
      </w:r>
      <w:r>
        <w:rPr>
          <w:rFonts w:hint="eastAsia"/>
          <w:color w:val="auto"/>
        </w:rPr>
        <w:t>L</w:t>
      </w:r>
      <w:r>
        <w:rPr>
          <w:rFonts w:hint="eastAsia"/>
          <w:color w:val="auto"/>
          <w:vertAlign w:val="subscript"/>
        </w:rPr>
        <w:t>0</w:t>
      </w:r>
      <w:r>
        <w:rPr>
          <w:rFonts w:hint="eastAsia"/>
          <w:color w:val="auto"/>
        </w:rPr>
        <w:t>）按照垃圾中可降解有机碳含量计算：</w:t>
      </w:r>
    </w:p>
    <w:p w14:paraId="486528D5" w14:textId="77777777" w:rsidR="00D12939" w:rsidRDefault="004F47F5">
      <w:pPr>
        <w:pStyle w:val="affffffffe"/>
        <w:ind w:firstLine="496"/>
        <w:jc w:val="center"/>
        <w:rPr>
          <w:rFonts w:ascii="Cambria Math" w:hAnsi="Cambria Math" w:cs="Cambria Math"/>
          <w:color w:val="auto"/>
        </w:rPr>
      </w:pPr>
      <w:r>
        <w:rPr>
          <w:rFonts w:eastAsiaTheme="minorEastAsia"/>
          <w:color w:val="auto"/>
        </w:rPr>
        <w:t>L</w:t>
      </w:r>
      <w:r>
        <w:rPr>
          <w:rFonts w:eastAsiaTheme="minorEastAsia" w:hint="eastAsia"/>
          <w:color w:val="auto"/>
          <w:vertAlign w:val="subscript"/>
        </w:rPr>
        <w:t>0</w:t>
      </w:r>
      <w:r>
        <w:rPr>
          <w:rFonts w:hint="eastAsia"/>
          <w:color w:val="auto"/>
        </w:rPr>
        <w:t>＝</w:t>
      </w:r>
      <w:r>
        <w:rPr>
          <w:color w:val="auto"/>
        </w:rPr>
        <w:t>1.867C</w:t>
      </w:r>
      <w:r>
        <w:rPr>
          <w:rFonts w:hint="eastAsia"/>
          <w:color w:val="auto"/>
          <w:vertAlign w:val="subscript"/>
        </w:rPr>
        <w:t>0</w:t>
      </w:r>
      <w:r>
        <w:rPr>
          <w:rFonts w:ascii="Cambria Math" w:hAnsi="Cambria Math" w:cs="Cambria Math"/>
          <w:color w:val="auto"/>
        </w:rPr>
        <w:t>φ</w:t>
      </w:r>
    </w:p>
    <w:p w14:paraId="6BDC547C" w14:textId="77777777" w:rsidR="00D12939" w:rsidRDefault="004F47F5">
      <w:pPr>
        <w:pStyle w:val="af5"/>
        <w:kinsoku w:val="0"/>
        <w:overflowPunct w:val="0"/>
        <w:spacing w:after="0" w:line="360" w:lineRule="auto"/>
        <w:ind w:firstLine="480"/>
        <w:rPr>
          <w:rFonts w:hAnsi="Dutch801 Rm BT"/>
        </w:rPr>
      </w:pPr>
      <w:r>
        <w:rPr>
          <w:rFonts w:hint="eastAsia"/>
        </w:rPr>
        <w:t>式中：</w:t>
      </w:r>
      <w:r>
        <w:rPr>
          <w:rFonts w:ascii="Dutch801 Rm BT" w:hAnsi="Dutch801 Rm BT" w:cs="Dutch801 Rm BT"/>
        </w:rPr>
        <w:t>C</w:t>
      </w:r>
      <w:r>
        <w:rPr>
          <w:rFonts w:ascii="Dutch801 Rm BT" w:hAnsi="Dutch801 Rm BT" w:cs="Dutch801 Rm BT" w:hint="eastAsia"/>
          <w:vertAlign w:val="subscript"/>
        </w:rPr>
        <w:t>0</w:t>
      </w:r>
      <w:r>
        <w:rPr>
          <w:rFonts w:hAnsi="Dutch801 Rm BT" w:hint="eastAsia"/>
        </w:rPr>
        <w:t>—垃圾中有机碳的质量分数，</w:t>
      </w:r>
      <w:r>
        <w:rPr>
          <w:rFonts w:ascii="Dutch801 Rm BT" w:hAnsi="Dutch801 Rm BT" w:cs="Dutch801 Rm BT"/>
        </w:rPr>
        <w:t>%</w:t>
      </w:r>
      <w:r>
        <w:rPr>
          <w:rFonts w:hAnsi="Dutch801 Rm BT" w:hint="eastAsia"/>
        </w:rPr>
        <w:t>；本项目取</w:t>
      </w:r>
      <w:r>
        <w:rPr>
          <w:rFonts w:hAnsi="Dutch801 Rm BT" w:hint="eastAsia"/>
        </w:rPr>
        <w:t>1</w:t>
      </w:r>
      <w:r>
        <w:rPr>
          <w:rFonts w:hAnsi="Dutch801 Rm BT"/>
        </w:rPr>
        <w:t>1</w:t>
      </w:r>
      <w:r>
        <w:rPr>
          <w:rFonts w:hAnsi="Dutch801 Rm BT" w:hint="eastAsia"/>
        </w:rPr>
        <w:t>%</w:t>
      </w:r>
      <w:r>
        <w:rPr>
          <w:rFonts w:hAnsi="Dutch801 Rm BT" w:hint="eastAsia"/>
        </w:rPr>
        <w:t>；</w:t>
      </w:r>
    </w:p>
    <w:p w14:paraId="7EA20278" w14:textId="77777777" w:rsidR="00D12939" w:rsidRDefault="004F47F5">
      <w:pPr>
        <w:pStyle w:val="af5"/>
        <w:kinsoku w:val="0"/>
        <w:overflowPunct w:val="0"/>
        <w:spacing w:after="0" w:line="360" w:lineRule="auto"/>
        <w:ind w:firstLineChars="500" w:firstLine="1200"/>
        <w:rPr>
          <w:rFonts w:hAnsi="Dutch801 Rm BT"/>
        </w:rPr>
      </w:pPr>
      <w:r>
        <w:rPr>
          <w:rFonts w:ascii="Cambria Math" w:hAnsi="Cambria Math" w:cs="Cambria Math"/>
        </w:rPr>
        <w:t>φ</w:t>
      </w:r>
      <w:r>
        <w:rPr>
          <w:rFonts w:hAnsi="Dutch801 Rm BT" w:hint="eastAsia"/>
        </w:rPr>
        <w:t>—</w:t>
      </w:r>
      <w:r>
        <w:rPr>
          <w:rFonts w:hAnsi="Cambria Math" w:hint="eastAsia"/>
        </w:rPr>
        <w:t>有机碳降解率，</w:t>
      </w:r>
      <w:r>
        <w:rPr>
          <w:rFonts w:hAnsi="Dutch801 Rm BT" w:hint="eastAsia"/>
        </w:rPr>
        <w:t>本项目取</w:t>
      </w:r>
      <w:r>
        <w:rPr>
          <w:rFonts w:hAnsi="Dutch801 Rm BT"/>
        </w:rPr>
        <w:t>0.75</w:t>
      </w:r>
      <w:r>
        <w:rPr>
          <w:rFonts w:hAnsi="Dutch801 Rm BT" w:hint="eastAsia"/>
        </w:rPr>
        <w:t>。</w:t>
      </w:r>
    </w:p>
    <w:p w14:paraId="2845A550" w14:textId="77777777" w:rsidR="00D12939" w:rsidRDefault="004F47F5">
      <w:pPr>
        <w:pStyle w:val="af5"/>
        <w:kinsoku w:val="0"/>
        <w:overflowPunct w:val="0"/>
        <w:spacing w:after="0" w:line="360" w:lineRule="auto"/>
        <w:ind w:firstLine="480"/>
        <w:rPr>
          <w:rFonts w:hAnsi="Dutch801 Rm BT"/>
        </w:rPr>
      </w:pPr>
      <w:r>
        <w:rPr>
          <w:rFonts w:hint="eastAsia"/>
        </w:rPr>
        <w:t>由公式（</w:t>
      </w:r>
      <w:r>
        <w:rPr>
          <w:rFonts w:hint="eastAsia"/>
        </w:rPr>
        <w:t>D</w:t>
      </w:r>
      <w:r>
        <w:rPr>
          <w:rFonts w:hint="eastAsia"/>
        </w:rPr>
        <w:t>）计算填埋场单位质量垃圾的填埋气体最大产气量</w:t>
      </w:r>
      <w:r>
        <w:rPr>
          <w:rFonts w:ascii="Dutch801 Rm BT" w:eastAsiaTheme="minorEastAsia" w:hAnsi="Dutch801 Rm BT" w:cs="Dutch801 Rm BT"/>
        </w:rPr>
        <w:t>L</w:t>
      </w:r>
      <w:r>
        <w:rPr>
          <w:rFonts w:ascii="Dutch801 Rm BT" w:eastAsiaTheme="minorEastAsia" w:hAnsi="Dutch801 Rm BT" w:cs="Dutch801 Rm BT" w:hint="eastAsia"/>
          <w:vertAlign w:val="subscript"/>
        </w:rPr>
        <w:t>0</w:t>
      </w:r>
      <w:r>
        <w:rPr>
          <w:rFonts w:hint="eastAsia"/>
        </w:rPr>
        <w:t>为</w:t>
      </w:r>
      <w:r>
        <w:rPr>
          <w:rFonts w:hint="eastAsia"/>
        </w:rPr>
        <w:t>15.40</w:t>
      </w:r>
      <w:r>
        <w:t>m</w:t>
      </w:r>
      <w:r>
        <w:rPr>
          <w:vertAlign w:val="superscript"/>
        </w:rPr>
        <w:t>3</w:t>
      </w:r>
      <w:r>
        <w:t>/t</w:t>
      </w:r>
      <w:r>
        <w:rPr>
          <w:rFonts w:hint="eastAsia"/>
        </w:rPr>
        <w:t>。</w:t>
      </w:r>
    </w:p>
    <w:p w14:paraId="12E3C150" w14:textId="77777777" w:rsidR="00D12939" w:rsidRDefault="004F47F5">
      <w:pPr>
        <w:pStyle w:val="affffffffe"/>
        <w:ind w:firstLine="496"/>
        <w:rPr>
          <w:color w:val="auto"/>
        </w:rPr>
        <w:sectPr w:rsidR="00D12939">
          <w:pgSz w:w="11906" w:h="16838"/>
          <w:pgMar w:top="1440" w:right="1080" w:bottom="1440" w:left="1080" w:header="851" w:footer="992" w:gutter="0"/>
          <w:cols w:space="425"/>
          <w:docGrid w:type="lines" w:linePitch="312"/>
        </w:sectPr>
      </w:pPr>
      <w:r>
        <w:rPr>
          <w:color w:val="auto"/>
        </w:rPr>
        <w:t>依据填埋场设计每年垃圾处理量</w:t>
      </w:r>
      <w:r>
        <w:rPr>
          <w:rFonts w:hint="eastAsia"/>
          <w:color w:val="auto"/>
        </w:rPr>
        <w:t>，</w:t>
      </w:r>
      <w:r>
        <w:rPr>
          <w:color w:val="auto"/>
        </w:rPr>
        <w:t>应用上述数学模型可计算出填埋场在投产运营后</w:t>
      </w:r>
      <w:r>
        <w:rPr>
          <w:rFonts w:hint="eastAsia"/>
          <w:color w:val="auto"/>
        </w:rPr>
        <w:t>1-1</w:t>
      </w:r>
      <w:r>
        <w:rPr>
          <w:color w:val="auto"/>
        </w:rPr>
        <w:t>3</w:t>
      </w:r>
      <w:r>
        <w:rPr>
          <w:rFonts w:hint="eastAsia"/>
          <w:color w:val="auto"/>
        </w:rPr>
        <w:t>年的填埋气体的产气量，按甲烷气占填埋场气的</w:t>
      </w:r>
      <w:r>
        <w:rPr>
          <w:rFonts w:hint="eastAsia"/>
          <w:color w:val="auto"/>
        </w:rPr>
        <w:t>50%</w:t>
      </w:r>
      <w:r>
        <w:rPr>
          <w:rFonts w:hint="eastAsia"/>
          <w:color w:val="auto"/>
        </w:rPr>
        <w:t>计算，可计算的各年份填埋气体产生量见表</w:t>
      </w:r>
      <w:r>
        <w:rPr>
          <w:rFonts w:hint="eastAsia"/>
          <w:color w:val="auto"/>
        </w:rPr>
        <w:t>4.2-</w:t>
      </w:r>
      <w:r>
        <w:rPr>
          <w:color w:val="auto"/>
        </w:rPr>
        <w:t>6</w:t>
      </w:r>
      <w:r>
        <w:rPr>
          <w:rFonts w:hint="eastAsia"/>
          <w:color w:val="auto"/>
        </w:rPr>
        <w:t>，各年份甲烷气体的产生量见表</w:t>
      </w:r>
      <w:r>
        <w:rPr>
          <w:rFonts w:hint="eastAsia"/>
          <w:color w:val="auto"/>
        </w:rPr>
        <w:t>4.2-</w:t>
      </w:r>
      <w:r>
        <w:rPr>
          <w:color w:val="auto"/>
        </w:rPr>
        <w:t>7</w:t>
      </w:r>
      <w:r>
        <w:rPr>
          <w:color w:val="auto"/>
        </w:rPr>
        <w:t>。</w:t>
      </w:r>
    </w:p>
    <w:p w14:paraId="467BC5F8" w14:textId="77777777" w:rsidR="00D12939" w:rsidRDefault="004F47F5">
      <w:pPr>
        <w:pStyle w:val="aa"/>
        <w:spacing w:line="360" w:lineRule="auto"/>
        <w:ind w:firstLine="480"/>
        <w:jc w:val="center"/>
        <w:rPr>
          <w:rStyle w:val="afffd"/>
          <w:rFonts w:ascii="黑体" w:hAnsi="黑体"/>
          <w:color w:val="auto"/>
          <w:sz w:val="24"/>
        </w:rPr>
      </w:pPr>
      <w:r>
        <w:rPr>
          <w:rStyle w:val="afffd"/>
          <w:rFonts w:ascii="黑体" w:hAnsi="黑体"/>
          <w:color w:val="auto"/>
          <w:sz w:val="24"/>
        </w:rPr>
        <w:lastRenderedPageBreak/>
        <w:t>表</w:t>
      </w:r>
      <w:r>
        <w:rPr>
          <w:rStyle w:val="afffd"/>
          <w:rFonts w:ascii="黑体" w:hAnsi="黑体" w:hint="eastAsia"/>
          <w:color w:val="auto"/>
          <w:sz w:val="24"/>
        </w:rPr>
        <w:t>4.2-</w:t>
      </w:r>
      <w:r>
        <w:rPr>
          <w:rStyle w:val="afffd"/>
          <w:rFonts w:ascii="黑体" w:hAnsi="黑体"/>
          <w:color w:val="auto"/>
          <w:sz w:val="24"/>
        </w:rPr>
        <w:t>6</w:t>
      </w:r>
      <w:r>
        <w:rPr>
          <w:rStyle w:val="afffd"/>
          <w:rFonts w:ascii="黑体" w:hAnsi="黑体" w:hint="eastAsia"/>
          <w:color w:val="auto"/>
          <w:sz w:val="24"/>
        </w:rPr>
        <w:t>各年份</w:t>
      </w:r>
      <w:r>
        <w:rPr>
          <w:rStyle w:val="afffd"/>
          <w:rFonts w:ascii="黑体" w:hAnsi="黑体"/>
          <w:color w:val="auto"/>
          <w:sz w:val="24"/>
        </w:rPr>
        <w:t>垃圾填埋场填埋气体产气量</w:t>
      </w:r>
      <w:r>
        <w:rPr>
          <w:rStyle w:val="afffd"/>
          <w:rFonts w:ascii="黑体" w:hAnsi="黑体" w:hint="eastAsia"/>
          <w:color w:val="auto"/>
          <w:sz w:val="24"/>
        </w:rPr>
        <w:t>计算</w:t>
      </w:r>
      <w:r>
        <w:rPr>
          <w:rStyle w:val="afffd"/>
          <w:rFonts w:ascii="黑体" w:hAnsi="黑体"/>
          <w:color w:val="auto"/>
          <w:sz w:val="24"/>
        </w:rPr>
        <w:t>表</w:t>
      </w:r>
    </w:p>
    <w:tbl>
      <w:tblPr>
        <w:tblW w:w="5469" w:type="pct"/>
        <w:jc w:val="center"/>
        <w:tblLayout w:type="fixed"/>
        <w:tblLook w:val="04A0" w:firstRow="1" w:lastRow="0" w:firstColumn="1" w:lastColumn="0" w:noHBand="0" w:noVBand="1"/>
      </w:tblPr>
      <w:tblGrid>
        <w:gridCol w:w="788"/>
        <w:gridCol w:w="768"/>
        <w:gridCol w:w="920"/>
        <w:gridCol w:w="983"/>
        <w:gridCol w:w="983"/>
        <w:gridCol w:w="983"/>
        <w:gridCol w:w="983"/>
        <w:gridCol w:w="983"/>
        <w:gridCol w:w="983"/>
        <w:gridCol w:w="983"/>
        <w:gridCol w:w="983"/>
        <w:gridCol w:w="983"/>
        <w:gridCol w:w="983"/>
        <w:gridCol w:w="983"/>
        <w:gridCol w:w="983"/>
        <w:gridCol w:w="984"/>
      </w:tblGrid>
      <w:tr w:rsidR="00D12939" w14:paraId="5DCB4C67"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1566A5DF" w14:textId="77777777" w:rsidR="00D12939" w:rsidRDefault="004F47F5">
            <w:pPr>
              <w:pStyle w:val="affffd"/>
              <w:spacing w:line="240" w:lineRule="auto"/>
              <w:rPr>
                <w:sz w:val="18"/>
                <w:szCs w:val="18"/>
              </w:rPr>
            </w:pPr>
            <w:r>
              <w:rPr>
                <w:sz w:val="18"/>
                <w:szCs w:val="18"/>
              </w:rPr>
              <w:t>年份</w:t>
            </w:r>
          </w:p>
        </w:tc>
        <w:tc>
          <w:tcPr>
            <w:tcW w:w="768" w:type="dxa"/>
            <w:tcBorders>
              <w:top w:val="single" w:sz="4" w:space="0" w:color="auto"/>
              <w:left w:val="single" w:sz="4" w:space="0" w:color="auto"/>
              <w:bottom w:val="single" w:sz="4" w:space="0" w:color="auto"/>
              <w:right w:val="single" w:sz="4" w:space="0" w:color="auto"/>
            </w:tcBorders>
            <w:vAlign w:val="center"/>
          </w:tcPr>
          <w:p w14:paraId="1DF60945" w14:textId="77777777" w:rsidR="00D12939" w:rsidRDefault="004F47F5">
            <w:pPr>
              <w:pStyle w:val="affffd"/>
              <w:spacing w:line="240" w:lineRule="auto"/>
              <w:rPr>
                <w:sz w:val="18"/>
                <w:szCs w:val="18"/>
              </w:rPr>
            </w:pPr>
            <w:r>
              <w:rPr>
                <w:sz w:val="18"/>
                <w:szCs w:val="18"/>
              </w:rPr>
              <w:t>日垃圾填埋量</w:t>
            </w:r>
          </w:p>
        </w:tc>
        <w:tc>
          <w:tcPr>
            <w:tcW w:w="920" w:type="dxa"/>
            <w:tcBorders>
              <w:top w:val="single" w:sz="4" w:space="0" w:color="auto"/>
              <w:left w:val="single" w:sz="4" w:space="0" w:color="auto"/>
              <w:bottom w:val="single" w:sz="4" w:space="0" w:color="auto"/>
              <w:right w:val="single" w:sz="4" w:space="0" w:color="auto"/>
            </w:tcBorders>
            <w:vAlign w:val="center"/>
          </w:tcPr>
          <w:p w14:paraId="02CE6AD2" w14:textId="77777777" w:rsidR="00D12939" w:rsidRDefault="004F47F5">
            <w:pPr>
              <w:pStyle w:val="affffd"/>
              <w:spacing w:line="240" w:lineRule="auto"/>
              <w:rPr>
                <w:sz w:val="18"/>
                <w:szCs w:val="18"/>
              </w:rPr>
            </w:pPr>
            <w:r>
              <w:rPr>
                <w:sz w:val="18"/>
                <w:szCs w:val="18"/>
              </w:rPr>
              <w:t>当年垃圾填埋量（t）</w:t>
            </w:r>
          </w:p>
        </w:tc>
        <w:tc>
          <w:tcPr>
            <w:tcW w:w="983" w:type="dxa"/>
            <w:tcBorders>
              <w:top w:val="single" w:sz="4" w:space="0" w:color="auto"/>
              <w:left w:val="single" w:sz="4" w:space="0" w:color="auto"/>
              <w:bottom w:val="single" w:sz="4" w:space="0" w:color="auto"/>
              <w:right w:val="single" w:sz="4" w:space="0" w:color="auto"/>
            </w:tcBorders>
            <w:vAlign w:val="center"/>
          </w:tcPr>
          <w:p w14:paraId="43E4AA18" w14:textId="77777777" w:rsidR="00D12939" w:rsidRDefault="004F47F5">
            <w:pPr>
              <w:widowControl/>
              <w:jc w:val="center"/>
              <w:rPr>
                <w:sz w:val="18"/>
                <w:szCs w:val="18"/>
              </w:rPr>
            </w:pPr>
            <w:r>
              <w:rPr>
                <w:sz w:val="18"/>
                <w:szCs w:val="18"/>
              </w:rPr>
              <w:t>2024</w:t>
            </w:r>
          </w:p>
        </w:tc>
        <w:tc>
          <w:tcPr>
            <w:tcW w:w="983" w:type="dxa"/>
            <w:tcBorders>
              <w:top w:val="single" w:sz="4" w:space="0" w:color="auto"/>
              <w:left w:val="single" w:sz="4" w:space="0" w:color="auto"/>
              <w:bottom w:val="single" w:sz="4" w:space="0" w:color="auto"/>
              <w:right w:val="single" w:sz="4" w:space="0" w:color="auto"/>
            </w:tcBorders>
            <w:vAlign w:val="center"/>
          </w:tcPr>
          <w:p w14:paraId="365E3037" w14:textId="77777777" w:rsidR="00D12939" w:rsidRDefault="004F47F5">
            <w:pPr>
              <w:jc w:val="center"/>
              <w:rPr>
                <w:sz w:val="18"/>
                <w:szCs w:val="18"/>
              </w:rPr>
            </w:pPr>
            <w:r>
              <w:rPr>
                <w:sz w:val="18"/>
                <w:szCs w:val="18"/>
              </w:rPr>
              <w:t>2025</w:t>
            </w:r>
          </w:p>
        </w:tc>
        <w:tc>
          <w:tcPr>
            <w:tcW w:w="983" w:type="dxa"/>
            <w:tcBorders>
              <w:top w:val="single" w:sz="4" w:space="0" w:color="auto"/>
              <w:left w:val="single" w:sz="4" w:space="0" w:color="auto"/>
              <w:bottom w:val="single" w:sz="4" w:space="0" w:color="auto"/>
              <w:right w:val="single" w:sz="4" w:space="0" w:color="auto"/>
            </w:tcBorders>
            <w:vAlign w:val="center"/>
          </w:tcPr>
          <w:p w14:paraId="566C8220" w14:textId="77777777" w:rsidR="00D12939" w:rsidRDefault="004F47F5">
            <w:pPr>
              <w:jc w:val="center"/>
              <w:rPr>
                <w:sz w:val="18"/>
                <w:szCs w:val="18"/>
              </w:rPr>
            </w:pPr>
            <w:r>
              <w:rPr>
                <w:sz w:val="18"/>
                <w:szCs w:val="18"/>
              </w:rPr>
              <w:t>2026</w:t>
            </w:r>
          </w:p>
        </w:tc>
        <w:tc>
          <w:tcPr>
            <w:tcW w:w="983" w:type="dxa"/>
            <w:tcBorders>
              <w:top w:val="single" w:sz="4" w:space="0" w:color="auto"/>
              <w:left w:val="single" w:sz="4" w:space="0" w:color="auto"/>
              <w:bottom w:val="single" w:sz="4" w:space="0" w:color="auto"/>
              <w:right w:val="single" w:sz="4" w:space="0" w:color="auto"/>
            </w:tcBorders>
            <w:vAlign w:val="center"/>
          </w:tcPr>
          <w:p w14:paraId="1BC8DECB" w14:textId="77777777" w:rsidR="00D12939" w:rsidRDefault="004F47F5">
            <w:pPr>
              <w:jc w:val="center"/>
              <w:rPr>
                <w:sz w:val="18"/>
                <w:szCs w:val="18"/>
              </w:rPr>
            </w:pPr>
            <w:r>
              <w:rPr>
                <w:sz w:val="18"/>
                <w:szCs w:val="18"/>
              </w:rPr>
              <w:t>2027</w:t>
            </w:r>
          </w:p>
        </w:tc>
        <w:tc>
          <w:tcPr>
            <w:tcW w:w="983" w:type="dxa"/>
            <w:tcBorders>
              <w:top w:val="single" w:sz="4" w:space="0" w:color="auto"/>
              <w:left w:val="single" w:sz="4" w:space="0" w:color="auto"/>
              <w:bottom w:val="single" w:sz="4" w:space="0" w:color="auto"/>
              <w:right w:val="single" w:sz="4" w:space="0" w:color="auto"/>
            </w:tcBorders>
            <w:vAlign w:val="center"/>
          </w:tcPr>
          <w:p w14:paraId="0417CB12" w14:textId="77777777" w:rsidR="00D12939" w:rsidRDefault="004F47F5">
            <w:pPr>
              <w:jc w:val="center"/>
              <w:rPr>
                <w:sz w:val="18"/>
                <w:szCs w:val="18"/>
              </w:rPr>
            </w:pPr>
            <w:r>
              <w:rPr>
                <w:sz w:val="18"/>
                <w:szCs w:val="18"/>
              </w:rPr>
              <w:t>2028</w:t>
            </w:r>
          </w:p>
        </w:tc>
        <w:tc>
          <w:tcPr>
            <w:tcW w:w="983" w:type="dxa"/>
            <w:tcBorders>
              <w:top w:val="single" w:sz="4" w:space="0" w:color="auto"/>
              <w:left w:val="single" w:sz="4" w:space="0" w:color="auto"/>
              <w:bottom w:val="single" w:sz="4" w:space="0" w:color="auto"/>
              <w:right w:val="single" w:sz="4" w:space="0" w:color="auto"/>
            </w:tcBorders>
            <w:vAlign w:val="center"/>
          </w:tcPr>
          <w:p w14:paraId="1FD6234B" w14:textId="77777777" w:rsidR="00D12939" w:rsidRDefault="004F47F5">
            <w:pPr>
              <w:jc w:val="center"/>
              <w:rPr>
                <w:sz w:val="18"/>
                <w:szCs w:val="18"/>
              </w:rPr>
            </w:pPr>
            <w:r>
              <w:rPr>
                <w:sz w:val="18"/>
                <w:szCs w:val="18"/>
              </w:rPr>
              <w:t>2029</w:t>
            </w:r>
          </w:p>
        </w:tc>
        <w:tc>
          <w:tcPr>
            <w:tcW w:w="983" w:type="dxa"/>
            <w:tcBorders>
              <w:top w:val="single" w:sz="4" w:space="0" w:color="auto"/>
              <w:left w:val="single" w:sz="4" w:space="0" w:color="auto"/>
              <w:bottom w:val="single" w:sz="4" w:space="0" w:color="auto"/>
              <w:right w:val="single" w:sz="4" w:space="0" w:color="auto"/>
            </w:tcBorders>
            <w:vAlign w:val="center"/>
          </w:tcPr>
          <w:p w14:paraId="7514BF19" w14:textId="77777777" w:rsidR="00D12939" w:rsidRDefault="004F47F5">
            <w:pPr>
              <w:jc w:val="center"/>
              <w:rPr>
                <w:sz w:val="18"/>
                <w:szCs w:val="18"/>
              </w:rPr>
            </w:pPr>
            <w:r>
              <w:rPr>
                <w:sz w:val="18"/>
                <w:szCs w:val="18"/>
              </w:rPr>
              <w:t>2030</w:t>
            </w:r>
          </w:p>
        </w:tc>
        <w:tc>
          <w:tcPr>
            <w:tcW w:w="983" w:type="dxa"/>
            <w:tcBorders>
              <w:top w:val="single" w:sz="4" w:space="0" w:color="auto"/>
              <w:left w:val="single" w:sz="4" w:space="0" w:color="auto"/>
              <w:bottom w:val="single" w:sz="4" w:space="0" w:color="auto"/>
              <w:right w:val="single" w:sz="4" w:space="0" w:color="auto"/>
            </w:tcBorders>
            <w:vAlign w:val="center"/>
          </w:tcPr>
          <w:p w14:paraId="37F40D88" w14:textId="77777777" w:rsidR="00D12939" w:rsidRDefault="004F47F5">
            <w:pPr>
              <w:jc w:val="center"/>
              <w:rPr>
                <w:sz w:val="18"/>
                <w:szCs w:val="18"/>
              </w:rPr>
            </w:pPr>
            <w:r>
              <w:rPr>
                <w:sz w:val="18"/>
                <w:szCs w:val="18"/>
              </w:rPr>
              <w:t>2031</w:t>
            </w:r>
          </w:p>
        </w:tc>
        <w:tc>
          <w:tcPr>
            <w:tcW w:w="983" w:type="dxa"/>
            <w:tcBorders>
              <w:top w:val="single" w:sz="4" w:space="0" w:color="auto"/>
              <w:left w:val="single" w:sz="4" w:space="0" w:color="auto"/>
              <w:bottom w:val="single" w:sz="4" w:space="0" w:color="auto"/>
              <w:right w:val="single" w:sz="4" w:space="0" w:color="auto"/>
            </w:tcBorders>
            <w:vAlign w:val="center"/>
          </w:tcPr>
          <w:p w14:paraId="28B7E02B" w14:textId="77777777" w:rsidR="00D12939" w:rsidRDefault="004F47F5">
            <w:pPr>
              <w:jc w:val="center"/>
              <w:rPr>
                <w:sz w:val="18"/>
                <w:szCs w:val="18"/>
              </w:rPr>
            </w:pPr>
            <w:r>
              <w:rPr>
                <w:sz w:val="18"/>
                <w:szCs w:val="18"/>
              </w:rPr>
              <w:t>2032</w:t>
            </w:r>
          </w:p>
        </w:tc>
        <w:tc>
          <w:tcPr>
            <w:tcW w:w="983" w:type="dxa"/>
            <w:tcBorders>
              <w:top w:val="single" w:sz="4" w:space="0" w:color="auto"/>
              <w:left w:val="single" w:sz="4" w:space="0" w:color="auto"/>
              <w:bottom w:val="single" w:sz="4" w:space="0" w:color="auto"/>
              <w:right w:val="single" w:sz="4" w:space="0" w:color="auto"/>
            </w:tcBorders>
            <w:vAlign w:val="center"/>
          </w:tcPr>
          <w:p w14:paraId="311F8938" w14:textId="77777777" w:rsidR="00D12939" w:rsidRDefault="004F47F5">
            <w:pPr>
              <w:jc w:val="center"/>
              <w:rPr>
                <w:sz w:val="18"/>
                <w:szCs w:val="18"/>
              </w:rPr>
            </w:pPr>
            <w:r>
              <w:rPr>
                <w:sz w:val="18"/>
                <w:szCs w:val="18"/>
              </w:rPr>
              <w:t>2033</w:t>
            </w:r>
          </w:p>
        </w:tc>
        <w:tc>
          <w:tcPr>
            <w:tcW w:w="983" w:type="dxa"/>
            <w:tcBorders>
              <w:top w:val="single" w:sz="4" w:space="0" w:color="auto"/>
              <w:left w:val="single" w:sz="4" w:space="0" w:color="auto"/>
              <w:bottom w:val="single" w:sz="4" w:space="0" w:color="auto"/>
              <w:right w:val="single" w:sz="4" w:space="0" w:color="auto"/>
            </w:tcBorders>
            <w:vAlign w:val="center"/>
          </w:tcPr>
          <w:p w14:paraId="21DFFAA5" w14:textId="77777777" w:rsidR="00D12939" w:rsidRDefault="004F47F5">
            <w:pPr>
              <w:jc w:val="center"/>
              <w:rPr>
                <w:sz w:val="18"/>
                <w:szCs w:val="18"/>
              </w:rPr>
            </w:pPr>
            <w:r>
              <w:rPr>
                <w:sz w:val="18"/>
                <w:szCs w:val="18"/>
              </w:rPr>
              <w:t>2034</w:t>
            </w:r>
          </w:p>
        </w:tc>
        <w:tc>
          <w:tcPr>
            <w:tcW w:w="983" w:type="dxa"/>
            <w:tcBorders>
              <w:top w:val="single" w:sz="4" w:space="0" w:color="auto"/>
              <w:left w:val="single" w:sz="4" w:space="0" w:color="auto"/>
              <w:bottom w:val="single" w:sz="4" w:space="0" w:color="auto"/>
              <w:right w:val="single" w:sz="4" w:space="0" w:color="auto"/>
            </w:tcBorders>
            <w:vAlign w:val="center"/>
          </w:tcPr>
          <w:p w14:paraId="289F427E" w14:textId="77777777" w:rsidR="00D12939" w:rsidRDefault="004F47F5">
            <w:pPr>
              <w:jc w:val="center"/>
              <w:rPr>
                <w:sz w:val="18"/>
                <w:szCs w:val="18"/>
              </w:rPr>
            </w:pPr>
            <w:r>
              <w:rPr>
                <w:sz w:val="18"/>
                <w:szCs w:val="18"/>
              </w:rPr>
              <w:t>2035</w:t>
            </w:r>
          </w:p>
        </w:tc>
        <w:tc>
          <w:tcPr>
            <w:tcW w:w="984" w:type="dxa"/>
            <w:tcBorders>
              <w:top w:val="single" w:sz="4" w:space="0" w:color="auto"/>
              <w:left w:val="single" w:sz="4" w:space="0" w:color="auto"/>
              <w:bottom w:val="single" w:sz="4" w:space="0" w:color="auto"/>
              <w:right w:val="single" w:sz="4" w:space="0" w:color="auto"/>
            </w:tcBorders>
            <w:vAlign w:val="center"/>
          </w:tcPr>
          <w:p w14:paraId="00C6983F" w14:textId="77777777" w:rsidR="00D12939" w:rsidRDefault="004F47F5">
            <w:pPr>
              <w:jc w:val="center"/>
              <w:rPr>
                <w:sz w:val="18"/>
                <w:szCs w:val="18"/>
              </w:rPr>
            </w:pPr>
            <w:r>
              <w:rPr>
                <w:sz w:val="18"/>
                <w:szCs w:val="18"/>
              </w:rPr>
              <w:t>2036</w:t>
            </w:r>
          </w:p>
        </w:tc>
      </w:tr>
      <w:tr w:rsidR="00D12939" w14:paraId="645EBD17"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5B3EE901" w14:textId="77777777" w:rsidR="00D12939" w:rsidRDefault="004F47F5">
            <w:pPr>
              <w:widowControl/>
              <w:jc w:val="center"/>
              <w:rPr>
                <w:sz w:val="18"/>
                <w:szCs w:val="18"/>
              </w:rPr>
            </w:pPr>
            <w:r>
              <w:rPr>
                <w:sz w:val="18"/>
                <w:szCs w:val="18"/>
              </w:rPr>
              <w:t>2024</w:t>
            </w:r>
          </w:p>
        </w:tc>
        <w:tc>
          <w:tcPr>
            <w:tcW w:w="768" w:type="dxa"/>
            <w:tcBorders>
              <w:top w:val="single" w:sz="4" w:space="0" w:color="auto"/>
              <w:left w:val="single" w:sz="4" w:space="0" w:color="auto"/>
              <w:bottom w:val="single" w:sz="4" w:space="0" w:color="auto"/>
              <w:right w:val="single" w:sz="4" w:space="0" w:color="auto"/>
            </w:tcBorders>
            <w:vAlign w:val="center"/>
          </w:tcPr>
          <w:p w14:paraId="177DABA6"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4B2EC271"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5BE6394C" w14:textId="77777777" w:rsidR="00D12939" w:rsidRDefault="004F47F5">
            <w:pPr>
              <w:widowControl/>
              <w:jc w:val="center"/>
              <w:rPr>
                <w:sz w:val="18"/>
                <w:szCs w:val="18"/>
              </w:rPr>
            </w:pPr>
            <w:r>
              <w:rPr>
                <w:sz w:val="18"/>
                <w:szCs w:val="18"/>
              </w:rPr>
              <w:t>55947.00</w:t>
            </w:r>
          </w:p>
        </w:tc>
        <w:tc>
          <w:tcPr>
            <w:tcW w:w="983" w:type="dxa"/>
            <w:tcBorders>
              <w:top w:val="single" w:sz="4" w:space="0" w:color="auto"/>
              <w:left w:val="single" w:sz="4" w:space="0" w:color="auto"/>
              <w:bottom w:val="single" w:sz="4" w:space="0" w:color="auto"/>
              <w:right w:val="single" w:sz="4" w:space="0" w:color="auto"/>
            </w:tcBorders>
            <w:vAlign w:val="center"/>
          </w:tcPr>
          <w:p w14:paraId="2A31070E" w14:textId="77777777" w:rsidR="00D12939" w:rsidRDefault="004F47F5">
            <w:pPr>
              <w:jc w:val="center"/>
              <w:rPr>
                <w:sz w:val="18"/>
                <w:szCs w:val="18"/>
              </w:rPr>
            </w:pPr>
            <w:r>
              <w:rPr>
                <w:sz w:val="18"/>
                <w:szCs w:val="18"/>
              </w:rPr>
              <w:t>50622.94</w:t>
            </w:r>
          </w:p>
        </w:tc>
        <w:tc>
          <w:tcPr>
            <w:tcW w:w="983" w:type="dxa"/>
            <w:tcBorders>
              <w:top w:val="single" w:sz="4" w:space="0" w:color="auto"/>
              <w:left w:val="single" w:sz="4" w:space="0" w:color="auto"/>
              <w:bottom w:val="single" w:sz="4" w:space="0" w:color="auto"/>
              <w:right w:val="single" w:sz="4" w:space="0" w:color="auto"/>
            </w:tcBorders>
            <w:vAlign w:val="center"/>
          </w:tcPr>
          <w:p w14:paraId="35E873E3" w14:textId="77777777" w:rsidR="00D12939" w:rsidRDefault="004F47F5">
            <w:pPr>
              <w:jc w:val="center"/>
              <w:rPr>
                <w:sz w:val="18"/>
                <w:szCs w:val="18"/>
              </w:rPr>
            </w:pPr>
            <w:r>
              <w:rPr>
                <w:sz w:val="18"/>
                <w:szCs w:val="18"/>
              </w:rPr>
              <w:t>45805.53</w:t>
            </w:r>
          </w:p>
        </w:tc>
        <w:tc>
          <w:tcPr>
            <w:tcW w:w="983" w:type="dxa"/>
            <w:tcBorders>
              <w:top w:val="single" w:sz="4" w:space="0" w:color="auto"/>
              <w:left w:val="single" w:sz="4" w:space="0" w:color="auto"/>
              <w:bottom w:val="single" w:sz="4" w:space="0" w:color="auto"/>
              <w:right w:val="single" w:sz="4" w:space="0" w:color="auto"/>
            </w:tcBorders>
            <w:vAlign w:val="center"/>
          </w:tcPr>
          <w:p w14:paraId="31B2901A" w14:textId="77777777" w:rsidR="00D12939" w:rsidRDefault="004F47F5">
            <w:pPr>
              <w:jc w:val="center"/>
              <w:rPr>
                <w:sz w:val="18"/>
                <w:szCs w:val="18"/>
              </w:rPr>
            </w:pPr>
            <w:r>
              <w:rPr>
                <w:sz w:val="18"/>
                <w:szCs w:val="18"/>
              </w:rPr>
              <w:t>41446.56</w:t>
            </w:r>
          </w:p>
        </w:tc>
        <w:tc>
          <w:tcPr>
            <w:tcW w:w="983" w:type="dxa"/>
            <w:tcBorders>
              <w:top w:val="single" w:sz="4" w:space="0" w:color="auto"/>
              <w:left w:val="single" w:sz="4" w:space="0" w:color="auto"/>
              <w:bottom w:val="single" w:sz="4" w:space="0" w:color="auto"/>
              <w:right w:val="single" w:sz="4" w:space="0" w:color="auto"/>
            </w:tcBorders>
            <w:vAlign w:val="center"/>
          </w:tcPr>
          <w:p w14:paraId="2A4EF79C" w14:textId="77777777" w:rsidR="00D12939" w:rsidRDefault="004F47F5">
            <w:pPr>
              <w:jc w:val="center"/>
              <w:rPr>
                <w:sz w:val="18"/>
                <w:szCs w:val="18"/>
              </w:rPr>
            </w:pPr>
            <w:r>
              <w:rPr>
                <w:sz w:val="18"/>
                <w:szCs w:val="18"/>
              </w:rPr>
              <w:t>37502.40</w:t>
            </w:r>
          </w:p>
        </w:tc>
        <w:tc>
          <w:tcPr>
            <w:tcW w:w="983" w:type="dxa"/>
            <w:tcBorders>
              <w:top w:val="single" w:sz="4" w:space="0" w:color="auto"/>
              <w:left w:val="single" w:sz="4" w:space="0" w:color="auto"/>
              <w:bottom w:val="single" w:sz="4" w:space="0" w:color="auto"/>
              <w:right w:val="single" w:sz="4" w:space="0" w:color="auto"/>
            </w:tcBorders>
            <w:vAlign w:val="center"/>
          </w:tcPr>
          <w:p w14:paraId="327DDE0F" w14:textId="77777777" w:rsidR="00D12939" w:rsidRDefault="004F47F5">
            <w:pPr>
              <w:jc w:val="center"/>
              <w:rPr>
                <w:sz w:val="18"/>
                <w:szCs w:val="18"/>
              </w:rPr>
            </w:pPr>
            <w:r>
              <w:rPr>
                <w:sz w:val="18"/>
                <w:szCs w:val="18"/>
              </w:rPr>
              <w:t>33933.57</w:t>
            </w:r>
          </w:p>
        </w:tc>
        <w:tc>
          <w:tcPr>
            <w:tcW w:w="983" w:type="dxa"/>
            <w:tcBorders>
              <w:top w:val="single" w:sz="4" w:space="0" w:color="auto"/>
              <w:left w:val="single" w:sz="4" w:space="0" w:color="auto"/>
              <w:bottom w:val="single" w:sz="4" w:space="0" w:color="auto"/>
              <w:right w:val="single" w:sz="4" w:space="0" w:color="auto"/>
            </w:tcBorders>
            <w:vAlign w:val="center"/>
          </w:tcPr>
          <w:p w14:paraId="21BCBCBE" w14:textId="77777777" w:rsidR="00D12939" w:rsidRDefault="004F47F5">
            <w:pPr>
              <w:jc w:val="center"/>
              <w:rPr>
                <w:sz w:val="18"/>
                <w:szCs w:val="18"/>
              </w:rPr>
            </w:pPr>
            <w:r>
              <w:rPr>
                <w:sz w:val="18"/>
                <w:szCs w:val="18"/>
              </w:rPr>
              <w:t>30704.37</w:t>
            </w:r>
          </w:p>
        </w:tc>
        <w:tc>
          <w:tcPr>
            <w:tcW w:w="983" w:type="dxa"/>
            <w:tcBorders>
              <w:top w:val="single" w:sz="4" w:space="0" w:color="auto"/>
              <w:left w:val="single" w:sz="4" w:space="0" w:color="auto"/>
              <w:bottom w:val="single" w:sz="4" w:space="0" w:color="auto"/>
              <w:right w:val="single" w:sz="4" w:space="0" w:color="auto"/>
            </w:tcBorders>
            <w:vAlign w:val="center"/>
          </w:tcPr>
          <w:p w14:paraId="60A18FF3" w14:textId="77777777" w:rsidR="00D12939" w:rsidRDefault="004F47F5">
            <w:pPr>
              <w:jc w:val="center"/>
              <w:rPr>
                <w:sz w:val="18"/>
                <w:szCs w:val="18"/>
              </w:rPr>
            </w:pPr>
            <w:r>
              <w:rPr>
                <w:sz w:val="18"/>
                <w:szCs w:val="18"/>
              </w:rPr>
              <w:t>27782.46</w:t>
            </w:r>
          </w:p>
        </w:tc>
        <w:tc>
          <w:tcPr>
            <w:tcW w:w="983" w:type="dxa"/>
            <w:tcBorders>
              <w:top w:val="single" w:sz="4" w:space="0" w:color="auto"/>
              <w:left w:val="single" w:sz="4" w:space="0" w:color="auto"/>
              <w:bottom w:val="single" w:sz="4" w:space="0" w:color="auto"/>
              <w:right w:val="single" w:sz="4" w:space="0" w:color="auto"/>
            </w:tcBorders>
            <w:vAlign w:val="center"/>
          </w:tcPr>
          <w:p w14:paraId="311C4FB2"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vAlign w:val="center"/>
          </w:tcPr>
          <w:p w14:paraId="262A2127"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3946A591"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664A81B1"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535E5138" w14:textId="77777777" w:rsidR="00D12939" w:rsidRDefault="004F47F5">
            <w:pPr>
              <w:jc w:val="center"/>
              <w:rPr>
                <w:sz w:val="18"/>
                <w:szCs w:val="18"/>
              </w:rPr>
            </w:pPr>
            <w:r>
              <w:rPr>
                <w:sz w:val="18"/>
                <w:szCs w:val="18"/>
              </w:rPr>
              <w:t>16850.91</w:t>
            </w:r>
          </w:p>
        </w:tc>
      </w:tr>
      <w:tr w:rsidR="00D12939" w14:paraId="707218C0"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2188FCD7" w14:textId="77777777" w:rsidR="00D12939" w:rsidRDefault="004F47F5">
            <w:pPr>
              <w:jc w:val="center"/>
              <w:rPr>
                <w:sz w:val="18"/>
                <w:szCs w:val="18"/>
              </w:rPr>
            </w:pPr>
            <w:r>
              <w:rPr>
                <w:sz w:val="18"/>
                <w:szCs w:val="18"/>
              </w:rPr>
              <w:t>2025</w:t>
            </w:r>
          </w:p>
        </w:tc>
        <w:tc>
          <w:tcPr>
            <w:tcW w:w="768" w:type="dxa"/>
            <w:tcBorders>
              <w:top w:val="single" w:sz="4" w:space="0" w:color="auto"/>
              <w:left w:val="single" w:sz="4" w:space="0" w:color="auto"/>
              <w:bottom w:val="single" w:sz="4" w:space="0" w:color="auto"/>
              <w:right w:val="single" w:sz="4" w:space="0" w:color="auto"/>
            </w:tcBorders>
            <w:vAlign w:val="center"/>
          </w:tcPr>
          <w:p w14:paraId="1F5883A6"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21BF2BFB"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3E070A42"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F216A28" w14:textId="77777777" w:rsidR="00D12939" w:rsidRDefault="004F47F5">
            <w:pPr>
              <w:jc w:val="center"/>
              <w:rPr>
                <w:sz w:val="18"/>
                <w:szCs w:val="18"/>
              </w:rPr>
            </w:pPr>
            <w:r>
              <w:rPr>
                <w:sz w:val="18"/>
                <w:szCs w:val="18"/>
              </w:rPr>
              <w:t>50622.94</w:t>
            </w:r>
          </w:p>
        </w:tc>
        <w:tc>
          <w:tcPr>
            <w:tcW w:w="983" w:type="dxa"/>
            <w:tcBorders>
              <w:top w:val="single" w:sz="4" w:space="0" w:color="auto"/>
              <w:left w:val="single" w:sz="4" w:space="0" w:color="auto"/>
              <w:bottom w:val="single" w:sz="4" w:space="0" w:color="auto"/>
              <w:right w:val="single" w:sz="4" w:space="0" w:color="auto"/>
            </w:tcBorders>
            <w:vAlign w:val="center"/>
          </w:tcPr>
          <w:p w14:paraId="2FF254C1" w14:textId="77777777" w:rsidR="00D12939" w:rsidRDefault="004F47F5">
            <w:pPr>
              <w:jc w:val="center"/>
              <w:rPr>
                <w:sz w:val="18"/>
                <w:szCs w:val="18"/>
              </w:rPr>
            </w:pPr>
            <w:r>
              <w:rPr>
                <w:sz w:val="18"/>
                <w:szCs w:val="18"/>
              </w:rPr>
              <w:t>45805.53</w:t>
            </w:r>
          </w:p>
        </w:tc>
        <w:tc>
          <w:tcPr>
            <w:tcW w:w="983" w:type="dxa"/>
            <w:tcBorders>
              <w:top w:val="single" w:sz="4" w:space="0" w:color="auto"/>
              <w:left w:val="single" w:sz="4" w:space="0" w:color="auto"/>
              <w:bottom w:val="single" w:sz="4" w:space="0" w:color="auto"/>
              <w:right w:val="single" w:sz="4" w:space="0" w:color="auto"/>
            </w:tcBorders>
            <w:vAlign w:val="center"/>
          </w:tcPr>
          <w:p w14:paraId="7EAA29E1" w14:textId="77777777" w:rsidR="00D12939" w:rsidRDefault="004F47F5">
            <w:pPr>
              <w:jc w:val="center"/>
              <w:rPr>
                <w:sz w:val="18"/>
                <w:szCs w:val="18"/>
              </w:rPr>
            </w:pPr>
            <w:r>
              <w:rPr>
                <w:sz w:val="18"/>
                <w:szCs w:val="18"/>
              </w:rPr>
              <w:t>41446.56</w:t>
            </w:r>
          </w:p>
        </w:tc>
        <w:tc>
          <w:tcPr>
            <w:tcW w:w="983" w:type="dxa"/>
            <w:tcBorders>
              <w:top w:val="single" w:sz="4" w:space="0" w:color="auto"/>
              <w:left w:val="single" w:sz="4" w:space="0" w:color="auto"/>
              <w:bottom w:val="single" w:sz="4" w:space="0" w:color="auto"/>
              <w:right w:val="single" w:sz="4" w:space="0" w:color="auto"/>
            </w:tcBorders>
            <w:vAlign w:val="center"/>
          </w:tcPr>
          <w:p w14:paraId="61159EAA" w14:textId="77777777" w:rsidR="00D12939" w:rsidRDefault="004F47F5">
            <w:pPr>
              <w:jc w:val="center"/>
              <w:rPr>
                <w:sz w:val="18"/>
                <w:szCs w:val="18"/>
              </w:rPr>
            </w:pPr>
            <w:r>
              <w:rPr>
                <w:sz w:val="18"/>
                <w:szCs w:val="18"/>
              </w:rPr>
              <w:t>37502.40</w:t>
            </w:r>
          </w:p>
        </w:tc>
        <w:tc>
          <w:tcPr>
            <w:tcW w:w="983" w:type="dxa"/>
            <w:tcBorders>
              <w:top w:val="single" w:sz="4" w:space="0" w:color="auto"/>
              <w:left w:val="single" w:sz="4" w:space="0" w:color="auto"/>
              <w:bottom w:val="single" w:sz="4" w:space="0" w:color="auto"/>
              <w:right w:val="single" w:sz="4" w:space="0" w:color="auto"/>
            </w:tcBorders>
            <w:vAlign w:val="center"/>
          </w:tcPr>
          <w:p w14:paraId="1574B867" w14:textId="77777777" w:rsidR="00D12939" w:rsidRDefault="004F47F5">
            <w:pPr>
              <w:jc w:val="center"/>
              <w:rPr>
                <w:sz w:val="18"/>
                <w:szCs w:val="18"/>
              </w:rPr>
            </w:pPr>
            <w:r>
              <w:rPr>
                <w:sz w:val="18"/>
                <w:szCs w:val="18"/>
              </w:rPr>
              <w:t>33933.57</w:t>
            </w:r>
          </w:p>
        </w:tc>
        <w:tc>
          <w:tcPr>
            <w:tcW w:w="983" w:type="dxa"/>
            <w:tcBorders>
              <w:top w:val="single" w:sz="4" w:space="0" w:color="auto"/>
              <w:left w:val="single" w:sz="4" w:space="0" w:color="auto"/>
              <w:bottom w:val="single" w:sz="4" w:space="0" w:color="auto"/>
              <w:right w:val="single" w:sz="4" w:space="0" w:color="auto"/>
            </w:tcBorders>
            <w:vAlign w:val="center"/>
          </w:tcPr>
          <w:p w14:paraId="39D2F653" w14:textId="77777777" w:rsidR="00D12939" w:rsidRDefault="004F47F5">
            <w:pPr>
              <w:jc w:val="center"/>
              <w:rPr>
                <w:sz w:val="18"/>
                <w:szCs w:val="18"/>
              </w:rPr>
            </w:pPr>
            <w:r>
              <w:rPr>
                <w:sz w:val="18"/>
                <w:szCs w:val="18"/>
              </w:rPr>
              <w:t>30704.37</w:t>
            </w:r>
          </w:p>
        </w:tc>
        <w:tc>
          <w:tcPr>
            <w:tcW w:w="983" w:type="dxa"/>
            <w:tcBorders>
              <w:top w:val="single" w:sz="4" w:space="0" w:color="auto"/>
              <w:left w:val="single" w:sz="4" w:space="0" w:color="auto"/>
              <w:bottom w:val="single" w:sz="4" w:space="0" w:color="auto"/>
              <w:right w:val="single" w:sz="4" w:space="0" w:color="auto"/>
            </w:tcBorders>
            <w:vAlign w:val="center"/>
          </w:tcPr>
          <w:p w14:paraId="6D409CC0" w14:textId="77777777" w:rsidR="00D12939" w:rsidRDefault="004F47F5">
            <w:pPr>
              <w:jc w:val="center"/>
              <w:rPr>
                <w:sz w:val="18"/>
                <w:szCs w:val="18"/>
              </w:rPr>
            </w:pPr>
            <w:r>
              <w:rPr>
                <w:sz w:val="18"/>
                <w:szCs w:val="18"/>
              </w:rPr>
              <w:t>27782.46</w:t>
            </w:r>
          </w:p>
        </w:tc>
        <w:tc>
          <w:tcPr>
            <w:tcW w:w="983" w:type="dxa"/>
            <w:tcBorders>
              <w:top w:val="single" w:sz="4" w:space="0" w:color="auto"/>
              <w:left w:val="single" w:sz="4" w:space="0" w:color="auto"/>
              <w:bottom w:val="single" w:sz="4" w:space="0" w:color="auto"/>
              <w:right w:val="single" w:sz="4" w:space="0" w:color="auto"/>
            </w:tcBorders>
            <w:vAlign w:val="center"/>
          </w:tcPr>
          <w:p w14:paraId="62CA6058"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vAlign w:val="center"/>
          </w:tcPr>
          <w:p w14:paraId="08DEEDB5"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6B51F525"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423675B7"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3E4ECF43" w14:textId="77777777" w:rsidR="00D12939" w:rsidRDefault="004F47F5">
            <w:pPr>
              <w:jc w:val="center"/>
              <w:rPr>
                <w:sz w:val="18"/>
                <w:szCs w:val="18"/>
              </w:rPr>
            </w:pPr>
            <w:r>
              <w:rPr>
                <w:sz w:val="18"/>
                <w:szCs w:val="18"/>
              </w:rPr>
              <w:t>16850.91</w:t>
            </w:r>
          </w:p>
        </w:tc>
      </w:tr>
      <w:tr w:rsidR="00D12939" w14:paraId="4280F80A"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642C6EAA" w14:textId="77777777" w:rsidR="00D12939" w:rsidRDefault="004F47F5">
            <w:pPr>
              <w:jc w:val="center"/>
              <w:rPr>
                <w:sz w:val="18"/>
                <w:szCs w:val="18"/>
              </w:rPr>
            </w:pPr>
            <w:r>
              <w:rPr>
                <w:sz w:val="18"/>
                <w:szCs w:val="18"/>
              </w:rPr>
              <w:t>2026</w:t>
            </w:r>
          </w:p>
        </w:tc>
        <w:tc>
          <w:tcPr>
            <w:tcW w:w="768" w:type="dxa"/>
            <w:tcBorders>
              <w:top w:val="single" w:sz="4" w:space="0" w:color="auto"/>
              <w:left w:val="single" w:sz="4" w:space="0" w:color="auto"/>
              <w:bottom w:val="single" w:sz="4" w:space="0" w:color="auto"/>
              <w:right w:val="single" w:sz="4" w:space="0" w:color="auto"/>
            </w:tcBorders>
            <w:vAlign w:val="center"/>
          </w:tcPr>
          <w:p w14:paraId="179E65C6"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32B313A1"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1B04D1E5"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2F4FFD5"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C07465A" w14:textId="77777777" w:rsidR="00D12939" w:rsidRDefault="004F47F5">
            <w:pPr>
              <w:jc w:val="center"/>
              <w:rPr>
                <w:sz w:val="18"/>
                <w:szCs w:val="18"/>
              </w:rPr>
            </w:pPr>
            <w:r>
              <w:rPr>
                <w:sz w:val="18"/>
                <w:szCs w:val="18"/>
              </w:rPr>
              <w:t>45805.53</w:t>
            </w:r>
          </w:p>
        </w:tc>
        <w:tc>
          <w:tcPr>
            <w:tcW w:w="983" w:type="dxa"/>
            <w:tcBorders>
              <w:top w:val="single" w:sz="4" w:space="0" w:color="auto"/>
              <w:left w:val="single" w:sz="4" w:space="0" w:color="auto"/>
              <w:bottom w:val="single" w:sz="4" w:space="0" w:color="auto"/>
              <w:right w:val="single" w:sz="4" w:space="0" w:color="auto"/>
            </w:tcBorders>
            <w:vAlign w:val="center"/>
          </w:tcPr>
          <w:p w14:paraId="2E22B879" w14:textId="77777777" w:rsidR="00D12939" w:rsidRDefault="004F47F5">
            <w:pPr>
              <w:jc w:val="center"/>
              <w:rPr>
                <w:sz w:val="18"/>
                <w:szCs w:val="18"/>
              </w:rPr>
            </w:pPr>
            <w:r>
              <w:rPr>
                <w:sz w:val="18"/>
                <w:szCs w:val="18"/>
              </w:rPr>
              <w:t>41446.56</w:t>
            </w:r>
          </w:p>
        </w:tc>
        <w:tc>
          <w:tcPr>
            <w:tcW w:w="983" w:type="dxa"/>
            <w:tcBorders>
              <w:top w:val="single" w:sz="4" w:space="0" w:color="auto"/>
              <w:left w:val="single" w:sz="4" w:space="0" w:color="auto"/>
              <w:bottom w:val="single" w:sz="4" w:space="0" w:color="auto"/>
              <w:right w:val="single" w:sz="4" w:space="0" w:color="auto"/>
            </w:tcBorders>
            <w:vAlign w:val="center"/>
          </w:tcPr>
          <w:p w14:paraId="050BC244" w14:textId="77777777" w:rsidR="00D12939" w:rsidRDefault="004F47F5">
            <w:pPr>
              <w:jc w:val="center"/>
              <w:rPr>
                <w:sz w:val="18"/>
                <w:szCs w:val="18"/>
              </w:rPr>
            </w:pPr>
            <w:r>
              <w:rPr>
                <w:sz w:val="18"/>
                <w:szCs w:val="18"/>
              </w:rPr>
              <w:t>37502.40</w:t>
            </w:r>
          </w:p>
        </w:tc>
        <w:tc>
          <w:tcPr>
            <w:tcW w:w="983" w:type="dxa"/>
            <w:tcBorders>
              <w:top w:val="single" w:sz="4" w:space="0" w:color="auto"/>
              <w:left w:val="single" w:sz="4" w:space="0" w:color="auto"/>
              <w:bottom w:val="single" w:sz="4" w:space="0" w:color="auto"/>
              <w:right w:val="single" w:sz="4" w:space="0" w:color="auto"/>
            </w:tcBorders>
            <w:vAlign w:val="center"/>
          </w:tcPr>
          <w:p w14:paraId="2F28690B" w14:textId="77777777" w:rsidR="00D12939" w:rsidRDefault="004F47F5">
            <w:pPr>
              <w:jc w:val="center"/>
              <w:rPr>
                <w:sz w:val="18"/>
                <w:szCs w:val="18"/>
              </w:rPr>
            </w:pPr>
            <w:r>
              <w:rPr>
                <w:sz w:val="18"/>
                <w:szCs w:val="18"/>
              </w:rPr>
              <w:t>33933.57</w:t>
            </w:r>
          </w:p>
        </w:tc>
        <w:tc>
          <w:tcPr>
            <w:tcW w:w="983" w:type="dxa"/>
            <w:tcBorders>
              <w:top w:val="single" w:sz="4" w:space="0" w:color="auto"/>
              <w:left w:val="single" w:sz="4" w:space="0" w:color="auto"/>
              <w:bottom w:val="single" w:sz="4" w:space="0" w:color="auto"/>
              <w:right w:val="single" w:sz="4" w:space="0" w:color="auto"/>
            </w:tcBorders>
            <w:vAlign w:val="center"/>
          </w:tcPr>
          <w:p w14:paraId="3C52A9A2" w14:textId="77777777" w:rsidR="00D12939" w:rsidRDefault="004F47F5">
            <w:pPr>
              <w:jc w:val="center"/>
              <w:rPr>
                <w:sz w:val="18"/>
                <w:szCs w:val="18"/>
              </w:rPr>
            </w:pPr>
            <w:r>
              <w:rPr>
                <w:sz w:val="18"/>
                <w:szCs w:val="18"/>
              </w:rPr>
              <w:t>30704.37</w:t>
            </w:r>
          </w:p>
        </w:tc>
        <w:tc>
          <w:tcPr>
            <w:tcW w:w="983" w:type="dxa"/>
            <w:tcBorders>
              <w:top w:val="single" w:sz="4" w:space="0" w:color="auto"/>
              <w:left w:val="single" w:sz="4" w:space="0" w:color="auto"/>
              <w:bottom w:val="single" w:sz="4" w:space="0" w:color="auto"/>
              <w:right w:val="single" w:sz="4" w:space="0" w:color="auto"/>
            </w:tcBorders>
            <w:vAlign w:val="center"/>
          </w:tcPr>
          <w:p w14:paraId="4A426F23" w14:textId="77777777" w:rsidR="00D12939" w:rsidRDefault="004F47F5">
            <w:pPr>
              <w:jc w:val="center"/>
              <w:rPr>
                <w:sz w:val="18"/>
                <w:szCs w:val="18"/>
              </w:rPr>
            </w:pPr>
            <w:r>
              <w:rPr>
                <w:sz w:val="18"/>
                <w:szCs w:val="18"/>
              </w:rPr>
              <w:t>27782.46</w:t>
            </w:r>
          </w:p>
        </w:tc>
        <w:tc>
          <w:tcPr>
            <w:tcW w:w="983" w:type="dxa"/>
            <w:tcBorders>
              <w:top w:val="single" w:sz="4" w:space="0" w:color="auto"/>
              <w:left w:val="single" w:sz="4" w:space="0" w:color="auto"/>
              <w:bottom w:val="single" w:sz="4" w:space="0" w:color="auto"/>
              <w:right w:val="single" w:sz="4" w:space="0" w:color="auto"/>
            </w:tcBorders>
            <w:vAlign w:val="center"/>
          </w:tcPr>
          <w:p w14:paraId="71AE6FE6"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vAlign w:val="center"/>
          </w:tcPr>
          <w:p w14:paraId="4C07B0C2"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5E14D306"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5FF07122"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26310B08" w14:textId="77777777" w:rsidR="00D12939" w:rsidRDefault="004F47F5">
            <w:pPr>
              <w:jc w:val="center"/>
              <w:rPr>
                <w:sz w:val="18"/>
                <w:szCs w:val="18"/>
              </w:rPr>
            </w:pPr>
            <w:r>
              <w:rPr>
                <w:sz w:val="18"/>
                <w:szCs w:val="18"/>
              </w:rPr>
              <w:t>16850.91</w:t>
            </w:r>
          </w:p>
        </w:tc>
      </w:tr>
      <w:tr w:rsidR="00D12939" w14:paraId="258435F2"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68B87212" w14:textId="77777777" w:rsidR="00D12939" w:rsidRDefault="004F47F5">
            <w:pPr>
              <w:jc w:val="center"/>
              <w:rPr>
                <w:sz w:val="18"/>
                <w:szCs w:val="18"/>
              </w:rPr>
            </w:pPr>
            <w:r>
              <w:rPr>
                <w:sz w:val="18"/>
                <w:szCs w:val="18"/>
              </w:rPr>
              <w:t>2027</w:t>
            </w:r>
          </w:p>
        </w:tc>
        <w:tc>
          <w:tcPr>
            <w:tcW w:w="768" w:type="dxa"/>
            <w:tcBorders>
              <w:top w:val="single" w:sz="4" w:space="0" w:color="auto"/>
              <w:left w:val="single" w:sz="4" w:space="0" w:color="auto"/>
              <w:bottom w:val="single" w:sz="4" w:space="0" w:color="auto"/>
              <w:right w:val="single" w:sz="4" w:space="0" w:color="auto"/>
            </w:tcBorders>
            <w:vAlign w:val="center"/>
          </w:tcPr>
          <w:p w14:paraId="06FCFF99"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32E64901"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478B7C9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D375C6F"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noWrap/>
            <w:vAlign w:val="center"/>
          </w:tcPr>
          <w:p w14:paraId="5FE1F54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noWrap/>
            <w:vAlign w:val="center"/>
          </w:tcPr>
          <w:p w14:paraId="7A8B6E4B" w14:textId="77777777" w:rsidR="00D12939" w:rsidRDefault="004F47F5">
            <w:pPr>
              <w:jc w:val="center"/>
              <w:rPr>
                <w:sz w:val="18"/>
                <w:szCs w:val="18"/>
              </w:rPr>
            </w:pPr>
            <w:r>
              <w:rPr>
                <w:sz w:val="18"/>
                <w:szCs w:val="18"/>
              </w:rPr>
              <w:t>41446.56</w:t>
            </w:r>
          </w:p>
        </w:tc>
        <w:tc>
          <w:tcPr>
            <w:tcW w:w="983" w:type="dxa"/>
            <w:tcBorders>
              <w:top w:val="single" w:sz="4" w:space="0" w:color="auto"/>
              <w:left w:val="single" w:sz="4" w:space="0" w:color="auto"/>
              <w:bottom w:val="single" w:sz="4" w:space="0" w:color="auto"/>
              <w:right w:val="single" w:sz="4" w:space="0" w:color="auto"/>
            </w:tcBorders>
            <w:noWrap/>
            <w:vAlign w:val="center"/>
          </w:tcPr>
          <w:p w14:paraId="52133AB7" w14:textId="77777777" w:rsidR="00D12939" w:rsidRDefault="004F47F5">
            <w:pPr>
              <w:jc w:val="center"/>
              <w:rPr>
                <w:sz w:val="18"/>
                <w:szCs w:val="18"/>
              </w:rPr>
            </w:pPr>
            <w:r>
              <w:rPr>
                <w:sz w:val="18"/>
                <w:szCs w:val="18"/>
              </w:rPr>
              <w:t>37502.40</w:t>
            </w:r>
          </w:p>
        </w:tc>
        <w:tc>
          <w:tcPr>
            <w:tcW w:w="983" w:type="dxa"/>
            <w:tcBorders>
              <w:top w:val="single" w:sz="4" w:space="0" w:color="auto"/>
              <w:left w:val="single" w:sz="4" w:space="0" w:color="auto"/>
              <w:bottom w:val="single" w:sz="4" w:space="0" w:color="auto"/>
              <w:right w:val="single" w:sz="4" w:space="0" w:color="auto"/>
            </w:tcBorders>
            <w:noWrap/>
            <w:vAlign w:val="center"/>
          </w:tcPr>
          <w:p w14:paraId="46C067E8" w14:textId="77777777" w:rsidR="00D12939" w:rsidRDefault="004F47F5">
            <w:pPr>
              <w:jc w:val="center"/>
              <w:rPr>
                <w:sz w:val="18"/>
                <w:szCs w:val="18"/>
              </w:rPr>
            </w:pPr>
            <w:r>
              <w:rPr>
                <w:sz w:val="18"/>
                <w:szCs w:val="18"/>
              </w:rPr>
              <w:t>33933.57</w:t>
            </w:r>
          </w:p>
        </w:tc>
        <w:tc>
          <w:tcPr>
            <w:tcW w:w="983" w:type="dxa"/>
            <w:tcBorders>
              <w:top w:val="single" w:sz="4" w:space="0" w:color="auto"/>
              <w:left w:val="single" w:sz="4" w:space="0" w:color="auto"/>
              <w:bottom w:val="single" w:sz="4" w:space="0" w:color="auto"/>
              <w:right w:val="single" w:sz="4" w:space="0" w:color="auto"/>
            </w:tcBorders>
            <w:noWrap/>
            <w:vAlign w:val="center"/>
          </w:tcPr>
          <w:p w14:paraId="5E5EF88F" w14:textId="77777777" w:rsidR="00D12939" w:rsidRDefault="004F47F5">
            <w:pPr>
              <w:jc w:val="center"/>
              <w:rPr>
                <w:sz w:val="18"/>
                <w:szCs w:val="18"/>
              </w:rPr>
            </w:pPr>
            <w:r>
              <w:rPr>
                <w:sz w:val="18"/>
                <w:szCs w:val="18"/>
              </w:rPr>
              <w:t>30704.37</w:t>
            </w:r>
          </w:p>
        </w:tc>
        <w:tc>
          <w:tcPr>
            <w:tcW w:w="983" w:type="dxa"/>
            <w:tcBorders>
              <w:top w:val="single" w:sz="4" w:space="0" w:color="auto"/>
              <w:left w:val="single" w:sz="4" w:space="0" w:color="auto"/>
              <w:bottom w:val="single" w:sz="4" w:space="0" w:color="auto"/>
              <w:right w:val="single" w:sz="4" w:space="0" w:color="auto"/>
            </w:tcBorders>
            <w:noWrap/>
            <w:vAlign w:val="center"/>
          </w:tcPr>
          <w:p w14:paraId="7C727883" w14:textId="77777777" w:rsidR="00D12939" w:rsidRDefault="004F47F5">
            <w:pPr>
              <w:jc w:val="center"/>
              <w:rPr>
                <w:sz w:val="18"/>
                <w:szCs w:val="18"/>
              </w:rPr>
            </w:pPr>
            <w:r>
              <w:rPr>
                <w:sz w:val="18"/>
                <w:szCs w:val="18"/>
              </w:rPr>
              <w:t>27782.46</w:t>
            </w:r>
          </w:p>
        </w:tc>
        <w:tc>
          <w:tcPr>
            <w:tcW w:w="983" w:type="dxa"/>
            <w:tcBorders>
              <w:top w:val="single" w:sz="4" w:space="0" w:color="auto"/>
              <w:left w:val="single" w:sz="4" w:space="0" w:color="auto"/>
              <w:bottom w:val="single" w:sz="4" w:space="0" w:color="auto"/>
              <w:right w:val="single" w:sz="4" w:space="0" w:color="auto"/>
            </w:tcBorders>
            <w:noWrap/>
            <w:vAlign w:val="center"/>
          </w:tcPr>
          <w:p w14:paraId="4E862F60"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noWrap/>
            <w:vAlign w:val="center"/>
          </w:tcPr>
          <w:p w14:paraId="0CD46466"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noWrap/>
            <w:vAlign w:val="center"/>
          </w:tcPr>
          <w:p w14:paraId="4B1C4D75"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noWrap/>
            <w:vAlign w:val="center"/>
          </w:tcPr>
          <w:p w14:paraId="17D46862"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4AB53A23" w14:textId="77777777" w:rsidR="00D12939" w:rsidRDefault="004F47F5">
            <w:pPr>
              <w:jc w:val="center"/>
              <w:rPr>
                <w:sz w:val="18"/>
                <w:szCs w:val="18"/>
              </w:rPr>
            </w:pPr>
            <w:r>
              <w:rPr>
                <w:sz w:val="18"/>
                <w:szCs w:val="18"/>
              </w:rPr>
              <w:t>16850.91</w:t>
            </w:r>
          </w:p>
        </w:tc>
      </w:tr>
      <w:tr w:rsidR="00D12939" w14:paraId="0B1619FF"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5C164799" w14:textId="77777777" w:rsidR="00D12939" w:rsidRDefault="004F47F5">
            <w:pPr>
              <w:jc w:val="center"/>
              <w:rPr>
                <w:sz w:val="18"/>
                <w:szCs w:val="18"/>
              </w:rPr>
            </w:pPr>
            <w:r>
              <w:rPr>
                <w:sz w:val="18"/>
                <w:szCs w:val="18"/>
              </w:rPr>
              <w:t>2028</w:t>
            </w:r>
          </w:p>
        </w:tc>
        <w:tc>
          <w:tcPr>
            <w:tcW w:w="768" w:type="dxa"/>
            <w:tcBorders>
              <w:top w:val="single" w:sz="4" w:space="0" w:color="auto"/>
              <w:left w:val="single" w:sz="4" w:space="0" w:color="auto"/>
              <w:bottom w:val="single" w:sz="4" w:space="0" w:color="auto"/>
              <w:right w:val="single" w:sz="4" w:space="0" w:color="auto"/>
            </w:tcBorders>
            <w:vAlign w:val="center"/>
          </w:tcPr>
          <w:p w14:paraId="5DC5ABBF"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035A9F33"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469A0EB7"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F335C3F"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066A798"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D38295E"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E97C8FF" w14:textId="77777777" w:rsidR="00D12939" w:rsidRDefault="004F47F5">
            <w:pPr>
              <w:jc w:val="center"/>
              <w:rPr>
                <w:sz w:val="18"/>
                <w:szCs w:val="18"/>
              </w:rPr>
            </w:pPr>
            <w:r>
              <w:rPr>
                <w:sz w:val="18"/>
                <w:szCs w:val="18"/>
              </w:rPr>
              <w:t>37502.40</w:t>
            </w:r>
          </w:p>
        </w:tc>
        <w:tc>
          <w:tcPr>
            <w:tcW w:w="983" w:type="dxa"/>
            <w:tcBorders>
              <w:top w:val="single" w:sz="4" w:space="0" w:color="auto"/>
              <w:left w:val="single" w:sz="4" w:space="0" w:color="auto"/>
              <w:bottom w:val="single" w:sz="4" w:space="0" w:color="auto"/>
              <w:right w:val="single" w:sz="4" w:space="0" w:color="auto"/>
            </w:tcBorders>
            <w:vAlign w:val="center"/>
          </w:tcPr>
          <w:p w14:paraId="2006D447" w14:textId="77777777" w:rsidR="00D12939" w:rsidRDefault="004F47F5">
            <w:pPr>
              <w:jc w:val="center"/>
              <w:rPr>
                <w:sz w:val="18"/>
                <w:szCs w:val="18"/>
              </w:rPr>
            </w:pPr>
            <w:r>
              <w:rPr>
                <w:sz w:val="18"/>
                <w:szCs w:val="18"/>
              </w:rPr>
              <w:t>33933.57</w:t>
            </w:r>
          </w:p>
        </w:tc>
        <w:tc>
          <w:tcPr>
            <w:tcW w:w="983" w:type="dxa"/>
            <w:tcBorders>
              <w:top w:val="single" w:sz="4" w:space="0" w:color="auto"/>
              <w:left w:val="single" w:sz="4" w:space="0" w:color="auto"/>
              <w:bottom w:val="single" w:sz="4" w:space="0" w:color="auto"/>
              <w:right w:val="single" w:sz="4" w:space="0" w:color="auto"/>
            </w:tcBorders>
            <w:vAlign w:val="center"/>
          </w:tcPr>
          <w:p w14:paraId="410A622A" w14:textId="77777777" w:rsidR="00D12939" w:rsidRDefault="004F47F5">
            <w:pPr>
              <w:jc w:val="center"/>
              <w:rPr>
                <w:sz w:val="18"/>
                <w:szCs w:val="18"/>
              </w:rPr>
            </w:pPr>
            <w:r>
              <w:rPr>
                <w:sz w:val="18"/>
                <w:szCs w:val="18"/>
              </w:rPr>
              <w:t>30704.37</w:t>
            </w:r>
          </w:p>
        </w:tc>
        <w:tc>
          <w:tcPr>
            <w:tcW w:w="983" w:type="dxa"/>
            <w:tcBorders>
              <w:top w:val="single" w:sz="4" w:space="0" w:color="auto"/>
              <w:left w:val="single" w:sz="4" w:space="0" w:color="auto"/>
              <w:bottom w:val="single" w:sz="4" w:space="0" w:color="auto"/>
              <w:right w:val="single" w:sz="4" w:space="0" w:color="auto"/>
            </w:tcBorders>
            <w:vAlign w:val="center"/>
          </w:tcPr>
          <w:p w14:paraId="4664ABD7" w14:textId="77777777" w:rsidR="00D12939" w:rsidRDefault="004F47F5">
            <w:pPr>
              <w:jc w:val="center"/>
              <w:rPr>
                <w:sz w:val="18"/>
                <w:szCs w:val="18"/>
              </w:rPr>
            </w:pPr>
            <w:r>
              <w:rPr>
                <w:sz w:val="18"/>
                <w:szCs w:val="18"/>
              </w:rPr>
              <w:t>27782.46</w:t>
            </w:r>
          </w:p>
        </w:tc>
        <w:tc>
          <w:tcPr>
            <w:tcW w:w="983" w:type="dxa"/>
            <w:tcBorders>
              <w:top w:val="single" w:sz="4" w:space="0" w:color="auto"/>
              <w:left w:val="single" w:sz="4" w:space="0" w:color="auto"/>
              <w:bottom w:val="single" w:sz="4" w:space="0" w:color="auto"/>
              <w:right w:val="single" w:sz="4" w:space="0" w:color="auto"/>
            </w:tcBorders>
            <w:vAlign w:val="center"/>
          </w:tcPr>
          <w:p w14:paraId="1F2134FE"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vAlign w:val="center"/>
          </w:tcPr>
          <w:p w14:paraId="57FABE9A"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496EFAFA"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419F2B47"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124C1032" w14:textId="77777777" w:rsidR="00D12939" w:rsidRDefault="004F47F5">
            <w:pPr>
              <w:jc w:val="center"/>
              <w:rPr>
                <w:sz w:val="18"/>
                <w:szCs w:val="18"/>
              </w:rPr>
            </w:pPr>
            <w:r>
              <w:rPr>
                <w:sz w:val="18"/>
                <w:szCs w:val="18"/>
              </w:rPr>
              <w:t>16850.91</w:t>
            </w:r>
          </w:p>
        </w:tc>
      </w:tr>
      <w:tr w:rsidR="00D12939" w14:paraId="250CF064"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69EFF838" w14:textId="77777777" w:rsidR="00D12939" w:rsidRDefault="004F47F5">
            <w:pPr>
              <w:jc w:val="center"/>
              <w:rPr>
                <w:sz w:val="18"/>
                <w:szCs w:val="18"/>
              </w:rPr>
            </w:pPr>
            <w:r>
              <w:rPr>
                <w:sz w:val="18"/>
                <w:szCs w:val="18"/>
              </w:rPr>
              <w:t>2029</w:t>
            </w:r>
          </w:p>
        </w:tc>
        <w:tc>
          <w:tcPr>
            <w:tcW w:w="768" w:type="dxa"/>
            <w:tcBorders>
              <w:top w:val="single" w:sz="4" w:space="0" w:color="auto"/>
              <w:left w:val="single" w:sz="4" w:space="0" w:color="auto"/>
              <w:bottom w:val="single" w:sz="4" w:space="0" w:color="auto"/>
              <w:right w:val="single" w:sz="4" w:space="0" w:color="auto"/>
            </w:tcBorders>
            <w:vAlign w:val="center"/>
          </w:tcPr>
          <w:p w14:paraId="3612591B"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78F135B3"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58A60C83"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53ADA6C"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DDA6375"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E267404"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543DA8AD"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5C7CCBFD" w14:textId="77777777" w:rsidR="00D12939" w:rsidRDefault="004F47F5">
            <w:pPr>
              <w:jc w:val="center"/>
              <w:rPr>
                <w:sz w:val="18"/>
                <w:szCs w:val="18"/>
              </w:rPr>
            </w:pPr>
            <w:r>
              <w:rPr>
                <w:sz w:val="18"/>
                <w:szCs w:val="18"/>
              </w:rPr>
              <w:t>33933.57</w:t>
            </w:r>
          </w:p>
        </w:tc>
        <w:tc>
          <w:tcPr>
            <w:tcW w:w="983" w:type="dxa"/>
            <w:tcBorders>
              <w:top w:val="single" w:sz="4" w:space="0" w:color="auto"/>
              <w:left w:val="single" w:sz="4" w:space="0" w:color="auto"/>
              <w:bottom w:val="single" w:sz="4" w:space="0" w:color="auto"/>
              <w:right w:val="single" w:sz="4" w:space="0" w:color="auto"/>
            </w:tcBorders>
            <w:vAlign w:val="center"/>
          </w:tcPr>
          <w:p w14:paraId="3AAA8C44" w14:textId="77777777" w:rsidR="00D12939" w:rsidRDefault="004F47F5">
            <w:pPr>
              <w:jc w:val="center"/>
              <w:rPr>
                <w:sz w:val="18"/>
                <w:szCs w:val="18"/>
              </w:rPr>
            </w:pPr>
            <w:r>
              <w:rPr>
                <w:sz w:val="18"/>
                <w:szCs w:val="18"/>
              </w:rPr>
              <w:t>30704.37</w:t>
            </w:r>
          </w:p>
        </w:tc>
        <w:tc>
          <w:tcPr>
            <w:tcW w:w="983" w:type="dxa"/>
            <w:tcBorders>
              <w:top w:val="single" w:sz="4" w:space="0" w:color="auto"/>
              <w:left w:val="single" w:sz="4" w:space="0" w:color="auto"/>
              <w:bottom w:val="single" w:sz="4" w:space="0" w:color="auto"/>
              <w:right w:val="single" w:sz="4" w:space="0" w:color="auto"/>
            </w:tcBorders>
            <w:vAlign w:val="center"/>
          </w:tcPr>
          <w:p w14:paraId="3BD3E0FF" w14:textId="77777777" w:rsidR="00D12939" w:rsidRDefault="004F47F5">
            <w:pPr>
              <w:jc w:val="center"/>
              <w:rPr>
                <w:sz w:val="18"/>
                <w:szCs w:val="18"/>
              </w:rPr>
            </w:pPr>
            <w:r>
              <w:rPr>
                <w:sz w:val="18"/>
                <w:szCs w:val="18"/>
              </w:rPr>
              <w:t>27782.46</w:t>
            </w:r>
          </w:p>
        </w:tc>
        <w:tc>
          <w:tcPr>
            <w:tcW w:w="983" w:type="dxa"/>
            <w:tcBorders>
              <w:top w:val="single" w:sz="4" w:space="0" w:color="auto"/>
              <w:left w:val="single" w:sz="4" w:space="0" w:color="auto"/>
              <w:bottom w:val="single" w:sz="4" w:space="0" w:color="auto"/>
              <w:right w:val="single" w:sz="4" w:space="0" w:color="auto"/>
            </w:tcBorders>
            <w:vAlign w:val="center"/>
          </w:tcPr>
          <w:p w14:paraId="4A6B7DBD"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vAlign w:val="center"/>
          </w:tcPr>
          <w:p w14:paraId="18C3931B"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21EF2550"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6E7731DF"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6DC1209C" w14:textId="77777777" w:rsidR="00D12939" w:rsidRDefault="004F47F5">
            <w:pPr>
              <w:jc w:val="center"/>
              <w:rPr>
                <w:sz w:val="18"/>
                <w:szCs w:val="18"/>
              </w:rPr>
            </w:pPr>
            <w:r>
              <w:rPr>
                <w:sz w:val="18"/>
                <w:szCs w:val="18"/>
              </w:rPr>
              <w:t>16850.91</w:t>
            </w:r>
          </w:p>
        </w:tc>
      </w:tr>
      <w:tr w:rsidR="00D12939" w14:paraId="3FD17304"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7C6EFF92" w14:textId="77777777" w:rsidR="00D12939" w:rsidRDefault="004F47F5">
            <w:pPr>
              <w:jc w:val="center"/>
              <w:rPr>
                <w:sz w:val="18"/>
                <w:szCs w:val="18"/>
              </w:rPr>
            </w:pPr>
            <w:r>
              <w:rPr>
                <w:sz w:val="18"/>
                <w:szCs w:val="18"/>
              </w:rPr>
              <w:t>2030</w:t>
            </w:r>
          </w:p>
        </w:tc>
        <w:tc>
          <w:tcPr>
            <w:tcW w:w="768" w:type="dxa"/>
            <w:tcBorders>
              <w:top w:val="single" w:sz="4" w:space="0" w:color="auto"/>
              <w:left w:val="single" w:sz="4" w:space="0" w:color="auto"/>
              <w:bottom w:val="single" w:sz="4" w:space="0" w:color="auto"/>
              <w:right w:val="single" w:sz="4" w:space="0" w:color="auto"/>
            </w:tcBorders>
            <w:vAlign w:val="center"/>
          </w:tcPr>
          <w:p w14:paraId="494F7CAC"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096EBD69"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7865205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5A96701D"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5857DF87"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3E27137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C22726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508BBFC5"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C48C734" w14:textId="77777777" w:rsidR="00D12939" w:rsidRDefault="004F47F5">
            <w:pPr>
              <w:jc w:val="center"/>
              <w:rPr>
                <w:sz w:val="18"/>
                <w:szCs w:val="18"/>
              </w:rPr>
            </w:pPr>
            <w:r>
              <w:rPr>
                <w:sz w:val="18"/>
                <w:szCs w:val="18"/>
              </w:rPr>
              <w:t>30704.37</w:t>
            </w:r>
          </w:p>
        </w:tc>
        <w:tc>
          <w:tcPr>
            <w:tcW w:w="983" w:type="dxa"/>
            <w:tcBorders>
              <w:top w:val="single" w:sz="4" w:space="0" w:color="auto"/>
              <w:left w:val="single" w:sz="4" w:space="0" w:color="auto"/>
              <w:bottom w:val="single" w:sz="4" w:space="0" w:color="auto"/>
              <w:right w:val="single" w:sz="4" w:space="0" w:color="auto"/>
            </w:tcBorders>
            <w:vAlign w:val="center"/>
          </w:tcPr>
          <w:p w14:paraId="2F0ED92D" w14:textId="77777777" w:rsidR="00D12939" w:rsidRDefault="004F47F5">
            <w:pPr>
              <w:jc w:val="center"/>
              <w:rPr>
                <w:sz w:val="18"/>
                <w:szCs w:val="18"/>
              </w:rPr>
            </w:pPr>
            <w:r>
              <w:rPr>
                <w:sz w:val="18"/>
                <w:szCs w:val="18"/>
              </w:rPr>
              <w:t>27782.46</w:t>
            </w:r>
          </w:p>
        </w:tc>
        <w:tc>
          <w:tcPr>
            <w:tcW w:w="983" w:type="dxa"/>
            <w:tcBorders>
              <w:top w:val="single" w:sz="4" w:space="0" w:color="auto"/>
              <w:left w:val="single" w:sz="4" w:space="0" w:color="auto"/>
              <w:bottom w:val="single" w:sz="4" w:space="0" w:color="auto"/>
              <w:right w:val="single" w:sz="4" w:space="0" w:color="auto"/>
            </w:tcBorders>
            <w:vAlign w:val="center"/>
          </w:tcPr>
          <w:p w14:paraId="67AE7188"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vAlign w:val="center"/>
          </w:tcPr>
          <w:p w14:paraId="2A46549C"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6728B538"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1FBD094D"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321A8E4A" w14:textId="77777777" w:rsidR="00D12939" w:rsidRDefault="004F47F5">
            <w:pPr>
              <w:jc w:val="center"/>
              <w:rPr>
                <w:sz w:val="18"/>
                <w:szCs w:val="18"/>
              </w:rPr>
            </w:pPr>
            <w:r>
              <w:rPr>
                <w:sz w:val="18"/>
                <w:szCs w:val="18"/>
              </w:rPr>
              <w:t>16850.91</w:t>
            </w:r>
          </w:p>
        </w:tc>
      </w:tr>
      <w:tr w:rsidR="00D12939" w14:paraId="437A2BFE"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61363AE4" w14:textId="77777777" w:rsidR="00D12939" w:rsidRDefault="004F47F5">
            <w:pPr>
              <w:jc w:val="center"/>
              <w:rPr>
                <w:sz w:val="18"/>
                <w:szCs w:val="18"/>
              </w:rPr>
            </w:pPr>
            <w:r>
              <w:rPr>
                <w:sz w:val="18"/>
                <w:szCs w:val="18"/>
              </w:rPr>
              <w:t>2031</w:t>
            </w:r>
          </w:p>
        </w:tc>
        <w:tc>
          <w:tcPr>
            <w:tcW w:w="768" w:type="dxa"/>
            <w:tcBorders>
              <w:top w:val="single" w:sz="4" w:space="0" w:color="auto"/>
              <w:left w:val="single" w:sz="4" w:space="0" w:color="auto"/>
              <w:bottom w:val="single" w:sz="4" w:space="0" w:color="auto"/>
              <w:right w:val="single" w:sz="4" w:space="0" w:color="auto"/>
            </w:tcBorders>
            <w:vAlign w:val="center"/>
          </w:tcPr>
          <w:p w14:paraId="787E1FE1"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1999FFE3"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43FA78C3"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AF7ADBF"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0AD1819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264FB1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701392F"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4FB90C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1EDC775"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A09B0F0" w14:textId="77777777" w:rsidR="00D12939" w:rsidRDefault="004F47F5">
            <w:pPr>
              <w:jc w:val="center"/>
              <w:rPr>
                <w:sz w:val="18"/>
                <w:szCs w:val="18"/>
              </w:rPr>
            </w:pPr>
            <w:r>
              <w:rPr>
                <w:sz w:val="18"/>
                <w:szCs w:val="18"/>
              </w:rPr>
              <w:t>27782.46</w:t>
            </w:r>
          </w:p>
        </w:tc>
        <w:tc>
          <w:tcPr>
            <w:tcW w:w="983" w:type="dxa"/>
            <w:tcBorders>
              <w:top w:val="single" w:sz="4" w:space="0" w:color="auto"/>
              <w:left w:val="single" w:sz="4" w:space="0" w:color="auto"/>
              <w:bottom w:val="single" w:sz="4" w:space="0" w:color="auto"/>
              <w:right w:val="single" w:sz="4" w:space="0" w:color="auto"/>
            </w:tcBorders>
            <w:vAlign w:val="center"/>
          </w:tcPr>
          <w:p w14:paraId="60D5D46E"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vAlign w:val="center"/>
          </w:tcPr>
          <w:p w14:paraId="064379E0"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65A727CB"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58AE7109"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37333B64" w14:textId="77777777" w:rsidR="00D12939" w:rsidRDefault="004F47F5">
            <w:pPr>
              <w:jc w:val="center"/>
              <w:rPr>
                <w:sz w:val="18"/>
                <w:szCs w:val="18"/>
              </w:rPr>
            </w:pPr>
            <w:r>
              <w:rPr>
                <w:sz w:val="18"/>
                <w:szCs w:val="18"/>
              </w:rPr>
              <w:t>16850.91</w:t>
            </w:r>
          </w:p>
        </w:tc>
      </w:tr>
      <w:tr w:rsidR="00D12939" w14:paraId="2DA2344B"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40F67FBF" w14:textId="77777777" w:rsidR="00D12939" w:rsidRDefault="004F47F5">
            <w:pPr>
              <w:jc w:val="center"/>
              <w:rPr>
                <w:sz w:val="18"/>
                <w:szCs w:val="18"/>
              </w:rPr>
            </w:pPr>
            <w:r>
              <w:rPr>
                <w:sz w:val="18"/>
                <w:szCs w:val="18"/>
              </w:rPr>
              <w:t>2032</w:t>
            </w:r>
          </w:p>
        </w:tc>
        <w:tc>
          <w:tcPr>
            <w:tcW w:w="768" w:type="dxa"/>
            <w:tcBorders>
              <w:top w:val="single" w:sz="4" w:space="0" w:color="auto"/>
              <w:left w:val="single" w:sz="4" w:space="0" w:color="auto"/>
              <w:bottom w:val="single" w:sz="4" w:space="0" w:color="auto"/>
              <w:right w:val="single" w:sz="4" w:space="0" w:color="auto"/>
            </w:tcBorders>
            <w:vAlign w:val="center"/>
          </w:tcPr>
          <w:p w14:paraId="4B8F9F5F"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5FE1E94F"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78C067D1"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085BC141"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31185B2"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242E884"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BDEC42E"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C18E358"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01D65727"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6DA1EC7"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8DB8732" w14:textId="77777777" w:rsidR="00D12939" w:rsidRDefault="004F47F5">
            <w:pPr>
              <w:jc w:val="center"/>
              <w:rPr>
                <w:sz w:val="18"/>
                <w:szCs w:val="18"/>
              </w:rPr>
            </w:pPr>
            <w:r>
              <w:rPr>
                <w:sz w:val="18"/>
                <w:szCs w:val="18"/>
              </w:rPr>
              <w:t>25138.61</w:t>
            </w:r>
          </w:p>
        </w:tc>
        <w:tc>
          <w:tcPr>
            <w:tcW w:w="983" w:type="dxa"/>
            <w:tcBorders>
              <w:top w:val="single" w:sz="4" w:space="0" w:color="auto"/>
              <w:left w:val="single" w:sz="4" w:space="0" w:color="auto"/>
              <w:bottom w:val="single" w:sz="4" w:space="0" w:color="auto"/>
              <w:right w:val="single" w:sz="4" w:space="0" w:color="auto"/>
            </w:tcBorders>
            <w:vAlign w:val="center"/>
          </w:tcPr>
          <w:p w14:paraId="28DE5DE9"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75C577D4"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3392E518"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256BA4E9" w14:textId="77777777" w:rsidR="00D12939" w:rsidRDefault="004F47F5">
            <w:pPr>
              <w:jc w:val="center"/>
              <w:rPr>
                <w:sz w:val="18"/>
                <w:szCs w:val="18"/>
              </w:rPr>
            </w:pPr>
            <w:r>
              <w:rPr>
                <w:sz w:val="18"/>
                <w:szCs w:val="18"/>
              </w:rPr>
              <w:t>16850.91</w:t>
            </w:r>
          </w:p>
        </w:tc>
      </w:tr>
      <w:tr w:rsidR="00D12939" w14:paraId="3B651295"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42BCFD2F" w14:textId="77777777" w:rsidR="00D12939" w:rsidRDefault="004F47F5">
            <w:pPr>
              <w:jc w:val="center"/>
              <w:rPr>
                <w:sz w:val="18"/>
                <w:szCs w:val="18"/>
              </w:rPr>
            </w:pPr>
            <w:r>
              <w:rPr>
                <w:sz w:val="18"/>
                <w:szCs w:val="18"/>
              </w:rPr>
              <w:t>2033</w:t>
            </w:r>
          </w:p>
        </w:tc>
        <w:tc>
          <w:tcPr>
            <w:tcW w:w="768" w:type="dxa"/>
            <w:tcBorders>
              <w:top w:val="single" w:sz="4" w:space="0" w:color="auto"/>
              <w:left w:val="single" w:sz="4" w:space="0" w:color="auto"/>
              <w:bottom w:val="single" w:sz="4" w:space="0" w:color="auto"/>
              <w:right w:val="single" w:sz="4" w:space="0" w:color="auto"/>
            </w:tcBorders>
            <w:vAlign w:val="center"/>
          </w:tcPr>
          <w:p w14:paraId="6749C90A"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14B28417"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1F8218B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5CFAB3FD"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8D7E1C1"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CFC71B8"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BA37A0E"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98E5F99"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5F65BCD"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372CC4FA"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B8D8E2D"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09428A5" w14:textId="77777777" w:rsidR="00D12939" w:rsidRDefault="004F47F5">
            <w:pPr>
              <w:jc w:val="center"/>
              <w:rPr>
                <w:sz w:val="18"/>
                <w:szCs w:val="18"/>
              </w:rPr>
            </w:pPr>
            <w:r>
              <w:rPr>
                <w:sz w:val="18"/>
                <w:szCs w:val="18"/>
              </w:rPr>
              <w:t>22746.35</w:t>
            </w:r>
          </w:p>
        </w:tc>
        <w:tc>
          <w:tcPr>
            <w:tcW w:w="983" w:type="dxa"/>
            <w:tcBorders>
              <w:top w:val="single" w:sz="4" w:space="0" w:color="auto"/>
              <w:left w:val="single" w:sz="4" w:space="0" w:color="auto"/>
              <w:bottom w:val="single" w:sz="4" w:space="0" w:color="auto"/>
              <w:right w:val="single" w:sz="4" w:space="0" w:color="auto"/>
            </w:tcBorders>
            <w:vAlign w:val="center"/>
          </w:tcPr>
          <w:p w14:paraId="1EE802AF"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45BBA4A7"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4AA87388" w14:textId="77777777" w:rsidR="00D12939" w:rsidRDefault="004F47F5">
            <w:pPr>
              <w:jc w:val="center"/>
              <w:rPr>
                <w:sz w:val="18"/>
                <w:szCs w:val="18"/>
              </w:rPr>
            </w:pPr>
            <w:r>
              <w:rPr>
                <w:sz w:val="18"/>
                <w:szCs w:val="18"/>
              </w:rPr>
              <w:t>16850.91</w:t>
            </w:r>
          </w:p>
        </w:tc>
      </w:tr>
      <w:tr w:rsidR="00D12939" w14:paraId="4B83C64C"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2F86A05E" w14:textId="77777777" w:rsidR="00D12939" w:rsidRDefault="004F47F5">
            <w:pPr>
              <w:jc w:val="center"/>
              <w:rPr>
                <w:sz w:val="18"/>
                <w:szCs w:val="18"/>
              </w:rPr>
            </w:pPr>
            <w:r>
              <w:rPr>
                <w:sz w:val="18"/>
                <w:szCs w:val="18"/>
              </w:rPr>
              <w:t>2034</w:t>
            </w:r>
          </w:p>
        </w:tc>
        <w:tc>
          <w:tcPr>
            <w:tcW w:w="768" w:type="dxa"/>
            <w:tcBorders>
              <w:top w:val="single" w:sz="4" w:space="0" w:color="auto"/>
              <w:left w:val="single" w:sz="4" w:space="0" w:color="auto"/>
              <w:bottom w:val="single" w:sz="4" w:space="0" w:color="auto"/>
              <w:right w:val="single" w:sz="4" w:space="0" w:color="auto"/>
            </w:tcBorders>
            <w:vAlign w:val="center"/>
          </w:tcPr>
          <w:p w14:paraId="5AC2FF80"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05D0CB0A"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3609E393"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346C46EF"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38EA1212"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06C40ED0"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A7905F9"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FE6F513"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5A54CF04"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0296A2B3"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7EC6320"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2A3A202"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0A8B2057" w14:textId="77777777" w:rsidR="00D12939" w:rsidRDefault="004F47F5">
            <w:pPr>
              <w:jc w:val="center"/>
              <w:rPr>
                <w:sz w:val="18"/>
                <w:szCs w:val="18"/>
              </w:rPr>
            </w:pPr>
            <w:r>
              <w:rPr>
                <w:sz w:val="18"/>
                <w:szCs w:val="18"/>
              </w:rPr>
              <w:t>20581.75</w:t>
            </w:r>
          </w:p>
        </w:tc>
        <w:tc>
          <w:tcPr>
            <w:tcW w:w="983" w:type="dxa"/>
            <w:tcBorders>
              <w:top w:val="single" w:sz="4" w:space="0" w:color="auto"/>
              <w:left w:val="single" w:sz="4" w:space="0" w:color="auto"/>
              <w:bottom w:val="single" w:sz="4" w:space="0" w:color="auto"/>
              <w:right w:val="single" w:sz="4" w:space="0" w:color="auto"/>
            </w:tcBorders>
            <w:vAlign w:val="center"/>
          </w:tcPr>
          <w:p w14:paraId="16645597"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22344D3C" w14:textId="77777777" w:rsidR="00D12939" w:rsidRDefault="004F47F5">
            <w:pPr>
              <w:jc w:val="center"/>
              <w:rPr>
                <w:sz w:val="18"/>
                <w:szCs w:val="18"/>
              </w:rPr>
            </w:pPr>
            <w:r>
              <w:rPr>
                <w:sz w:val="18"/>
                <w:szCs w:val="18"/>
              </w:rPr>
              <w:t>16850.91</w:t>
            </w:r>
          </w:p>
        </w:tc>
      </w:tr>
      <w:tr w:rsidR="00D12939" w14:paraId="0802BD06"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195B20BD" w14:textId="77777777" w:rsidR="00D12939" w:rsidRDefault="004F47F5">
            <w:pPr>
              <w:jc w:val="center"/>
              <w:rPr>
                <w:sz w:val="18"/>
                <w:szCs w:val="18"/>
              </w:rPr>
            </w:pPr>
            <w:r>
              <w:rPr>
                <w:sz w:val="18"/>
                <w:szCs w:val="18"/>
              </w:rPr>
              <w:t>2035</w:t>
            </w:r>
          </w:p>
        </w:tc>
        <w:tc>
          <w:tcPr>
            <w:tcW w:w="768" w:type="dxa"/>
            <w:tcBorders>
              <w:top w:val="single" w:sz="4" w:space="0" w:color="auto"/>
              <w:left w:val="single" w:sz="4" w:space="0" w:color="auto"/>
              <w:bottom w:val="single" w:sz="4" w:space="0" w:color="auto"/>
              <w:right w:val="single" w:sz="4" w:space="0" w:color="auto"/>
            </w:tcBorders>
            <w:vAlign w:val="center"/>
          </w:tcPr>
          <w:p w14:paraId="58039EF1"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1DF56ACE"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6B0F1FD9"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3E45BED2"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4B642DA"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F2F6064"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791A2D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3920C2A9"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38D89BD8"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8DF8E20"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35C479A"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633C0F3"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A7E1A98"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02CF1DC7" w14:textId="77777777" w:rsidR="00D12939" w:rsidRDefault="004F47F5">
            <w:pPr>
              <w:jc w:val="center"/>
              <w:rPr>
                <w:sz w:val="18"/>
                <w:szCs w:val="18"/>
              </w:rPr>
            </w:pPr>
            <w:r>
              <w:rPr>
                <w:sz w:val="18"/>
                <w:szCs w:val="18"/>
              </w:rPr>
              <w:t>18623.14</w:t>
            </w:r>
          </w:p>
        </w:tc>
        <w:tc>
          <w:tcPr>
            <w:tcW w:w="984" w:type="dxa"/>
            <w:tcBorders>
              <w:top w:val="single" w:sz="4" w:space="0" w:color="auto"/>
              <w:left w:val="single" w:sz="4" w:space="0" w:color="auto"/>
              <w:bottom w:val="single" w:sz="4" w:space="0" w:color="auto"/>
              <w:right w:val="single" w:sz="4" w:space="0" w:color="auto"/>
            </w:tcBorders>
            <w:vAlign w:val="center"/>
          </w:tcPr>
          <w:p w14:paraId="5EB605A0" w14:textId="77777777" w:rsidR="00D12939" w:rsidRDefault="004F47F5">
            <w:pPr>
              <w:jc w:val="center"/>
              <w:rPr>
                <w:sz w:val="18"/>
                <w:szCs w:val="18"/>
              </w:rPr>
            </w:pPr>
            <w:r>
              <w:rPr>
                <w:sz w:val="18"/>
                <w:szCs w:val="18"/>
              </w:rPr>
              <w:t>16850.91</w:t>
            </w:r>
          </w:p>
        </w:tc>
      </w:tr>
      <w:tr w:rsidR="00D12939" w14:paraId="2C5594FC" w14:textId="77777777">
        <w:trPr>
          <w:trHeight w:val="340"/>
          <w:jc w:val="center"/>
        </w:trPr>
        <w:tc>
          <w:tcPr>
            <w:tcW w:w="788" w:type="dxa"/>
            <w:tcBorders>
              <w:top w:val="single" w:sz="4" w:space="0" w:color="auto"/>
              <w:left w:val="single" w:sz="4" w:space="0" w:color="auto"/>
              <w:bottom w:val="single" w:sz="4" w:space="0" w:color="auto"/>
              <w:right w:val="single" w:sz="4" w:space="0" w:color="auto"/>
            </w:tcBorders>
            <w:vAlign w:val="center"/>
          </w:tcPr>
          <w:p w14:paraId="6C1A36E4" w14:textId="77777777" w:rsidR="00D12939" w:rsidRDefault="004F47F5">
            <w:pPr>
              <w:jc w:val="center"/>
              <w:rPr>
                <w:sz w:val="18"/>
                <w:szCs w:val="18"/>
              </w:rPr>
            </w:pPr>
            <w:r>
              <w:rPr>
                <w:sz w:val="18"/>
                <w:szCs w:val="18"/>
              </w:rPr>
              <w:t>2036</w:t>
            </w:r>
          </w:p>
        </w:tc>
        <w:tc>
          <w:tcPr>
            <w:tcW w:w="768" w:type="dxa"/>
            <w:tcBorders>
              <w:top w:val="single" w:sz="4" w:space="0" w:color="auto"/>
              <w:left w:val="single" w:sz="4" w:space="0" w:color="auto"/>
              <w:bottom w:val="single" w:sz="4" w:space="0" w:color="auto"/>
              <w:right w:val="single" w:sz="4" w:space="0" w:color="auto"/>
            </w:tcBorders>
            <w:vAlign w:val="center"/>
          </w:tcPr>
          <w:p w14:paraId="44B8AD02" w14:textId="77777777" w:rsidR="00D12939" w:rsidRDefault="004F47F5">
            <w:pPr>
              <w:jc w:val="center"/>
              <w:rPr>
                <w:sz w:val="18"/>
                <w:szCs w:val="18"/>
              </w:rPr>
            </w:pPr>
            <w:r>
              <w:rPr>
                <w:sz w:val="18"/>
                <w:szCs w:val="18"/>
              </w:rPr>
              <w:t>110</w:t>
            </w:r>
          </w:p>
        </w:tc>
        <w:tc>
          <w:tcPr>
            <w:tcW w:w="920" w:type="dxa"/>
            <w:tcBorders>
              <w:top w:val="single" w:sz="4" w:space="0" w:color="auto"/>
              <w:left w:val="single" w:sz="4" w:space="0" w:color="auto"/>
              <w:bottom w:val="single" w:sz="4" w:space="0" w:color="auto"/>
              <w:right w:val="single" w:sz="4" w:space="0" w:color="auto"/>
            </w:tcBorders>
            <w:vAlign w:val="center"/>
          </w:tcPr>
          <w:p w14:paraId="7BD1FA04" w14:textId="77777777" w:rsidR="00D12939" w:rsidRDefault="004F47F5">
            <w:pPr>
              <w:jc w:val="center"/>
              <w:rPr>
                <w:sz w:val="18"/>
                <w:szCs w:val="18"/>
              </w:rPr>
            </w:pPr>
            <w:r>
              <w:rPr>
                <w:sz w:val="18"/>
                <w:szCs w:val="18"/>
              </w:rPr>
              <w:t>40150</w:t>
            </w:r>
          </w:p>
        </w:tc>
        <w:tc>
          <w:tcPr>
            <w:tcW w:w="983" w:type="dxa"/>
            <w:tcBorders>
              <w:top w:val="single" w:sz="4" w:space="0" w:color="auto"/>
              <w:left w:val="single" w:sz="4" w:space="0" w:color="auto"/>
              <w:bottom w:val="single" w:sz="4" w:space="0" w:color="auto"/>
              <w:right w:val="single" w:sz="4" w:space="0" w:color="auto"/>
            </w:tcBorders>
            <w:vAlign w:val="center"/>
          </w:tcPr>
          <w:p w14:paraId="417178EB"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3938A6D0"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D64526D"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CBB09C6"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E72B32A"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215041FA"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1EFFE6FE"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5A4D6993"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66D81B4B"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0B9C05DC"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7B9974D4" w14:textId="77777777" w:rsidR="00D12939" w:rsidRDefault="00D12939">
            <w:pPr>
              <w:jc w:val="center"/>
              <w:rPr>
                <w:sz w:val="18"/>
                <w:szCs w:val="18"/>
              </w:rPr>
            </w:pPr>
          </w:p>
        </w:tc>
        <w:tc>
          <w:tcPr>
            <w:tcW w:w="983" w:type="dxa"/>
            <w:tcBorders>
              <w:top w:val="single" w:sz="4" w:space="0" w:color="auto"/>
              <w:left w:val="single" w:sz="4" w:space="0" w:color="auto"/>
              <w:bottom w:val="single" w:sz="4" w:space="0" w:color="auto"/>
              <w:right w:val="single" w:sz="4" w:space="0" w:color="auto"/>
            </w:tcBorders>
            <w:vAlign w:val="center"/>
          </w:tcPr>
          <w:p w14:paraId="4923D3CA" w14:textId="77777777" w:rsidR="00D12939" w:rsidRDefault="00D12939">
            <w:pPr>
              <w:jc w:val="center"/>
              <w:rPr>
                <w:sz w:val="18"/>
                <w:szCs w:val="18"/>
              </w:rPr>
            </w:pPr>
          </w:p>
        </w:tc>
        <w:tc>
          <w:tcPr>
            <w:tcW w:w="984" w:type="dxa"/>
            <w:tcBorders>
              <w:top w:val="single" w:sz="4" w:space="0" w:color="auto"/>
              <w:left w:val="single" w:sz="4" w:space="0" w:color="auto"/>
              <w:bottom w:val="single" w:sz="4" w:space="0" w:color="auto"/>
              <w:right w:val="single" w:sz="4" w:space="0" w:color="auto"/>
            </w:tcBorders>
            <w:vAlign w:val="center"/>
          </w:tcPr>
          <w:p w14:paraId="7E80C013" w14:textId="77777777" w:rsidR="00D12939" w:rsidRDefault="004F47F5">
            <w:pPr>
              <w:jc w:val="center"/>
              <w:rPr>
                <w:sz w:val="18"/>
                <w:szCs w:val="18"/>
              </w:rPr>
            </w:pPr>
            <w:r>
              <w:rPr>
                <w:sz w:val="18"/>
                <w:szCs w:val="18"/>
              </w:rPr>
              <w:t>16850.91</w:t>
            </w:r>
          </w:p>
        </w:tc>
      </w:tr>
      <w:tr w:rsidR="00D12939" w14:paraId="51A63510" w14:textId="77777777">
        <w:trPr>
          <w:trHeight w:val="340"/>
          <w:jc w:val="center"/>
        </w:trPr>
        <w:tc>
          <w:tcPr>
            <w:tcW w:w="2476" w:type="dxa"/>
            <w:gridSpan w:val="3"/>
            <w:tcBorders>
              <w:top w:val="single" w:sz="4" w:space="0" w:color="auto"/>
              <w:left w:val="single" w:sz="4" w:space="0" w:color="auto"/>
              <w:bottom w:val="single" w:sz="4" w:space="0" w:color="auto"/>
              <w:right w:val="single" w:sz="4" w:space="0" w:color="auto"/>
            </w:tcBorders>
            <w:vAlign w:val="center"/>
          </w:tcPr>
          <w:p w14:paraId="6A415997" w14:textId="77777777" w:rsidR="00D12939" w:rsidRDefault="004F47F5">
            <w:pPr>
              <w:pStyle w:val="affffd"/>
              <w:spacing w:line="240" w:lineRule="auto"/>
              <w:rPr>
                <w:sz w:val="18"/>
                <w:szCs w:val="18"/>
              </w:rPr>
            </w:pPr>
            <w:r>
              <w:rPr>
                <w:sz w:val="18"/>
                <w:szCs w:val="18"/>
              </w:rPr>
              <w:t>年产气量m</w:t>
            </w:r>
            <w:r>
              <w:rPr>
                <w:sz w:val="18"/>
                <w:szCs w:val="18"/>
                <w:vertAlign w:val="superscript"/>
              </w:rPr>
              <w:t>3</w:t>
            </w:r>
          </w:p>
        </w:tc>
        <w:tc>
          <w:tcPr>
            <w:tcW w:w="983" w:type="dxa"/>
            <w:tcBorders>
              <w:top w:val="single" w:sz="4" w:space="0" w:color="auto"/>
              <w:left w:val="single" w:sz="4" w:space="0" w:color="auto"/>
              <w:bottom w:val="single" w:sz="4" w:space="0" w:color="auto"/>
              <w:right w:val="single" w:sz="4" w:space="0" w:color="auto"/>
            </w:tcBorders>
            <w:vAlign w:val="center"/>
          </w:tcPr>
          <w:p w14:paraId="6816F216" w14:textId="77777777" w:rsidR="00D12939" w:rsidRDefault="004F47F5">
            <w:pPr>
              <w:pStyle w:val="affffd"/>
              <w:spacing w:line="240" w:lineRule="auto"/>
              <w:rPr>
                <w:sz w:val="18"/>
                <w:szCs w:val="18"/>
              </w:rPr>
            </w:pPr>
            <w:r>
              <w:rPr>
                <w:sz w:val="18"/>
                <w:szCs w:val="18"/>
              </w:rPr>
              <w:t>99178.78</w:t>
            </w:r>
          </w:p>
        </w:tc>
        <w:tc>
          <w:tcPr>
            <w:tcW w:w="983" w:type="dxa"/>
            <w:tcBorders>
              <w:top w:val="single" w:sz="4" w:space="0" w:color="auto"/>
              <w:left w:val="single" w:sz="4" w:space="0" w:color="auto"/>
              <w:bottom w:val="single" w:sz="4" w:space="0" w:color="auto"/>
              <w:right w:val="single" w:sz="4" w:space="0" w:color="auto"/>
            </w:tcBorders>
            <w:vAlign w:val="center"/>
          </w:tcPr>
          <w:p w14:paraId="535215F9" w14:textId="77777777" w:rsidR="00D12939" w:rsidRDefault="004F47F5">
            <w:pPr>
              <w:pStyle w:val="affffd"/>
              <w:spacing w:line="240" w:lineRule="auto"/>
              <w:rPr>
                <w:sz w:val="18"/>
                <w:szCs w:val="18"/>
              </w:rPr>
            </w:pPr>
            <w:r>
              <w:rPr>
                <w:sz w:val="18"/>
                <w:szCs w:val="18"/>
              </w:rPr>
              <w:t>179481.34</w:t>
            </w:r>
          </w:p>
        </w:tc>
        <w:tc>
          <w:tcPr>
            <w:tcW w:w="983" w:type="dxa"/>
            <w:tcBorders>
              <w:top w:val="single" w:sz="4" w:space="0" w:color="auto"/>
              <w:left w:val="single" w:sz="4" w:space="0" w:color="auto"/>
              <w:bottom w:val="single" w:sz="4" w:space="0" w:color="auto"/>
              <w:right w:val="single" w:sz="4" w:space="0" w:color="auto"/>
            </w:tcBorders>
            <w:vAlign w:val="center"/>
          </w:tcPr>
          <w:p w14:paraId="0F21E573" w14:textId="77777777" w:rsidR="00D12939" w:rsidRDefault="004F47F5">
            <w:pPr>
              <w:jc w:val="center"/>
              <w:rPr>
                <w:sz w:val="18"/>
                <w:szCs w:val="18"/>
              </w:rPr>
            </w:pPr>
            <w:r>
              <w:rPr>
                <w:sz w:val="18"/>
                <w:szCs w:val="18"/>
              </w:rPr>
              <w:t>55947.00</w:t>
            </w:r>
          </w:p>
        </w:tc>
        <w:tc>
          <w:tcPr>
            <w:tcW w:w="983" w:type="dxa"/>
            <w:tcBorders>
              <w:top w:val="single" w:sz="4" w:space="0" w:color="auto"/>
              <w:left w:val="single" w:sz="4" w:space="0" w:color="auto"/>
              <w:bottom w:val="single" w:sz="4" w:space="0" w:color="auto"/>
              <w:right w:val="single" w:sz="4" w:space="0" w:color="auto"/>
            </w:tcBorders>
            <w:vAlign w:val="center"/>
          </w:tcPr>
          <w:p w14:paraId="226C2726" w14:textId="77777777" w:rsidR="00D12939" w:rsidRDefault="004F47F5">
            <w:pPr>
              <w:jc w:val="center"/>
              <w:rPr>
                <w:sz w:val="18"/>
                <w:szCs w:val="18"/>
              </w:rPr>
            </w:pPr>
            <w:r>
              <w:rPr>
                <w:sz w:val="18"/>
                <w:szCs w:val="18"/>
              </w:rPr>
              <w:t>101245.88</w:t>
            </w:r>
          </w:p>
        </w:tc>
        <w:tc>
          <w:tcPr>
            <w:tcW w:w="983" w:type="dxa"/>
            <w:tcBorders>
              <w:top w:val="single" w:sz="4" w:space="0" w:color="auto"/>
              <w:left w:val="single" w:sz="4" w:space="0" w:color="auto"/>
              <w:bottom w:val="single" w:sz="4" w:space="0" w:color="auto"/>
              <w:right w:val="single" w:sz="4" w:space="0" w:color="auto"/>
            </w:tcBorders>
            <w:vAlign w:val="center"/>
          </w:tcPr>
          <w:p w14:paraId="2A26A364" w14:textId="77777777" w:rsidR="00D12939" w:rsidRDefault="004F47F5">
            <w:pPr>
              <w:jc w:val="center"/>
              <w:rPr>
                <w:sz w:val="18"/>
                <w:szCs w:val="18"/>
              </w:rPr>
            </w:pPr>
            <w:r>
              <w:rPr>
                <w:sz w:val="18"/>
                <w:szCs w:val="18"/>
              </w:rPr>
              <w:t>137416.59</w:t>
            </w:r>
          </w:p>
        </w:tc>
        <w:tc>
          <w:tcPr>
            <w:tcW w:w="983" w:type="dxa"/>
            <w:tcBorders>
              <w:top w:val="single" w:sz="4" w:space="0" w:color="auto"/>
              <w:left w:val="single" w:sz="4" w:space="0" w:color="auto"/>
              <w:bottom w:val="single" w:sz="4" w:space="0" w:color="auto"/>
              <w:right w:val="single" w:sz="4" w:space="0" w:color="auto"/>
            </w:tcBorders>
            <w:vAlign w:val="center"/>
          </w:tcPr>
          <w:p w14:paraId="2756EADA" w14:textId="77777777" w:rsidR="00D12939" w:rsidRDefault="004F47F5">
            <w:pPr>
              <w:jc w:val="center"/>
              <w:rPr>
                <w:sz w:val="18"/>
                <w:szCs w:val="18"/>
              </w:rPr>
            </w:pPr>
            <w:r>
              <w:rPr>
                <w:sz w:val="18"/>
                <w:szCs w:val="18"/>
              </w:rPr>
              <w:t>165786.24</w:t>
            </w:r>
          </w:p>
        </w:tc>
        <w:tc>
          <w:tcPr>
            <w:tcW w:w="983" w:type="dxa"/>
            <w:tcBorders>
              <w:top w:val="single" w:sz="4" w:space="0" w:color="auto"/>
              <w:left w:val="single" w:sz="4" w:space="0" w:color="auto"/>
              <w:bottom w:val="single" w:sz="4" w:space="0" w:color="auto"/>
              <w:right w:val="single" w:sz="4" w:space="0" w:color="auto"/>
            </w:tcBorders>
            <w:vAlign w:val="center"/>
          </w:tcPr>
          <w:p w14:paraId="4C7C7786" w14:textId="77777777" w:rsidR="00D12939" w:rsidRDefault="004F47F5">
            <w:pPr>
              <w:jc w:val="center"/>
              <w:rPr>
                <w:sz w:val="18"/>
                <w:szCs w:val="18"/>
              </w:rPr>
            </w:pPr>
            <w:r>
              <w:rPr>
                <w:sz w:val="18"/>
                <w:szCs w:val="18"/>
              </w:rPr>
              <w:t>187511.99</w:t>
            </w:r>
          </w:p>
        </w:tc>
        <w:tc>
          <w:tcPr>
            <w:tcW w:w="983" w:type="dxa"/>
            <w:tcBorders>
              <w:top w:val="single" w:sz="4" w:space="0" w:color="auto"/>
              <w:left w:val="single" w:sz="4" w:space="0" w:color="auto"/>
              <w:bottom w:val="single" w:sz="4" w:space="0" w:color="auto"/>
              <w:right w:val="single" w:sz="4" w:space="0" w:color="auto"/>
            </w:tcBorders>
            <w:vAlign w:val="center"/>
          </w:tcPr>
          <w:p w14:paraId="5E0230B6" w14:textId="77777777" w:rsidR="00D12939" w:rsidRDefault="004F47F5">
            <w:pPr>
              <w:jc w:val="center"/>
              <w:rPr>
                <w:sz w:val="18"/>
                <w:szCs w:val="18"/>
              </w:rPr>
            </w:pPr>
            <w:r>
              <w:rPr>
                <w:sz w:val="18"/>
                <w:szCs w:val="18"/>
              </w:rPr>
              <w:t>203601.43</w:t>
            </w:r>
          </w:p>
        </w:tc>
        <w:tc>
          <w:tcPr>
            <w:tcW w:w="983" w:type="dxa"/>
            <w:tcBorders>
              <w:top w:val="single" w:sz="4" w:space="0" w:color="auto"/>
              <w:left w:val="single" w:sz="4" w:space="0" w:color="auto"/>
              <w:bottom w:val="single" w:sz="4" w:space="0" w:color="auto"/>
              <w:right w:val="single" w:sz="4" w:space="0" w:color="auto"/>
            </w:tcBorders>
            <w:vAlign w:val="center"/>
          </w:tcPr>
          <w:p w14:paraId="15139893" w14:textId="77777777" w:rsidR="00D12939" w:rsidRDefault="004F47F5">
            <w:pPr>
              <w:jc w:val="center"/>
              <w:rPr>
                <w:sz w:val="18"/>
                <w:szCs w:val="18"/>
              </w:rPr>
            </w:pPr>
            <w:r>
              <w:rPr>
                <w:sz w:val="18"/>
                <w:szCs w:val="18"/>
              </w:rPr>
              <w:t>214930.56</w:t>
            </w:r>
          </w:p>
        </w:tc>
        <w:tc>
          <w:tcPr>
            <w:tcW w:w="983" w:type="dxa"/>
            <w:tcBorders>
              <w:top w:val="single" w:sz="4" w:space="0" w:color="auto"/>
              <w:left w:val="single" w:sz="4" w:space="0" w:color="auto"/>
              <w:bottom w:val="single" w:sz="4" w:space="0" w:color="auto"/>
              <w:right w:val="single" w:sz="4" w:space="0" w:color="auto"/>
            </w:tcBorders>
            <w:vAlign w:val="center"/>
          </w:tcPr>
          <w:p w14:paraId="2BD10CCE" w14:textId="77777777" w:rsidR="00D12939" w:rsidRDefault="004F47F5">
            <w:pPr>
              <w:jc w:val="center"/>
              <w:rPr>
                <w:sz w:val="18"/>
                <w:szCs w:val="18"/>
              </w:rPr>
            </w:pPr>
            <w:r>
              <w:rPr>
                <w:sz w:val="18"/>
                <w:szCs w:val="18"/>
              </w:rPr>
              <w:t>222259.67</w:t>
            </w:r>
          </w:p>
        </w:tc>
        <w:tc>
          <w:tcPr>
            <w:tcW w:w="983" w:type="dxa"/>
            <w:tcBorders>
              <w:top w:val="single" w:sz="4" w:space="0" w:color="auto"/>
              <w:left w:val="single" w:sz="4" w:space="0" w:color="auto"/>
              <w:bottom w:val="single" w:sz="4" w:space="0" w:color="auto"/>
              <w:right w:val="single" w:sz="4" w:space="0" w:color="auto"/>
            </w:tcBorders>
            <w:vAlign w:val="center"/>
          </w:tcPr>
          <w:p w14:paraId="0DE506AB" w14:textId="77777777" w:rsidR="00D12939" w:rsidRDefault="004F47F5">
            <w:pPr>
              <w:jc w:val="center"/>
              <w:rPr>
                <w:sz w:val="18"/>
                <w:szCs w:val="18"/>
              </w:rPr>
            </w:pPr>
            <w:r>
              <w:rPr>
                <w:sz w:val="18"/>
                <w:szCs w:val="18"/>
              </w:rPr>
              <w:t>226247.48</w:t>
            </w:r>
          </w:p>
        </w:tc>
        <w:tc>
          <w:tcPr>
            <w:tcW w:w="983" w:type="dxa"/>
            <w:tcBorders>
              <w:top w:val="single" w:sz="4" w:space="0" w:color="auto"/>
              <w:left w:val="single" w:sz="4" w:space="0" w:color="auto"/>
              <w:bottom w:val="single" w:sz="4" w:space="0" w:color="auto"/>
              <w:right w:val="single" w:sz="4" w:space="0" w:color="auto"/>
            </w:tcBorders>
            <w:vAlign w:val="center"/>
          </w:tcPr>
          <w:p w14:paraId="263D7AB5" w14:textId="77777777" w:rsidR="00D12939" w:rsidRDefault="004F47F5">
            <w:pPr>
              <w:jc w:val="center"/>
              <w:rPr>
                <w:sz w:val="18"/>
                <w:szCs w:val="18"/>
              </w:rPr>
            </w:pPr>
            <w:r>
              <w:rPr>
                <w:sz w:val="18"/>
                <w:szCs w:val="18"/>
              </w:rPr>
              <w:t>227463.54</w:t>
            </w:r>
          </w:p>
        </w:tc>
        <w:tc>
          <w:tcPr>
            <w:tcW w:w="984" w:type="dxa"/>
            <w:tcBorders>
              <w:top w:val="single" w:sz="4" w:space="0" w:color="auto"/>
              <w:left w:val="single" w:sz="4" w:space="0" w:color="auto"/>
              <w:bottom w:val="single" w:sz="4" w:space="0" w:color="auto"/>
              <w:right w:val="single" w:sz="4" w:space="0" w:color="auto"/>
            </w:tcBorders>
            <w:vAlign w:val="center"/>
          </w:tcPr>
          <w:p w14:paraId="1F992827" w14:textId="77777777" w:rsidR="00D12939" w:rsidRDefault="004F47F5">
            <w:pPr>
              <w:jc w:val="center"/>
              <w:rPr>
                <w:sz w:val="18"/>
                <w:szCs w:val="18"/>
              </w:rPr>
            </w:pPr>
            <w:r>
              <w:rPr>
                <w:sz w:val="18"/>
                <w:szCs w:val="18"/>
              </w:rPr>
              <w:t>226399.27</w:t>
            </w:r>
          </w:p>
        </w:tc>
      </w:tr>
      <w:tr w:rsidR="00D12939" w14:paraId="59B74055" w14:textId="77777777">
        <w:trPr>
          <w:trHeight w:val="340"/>
          <w:jc w:val="center"/>
        </w:trPr>
        <w:tc>
          <w:tcPr>
            <w:tcW w:w="2476" w:type="dxa"/>
            <w:gridSpan w:val="3"/>
            <w:tcBorders>
              <w:top w:val="single" w:sz="4" w:space="0" w:color="auto"/>
              <w:left w:val="single" w:sz="4" w:space="0" w:color="auto"/>
              <w:bottom w:val="single" w:sz="4" w:space="0" w:color="auto"/>
              <w:right w:val="single" w:sz="4" w:space="0" w:color="auto"/>
            </w:tcBorders>
            <w:vAlign w:val="center"/>
          </w:tcPr>
          <w:p w14:paraId="704E78EE" w14:textId="77777777" w:rsidR="00D12939" w:rsidRDefault="004F47F5">
            <w:pPr>
              <w:pStyle w:val="affffd"/>
              <w:spacing w:line="240" w:lineRule="auto"/>
              <w:rPr>
                <w:sz w:val="18"/>
                <w:szCs w:val="18"/>
              </w:rPr>
            </w:pPr>
            <w:r>
              <w:rPr>
                <w:sz w:val="18"/>
                <w:szCs w:val="18"/>
              </w:rPr>
              <w:t>总产气量m</w:t>
            </w:r>
            <w:r>
              <w:rPr>
                <w:sz w:val="18"/>
                <w:szCs w:val="18"/>
                <w:vertAlign w:val="superscript"/>
              </w:rPr>
              <w:t>3</w:t>
            </w:r>
          </w:p>
        </w:tc>
        <w:tc>
          <w:tcPr>
            <w:tcW w:w="12780" w:type="dxa"/>
            <w:gridSpan w:val="13"/>
            <w:tcBorders>
              <w:top w:val="single" w:sz="4" w:space="0" w:color="auto"/>
              <w:left w:val="single" w:sz="4" w:space="0" w:color="auto"/>
              <w:bottom w:val="single" w:sz="4" w:space="0" w:color="auto"/>
              <w:right w:val="single" w:sz="4" w:space="0" w:color="auto"/>
            </w:tcBorders>
            <w:vAlign w:val="center"/>
          </w:tcPr>
          <w:p w14:paraId="0D8245AA" w14:textId="77777777" w:rsidR="00D12939" w:rsidRDefault="004F47F5">
            <w:pPr>
              <w:pStyle w:val="affffd"/>
              <w:spacing w:line="240" w:lineRule="auto"/>
              <w:rPr>
                <w:sz w:val="18"/>
                <w:szCs w:val="18"/>
              </w:rPr>
            </w:pPr>
            <w:r>
              <w:rPr>
                <w:sz w:val="18"/>
                <w:szCs w:val="18"/>
              </w:rPr>
              <w:t>2411349.20</w:t>
            </w:r>
          </w:p>
        </w:tc>
      </w:tr>
    </w:tbl>
    <w:p w14:paraId="662BD1D8" w14:textId="77777777" w:rsidR="00D12939" w:rsidRDefault="00D12939">
      <w:pPr>
        <w:pStyle w:val="affffffffe"/>
        <w:ind w:firstLine="496"/>
        <w:rPr>
          <w:color w:val="auto"/>
        </w:rPr>
        <w:sectPr w:rsidR="00D12939">
          <w:pgSz w:w="16838" w:h="11906" w:orient="landscape"/>
          <w:pgMar w:top="1080" w:right="1440" w:bottom="1080" w:left="1440" w:header="851" w:footer="992" w:gutter="0"/>
          <w:cols w:space="425"/>
          <w:docGrid w:type="lines" w:linePitch="312"/>
        </w:sectPr>
      </w:pPr>
    </w:p>
    <w:p w14:paraId="3A1E4AEC" w14:textId="77777777" w:rsidR="00D12939" w:rsidRDefault="004F47F5">
      <w:pPr>
        <w:snapToGrid w:val="0"/>
        <w:ind w:firstLine="482"/>
        <w:jc w:val="center"/>
        <w:rPr>
          <w:rFonts w:ascii="黑体" w:eastAsia="黑体" w:hAnsi="黑体"/>
          <w:bCs/>
          <w:sz w:val="24"/>
          <w:szCs w:val="28"/>
        </w:rPr>
      </w:pPr>
      <w:r>
        <w:rPr>
          <w:rFonts w:ascii="黑体" w:eastAsia="黑体" w:hAnsi="黑体" w:hint="eastAsia"/>
          <w:bCs/>
          <w:sz w:val="24"/>
          <w:szCs w:val="28"/>
        </w:rPr>
        <w:lastRenderedPageBreak/>
        <w:t>表4.</w:t>
      </w:r>
      <w:r>
        <w:rPr>
          <w:rFonts w:ascii="黑体" w:eastAsia="黑体" w:hAnsi="黑体"/>
          <w:bCs/>
          <w:sz w:val="24"/>
          <w:szCs w:val="28"/>
        </w:rPr>
        <w:t>2-7  各年份填埋气体和甲烷气体的产生量统计表</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1177"/>
        <w:gridCol w:w="1458"/>
        <w:gridCol w:w="1783"/>
        <w:gridCol w:w="1783"/>
        <w:gridCol w:w="1296"/>
        <w:gridCol w:w="1508"/>
      </w:tblGrid>
      <w:tr w:rsidR="00D12939" w14:paraId="2BAF3BB6" w14:textId="77777777">
        <w:trPr>
          <w:trHeight w:val="397"/>
          <w:jc w:val="center"/>
        </w:trPr>
        <w:tc>
          <w:tcPr>
            <w:tcW w:w="373" w:type="pct"/>
            <w:vAlign w:val="center"/>
          </w:tcPr>
          <w:p w14:paraId="372D187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年份</w:t>
            </w:r>
          </w:p>
        </w:tc>
        <w:tc>
          <w:tcPr>
            <w:tcW w:w="605" w:type="pct"/>
            <w:vAlign w:val="center"/>
          </w:tcPr>
          <w:p w14:paraId="580FD00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当年填埋垃圾量（</w:t>
            </w:r>
            <w:r>
              <w:rPr>
                <w:rFonts w:ascii="Times New Roman" w:eastAsia="宋体" w:hAnsi="Times New Roman" w:cs="Times New Roman"/>
              </w:rPr>
              <w:t>t</w:t>
            </w:r>
            <w:r>
              <w:rPr>
                <w:rFonts w:ascii="Times New Roman" w:eastAsia="宋体" w:hAnsi="Times New Roman" w:cs="Times New Roman"/>
              </w:rPr>
              <w:t>）</w:t>
            </w:r>
          </w:p>
        </w:tc>
        <w:tc>
          <w:tcPr>
            <w:tcW w:w="749" w:type="pct"/>
            <w:vAlign w:val="center"/>
          </w:tcPr>
          <w:p w14:paraId="71ABF3E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填埋气体最大产气量（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/t</w:t>
            </w:r>
            <w:r>
              <w:rPr>
                <w:rFonts w:ascii="Times New Roman" w:eastAsia="宋体" w:hAnsi="Times New Roman" w:cs="Times New Roman"/>
              </w:rPr>
              <w:t>）</w:t>
            </w:r>
          </w:p>
        </w:tc>
        <w:tc>
          <w:tcPr>
            <w:tcW w:w="916" w:type="pct"/>
            <w:vAlign w:val="center"/>
          </w:tcPr>
          <w:p w14:paraId="6CB9E06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当年填埋气体产生量（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w:t>
            </w:r>
          </w:p>
        </w:tc>
        <w:tc>
          <w:tcPr>
            <w:tcW w:w="916" w:type="pct"/>
            <w:vAlign w:val="center"/>
          </w:tcPr>
          <w:p w14:paraId="31E3B64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当年甲烷气体产生量（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w:t>
            </w:r>
          </w:p>
        </w:tc>
        <w:tc>
          <w:tcPr>
            <w:tcW w:w="666" w:type="pct"/>
            <w:vAlign w:val="center"/>
          </w:tcPr>
          <w:p w14:paraId="07D38A7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填埋气体日产生量（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w:t>
            </w:r>
          </w:p>
        </w:tc>
        <w:tc>
          <w:tcPr>
            <w:tcW w:w="775" w:type="pct"/>
            <w:vAlign w:val="center"/>
          </w:tcPr>
          <w:p w14:paraId="5972FF0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甲烷气体日产生量（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w:t>
            </w:r>
          </w:p>
        </w:tc>
      </w:tr>
      <w:tr w:rsidR="00D12939" w14:paraId="13DA84E0" w14:textId="77777777">
        <w:trPr>
          <w:trHeight w:val="397"/>
          <w:jc w:val="center"/>
        </w:trPr>
        <w:tc>
          <w:tcPr>
            <w:tcW w:w="373" w:type="pct"/>
            <w:vAlign w:val="center"/>
          </w:tcPr>
          <w:p w14:paraId="7C929279" w14:textId="77777777" w:rsidR="00D12939" w:rsidRDefault="004F47F5">
            <w:pPr>
              <w:widowControl/>
              <w:jc w:val="center"/>
              <w:rPr>
                <w:rFonts w:ascii="Times New Roman" w:eastAsia="等线" w:hAnsi="Times New Roman" w:cs="Times New Roman"/>
                <w:szCs w:val="21"/>
              </w:rPr>
            </w:pPr>
            <w:r>
              <w:rPr>
                <w:rFonts w:ascii="Times New Roman" w:eastAsia="等线" w:hAnsi="Times New Roman" w:cs="Times New Roman"/>
                <w:szCs w:val="21"/>
              </w:rPr>
              <w:t>2024</w:t>
            </w:r>
          </w:p>
        </w:tc>
        <w:tc>
          <w:tcPr>
            <w:tcW w:w="605" w:type="pct"/>
            <w:vAlign w:val="center"/>
          </w:tcPr>
          <w:p w14:paraId="1E0A389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40150</w:t>
            </w:r>
          </w:p>
        </w:tc>
        <w:tc>
          <w:tcPr>
            <w:tcW w:w="749" w:type="pct"/>
            <w:vAlign w:val="center"/>
          </w:tcPr>
          <w:p w14:paraId="092A1D2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2FAE07CA"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55947.00</w:t>
            </w:r>
          </w:p>
        </w:tc>
        <w:tc>
          <w:tcPr>
            <w:tcW w:w="916" w:type="pct"/>
            <w:vAlign w:val="center"/>
          </w:tcPr>
          <w:p w14:paraId="426D8BF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27973.50</w:t>
            </w:r>
          </w:p>
        </w:tc>
        <w:tc>
          <w:tcPr>
            <w:tcW w:w="666" w:type="pct"/>
            <w:vAlign w:val="center"/>
          </w:tcPr>
          <w:p w14:paraId="7F9ED29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153.28</w:t>
            </w:r>
          </w:p>
        </w:tc>
        <w:tc>
          <w:tcPr>
            <w:tcW w:w="775" w:type="pct"/>
            <w:vAlign w:val="center"/>
          </w:tcPr>
          <w:p w14:paraId="0B032CC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76.64</w:t>
            </w:r>
          </w:p>
        </w:tc>
      </w:tr>
      <w:tr w:rsidR="00D12939" w14:paraId="7EA8AA35" w14:textId="77777777">
        <w:trPr>
          <w:trHeight w:val="397"/>
          <w:jc w:val="center"/>
        </w:trPr>
        <w:tc>
          <w:tcPr>
            <w:tcW w:w="373" w:type="pct"/>
            <w:vAlign w:val="center"/>
          </w:tcPr>
          <w:p w14:paraId="41283508"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2025</w:t>
            </w:r>
          </w:p>
        </w:tc>
        <w:tc>
          <w:tcPr>
            <w:tcW w:w="605" w:type="pct"/>
            <w:vAlign w:val="center"/>
          </w:tcPr>
          <w:p w14:paraId="3E873B7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6501099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73DAAD8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101245.88</w:t>
            </w:r>
          </w:p>
        </w:tc>
        <w:tc>
          <w:tcPr>
            <w:tcW w:w="916" w:type="pct"/>
            <w:vAlign w:val="center"/>
          </w:tcPr>
          <w:p w14:paraId="273F86D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50622.94</w:t>
            </w:r>
          </w:p>
        </w:tc>
        <w:tc>
          <w:tcPr>
            <w:tcW w:w="666" w:type="pct"/>
            <w:vAlign w:val="center"/>
          </w:tcPr>
          <w:p w14:paraId="4B255A9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277.39</w:t>
            </w:r>
          </w:p>
        </w:tc>
        <w:tc>
          <w:tcPr>
            <w:tcW w:w="775" w:type="pct"/>
            <w:vAlign w:val="center"/>
          </w:tcPr>
          <w:p w14:paraId="73116DA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138.69</w:t>
            </w:r>
          </w:p>
        </w:tc>
      </w:tr>
      <w:tr w:rsidR="00D12939" w14:paraId="5E071520" w14:textId="77777777">
        <w:trPr>
          <w:trHeight w:val="397"/>
          <w:jc w:val="center"/>
        </w:trPr>
        <w:tc>
          <w:tcPr>
            <w:tcW w:w="373" w:type="pct"/>
            <w:vAlign w:val="center"/>
          </w:tcPr>
          <w:p w14:paraId="2796ADEA"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2026</w:t>
            </w:r>
          </w:p>
        </w:tc>
        <w:tc>
          <w:tcPr>
            <w:tcW w:w="605" w:type="pct"/>
            <w:vAlign w:val="center"/>
          </w:tcPr>
          <w:p w14:paraId="5A9AAAD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7A9818B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37F85FC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137416.59</w:t>
            </w:r>
          </w:p>
        </w:tc>
        <w:tc>
          <w:tcPr>
            <w:tcW w:w="916" w:type="pct"/>
            <w:vAlign w:val="center"/>
          </w:tcPr>
          <w:p w14:paraId="4E7EF33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68708.30</w:t>
            </w:r>
          </w:p>
        </w:tc>
        <w:tc>
          <w:tcPr>
            <w:tcW w:w="666" w:type="pct"/>
            <w:vAlign w:val="center"/>
          </w:tcPr>
          <w:p w14:paraId="7744647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376.48</w:t>
            </w:r>
          </w:p>
        </w:tc>
        <w:tc>
          <w:tcPr>
            <w:tcW w:w="775" w:type="pct"/>
            <w:vAlign w:val="center"/>
          </w:tcPr>
          <w:p w14:paraId="15CFC00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188.24</w:t>
            </w:r>
          </w:p>
        </w:tc>
      </w:tr>
      <w:tr w:rsidR="00D12939" w14:paraId="0E77498C" w14:textId="77777777">
        <w:trPr>
          <w:trHeight w:val="397"/>
          <w:jc w:val="center"/>
        </w:trPr>
        <w:tc>
          <w:tcPr>
            <w:tcW w:w="373" w:type="pct"/>
            <w:vAlign w:val="center"/>
          </w:tcPr>
          <w:p w14:paraId="50C25021"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2027</w:t>
            </w:r>
          </w:p>
        </w:tc>
        <w:tc>
          <w:tcPr>
            <w:tcW w:w="605" w:type="pct"/>
            <w:vAlign w:val="center"/>
          </w:tcPr>
          <w:p w14:paraId="4988E43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23A8173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028EFE1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165786.24</w:t>
            </w:r>
          </w:p>
        </w:tc>
        <w:tc>
          <w:tcPr>
            <w:tcW w:w="916" w:type="pct"/>
            <w:vAlign w:val="center"/>
          </w:tcPr>
          <w:p w14:paraId="42B63D7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82893.12</w:t>
            </w:r>
          </w:p>
        </w:tc>
        <w:tc>
          <w:tcPr>
            <w:tcW w:w="666" w:type="pct"/>
            <w:vAlign w:val="center"/>
          </w:tcPr>
          <w:p w14:paraId="64604C1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454.21</w:t>
            </w:r>
          </w:p>
        </w:tc>
        <w:tc>
          <w:tcPr>
            <w:tcW w:w="775" w:type="pct"/>
            <w:vAlign w:val="center"/>
          </w:tcPr>
          <w:p w14:paraId="5D5484C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227.10</w:t>
            </w:r>
          </w:p>
        </w:tc>
      </w:tr>
      <w:tr w:rsidR="00D12939" w14:paraId="58AFDBC0" w14:textId="77777777">
        <w:trPr>
          <w:trHeight w:val="397"/>
          <w:jc w:val="center"/>
        </w:trPr>
        <w:tc>
          <w:tcPr>
            <w:tcW w:w="373" w:type="pct"/>
            <w:vAlign w:val="center"/>
          </w:tcPr>
          <w:p w14:paraId="114D459F"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2028</w:t>
            </w:r>
          </w:p>
        </w:tc>
        <w:tc>
          <w:tcPr>
            <w:tcW w:w="605" w:type="pct"/>
            <w:vAlign w:val="center"/>
          </w:tcPr>
          <w:p w14:paraId="5C749C5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009F46B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7968DD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187511.99</w:t>
            </w:r>
          </w:p>
        </w:tc>
        <w:tc>
          <w:tcPr>
            <w:tcW w:w="916" w:type="pct"/>
            <w:vAlign w:val="center"/>
          </w:tcPr>
          <w:p w14:paraId="471017F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93755.99</w:t>
            </w:r>
          </w:p>
        </w:tc>
        <w:tc>
          <w:tcPr>
            <w:tcW w:w="666" w:type="pct"/>
            <w:vAlign w:val="center"/>
          </w:tcPr>
          <w:p w14:paraId="4F73746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513.73</w:t>
            </w:r>
          </w:p>
        </w:tc>
        <w:tc>
          <w:tcPr>
            <w:tcW w:w="775" w:type="pct"/>
            <w:vAlign w:val="center"/>
          </w:tcPr>
          <w:p w14:paraId="1B459D4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256.87</w:t>
            </w:r>
          </w:p>
        </w:tc>
      </w:tr>
      <w:tr w:rsidR="00D12939" w14:paraId="1EFB1D8D" w14:textId="77777777">
        <w:trPr>
          <w:trHeight w:val="397"/>
          <w:jc w:val="center"/>
        </w:trPr>
        <w:tc>
          <w:tcPr>
            <w:tcW w:w="373" w:type="pct"/>
            <w:vAlign w:val="center"/>
          </w:tcPr>
          <w:p w14:paraId="6D8E339B"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2029</w:t>
            </w:r>
          </w:p>
        </w:tc>
        <w:tc>
          <w:tcPr>
            <w:tcW w:w="605" w:type="pct"/>
            <w:vAlign w:val="center"/>
          </w:tcPr>
          <w:p w14:paraId="035EBFD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64F3532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65CAFA0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203601.43</w:t>
            </w:r>
          </w:p>
        </w:tc>
        <w:tc>
          <w:tcPr>
            <w:tcW w:w="916" w:type="pct"/>
            <w:vAlign w:val="center"/>
          </w:tcPr>
          <w:p w14:paraId="36E5E09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101800.72</w:t>
            </w:r>
          </w:p>
        </w:tc>
        <w:tc>
          <w:tcPr>
            <w:tcW w:w="666" w:type="pct"/>
            <w:vAlign w:val="center"/>
          </w:tcPr>
          <w:p w14:paraId="2BE5CDB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557.81</w:t>
            </w:r>
          </w:p>
        </w:tc>
        <w:tc>
          <w:tcPr>
            <w:tcW w:w="775" w:type="pct"/>
            <w:vAlign w:val="center"/>
          </w:tcPr>
          <w:p w14:paraId="2A1266B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278.91</w:t>
            </w:r>
          </w:p>
        </w:tc>
      </w:tr>
      <w:tr w:rsidR="00D12939" w14:paraId="2836DBF2" w14:textId="77777777">
        <w:trPr>
          <w:trHeight w:val="397"/>
          <w:jc w:val="center"/>
        </w:trPr>
        <w:tc>
          <w:tcPr>
            <w:tcW w:w="373" w:type="pct"/>
            <w:vAlign w:val="center"/>
          </w:tcPr>
          <w:p w14:paraId="22A95E00"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2030</w:t>
            </w:r>
          </w:p>
        </w:tc>
        <w:tc>
          <w:tcPr>
            <w:tcW w:w="605" w:type="pct"/>
            <w:vAlign w:val="center"/>
          </w:tcPr>
          <w:p w14:paraId="5687ED2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37A2ECF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006A28E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214930.56</w:t>
            </w:r>
          </w:p>
        </w:tc>
        <w:tc>
          <w:tcPr>
            <w:tcW w:w="916" w:type="pct"/>
            <w:vAlign w:val="center"/>
          </w:tcPr>
          <w:p w14:paraId="03B0305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107465.28</w:t>
            </w:r>
          </w:p>
        </w:tc>
        <w:tc>
          <w:tcPr>
            <w:tcW w:w="666" w:type="pct"/>
            <w:vAlign w:val="center"/>
          </w:tcPr>
          <w:p w14:paraId="193A335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588.85</w:t>
            </w:r>
          </w:p>
        </w:tc>
        <w:tc>
          <w:tcPr>
            <w:tcW w:w="775" w:type="pct"/>
            <w:vAlign w:val="center"/>
          </w:tcPr>
          <w:p w14:paraId="68D0AAD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294.43</w:t>
            </w:r>
          </w:p>
        </w:tc>
      </w:tr>
      <w:tr w:rsidR="00D12939" w14:paraId="53FCFDC5" w14:textId="77777777">
        <w:trPr>
          <w:trHeight w:val="397"/>
          <w:jc w:val="center"/>
        </w:trPr>
        <w:tc>
          <w:tcPr>
            <w:tcW w:w="373" w:type="pct"/>
            <w:vAlign w:val="center"/>
          </w:tcPr>
          <w:p w14:paraId="5BA096CC"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2031</w:t>
            </w:r>
          </w:p>
        </w:tc>
        <w:tc>
          <w:tcPr>
            <w:tcW w:w="605" w:type="pct"/>
            <w:vAlign w:val="center"/>
          </w:tcPr>
          <w:p w14:paraId="3AC5FFA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58EE7B7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500297F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222259.67</w:t>
            </w:r>
          </w:p>
        </w:tc>
        <w:tc>
          <w:tcPr>
            <w:tcW w:w="916" w:type="pct"/>
            <w:vAlign w:val="center"/>
          </w:tcPr>
          <w:p w14:paraId="0E8C802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111129.84</w:t>
            </w:r>
          </w:p>
        </w:tc>
        <w:tc>
          <w:tcPr>
            <w:tcW w:w="666" w:type="pct"/>
            <w:vAlign w:val="center"/>
          </w:tcPr>
          <w:p w14:paraId="3F1D0C1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608.93</w:t>
            </w:r>
          </w:p>
        </w:tc>
        <w:tc>
          <w:tcPr>
            <w:tcW w:w="775" w:type="pct"/>
            <w:vAlign w:val="center"/>
          </w:tcPr>
          <w:p w14:paraId="5865C9D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304.47</w:t>
            </w:r>
          </w:p>
        </w:tc>
      </w:tr>
      <w:tr w:rsidR="00D12939" w14:paraId="19C9A66C" w14:textId="77777777">
        <w:trPr>
          <w:trHeight w:val="397"/>
          <w:jc w:val="center"/>
        </w:trPr>
        <w:tc>
          <w:tcPr>
            <w:tcW w:w="373" w:type="pct"/>
            <w:vAlign w:val="center"/>
          </w:tcPr>
          <w:p w14:paraId="2BA03F0A"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2032</w:t>
            </w:r>
          </w:p>
        </w:tc>
        <w:tc>
          <w:tcPr>
            <w:tcW w:w="605" w:type="pct"/>
            <w:vAlign w:val="center"/>
          </w:tcPr>
          <w:p w14:paraId="3D9F3F9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21587A3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5A54BC4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226247.48</w:t>
            </w:r>
          </w:p>
        </w:tc>
        <w:tc>
          <w:tcPr>
            <w:tcW w:w="916" w:type="pct"/>
            <w:vAlign w:val="center"/>
          </w:tcPr>
          <w:p w14:paraId="7FC81A7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113123.74</w:t>
            </w:r>
          </w:p>
        </w:tc>
        <w:tc>
          <w:tcPr>
            <w:tcW w:w="666" w:type="pct"/>
            <w:vAlign w:val="center"/>
          </w:tcPr>
          <w:p w14:paraId="3AACB1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619.86</w:t>
            </w:r>
          </w:p>
        </w:tc>
        <w:tc>
          <w:tcPr>
            <w:tcW w:w="775" w:type="pct"/>
            <w:vAlign w:val="center"/>
          </w:tcPr>
          <w:p w14:paraId="0E34C72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309.93</w:t>
            </w:r>
          </w:p>
        </w:tc>
      </w:tr>
      <w:tr w:rsidR="00D12939" w14:paraId="1B172793" w14:textId="77777777">
        <w:trPr>
          <w:trHeight w:val="397"/>
          <w:jc w:val="center"/>
        </w:trPr>
        <w:tc>
          <w:tcPr>
            <w:tcW w:w="373" w:type="pct"/>
            <w:vAlign w:val="center"/>
          </w:tcPr>
          <w:p w14:paraId="680242FE" w14:textId="77777777" w:rsidR="00D12939" w:rsidRDefault="004F47F5">
            <w:pPr>
              <w:jc w:val="center"/>
              <w:rPr>
                <w:rFonts w:ascii="Times New Roman" w:eastAsia="等线" w:hAnsi="Times New Roman" w:cs="Times New Roman"/>
                <w:b/>
                <w:szCs w:val="21"/>
              </w:rPr>
            </w:pPr>
            <w:r>
              <w:rPr>
                <w:rFonts w:ascii="Times New Roman" w:eastAsia="等线" w:hAnsi="Times New Roman" w:cs="Times New Roman"/>
                <w:b/>
                <w:szCs w:val="21"/>
              </w:rPr>
              <w:t>2033</w:t>
            </w:r>
          </w:p>
        </w:tc>
        <w:tc>
          <w:tcPr>
            <w:tcW w:w="605" w:type="pct"/>
            <w:vAlign w:val="center"/>
          </w:tcPr>
          <w:p w14:paraId="39D0E83C" w14:textId="77777777" w:rsidR="00D12939" w:rsidRDefault="004F47F5">
            <w:pPr>
              <w:jc w:val="center"/>
              <w:rPr>
                <w:rFonts w:ascii="Times New Roman" w:eastAsia="宋体" w:hAnsi="Times New Roman" w:cs="Times New Roman"/>
                <w:b/>
                <w:szCs w:val="21"/>
              </w:rPr>
            </w:pPr>
            <w:r>
              <w:rPr>
                <w:rFonts w:ascii="Times New Roman" w:eastAsia="宋体" w:hAnsi="Times New Roman" w:cs="Times New Roman"/>
                <w:b/>
                <w:szCs w:val="21"/>
              </w:rPr>
              <w:t>40150</w:t>
            </w:r>
          </w:p>
        </w:tc>
        <w:tc>
          <w:tcPr>
            <w:tcW w:w="749" w:type="pct"/>
            <w:vAlign w:val="center"/>
          </w:tcPr>
          <w:p w14:paraId="1E6A1719" w14:textId="77777777" w:rsidR="00D12939" w:rsidRDefault="004F47F5">
            <w:pPr>
              <w:pStyle w:val="affffd"/>
              <w:rPr>
                <w:rFonts w:ascii="Times New Roman" w:eastAsia="宋体" w:hAnsi="Times New Roman" w:cs="Times New Roman"/>
                <w:b/>
              </w:rPr>
            </w:pPr>
            <w:r>
              <w:rPr>
                <w:rFonts w:ascii="Times New Roman" w:eastAsia="宋体" w:hAnsi="Times New Roman" w:cs="Times New Roman"/>
                <w:b/>
              </w:rPr>
              <w:t>15.4</w:t>
            </w:r>
          </w:p>
        </w:tc>
        <w:tc>
          <w:tcPr>
            <w:tcW w:w="916" w:type="pct"/>
            <w:vAlign w:val="center"/>
          </w:tcPr>
          <w:p w14:paraId="6704D0A1" w14:textId="77777777" w:rsidR="00D12939" w:rsidRDefault="004F47F5">
            <w:pPr>
              <w:jc w:val="center"/>
              <w:rPr>
                <w:rFonts w:ascii="Times New Roman" w:eastAsia="宋体" w:hAnsi="Times New Roman" w:cs="Times New Roman"/>
                <w:b/>
                <w:szCs w:val="21"/>
              </w:rPr>
            </w:pPr>
            <w:r>
              <w:rPr>
                <w:rFonts w:ascii="Times New Roman" w:eastAsia="宋体" w:hAnsi="Times New Roman" w:cs="Times New Roman"/>
                <w:b/>
                <w:szCs w:val="21"/>
              </w:rPr>
              <w:t>227463.54</w:t>
            </w:r>
          </w:p>
        </w:tc>
        <w:tc>
          <w:tcPr>
            <w:tcW w:w="916" w:type="pct"/>
            <w:vAlign w:val="center"/>
          </w:tcPr>
          <w:p w14:paraId="3EC49352" w14:textId="77777777" w:rsidR="00D12939" w:rsidRDefault="004F47F5">
            <w:pPr>
              <w:jc w:val="center"/>
              <w:rPr>
                <w:rFonts w:ascii="Times New Roman" w:eastAsia="宋体" w:hAnsi="Times New Roman" w:cs="Times New Roman"/>
                <w:b/>
                <w:szCs w:val="21"/>
              </w:rPr>
            </w:pPr>
            <w:r>
              <w:rPr>
                <w:rFonts w:ascii="Times New Roman" w:eastAsia="宋体" w:hAnsi="Times New Roman" w:cs="Times New Roman"/>
                <w:b/>
                <w:szCs w:val="21"/>
              </w:rPr>
              <w:t>113731.77</w:t>
            </w:r>
          </w:p>
        </w:tc>
        <w:tc>
          <w:tcPr>
            <w:tcW w:w="666" w:type="pct"/>
            <w:vAlign w:val="center"/>
          </w:tcPr>
          <w:p w14:paraId="16547AAC" w14:textId="77777777" w:rsidR="00D12939" w:rsidRDefault="004F47F5">
            <w:pPr>
              <w:jc w:val="center"/>
              <w:rPr>
                <w:rFonts w:ascii="Times New Roman" w:eastAsia="宋体" w:hAnsi="Times New Roman" w:cs="Times New Roman"/>
                <w:b/>
                <w:szCs w:val="21"/>
              </w:rPr>
            </w:pPr>
            <w:r>
              <w:rPr>
                <w:rFonts w:ascii="Times New Roman" w:eastAsia="宋体" w:hAnsi="Times New Roman" w:cs="Times New Roman"/>
                <w:b/>
                <w:szCs w:val="21"/>
              </w:rPr>
              <w:t>623.19</w:t>
            </w:r>
          </w:p>
        </w:tc>
        <w:tc>
          <w:tcPr>
            <w:tcW w:w="775" w:type="pct"/>
            <w:vAlign w:val="center"/>
          </w:tcPr>
          <w:p w14:paraId="41F2CFB5" w14:textId="77777777" w:rsidR="00D12939" w:rsidRDefault="004F47F5">
            <w:pPr>
              <w:jc w:val="center"/>
              <w:rPr>
                <w:rFonts w:ascii="Times New Roman" w:eastAsia="宋体" w:hAnsi="Times New Roman" w:cs="Times New Roman"/>
                <w:b/>
                <w:szCs w:val="21"/>
              </w:rPr>
            </w:pPr>
            <w:r>
              <w:rPr>
                <w:rFonts w:ascii="Times New Roman" w:eastAsia="宋体" w:hAnsi="Times New Roman" w:cs="Times New Roman"/>
                <w:b/>
                <w:szCs w:val="21"/>
              </w:rPr>
              <w:t>311.59</w:t>
            </w:r>
          </w:p>
        </w:tc>
      </w:tr>
      <w:tr w:rsidR="00D12939" w14:paraId="7C0F3552" w14:textId="77777777">
        <w:trPr>
          <w:trHeight w:val="397"/>
          <w:jc w:val="center"/>
        </w:trPr>
        <w:tc>
          <w:tcPr>
            <w:tcW w:w="373" w:type="pct"/>
            <w:vAlign w:val="center"/>
          </w:tcPr>
          <w:p w14:paraId="6255FD8E"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2034</w:t>
            </w:r>
          </w:p>
        </w:tc>
        <w:tc>
          <w:tcPr>
            <w:tcW w:w="605" w:type="pct"/>
            <w:vAlign w:val="center"/>
          </w:tcPr>
          <w:p w14:paraId="17ED118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7CC6DCF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7418811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226399.27</w:t>
            </w:r>
          </w:p>
        </w:tc>
        <w:tc>
          <w:tcPr>
            <w:tcW w:w="916" w:type="pct"/>
            <w:vAlign w:val="center"/>
          </w:tcPr>
          <w:p w14:paraId="6B1C5AF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113199.64</w:t>
            </w:r>
          </w:p>
        </w:tc>
        <w:tc>
          <w:tcPr>
            <w:tcW w:w="666" w:type="pct"/>
            <w:vAlign w:val="center"/>
          </w:tcPr>
          <w:p w14:paraId="39DB98D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620.27</w:t>
            </w:r>
          </w:p>
        </w:tc>
        <w:tc>
          <w:tcPr>
            <w:tcW w:w="775" w:type="pct"/>
            <w:vAlign w:val="center"/>
          </w:tcPr>
          <w:p w14:paraId="38825BF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310.14</w:t>
            </w:r>
          </w:p>
        </w:tc>
      </w:tr>
      <w:tr w:rsidR="00D12939" w14:paraId="23A15D00" w14:textId="77777777">
        <w:trPr>
          <w:trHeight w:val="397"/>
          <w:jc w:val="center"/>
        </w:trPr>
        <w:tc>
          <w:tcPr>
            <w:tcW w:w="373" w:type="pct"/>
            <w:vAlign w:val="center"/>
          </w:tcPr>
          <w:p w14:paraId="6E7D9122"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2035</w:t>
            </w:r>
          </w:p>
        </w:tc>
        <w:tc>
          <w:tcPr>
            <w:tcW w:w="605" w:type="pct"/>
            <w:vAlign w:val="center"/>
          </w:tcPr>
          <w:p w14:paraId="6235B96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4216FF4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074C5CF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223477.67</w:t>
            </w:r>
          </w:p>
        </w:tc>
        <w:tc>
          <w:tcPr>
            <w:tcW w:w="916" w:type="pct"/>
            <w:vAlign w:val="center"/>
          </w:tcPr>
          <w:p w14:paraId="1796B06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111738.84</w:t>
            </w:r>
          </w:p>
        </w:tc>
        <w:tc>
          <w:tcPr>
            <w:tcW w:w="666" w:type="pct"/>
            <w:vAlign w:val="center"/>
          </w:tcPr>
          <w:p w14:paraId="0AFAC00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612.27</w:t>
            </w:r>
          </w:p>
        </w:tc>
        <w:tc>
          <w:tcPr>
            <w:tcW w:w="775" w:type="pct"/>
            <w:vAlign w:val="center"/>
          </w:tcPr>
          <w:p w14:paraId="50A6A1F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306.13</w:t>
            </w:r>
          </w:p>
        </w:tc>
      </w:tr>
      <w:tr w:rsidR="00D12939" w14:paraId="7EC59E8F" w14:textId="77777777">
        <w:trPr>
          <w:trHeight w:val="397"/>
          <w:jc w:val="center"/>
        </w:trPr>
        <w:tc>
          <w:tcPr>
            <w:tcW w:w="373" w:type="pct"/>
            <w:vAlign w:val="center"/>
          </w:tcPr>
          <w:p w14:paraId="007986AC"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2036</w:t>
            </w:r>
          </w:p>
        </w:tc>
        <w:tc>
          <w:tcPr>
            <w:tcW w:w="605" w:type="pct"/>
            <w:vAlign w:val="center"/>
          </w:tcPr>
          <w:p w14:paraId="5130146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40150</w:t>
            </w:r>
          </w:p>
        </w:tc>
        <w:tc>
          <w:tcPr>
            <w:tcW w:w="749" w:type="pct"/>
            <w:vAlign w:val="center"/>
          </w:tcPr>
          <w:p w14:paraId="3C8B9BC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15.4</w:t>
            </w:r>
          </w:p>
        </w:tc>
        <w:tc>
          <w:tcPr>
            <w:tcW w:w="916" w:type="pct"/>
            <w:vAlign w:val="center"/>
          </w:tcPr>
          <w:p w14:paraId="52E4A10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219061.87</w:t>
            </w:r>
          </w:p>
        </w:tc>
        <w:tc>
          <w:tcPr>
            <w:tcW w:w="916" w:type="pct"/>
            <w:vAlign w:val="center"/>
          </w:tcPr>
          <w:p w14:paraId="28023AB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109530.94</w:t>
            </w:r>
          </w:p>
        </w:tc>
        <w:tc>
          <w:tcPr>
            <w:tcW w:w="666" w:type="pct"/>
            <w:vAlign w:val="center"/>
          </w:tcPr>
          <w:p w14:paraId="78929E7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600.17</w:t>
            </w:r>
          </w:p>
        </w:tc>
        <w:tc>
          <w:tcPr>
            <w:tcW w:w="775" w:type="pct"/>
            <w:vAlign w:val="center"/>
          </w:tcPr>
          <w:p w14:paraId="2BD7543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300.08</w:t>
            </w:r>
          </w:p>
        </w:tc>
      </w:tr>
      <w:tr w:rsidR="00D12939" w14:paraId="58BA13F0" w14:textId="77777777">
        <w:trPr>
          <w:trHeight w:val="397"/>
          <w:jc w:val="center"/>
        </w:trPr>
        <w:tc>
          <w:tcPr>
            <w:tcW w:w="373" w:type="pct"/>
            <w:vAlign w:val="center"/>
          </w:tcPr>
          <w:p w14:paraId="7E60CE14"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2037</w:t>
            </w:r>
          </w:p>
        </w:tc>
        <w:tc>
          <w:tcPr>
            <w:tcW w:w="605" w:type="pct"/>
            <w:vAlign w:val="center"/>
          </w:tcPr>
          <w:p w14:paraId="62CED87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3453292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755F2B9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198215.38</w:t>
            </w:r>
          </w:p>
        </w:tc>
        <w:tc>
          <w:tcPr>
            <w:tcW w:w="916" w:type="pct"/>
            <w:vAlign w:val="center"/>
          </w:tcPr>
          <w:p w14:paraId="5F1818F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99107.69</w:t>
            </w:r>
          </w:p>
        </w:tc>
        <w:tc>
          <w:tcPr>
            <w:tcW w:w="666" w:type="pct"/>
            <w:vAlign w:val="center"/>
          </w:tcPr>
          <w:p w14:paraId="3A81D4B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543.06</w:t>
            </w:r>
          </w:p>
        </w:tc>
        <w:tc>
          <w:tcPr>
            <w:tcW w:w="775" w:type="pct"/>
            <w:vAlign w:val="center"/>
          </w:tcPr>
          <w:p w14:paraId="21C9E09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271.53</w:t>
            </w:r>
          </w:p>
        </w:tc>
      </w:tr>
      <w:tr w:rsidR="00D12939" w14:paraId="259A6630" w14:textId="77777777">
        <w:trPr>
          <w:trHeight w:val="397"/>
          <w:jc w:val="center"/>
        </w:trPr>
        <w:tc>
          <w:tcPr>
            <w:tcW w:w="373" w:type="pct"/>
            <w:vAlign w:val="center"/>
          </w:tcPr>
          <w:p w14:paraId="759BCD87"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2038</w:t>
            </w:r>
          </w:p>
        </w:tc>
        <w:tc>
          <w:tcPr>
            <w:tcW w:w="605" w:type="pct"/>
            <w:vAlign w:val="center"/>
          </w:tcPr>
          <w:p w14:paraId="7528B11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351EEC1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7E5315D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179352.69</w:t>
            </w:r>
          </w:p>
        </w:tc>
        <w:tc>
          <w:tcPr>
            <w:tcW w:w="916" w:type="pct"/>
            <w:vAlign w:val="center"/>
          </w:tcPr>
          <w:p w14:paraId="547B1A1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89676.35</w:t>
            </w:r>
          </w:p>
        </w:tc>
        <w:tc>
          <w:tcPr>
            <w:tcW w:w="666" w:type="pct"/>
            <w:vAlign w:val="center"/>
          </w:tcPr>
          <w:p w14:paraId="11A433B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491.38</w:t>
            </w:r>
          </w:p>
        </w:tc>
        <w:tc>
          <w:tcPr>
            <w:tcW w:w="775" w:type="pct"/>
            <w:vAlign w:val="center"/>
          </w:tcPr>
          <w:p w14:paraId="636144D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245.69</w:t>
            </w:r>
          </w:p>
        </w:tc>
      </w:tr>
      <w:tr w:rsidR="00D12939" w14:paraId="2AC43FFF" w14:textId="77777777">
        <w:trPr>
          <w:trHeight w:val="397"/>
          <w:jc w:val="center"/>
        </w:trPr>
        <w:tc>
          <w:tcPr>
            <w:tcW w:w="373" w:type="pct"/>
            <w:vAlign w:val="center"/>
          </w:tcPr>
          <w:p w14:paraId="2F4F0BDE"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2039</w:t>
            </w:r>
          </w:p>
        </w:tc>
        <w:tc>
          <w:tcPr>
            <w:tcW w:w="605" w:type="pct"/>
            <w:vAlign w:val="center"/>
          </w:tcPr>
          <w:p w14:paraId="0687019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0455C63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69A11DB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162285.03</w:t>
            </w:r>
          </w:p>
        </w:tc>
        <w:tc>
          <w:tcPr>
            <w:tcW w:w="916" w:type="pct"/>
            <w:vAlign w:val="center"/>
          </w:tcPr>
          <w:p w14:paraId="64FCEB9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81142.51</w:t>
            </w:r>
          </w:p>
        </w:tc>
        <w:tc>
          <w:tcPr>
            <w:tcW w:w="666" w:type="pct"/>
            <w:vAlign w:val="center"/>
          </w:tcPr>
          <w:p w14:paraId="55E7B77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444.62</w:t>
            </w:r>
          </w:p>
        </w:tc>
        <w:tc>
          <w:tcPr>
            <w:tcW w:w="775" w:type="pct"/>
            <w:vAlign w:val="center"/>
          </w:tcPr>
          <w:p w14:paraId="3576D48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222.31</w:t>
            </w:r>
          </w:p>
        </w:tc>
      </w:tr>
      <w:tr w:rsidR="00D12939" w14:paraId="7A5BAD05" w14:textId="77777777">
        <w:trPr>
          <w:trHeight w:val="397"/>
          <w:jc w:val="center"/>
        </w:trPr>
        <w:tc>
          <w:tcPr>
            <w:tcW w:w="373" w:type="pct"/>
            <w:vAlign w:val="center"/>
          </w:tcPr>
          <w:p w14:paraId="45D7E444"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2040</w:t>
            </w:r>
          </w:p>
        </w:tc>
        <w:tc>
          <w:tcPr>
            <w:tcW w:w="605" w:type="pct"/>
            <w:vAlign w:val="center"/>
          </w:tcPr>
          <w:p w14:paraId="065CDB4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3353D1D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31A6B3D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146841.56</w:t>
            </w:r>
          </w:p>
        </w:tc>
        <w:tc>
          <w:tcPr>
            <w:tcW w:w="916" w:type="pct"/>
            <w:vAlign w:val="center"/>
          </w:tcPr>
          <w:p w14:paraId="634D636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73420.78</w:t>
            </w:r>
          </w:p>
        </w:tc>
        <w:tc>
          <w:tcPr>
            <w:tcW w:w="666" w:type="pct"/>
            <w:vAlign w:val="center"/>
          </w:tcPr>
          <w:p w14:paraId="2AEAE6F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402.31</w:t>
            </w:r>
          </w:p>
        </w:tc>
        <w:tc>
          <w:tcPr>
            <w:tcW w:w="775" w:type="pct"/>
            <w:vAlign w:val="center"/>
          </w:tcPr>
          <w:p w14:paraId="10AA8FC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201.15</w:t>
            </w:r>
          </w:p>
        </w:tc>
      </w:tr>
      <w:tr w:rsidR="00D12939" w14:paraId="1338DC97" w14:textId="77777777">
        <w:trPr>
          <w:trHeight w:val="397"/>
          <w:jc w:val="center"/>
        </w:trPr>
        <w:tc>
          <w:tcPr>
            <w:tcW w:w="373" w:type="pct"/>
            <w:vAlign w:val="center"/>
          </w:tcPr>
          <w:p w14:paraId="2A099B31"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2041</w:t>
            </w:r>
          </w:p>
        </w:tc>
        <w:tc>
          <w:tcPr>
            <w:tcW w:w="605" w:type="pct"/>
            <w:vAlign w:val="center"/>
          </w:tcPr>
          <w:p w14:paraId="4D9382B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2F0B61A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62AD369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132867.74</w:t>
            </w:r>
          </w:p>
        </w:tc>
        <w:tc>
          <w:tcPr>
            <w:tcW w:w="916" w:type="pct"/>
            <w:vAlign w:val="center"/>
          </w:tcPr>
          <w:p w14:paraId="2A13A47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66433.87</w:t>
            </w:r>
          </w:p>
        </w:tc>
        <w:tc>
          <w:tcPr>
            <w:tcW w:w="666" w:type="pct"/>
            <w:vAlign w:val="center"/>
          </w:tcPr>
          <w:p w14:paraId="4E99DEE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364.02</w:t>
            </w:r>
          </w:p>
        </w:tc>
        <w:tc>
          <w:tcPr>
            <w:tcW w:w="775" w:type="pct"/>
            <w:vAlign w:val="center"/>
          </w:tcPr>
          <w:p w14:paraId="0009CE3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182.01</w:t>
            </w:r>
          </w:p>
        </w:tc>
      </w:tr>
      <w:tr w:rsidR="00D12939" w14:paraId="312C550A" w14:textId="77777777">
        <w:trPr>
          <w:trHeight w:val="397"/>
          <w:jc w:val="center"/>
        </w:trPr>
        <w:tc>
          <w:tcPr>
            <w:tcW w:w="373" w:type="pct"/>
            <w:vAlign w:val="center"/>
          </w:tcPr>
          <w:p w14:paraId="077340B6"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2042</w:t>
            </w:r>
          </w:p>
        </w:tc>
        <w:tc>
          <w:tcPr>
            <w:tcW w:w="605" w:type="pct"/>
            <w:vAlign w:val="center"/>
          </w:tcPr>
          <w:p w14:paraId="6B863B8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17A7C28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19DD58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120223.70</w:t>
            </w:r>
          </w:p>
        </w:tc>
        <w:tc>
          <w:tcPr>
            <w:tcW w:w="916" w:type="pct"/>
            <w:vAlign w:val="center"/>
          </w:tcPr>
          <w:p w14:paraId="5BAB5CA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60111.85</w:t>
            </w:r>
          </w:p>
        </w:tc>
        <w:tc>
          <w:tcPr>
            <w:tcW w:w="666" w:type="pct"/>
            <w:vAlign w:val="center"/>
          </w:tcPr>
          <w:p w14:paraId="580ECA8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329.38</w:t>
            </w:r>
          </w:p>
        </w:tc>
        <w:tc>
          <w:tcPr>
            <w:tcW w:w="775" w:type="pct"/>
            <w:vAlign w:val="center"/>
          </w:tcPr>
          <w:p w14:paraId="4A7CCF5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164.69</w:t>
            </w:r>
          </w:p>
        </w:tc>
      </w:tr>
      <w:tr w:rsidR="00D12939" w14:paraId="77AEDE7C" w14:textId="77777777">
        <w:trPr>
          <w:trHeight w:val="397"/>
          <w:jc w:val="center"/>
        </w:trPr>
        <w:tc>
          <w:tcPr>
            <w:tcW w:w="373" w:type="pct"/>
            <w:vAlign w:val="center"/>
          </w:tcPr>
          <w:p w14:paraId="0CC73F32"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2043</w:t>
            </w:r>
          </w:p>
        </w:tc>
        <w:tc>
          <w:tcPr>
            <w:tcW w:w="605" w:type="pct"/>
            <w:vAlign w:val="center"/>
          </w:tcPr>
          <w:p w14:paraId="52D01D7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1507D9F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6942A4B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108782.91</w:t>
            </w:r>
          </w:p>
        </w:tc>
        <w:tc>
          <w:tcPr>
            <w:tcW w:w="916" w:type="pct"/>
            <w:vAlign w:val="center"/>
          </w:tcPr>
          <w:p w14:paraId="3CB6BAB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54391.45</w:t>
            </w:r>
          </w:p>
        </w:tc>
        <w:tc>
          <w:tcPr>
            <w:tcW w:w="666" w:type="pct"/>
            <w:vAlign w:val="center"/>
          </w:tcPr>
          <w:p w14:paraId="49266A2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298.04</w:t>
            </w:r>
          </w:p>
        </w:tc>
        <w:tc>
          <w:tcPr>
            <w:tcW w:w="775" w:type="pct"/>
            <w:vAlign w:val="center"/>
          </w:tcPr>
          <w:p w14:paraId="61C257C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149.02</w:t>
            </w:r>
          </w:p>
        </w:tc>
      </w:tr>
      <w:tr w:rsidR="00D12939" w14:paraId="4AADD09A" w14:textId="77777777">
        <w:trPr>
          <w:trHeight w:val="397"/>
          <w:jc w:val="center"/>
        </w:trPr>
        <w:tc>
          <w:tcPr>
            <w:tcW w:w="373" w:type="pct"/>
            <w:vAlign w:val="center"/>
          </w:tcPr>
          <w:p w14:paraId="0A9A2FCA"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2044</w:t>
            </w:r>
          </w:p>
        </w:tc>
        <w:tc>
          <w:tcPr>
            <w:tcW w:w="605" w:type="pct"/>
            <w:vAlign w:val="center"/>
          </w:tcPr>
          <w:p w14:paraId="58280BD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135BC89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432B489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98430.84</w:t>
            </w:r>
          </w:p>
        </w:tc>
        <w:tc>
          <w:tcPr>
            <w:tcW w:w="916" w:type="pct"/>
            <w:vAlign w:val="center"/>
          </w:tcPr>
          <w:p w14:paraId="6E8D56E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49215.42</w:t>
            </w:r>
          </w:p>
        </w:tc>
        <w:tc>
          <w:tcPr>
            <w:tcW w:w="666" w:type="pct"/>
            <w:vAlign w:val="center"/>
          </w:tcPr>
          <w:p w14:paraId="3F4B814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269.67</w:t>
            </w:r>
          </w:p>
        </w:tc>
        <w:tc>
          <w:tcPr>
            <w:tcW w:w="775" w:type="pct"/>
            <w:vAlign w:val="center"/>
          </w:tcPr>
          <w:p w14:paraId="4EAC7F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134.84</w:t>
            </w:r>
          </w:p>
        </w:tc>
      </w:tr>
      <w:tr w:rsidR="00D12939" w14:paraId="46C99128" w14:textId="77777777">
        <w:trPr>
          <w:trHeight w:val="397"/>
          <w:jc w:val="center"/>
        </w:trPr>
        <w:tc>
          <w:tcPr>
            <w:tcW w:w="373" w:type="pct"/>
            <w:vAlign w:val="center"/>
          </w:tcPr>
          <w:p w14:paraId="09287459" w14:textId="77777777" w:rsidR="00D12939" w:rsidRDefault="004F47F5">
            <w:pPr>
              <w:jc w:val="center"/>
              <w:rPr>
                <w:rFonts w:ascii="Times New Roman" w:eastAsia="等线" w:hAnsi="Times New Roman" w:cs="Times New Roman"/>
                <w:szCs w:val="21"/>
              </w:rPr>
            </w:pPr>
            <w:r>
              <w:rPr>
                <w:rFonts w:ascii="Times New Roman" w:eastAsia="等线" w:hAnsi="Times New Roman" w:cs="Times New Roman"/>
                <w:szCs w:val="21"/>
              </w:rPr>
              <w:t>2045</w:t>
            </w:r>
          </w:p>
        </w:tc>
        <w:tc>
          <w:tcPr>
            <w:tcW w:w="605" w:type="pct"/>
            <w:vAlign w:val="center"/>
          </w:tcPr>
          <w:p w14:paraId="700429F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6ACB967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1F583F0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89063.91</w:t>
            </w:r>
          </w:p>
        </w:tc>
        <w:tc>
          <w:tcPr>
            <w:tcW w:w="916" w:type="pct"/>
            <w:vAlign w:val="center"/>
          </w:tcPr>
          <w:p w14:paraId="1777BE4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44531.96</w:t>
            </w:r>
          </w:p>
        </w:tc>
        <w:tc>
          <w:tcPr>
            <w:tcW w:w="666" w:type="pct"/>
            <w:vAlign w:val="center"/>
          </w:tcPr>
          <w:p w14:paraId="67CA5FA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244.01</w:t>
            </w:r>
          </w:p>
        </w:tc>
        <w:tc>
          <w:tcPr>
            <w:tcW w:w="775" w:type="pct"/>
            <w:vAlign w:val="center"/>
          </w:tcPr>
          <w:p w14:paraId="59C3C78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122.01</w:t>
            </w:r>
          </w:p>
        </w:tc>
      </w:tr>
      <w:tr w:rsidR="00D12939" w14:paraId="5699256C" w14:textId="77777777">
        <w:trPr>
          <w:trHeight w:val="397"/>
          <w:jc w:val="center"/>
        </w:trPr>
        <w:tc>
          <w:tcPr>
            <w:tcW w:w="373" w:type="pct"/>
            <w:vAlign w:val="center"/>
          </w:tcPr>
          <w:p w14:paraId="3DD2779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合计</w:t>
            </w:r>
          </w:p>
        </w:tc>
        <w:tc>
          <w:tcPr>
            <w:tcW w:w="605" w:type="pct"/>
            <w:vAlign w:val="center"/>
          </w:tcPr>
          <w:p w14:paraId="4E4276F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749" w:type="pct"/>
            <w:vAlign w:val="center"/>
          </w:tcPr>
          <w:p w14:paraId="66DB4B9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p>
        </w:tc>
        <w:tc>
          <w:tcPr>
            <w:tcW w:w="916" w:type="pct"/>
            <w:vAlign w:val="center"/>
          </w:tcPr>
          <w:p w14:paraId="05EF6927"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3728001.33</w:t>
            </w:r>
          </w:p>
        </w:tc>
        <w:tc>
          <w:tcPr>
            <w:tcW w:w="916" w:type="pct"/>
            <w:vAlign w:val="center"/>
          </w:tcPr>
          <w:p w14:paraId="4CA19E5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1864000.67</w:t>
            </w:r>
          </w:p>
        </w:tc>
        <w:tc>
          <w:tcPr>
            <w:tcW w:w="666" w:type="pct"/>
            <w:vAlign w:val="center"/>
          </w:tcPr>
          <w:p w14:paraId="6F451B2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10213.70</w:t>
            </w:r>
          </w:p>
        </w:tc>
        <w:tc>
          <w:tcPr>
            <w:tcW w:w="775" w:type="pct"/>
            <w:vAlign w:val="center"/>
          </w:tcPr>
          <w:p w14:paraId="4930221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5106.85</w:t>
            </w:r>
          </w:p>
        </w:tc>
      </w:tr>
    </w:tbl>
    <w:p w14:paraId="4C3D823D" w14:textId="77777777" w:rsidR="00D12939" w:rsidRDefault="004F47F5">
      <w:pPr>
        <w:adjustRightInd w:val="0"/>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sz w:val="24"/>
          <w:szCs w:val="28"/>
        </w:rPr>
        <w:t>填埋场生活垃圾填埋区在</w:t>
      </w:r>
      <w:r>
        <w:rPr>
          <w:rFonts w:ascii="Times New Roman" w:eastAsia="宋体" w:hAnsi="Times New Roman" w:cs="Times New Roman"/>
          <w:sz w:val="24"/>
          <w:szCs w:val="28"/>
        </w:rPr>
        <w:t>2024</w:t>
      </w:r>
      <w:r>
        <w:rPr>
          <w:rFonts w:ascii="Times New Roman" w:eastAsia="宋体" w:hAnsi="Times New Roman" w:cs="Times New Roman"/>
          <w:sz w:val="24"/>
          <w:szCs w:val="28"/>
        </w:rPr>
        <w:t>年投入使用，预计</w:t>
      </w:r>
      <w:r>
        <w:rPr>
          <w:rFonts w:ascii="Times New Roman" w:eastAsia="宋体" w:hAnsi="Times New Roman" w:cs="Times New Roman"/>
          <w:sz w:val="24"/>
          <w:szCs w:val="28"/>
        </w:rPr>
        <w:t>2036</w:t>
      </w:r>
      <w:r>
        <w:rPr>
          <w:rFonts w:ascii="Times New Roman" w:eastAsia="宋体" w:hAnsi="Times New Roman" w:cs="Times New Roman"/>
          <w:sz w:val="24"/>
          <w:szCs w:val="28"/>
        </w:rPr>
        <w:t>年满容封场，统计至封场后</w:t>
      </w:r>
      <w:r>
        <w:rPr>
          <w:rFonts w:ascii="Times New Roman" w:eastAsia="宋体" w:hAnsi="Times New Roman" w:cs="Times New Roman"/>
          <w:sz w:val="24"/>
          <w:szCs w:val="28"/>
        </w:rPr>
        <w:t>10</w:t>
      </w:r>
      <w:r>
        <w:rPr>
          <w:rFonts w:ascii="Times New Roman" w:eastAsia="宋体" w:hAnsi="Times New Roman" w:cs="Times New Roman"/>
          <w:sz w:val="24"/>
          <w:szCs w:val="28"/>
        </w:rPr>
        <w:t>年，即</w:t>
      </w:r>
      <w:r>
        <w:rPr>
          <w:rFonts w:ascii="Times New Roman" w:eastAsia="宋体" w:hAnsi="Times New Roman" w:cs="Times New Roman"/>
          <w:sz w:val="24"/>
          <w:szCs w:val="28"/>
        </w:rPr>
        <w:t>2046</w:t>
      </w:r>
      <w:r>
        <w:rPr>
          <w:rFonts w:ascii="Times New Roman" w:eastAsia="宋体" w:hAnsi="Times New Roman" w:cs="Times New Roman"/>
          <w:sz w:val="24"/>
          <w:szCs w:val="28"/>
        </w:rPr>
        <w:t>年，填埋气体总产生量约</w:t>
      </w:r>
      <w:r>
        <w:rPr>
          <w:rFonts w:ascii="Times New Roman" w:eastAsia="宋体" w:hAnsi="Times New Roman" w:cs="Times New Roman"/>
          <w:sz w:val="24"/>
        </w:rPr>
        <w:t>372.8</w:t>
      </w:r>
      <w:r>
        <w:rPr>
          <w:rFonts w:ascii="Times New Roman" w:eastAsia="宋体" w:hAnsi="Times New Roman" w:cs="Times New Roman" w:hint="eastAsia"/>
          <w:sz w:val="24"/>
        </w:rPr>
        <w:t>万</w:t>
      </w:r>
      <w:r>
        <w:rPr>
          <w:rFonts w:ascii="Times New Roman" w:eastAsia="宋体" w:hAnsi="Times New Roman" w:cs="Times New Roman"/>
          <w:sz w:val="24"/>
          <w:szCs w:val="28"/>
        </w:rPr>
        <w:t>m</w:t>
      </w:r>
      <w:r>
        <w:rPr>
          <w:rFonts w:ascii="Times New Roman" w:eastAsia="宋体" w:hAnsi="Times New Roman" w:cs="Times New Roman"/>
          <w:sz w:val="24"/>
          <w:szCs w:val="28"/>
          <w:vertAlign w:val="superscript"/>
        </w:rPr>
        <w:t>3</w:t>
      </w:r>
      <w:r>
        <w:rPr>
          <w:rFonts w:ascii="Times New Roman" w:eastAsia="宋体" w:hAnsi="Times New Roman" w:cs="Times New Roman"/>
          <w:sz w:val="24"/>
          <w:szCs w:val="28"/>
        </w:rPr>
        <w:t>,</w:t>
      </w:r>
      <w:r>
        <w:rPr>
          <w:rFonts w:ascii="Times New Roman" w:eastAsia="宋体" w:hAnsi="Times New Roman" w:cs="Times New Roman" w:hint="eastAsia"/>
          <w:sz w:val="24"/>
          <w:szCs w:val="28"/>
        </w:rPr>
        <w:t>填埋气产生量逐年递增，至</w:t>
      </w:r>
      <w:r>
        <w:rPr>
          <w:rFonts w:ascii="Times New Roman" w:eastAsia="宋体" w:hAnsi="Times New Roman" w:cs="Times New Roman"/>
          <w:sz w:val="24"/>
          <w:szCs w:val="28"/>
        </w:rPr>
        <w:t>2033</w:t>
      </w:r>
      <w:r>
        <w:rPr>
          <w:rFonts w:ascii="Times New Roman" w:eastAsia="宋体" w:hAnsi="Times New Roman" w:cs="Times New Roman"/>
          <w:sz w:val="24"/>
          <w:szCs w:val="28"/>
        </w:rPr>
        <w:t>年产气量达最大值</w:t>
      </w:r>
      <w:r>
        <w:rPr>
          <w:rFonts w:ascii="Times New Roman" w:eastAsia="宋体" w:hAnsi="Times New Roman" w:cs="Times New Roman"/>
          <w:sz w:val="24"/>
          <w:szCs w:val="28"/>
        </w:rPr>
        <w:t>227463.54m</w:t>
      </w:r>
      <w:r>
        <w:rPr>
          <w:rFonts w:ascii="Times New Roman" w:eastAsia="宋体" w:hAnsi="Times New Roman" w:cs="Times New Roman"/>
          <w:sz w:val="24"/>
          <w:szCs w:val="28"/>
          <w:vertAlign w:val="superscript"/>
        </w:rPr>
        <w:t>3</w:t>
      </w:r>
      <w:r>
        <w:rPr>
          <w:rFonts w:ascii="Times New Roman" w:eastAsia="宋体" w:hAnsi="Times New Roman" w:cs="Times New Roman"/>
          <w:sz w:val="24"/>
          <w:szCs w:val="28"/>
        </w:rPr>
        <w:t>/a</w:t>
      </w:r>
      <w:r>
        <w:rPr>
          <w:rFonts w:ascii="Times New Roman" w:eastAsia="宋体" w:hAnsi="Times New Roman" w:cs="Times New Roman"/>
          <w:sz w:val="24"/>
          <w:szCs w:val="28"/>
        </w:rPr>
        <w:t>，填埋气体产气高峰时期为</w:t>
      </w:r>
      <w:r>
        <w:rPr>
          <w:rFonts w:ascii="Times New Roman" w:eastAsia="宋体" w:hAnsi="Times New Roman" w:cs="Times New Roman"/>
          <w:sz w:val="24"/>
          <w:szCs w:val="28"/>
        </w:rPr>
        <w:t>2032~2034</w:t>
      </w:r>
      <w:r>
        <w:rPr>
          <w:rFonts w:ascii="Times New Roman" w:eastAsia="宋体" w:hAnsi="Times New Roman" w:cs="Times New Roman"/>
          <w:sz w:val="24"/>
          <w:szCs w:val="28"/>
        </w:rPr>
        <w:t>年</w:t>
      </w:r>
      <w:r>
        <w:rPr>
          <w:rFonts w:ascii="Times New Roman" w:eastAsia="宋体" w:hAnsi="Times New Roman" w:cs="Times New Roman" w:hint="eastAsia"/>
          <w:sz w:val="24"/>
          <w:szCs w:val="28"/>
        </w:rPr>
        <w:t xml:space="preserve">, </w:t>
      </w:r>
      <w:r>
        <w:rPr>
          <w:rFonts w:ascii="Times New Roman" w:eastAsia="宋体" w:hAnsi="Times New Roman" w:cs="Times New Roman" w:hint="eastAsia"/>
          <w:sz w:val="24"/>
          <w:szCs w:val="28"/>
        </w:rPr>
        <w:t>从</w:t>
      </w:r>
      <w:r>
        <w:rPr>
          <w:rFonts w:ascii="Times New Roman" w:eastAsia="宋体" w:hAnsi="Times New Roman" w:cs="Times New Roman" w:hint="eastAsia"/>
          <w:sz w:val="24"/>
          <w:szCs w:val="28"/>
        </w:rPr>
        <w:t>2</w:t>
      </w:r>
      <w:r>
        <w:rPr>
          <w:rFonts w:ascii="Times New Roman" w:eastAsia="宋体" w:hAnsi="Times New Roman" w:cs="Times New Roman"/>
          <w:sz w:val="24"/>
          <w:szCs w:val="28"/>
        </w:rPr>
        <w:t>033</w:t>
      </w:r>
      <w:r>
        <w:rPr>
          <w:rFonts w:ascii="Times New Roman" w:eastAsia="宋体" w:hAnsi="Times New Roman" w:cs="Times New Roman" w:hint="eastAsia"/>
          <w:sz w:val="24"/>
          <w:szCs w:val="28"/>
        </w:rPr>
        <w:t>年后产气量逐年开始递减。由于生活垃圾焚烧项目的不确定性，本次评价以产气量最大年（</w:t>
      </w:r>
      <w:r>
        <w:rPr>
          <w:rFonts w:ascii="Times New Roman" w:eastAsia="宋体" w:hAnsi="Times New Roman" w:cs="Times New Roman"/>
          <w:sz w:val="24"/>
          <w:szCs w:val="28"/>
        </w:rPr>
        <w:t>2033</w:t>
      </w:r>
      <w:r>
        <w:rPr>
          <w:rFonts w:ascii="Times New Roman" w:eastAsia="宋体" w:hAnsi="Times New Roman" w:cs="Times New Roman"/>
          <w:sz w:val="24"/>
          <w:szCs w:val="28"/>
        </w:rPr>
        <w:t>年）填埋废气对周围环境的影响。</w:t>
      </w:r>
    </w:p>
    <w:p w14:paraId="6EBA4E7A" w14:textId="77777777" w:rsidR="00D12939" w:rsidRDefault="004F47F5">
      <w:pPr>
        <w:adjustRightInd w:val="0"/>
        <w:spacing w:line="360" w:lineRule="auto"/>
        <w:ind w:firstLine="480"/>
        <w:rPr>
          <w:rFonts w:ascii="Times New Roman" w:eastAsia="宋体" w:hAnsi="Times New Roman" w:cs="Times New Roman"/>
          <w:sz w:val="24"/>
          <w:szCs w:val="28"/>
        </w:rPr>
      </w:pPr>
      <w:r>
        <w:rPr>
          <w:rFonts w:ascii="Times New Roman" w:eastAsia="宋体" w:hAnsi="Times New Roman" w:cs="Times New Roman"/>
          <w:sz w:val="24"/>
          <w:szCs w:val="28"/>
        </w:rPr>
        <w:t>CH</w:t>
      </w:r>
      <w:r>
        <w:rPr>
          <w:rFonts w:ascii="Times New Roman" w:eastAsia="宋体" w:hAnsi="Times New Roman" w:cs="Times New Roman"/>
          <w:sz w:val="24"/>
          <w:szCs w:val="28"/>
          <w:vertAlign w:val="subscript"/>
        </w:rPr>
        <w:t>4</w:t>
      </w:r>
      <w:r>
        <w:rPr>
          <w:rFonts w:ascii="Times New Roman" w:eastAsia="宋体" w:hAnsi="Times New Roman" w:cs="Times New Roman"/>
          <w:sz w:val="24"/>
          <w:szCs w:val="28"/>
        </w:rPr>
        <w:t>气体一般占填埋场产气总量的</w:t>
      </w:r>
      <w:r>
        <w:rPr>
          <w:rFonts w:ascii="Times New Roman" w:eastAsia="宋体" w:hAnsi="Times New Roman" w:cs="Times New Roman"/>
          <w:sz w:val="24"/>
          <w:szCs w:val="28"/>
        </w:rPr>
        <w:t>50%</w:t>
      </w:r>
      <w:r>
        <w:rPr>
          <w:rFonts w:ascii="Times New Roman" w:eastAsia="宋体" w:hAnsi="Times New Roman" w:cs="Times New Roman"/>
          <w:sz w:val="24"/>
          <w:szCs w:val="28"/>
        </w:rPr>
        <w:t>，</w:t>
      </w:r>
      <w:r>
        <w:rPr>
          <w:rFonts w:ascii="Times New Roman" w:eastAsia="宋体" w:hAnsi="Times New Roman" w:cs="Times New Roman"/>
          <w:sz w:val="24"/>
          <w:szCs w:val="28"/>
        </w:rPr>
        <w:t>H</w:t>
      </w:r>
      <w:r>
        <w:rPr>
          <w:rFonts w:ascii="Times New Roman" w:eastAsia="宋体" w:hAnsi="Times New Roman" w:cs="Times New Roman"/>
          <w:sz w:val="24"/>
          <w:szCs w:val="28"/>
          <w:vertAlign w:val="subscript"/>
        </w:rPr>
        <w:t>2</w:t>
      </w:r>
      <w:r>
        <w:rPr>
          <w:rFonts w:ascii="Times New Roman" w:eastAsia="宋体" w:hAnsi="Times New Roman" w:cs="Times New Roman"/>
          <w:sz w:val="24"/>
          <w:szCs w:val="28"/>
        </w:rPr>
        <w:t>S</w:t>
      </w:r>
      <w:r>
        <w:rPr>
          <w:rFonts w:ascii="Times New Roman" w:eastAsia="宋体" w:hAnsi="Times New Roman" w:cs="Times New Roman"/>
          <w:sz w:val="24"/>
          <w:szCs w:val="28"/>
        </w:rPr>
        <w:t>占垃圾填埋气体产生量的约</w:t>
      </w:r>
      <w:r>
        <w:rPr>
          <w:rFonts w:ascii="Times New Roman" w:eastAsia="宋体" w:hAnsi="Times New Roman" w:cs="Times New Roman"/>
          <w:sz w:val="24"/>
          <w:szCs w:val="28"/>
        </w:rPr>
        <w:t>0~1.0%</w:t>
      </w:r>
      <w:r>
        <w:rPr>
          <w:rFonts w:ascii="Times New Roman" w:eastAsia="宋体" w:hAnsi="Times New Roman" w:cs="Times New Roman"/>
          <w:sz w:val="24"/>
          <w:szCs w:val="28"/>
        </w:rPr>
        <w:t>，</w:t>
      </w:r>
      <w:r>
        <w:rPr>
          <w:rFonts w:ascii="Times New Roman" w:eastAsia="宋体" w:hAnsi="Times New Roman" w:cs="Times New Roman"/>
          <w:sz w:val="24"/>
          <w:szCs w:val="28"/>
        </w:rPr>
        <w:t>NH</w:t>
      </w:r>
      <w:r>
        <w:rPr>
          <w:rFonts w:ascii="Times New Roman" w:eastAsia="宋体" w:hAnsi="Times New Roman" w:cs="Times New Roman"/>
          <w:sz w:val="24"/>
          <w:szCs w:val="28"/>
          <w:vertAlign w:val="subscript"/>
        </w:rPr>
        <w:t>3</w:t>
      </w:r>
      <w:r>
        <w:rPr>
          <w:rFonts w:ascii="Times New Roman" w:eastAsia="宋体" w:hAnsi="Times New Roman" w:cs="Times New Roman"/>
          <w:sz w:val="24"/>
          <w:szCs w:val="28"/>
        </w:rPr>
        <w:t>占填埋气体体积为</w:t>
      </w:r>
      <w:r>
        <w:rPr>
          <w:rFonts w:ascii="Times New Roman" w:eastAsia="宋体" w:hAnsi="Times New Roman" w:cs="Times New Roman"/>
          <w:sz w:val="24"/>
          <w:szCs w:val="28"/>
        </w:rPr>
        <w:t>0~0.2%</w:t>
      </w:r>
      <w:r>
        <w:rPr>
          <w:rFonts w:ascii="Times New Roman" w:eastAsia="宋体" w:hAnsi="Times New Roman" w:cs="Times New Roman"/>
          <w:sz w:val="24"/>
          <w:szCs w:val="28"/>
        </w:rPr>
        <w:t>。由于垃圾在填埋的不同时期内其有害物质的产生量不同，</w:t>
      </w:r>
      <w:r>
        <w:rPr>
          <w:rFonts w:ascii="Times New Roman" w:eastAsia="宋体" w:hAnsi="Times New Roman" w:cs="Times New Roman" w:hint="eastAsia"/>
          <w:sz w:val="24"/>
          <w:szCs w:val="28"/>
        </w:rPr>
        <w:t>本次</w:t>
      </w:r>
      <w:r>
        <w:rPr>
          <w:rFonts w:ascii="Times New Roman" w:eastAsia="宋体" w:hAnsi="Times New Roman" w:cs="Times New Roman"/>
          <w:sz w:val="24"/>
          <w:szCs w:val="28"/>
        </w:rPr>
        <w:t>评价</w:t>
      </w:r>
      <w:r>
        <w:rPr>
          <w:rFonts w:ascii="Times New Roman" w:eastAsia="宋体" w:hAnsi="Times New Roman" w:cs="Times New Roman"/>
          <w:sz w:val="24"/>
          <w:szCs w:val="28"/>
        </w:rPr>
        <w:lastRenderedPageBreak/>
        <w:t>时</w:t>
      </w:r>
      <w:r>
        <w:rPr>
          <w:rFonts w:ascii="Times New Roman" w:eastAsia="宋体" w:hAnsi="Times New Roman" w:cs="Times New Roman"/>
          <w:sz w:val="24"/>
          <w:szCs w:val="28"/>
        </w:rPr>
        <w:t>CH</w:t>
      </w:r>
      <w:r>
        <w:rPr>
          <w:rFonts w:ascii="Times New Roman" w:eastAsia="宋体" w:hAnsi="Times New Roman" w:cs="Times New Roman"/>
          <w:sz w:val="24"/>
          <w:szCs w:val="28"/>
          <w:vertAlign w:val="subscript"/>
        </w:rPr>
        <w:t>4</w:t>
      </w:r>
      <w:r>
        <w:rPr>
          <w:rFonts w:ascii="Times New Roman" w:eastAsia="宋体" w:hAnsi="Times New Roman" w:cs="Times New Roman"/>
          <w:sz w:val="24"/>
          <w:szCs w:val="28"/>
        </w:rPr>
        <w:t>占比取</w:t>
      </w:r>
      <w:r>
        <w:rPr>
          <w:rFonts w:ascii="Times New Roman" w:eastAsia="宋体" w:hAnsi="Times New Roman" w:cs="Times New Roman"/>
          <w:sz w:val="24"/>
          <w:szCs w:val="28"/>
        </w:rPr>
        <w:t>50%</w:t>
      </w:r>
      <w:r>
        <w:rPr>
          <w:rFonts w:ascii="Times New Roman" w:eastAsia="宋体" w:hAnsi="Times New Roman" w:cs="Times New Roman"/>
          <w:sz w:val="24"/>
          <w:szCs w:val="28"/>
        </w:rPr>
        <w:t>，</w:t>
      </w:r>
      <w:r>
        <w:rPr>
          <w:rFonts w:ascii="Times New Roman" w:eastAsia="宋体" w:hAnsi="Times New Roman" w:cs="Times New Roman"/>
          <w:sz w:val="24"/>
          <w:szCs w:val="28"/>
        </w:rPr>
        <w:t>H</w:t>
      </w:r>
      <w:r>
        <w:rPr>
          <w:rFonts w:ascii="Times New Roman" w:eastAsia="宋体" w:hAnsi="Times New Roman" w:cs="Times New Roman"/>
          <w:sz w:val="24"/>
          <w:szCs w:val="28"/>
          <w:vertAlign w:val="subscript"/>
        </w:rPr>
        <w:t>2</w:t>
      </w:r>
      <w:r>
        <w:rPr>
          <w:rFonts w:ascii="Times New Roman" w:eastAsia="宋体" w:hAnsi="Times New Roman" w:cs="Times New Roman"/>
          <w:sz w:val="24"/>
          <w:szCs w:val="28"/>
        </w:rPr>
        <w:t>S</w:t>
      </w:r>
      <w:r>
        <w:rPr>
          <w:rFonts w:ascii="Times New Roman" w:eastAsia="宋体" w:hAnsi="Times New Roman" w:cs="Times New Roman"/>
          <w:sz w:val="24"/>
          <w:szCs w:val="28"/>
        </w:rPr>
        <w:t>占比取</w:t>
      </w:r>
      <w:r>
        <w:rPr>
          <w:rFonts w:ascii="Times New Roman" w:eastAsia="宋体" w:hAnsi="Times New Roman" w:cs="Times New Roman"/>
          <w:sz w:val="24"/>
          <w:szCs w:val="28"/>
        </w:rPr>
        <w:t>0.015%</w:t>
      </w:r>
      <w:r>
        <w:rPr>
          <w:rFonts w:ascii="Times New Roman" w:eastAsia="宋体" w:hAnsi="Times New Roman" w:cs="Times New Roman"/>
          <w:sz w:val="24"/>
          <w:szCs w:val="28"/>
        </w:rPr>
        <w:t>，</w:t>
      </w:r>
      <w:r>
        <w:rPr>
          <w:rFonts w:ascii="Times New Roman" w:eastAsia="宋体" w:hAnsi="Times New Roman" w:cs="Times New Roman"/>
          <w:sz w:val="24"/>
          <w:szCs w:val="28"/>
        </w:rPr>
        <w:t>NH</w:t>
      </w:r>
      <w:r>
        <w:rPr>
          <w:rFonts w:ascii="Times New Roman" w:eastAsia="宋体" w:hAnsi="Times New Roman" w:cs="Times New Roman"/>
          <w:sz w:val="24"/>
          <w:szCs w:val="28"/>
          <w:vertAlign w:val="subscript"/>
        </w:rPr>
        <w:t>3</w:t>
      </w:r>
      <w:r>
        <w:rPr>
          <w:rFonts w:ascii="Times New Roman" w:eastAsia="宋体" w:hAnsi="Times New Roman" w:cs="Times New Roman"/>
          <w:sz w:val="24"/>
          <w:szCs w:val="28"/>
        </w:rPr>
        <w:t>取</w:t>
      </w:r>
      <w:r>
        <w:rPr>
          <w:rFonts w:ascii="Times New Roman" w:eastAsia="宋体" w:hAnsi="Times New Roman" w:cs="Times New Roman"/>
          <w:sz w:val="24"/>
          <w:szCs w:val="28"/>
        </w:rPr>
        <w:t>0.5%</w:t>
      </w:r>
      <w:r>
        <w:rPr>
          <w:rFonts w:ascii="Times New Roman" w:eastAsia="宋体" w:hAnsi="Times New Roman" w:cs="Times New Roman"/>
          <w:sz w:val="24"/>
          <w:szCs w:val="28"/>
        </w:rPr>
        <w:t>，各物质密度分别取甲烷</w:t>
      </w:r>
      <w:r>
        <w:rPr>
          <w:rFonts w:ascii="Times New Roman" w:eastAsia="宋体" w:hAnsi="Times New Roman" w:cs="Times New Roman"/>
          <w:sz w:val="24"/>
          <w:szCs w:val="28"/>
        </w:rPr>
        <w:t>0.717kg/m</w:t>
      </w:r>
      <w:r>
        <w:rPr>
          <w:rFonts w:ascii="Times New Roman" w:eastAsia="宋体" w:hAnsi="Times New Roman" w:cs="Times New Roman"/>
          <w:sz w:val="24"/>
          <w:szCs w:val="28"/>
          <w:vertAlign w:val="superscript"/>
        </w:rPr>
        <w:t>3</w:t>
      </w:r>
      <w:r>
        <w:rPr>
          <w:rFonts w:ascii="Times New Roman" w:eastAsia="宋体" w:hAnsi="Times New Roman" w:cs="Times New Roman"/>
          <w:sz w:val="24"/>
          <w:szCs w:val="28"/>
        </w:rPr>
        <w:t>、硫化氢</w:t>
      </w:r>
      <w:r>
        <w:rPr>
          <w:rFonts w:ascii="Times New Roman" w:eastAsia="宋体" w:hAnsi="Times New Roman" w:cs="Times New Roman"/>
          <w:sz w:val="24"/>
          <w:szCs w:val="28"/>
        </w:rPr>
        <w:t>1.52kg/m</w:t>
      </w:r>
      <w:r>
        <w:rPr>
          <w:rFonts w:ascii="Times New Roman" w:eastAsia="宋体" w:hAnsi="Times New Roman" w:cs="Times New Roman"/>
          <w:sz w:val="24"/>
          <w:szCs w:val="28"/>
          <w:vertAlign w:val="superscript"/>
        </w:rPr>
        <w:t>3</w:t>
      </w:r>
      <w:r>
        <w:rPr>
          <w:rFonts w:ascii="Times New Roman" w:eastAsia="宋体" w:hAnsi="Times New Roman" w:cs="Times New Roman"/>
          <w:sz w:val="24"/>
          <w:szCs w:val="28"/>
        </w:rPr>
        <w:t>、氨气</w:t>
      </w:r>
      <w:r>
        <w:rPr>
          <w:rFonts w:ascii="Times New Roman" w:eastAsia="宋体" w:hAnsi="Times New Roman" w:cs="Times New Roman"/>
          <w:sz w:val="24"/>
          <w:szCs w:val="28"/>
        </w:rPr>
        <w:t>0.77kg/m</w:t>
      </w:r>
      <w:r>
        <w:rPr>
          <w:rFonts w:ascii="Times New Roman" w:eastAsia="宋体" w:hAnsi="Times New Roman" w:cs="Times New Roman"/>
          <w:sz w:val="24"/>
          <w:szCs w:val="28"/>
          <w:vertAlign w:val="superscript"/>
        </w:rPr>
        <w:t>3</w:t>
      </w:r>
      <w:r>
        <w:rPr>
          <w:rFonts w:ascii="Times New Roman" w:eastAsia="宋体" w:hAnsi="Times New Roman" w:cs="Times New Roman"/>
          <w:sz w:val="24"/>
          <w:szCs w:val="28"/>
        </w:rPr>
        <w:t>，则填埋气中各组分气体的产生量</w:t>
      </w:r>
      <w:r>
        <w:rPr>
          <w:rFonts w:ascii="Times New Roman" w:eastAsia="宋体" w:hAnsi="Times New Roman" w:cs="Times New Roman" w:hint="eastAsia"/>
          <w:sz w:val="24"/>
          <w:szCs w:val="28"/>
        </w:rPr>
        <w:t>及产生速率</w:t>
      </w:r>
      <w:r>
        <w:rPr>
          <w:rFonts w:ascii="Times New Roman" w:eastAsia="宋体" w:hAnsi="Times New Roman" w:cs="Times New Roman"/>
          <w:sz w:val="24"/>
          <w:szCs w:val="28"/>
        </w:rPr>
        <w:t>计算结果见表</w:t>
      </w:r>
      <w:r>
        <w:rPr>
          <w:rFonts w:ascii="Times New Roman" w:eastAsia="宋体" w:hAnsi="Times New Roman" w:cs="Times New Roman"/>
          <w:sz w:val="24"/>
          <w:szCs w:val="28"/>
        </w:rPr>
        <w:t>4.2-8</w:t>
      </w:r>
      <w:r>
        <w:rPr>
          <w:rFonts w:ascii="Times New Roman" w:eastAsia="宋体" w:hAnsi="Times New Roman" w:cs="Times New Roman"/>
          <w:sz w:val="24"/>
          <w:szCs w:val="28"/>
        </w:rPr>
        <w:t>。</w:t>
      </w:r>
    </w:p>
    <w:p w14:paraId="7C6182DF" w14:textId="77777777" w:rsidR="00D12939" w:rsidRDefault="004F47F5">
      <w:pPr>
        <w:adjustRightInd w:val="0"/>
        <w:spacing w:line="360" w:lineRule="auto"/>
        <w:ind w:firstLine="480"/>
        <w:jc w:val="center"/>
        <w:rPr>
          <w:rFonts w:ascii="黑体" w:eastAsia="黑体" w:hAnsi="黑体" w:cs="Times New Roman"/>
          <w:sz w:val="24"/>
          <w:szCs w:val="28"/>
        </w:rPr>
      </w:pPr>
      <w:r>
        <w:rPr>
          <w:rFonts w:ascii="黑体" w:eastAsia="黑体" w:hAnsi="黑体" w:cs="Times New Roman" w:hint="eastAsia"/>
          <w:sz w:val="24"/>
          <w:szCs w:val="28"/>
        </w:rPr>
        <w:t>表4</w:t>
      </w:r>
      <w:r>
        <w:rPr>
          <w:rFonts w:ascii="黑体" w:eastAsia="黑体" w:hAnsi="黑体" w:cs="Times New Roman"/>
          <w:sz w:val="24"/>
          <w:szCs w:val="28"/>
        </w:rPr>
        <w:t>.2-8  填埋气中各组分气体的产生量</w:t>
      </w:r>
      <w:r>
        <w:rPr>
          <w:rFonts w:ascii="黑体" w:eastAsia="黑体" w:hAnsi="黑体" w:cs="Times New Roman" w:hint="eastAsia"/>
          <w:sz w:val="24"/>
          <w:szCs w:val="28"/>
        </w:rPr>
        <w:t>及产生速率</w:t>
      </w:r>
      <w:r>
        <w:rPr>
          <w:rFonts w:ascii="黑体" w:eastAsia="黑体" w:hAnsi="黑体" w:cs="Times New Roman"/>
          <w:sz w:val="24"/>
          <w:szCs w:val="28"/>
        </w:rPr>
        <w:t>计算结果</w:t>
      </w:r>
      <w:r>
        <w:rPr>
          <w:rFonts w:ascii="黑体" w:eastAsia="黑体" w:hAnsi="黑体" w:cs="Times New Roman" w:hint="eastAsia"/>
          <w:sz w:val="24"/>
          <w:szCs w:val="28"/>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540"/>
        <w:gridCol w:w="1295"/>
        <w:gridCol w:w="1219"/>
        <w:gridCol w:w="1209"/>
        <w:gridCol w:w="1209"/>
        <w:gridCol w:w="1209"/>
        <w:gridCol w:w="1209"/>
      </w:tblGrid>
      <w:tr w:rsidR="00D12939" w14:paraId="713F142E" w14:textId="77777777">
        <w:trPr>
          <w:trHeight w:val="215"/>
          <w:jc w:val="center"/>
        </w:trPr>
        <w:tc>
          <w:tcPr>
            <w:tcW w:w="434" w:type="pct"/>
            <w:vAlign w:val="center"/>
          </w:tcPr>
          <w:p w14:paraId="43E69C3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年份</w:t>
            </w:r>
          </w:p>
        </w:tc>
        <w:tc>
          <w:tcPr>
            <w:tcW w:w="791" w:type="pct"/>
            <w:vAlign w:val="center"/>
          </w:tcPr>
          <w:p w14:paraId="0104104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填埋气体日产生量（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w:t>
            </w:r>
          </w:p>
        </w:tc>
        <w:tc>
          <w:tcPr>
            <w:tcW w:w="665" w:type="pct"/>
            <w:vAlign w:val="center"/>
          </w:tcPr>
          <w:p w14:paraId="13F01D0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甲烷日产生量（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w:t>
            </w:r>
          </w:p>
        </w:tc>
        <w:tc>
          <w:tcPr>
            <w:tcW w:w="626" w:type="pct"/>
            <w:vAlign w:val="center"/>
          </w:tcPr>
          <w:p w14:paraId="7D973F3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硫化氢日产生量（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w:t>
            </w:r>
          </w:p>
        </w:tc>
        <w:tc>
          <w:tcPr>
            <w:tcW w:w="621" w:type="pct"/>
            <w:vAlign w:val="center"/>
          </w:tcPr>
          <w:p w14:paraId="2E61B90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氨气日产生量（</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w:t>
            </w:r>
          </w:p>
        </w:tc>
        <w:tc>
          <w:tcPr>
            <w:tcW w:w="621" w:type="pct"/>
            <w:vAlign w:val="center"/>
          </w:tcPr>
          <w:p w14:paraId="760403B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甲烷产生速率（</w:t>
            </w:r>
            <w:r>
              <w:rPr>
                <w:rFonts w:ascii="Times New Roman" w:eastAsia="宋体" w:hAnsi="Times New Roman" w:cs="Times New Roman"/>
              </w:rPr>
              <w:t>kg/h</w:t>
            </w:r>
            <w:r>
              <w:rPr>
                <w:rFonts w:ascii="Times New Roman" w:eastAsia="宋体" w:hAnsi="Times New Roman" w:cs="Times New Roman"/>
              </w:rPr>
              <w:t>）</w:t>
            </w:r>
          </w:p>
        </w:tc>
        <w:tc>
          <w:tcPr>
            <w:tcW w:w="621" w:type="pct"/>
            <w:vAlign w:val="center"/>
          </w:tcPr>
          <w:p w14:paraId="130EF92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硫化氢产生速率（</w:t>
            </w:r>
            <w:r>
              <w:rPr>
                <w:rFonts w:ascii="Times New Roman" w:eastAsia="宋体" w:hAnsi="Times New Roman" w:cs="Times New Roman"/>
              </w:rPr>
              <w:t>kg/h</w:t>
            </w:r>
            <w:r>
              <w:rPr>
                <w:rFonts w:ascii="Times New Roman" w:eastAsia="宋体" w:hAnsi="Times New Roman" w:cs="Times New Roman"/>
              </w:rPr>
              <w:t>）</w:t>
            </w:r>
          </w:p>
        </w:tc>
        <w:tc>
          <w:tcPr>
            <w:tcW w:w="621" w:type="pct"/>
            <w:vAlign w:val="center"/>
          </w:tcPr>
          <w:p w14:paraId="4078B18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氨气产生速率（</w:t>
            </w:r>
            <w:r>
              <w:rPr>
                <w:rFonts w:ascii="Times New Roman" w:eastAsia="宋体" w:hAnsi="Times New Roman" w:cs="Times New Roman"/>
              </w:rPr>
              <w:t>kg/h</w:t>
            </w:r>
            <w:r>
              <w:rPr>
                <w:rFonts w:ascii="Times New Roman" w:eastAsia="宋体" w:hAnsi="Times New Roman" w:cs="Times New Roman"/>
              </w:rPr>
              <w:t>）</w:t>
            </w:r>
          </w:p>
        </w:tc>
      </w:tr>
      <w:tr w:rsidR="00D12939" w14:paraId="1CBA8B52" w14:textId="77777777">
        <w:trPr>
          <w:trHeight w:val="231"/>
          <w:jc w:val="center"/>
        </w:trPr>
        <w:tc>
          <w:tcPr>
            <w:tcW w:w="434" w:type="pct"/>
            <w:vAlign w:val="center"/>
          </w:tcPr>
          <w:p w14:paraId="1BF612E3"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2024</w:t>
            </w:r>
          </w:p>
        </w:tc>
        <w:tc>
          <w:tcPr>
            <w:tcW w:w="791" w:type="pct"/>
            <w:vAlign w:val="center"/>
          </w:tcPr>
          <w:p w14:paraId="4A3F50C7" w14:textId="77777777" w:rsidR="00D12939" w:rsidRDefault="004F47F5">
            <w:pPr>
              <w:widowControl/>
              <w:jc w:val="center"/>
              <w:rPr>
                <w:rFonts w:ascii="Times New Roman" w:hAnsi="Times New Roman" w:cs="Times New Roman"/>
              </w:rPr>
            </w:pPr>
            <w:r>
              <w:rPr>
                <w:rFonts w:ascii="Times New Roman" w:hAnsi="Times New Roman" w:cs="Times New Roman"/>
              </w:rPr>
              <w:t>153.28</w:t>
            </w:r>
          </w:p>
        </w:tc>
        <w:tc>
          <w:tcPr>
            <w:tcW w:w="665" w:type="pct"/>
            <w:vAlign w:val="center"/>
          </w:tcPr>
          <w:p w14:paraId="7A0AB29D" w14:textId="77777777" w:rsidR="00D12939" w:rsidRDefault="004F47F5">
            <w:pPr>
              <w:jc w:val="center"/>
              <w:rPr>
                <w:rFonts w:ascii="Times New Roman" w:hAnsi="Times New Roman" w:cs="Times New Roman"/>
              </w:rPr>
            </w:pPr>
            <w:r>
              <w:rPr>
                <w:rFonts w:ascii="Times New Roman" w:hAnsi="Times New Roman" w:cs="Times New Roman"/>
              </w:rPr>
              <w:t>76.64</w:t>
            </w:r>
          </w:p>
        </w:tc>
        <w:tc>
          <w:tcPr>
            <w:tcW w:w="626" w:type="pct"/>
            <w:vAlign w:val="center"/>
          </w:tcPr>
          <w:p w14:paraId="07732674" w14:textId="77777777" w:rsidR="00D12939" w:rsidRDefault="004F47F5">
            <w:pPr>
              <w:widowControl/>
              <w:jc w:val="center"/>
              <w:rPr>
                <w:rFonts w:ascii="Times New Roman" w:hAnsi="Times New Roman" w:cs="Times New Roman"/>
              </w:rPr>
            </w:pPr>
            <w:r>
              <w:rPr>
                <w:rFonts w:ascii="Times New Roman" w:hAnsi="Times New Roman" w:cs="Times New Roman"/>
              </w:rPr>
              <w:t>0.02</w:t>
            </w:r>
          </w:p>
        </w:tc>
        <w:tc>
          <w:tcPr>
            <w:tcW w:w="621" w:type="pct"/>
            <w:vAlign w:val="center"/>
          </w:tcPr>
          <w:p w14:paraId="6796D587" w14:textId="77777777" w:rsidR="00D12939" w:rsidRDefault="004F47F5">
            <w:pPr>
              <w:jc w:val="center"/>
              <w:rPr>
                <w:rFonts w:ascii="Times New Roman" w:hAnsi="Times New Roman" w:cs="Times New Roman"/>
              </w:rPr>
            </w:pPr>
            <w:r>
              <w:rPr>
                <w:rFonts w:ascii="Times New Roman" w:hAnsi="Times New Roman" w:cs="Times New Roman"/>
              </w:rPr>
              <w:t>0.77</w:t>
            </w:r>
          </w:p>
        </w:tc>
        <w:tc>
          <w:tcPr>
            <w:tcW w:w="621" w:type="pct"/>
            <w:vAlign w:val="center"/>
          </w:tcPr>
          <w:p w14:paraId="208A8E63" w14:textId="77777777" w:rsidR="00D12939" w:rsidRDefault="004F47F5">
            <w:pPr>
              <w:widowControl/>
              <w:jc w:val="center"/>
              <w:rPr>
                <w:rFonts w:ascii="Times New Roman" w:hAnsi="Times New Roman" w:cs="Times New Roman"/>
              </w:rPr>
            </w:pPr>
            <w:r>
              <w:rPr>
                <w:rFonts w:ascii="Times New Roman" w:hAnsi="Times New Roman" w:cs="Times New Roman"/>
              </w:rPr>
              <w:t>2.290</w:t>
            </w:r>
          </w:p>
        </w:tc>
        <w:tc>
          <w:tcPr>
            <w:tcW w:w="621" w:type="pct"/>
            <w:vAlign w:val="center"/>
          </w:tcPr>
          <w:p w14:paraId="7E85267B" w14:textId="77777777" w:rsidR="00D12939" w:rsidRDefault="004F47F5">
            <w:pPr>
              <w:widowControl/>
              <w:jc w:val="center"/>
              <w:rPr>
                <w:rFonts w:ascii="Times New Roman" w:hAnsi="Times New Roman" w:cs="Times New Roman"/>
              </w:rPr>
            </w:pPr>
            <w:r>
              <w:rPr>
                <w:rFonts w:ascii="Times New Roman" w:hAnsi="Times New Roman" w:cs="Times New Roman"/>
              </w:rPr>
              <w:t>0.001</w:t>
            </w:r>
          </w:p>
        </w:tc>
        <w:tc>
          <w:tcPr>
            <w:tcW w:w="621" w:type="pct"/>
            <w:vAlign w:val="center"/>
          </w:tcPr>
          <w:p w14:paraId="55223791" w14:textId="77777777" w:rsidR="00D12939" w:rsidRDefault="004F47F5">
            <w:pPr>
              <w:jc w:val="center"/>
              <w:rPr>
                <w:rFonts w:ascii="Times New Roman" w:hAnsi="Times New Roman" w:cs="Times New Roman"/>
              </w:rPr>
            </w:pPr>
            <w:r>
              <w:rPr>
                <w:rFonts w:ascii="Times New Roman" w:hAnsi="Times New Roman" w:cs="Times New Roman"/>
              </w:rPr>
              <w:t>0.025</w:t>
            </w:r>
          </w:p>
        </w:tc>
      </w:tr>
      <w:tr w:rsidR="00D12939" w14:paraId="54040D81" w14:textId="77777777">
        <w:trPr>
          <w:trHeight w:val="128"/>
          <w:jc w:val="center"/>
        </w:trPr>
        <w:tc>
          <w:tcPr>
            <w:tcW w:w="434" w:type="pct"/>
            <w:vAlign w:val="center"/>
          </w:tcPr>
          <w:p w14:paraId="3B7F93D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2025</w:t>
            </w:r>
          </w:p>
        </w:tc>
        <w:tc>
          <w:tcPr>
            <w:tcW w:w="791" w:type="pct"/>
            <w:vAlign w:val="center"/>
          </w:tcPr>
          <w:p w14:paraId="285885A4" w14:textId="77777777" w:rsidR="00D12939" w:rsidRDefault="004F47F5">
            <w:pPr>
              <w:jc w:val="center"/>
              <w:rPr>
                <w:rFonts w:ascii="Times New Roman" w:hAnsi="Times New Roman" w:cs="Times New Roman"/>
              </w:rPr>
            </w:pPr>
            <w:r>
              <w:rPr>
                <w:rFonts w:ascii="Times New Roman" w:hAnsi="Times New Roman" w:cs="Times New Roman"/>
              </w:rPr>
              <w:t>277.39</w:t>
            </w:r>
          </w:p>
        </w:tc>
        <w:tc>
          <w:tcPr>
            <w:tcW w:w="665" w:type="pct"/>
            <w:vAlign w:val="center"/>
          </w:tcPr>
          <w:p w14:paraId="670B9DD2" w14:textId="77777777" w:rsidR="00D12939" w:rsidRDefault="004F47F5">
            <w:pPr>
              <w:jc w:val="center"/>
              <w:rPr>
                <w:rFonts w:ascii="Times New Roman" w:hAnsi="Times New Roman" w:cs="Times New Roman"/>
              </w:rPr>
            </w:pPr>
            <w:r>
              <w:rPr>
                <w:rFonts w:ascii="Times New Roman" w:hAnsi="Times New Roman" w:cs="Times New Roman"/>
              </w:rPr>
              <w:t>138.69</w:t>
            </w:r>
          </w:p>
        </w:tc>
        <w:tc>
          <w:tcPr>
            <w:tcW w:w="626" w:type="pct"/>
            <w:vAlign w:val="center"/>
          </w:tcPr>
          <w:p w14:paraId="43B278CD" w14:textId="77777777" w:rsidR="00D12939" w:rsidRDefault="004F47F5">
            <w:pPr>
              <w:jc w:val="center"/>
              <w:rPr>
                <w:rFonts w:ascii="Times New Roman" w:hAnsi="Times New Roman" w:cs="Times New Roman"/>
              </w:rPr>
            </w:pPr>
            <w:r>
              <w:rPr>
                <w:rFonts w:ascii="Times New Roman" w:hAnsi="Times New Roman" w:cs="Times New Roman"/>
              </w:rPr>
              <w:t>0.04</w:t>
            </w:r>
          </w:p>
        </w:tc>
        <w:tc>
          <w:tcPr>
            <w:tcW w:w="621" w:type="pct"/>
            <w:vAlign w:val="center"/>
          </w:tcPr>
          <w:p w14:paraId="30D11F73" w14:textId="77777777" w:rsidR="00D12939" w:rsidRDefault="004F47F5">
            <w:pPr>
              <w:jc w:val="center"/>
              <w:rPr>
                <w:rFonts w:ascii="Times New Roman" w:hAnsi="Times New Roman" w:cs="Times New Roman"/>
              </w:rPr>
            </w:pPr>
            <w:r>
              <w:rPr>
                <w:rFonts w:ascii="Times New Roman" w:hAnsi="Times New Roman" w:cs="Times New Roman"/>
              </w:rPr>
              <w:t>1.39</w:t>
            </w:r>
          </w:p>
        </w:tc>
        <w:tc>
          <w:tcPr>
            <w:tcW w:w="621" w:type="pct"/>
            <w:vAlign w:val="center"/>
          </w:tcPr>
          <w:p w14:paraId="61B0437C" w14:textId="77777777" w:rsidR="00D12939" w:rsidRDefault="004F47F5">
            <w:pPr>
              <w:jc w:val="center"/>
              <w:rPr>
                <w:rFonts w:ascii="Times New Roman" w:hAnsi="Times New Roman" w:cs="Times New Roman"/>
              </w:rPr>
            </w:pPr>
            <w:r>
              <w:rPr>
                <w:rFonts w:ascii="Times New Roman" w:hAnsi="Times New Roman" w:cs="Times New Roman"/>
              </w:rPr>
              <w:t>4.143</w:t>
            </w:r>
          </w:p>
        </w:tc>
        <w:tc>
          <w:tcPr>
            <w:tcW w:w="621" w:type="pct"/>
            <w:vAlign w:val="center"/>
          </w:tcPr>
          <w:p w14:paraId="4219DB8A" w14:textId="77777777" w:rsidR="00D12939" w:rsidRDefault="004F47F5">
            <w:pPr>
              <w:jc w:val="center"/>
              <w:rPr>
                <w:rFonts w:ascii="Times New Roman" w:hAnsi="Times New Roman" w:cs="Times New Roman"/>
              </w:rPr>
            </w:pPr>
            <w:r>
              <w:rPr>
                <w:rFonts w:ascii="Times New Roman" w:hAnsi="Times New Roman" w:cs="Times New Roman"/>
              </w:rPr>
              <w:t>0.003</w:t>
            </w:r>
          </w:p>
        </w:tc>
        <w:tc>
          <w:tcPr>
            <w:tcW w:w="621" w:type="pct"/>
            <w:vAlign w:val="center"/>
          </w:tcPr>
          <w:p w14:paraId="750821C2" w14:textId="77777777" w:rsidR="00D12939" w:rsidRDefault="004F47F5">
            <w:pPr>
              <w:jc w:val="center"/>
              <w:rPr>
                <w:rFonts w:ascii="Times New Roman" w:hAnsi="Times New Roman" w:cs="Times New Roman"/>
              </w:rPr>
            </w:pPr>
            <w:r>
              <w:rPr>
                <w:rFonts w:ascii="Times New Roman" w:hAnsi="Times New Roman" w:cs="Times New Roman"/>
              </w:rPr>
              <w:t>0.044</w:t>
            </w:r>
          </w:p>
        </w:tc>
      </w:tr>
      <w:tr w:rsidR="00D12939" w14:paraId="6B36EE71" w14:textId="77777777">
        <w:trPr>
          <w:trHeight w:val="135"/>
          <w:jc w:val="center"/>
        </w:trPr>
        <w:tc>
          <w:tcPr>
            <w:tcW w:w="434" w:type="pct"/>
            <w:vAlign w:val="center"/>
          </w:tcPr>
          <w:p w14:paraId="3A86FBC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2026</w:t>
            </w:r>
          </w:p>
        </w:tc>
        <w:tc>
          <w:tcPr>
            <w:tcW w:w="791" w:type="pct"/>
            <w:vAlign w:val="center"/>
          </w:tcPr>
          <w:p w14:paraId="67761367" w14:textId="77777777" w:rsidR="00D12939" w:rsidRDefault="004F47F5">
            <w:pPr>
              <w:jc w:val="center"/>
              <w:rPr>
                <w:rFonts w:ascii="Times New Roman" w:hAnsi="Times New Roman" w:cs="Times New Roman"/>
              </w:rPr>
            </w:pPr>
            <w:r>
              <w:rPr>
                <w:rFonts w:ascii="Times New Roman" w:hAnsi="Times New Roman" w:cs="Times New Roman"/>
              </w:rPr>
              <w:t>376.48</w:t>
            </w:r>
          </w:p>
        </w:tc>
        <w:tc>
          <w:tcPr>
            <w:tcW w:w="665" w:type="pct"/>
            <w:vAlign w:val="center"/>
          </w:tcPr>
          <w:p w14:paraId="37D337E7" w14:textId="77777777" w:rsidR="00D12939" w:rsidRDefault="004F47F5">
            <w:pPr>
              <w:jc w:val="center"/>
              <w:rPr>
                <w:rFonts w:ascii="Times New Roman" w:hAnsi="Times New Roman" w:cs="Times New Roman"/>
              </w:rPr>
            </w:pPr>
            <w:r>
              <w:rPr>
                <w:rFonts w:ascii="Times New Roman" w:hAnsi="Times New Roman" w:cs="Times New Roman"/>
              </w:rPr>
              <w:t>188.24</w:t>
            </w:r>
          </w:p>
        </w:tc>
        <w:tc>
          <w:tcPr>
            <w:tcW w:w="626" w:type="pct"/>
            <w:vAlign w:val="center"/>
          </w:tcPr>
          <w:p w14:paraId="3D145875" w14:textId="77777777" w:rsidR="00D12939" w:rsidRDefault="004F47F5">
            <w:pPr>
              <w:jc w:val="center"/>
              <w:rPr>
                <w:rFonts w:ascii="Times New Roman" w:hAnsi="Times New Roman" w:cs="Times New Roman"/>
              </w:rPr>
            </w:pPr>
            <w:r>
              <w:rPr>
                <w:rFonts w:ascii="Times New Roman" w:hAnsi="Times New Roman" w:cs="Times New Roman"/>
              </w:rPr>
              <w:t>0.06</w:t>
            </w:r>
          </w:p>
        </w:tc>
        <w:tc>
          <w:tcPr>
            <w:tcW w:w="621" w:type="pct"/>
            <w:vAlign w:val="center"/>
          </w:tcPr>
          <w:p w14:paraId="50925B8B" w14:textId="77777777" w:rsidR="00D12939" w:rsidRDefault="004F47F5">
            <w:pPr>
              <w:jc w:val="center"/>
              <w:rPr>
                <w:rFonts w:ascii="Times New Roman" w:hAnsi="Times New Roman" w:cs="Times New Roman"/>
              </w:rPr>
            </w:pPr>
            <w:r>
              <w:rPr>
                <w:rFonts w:ascii="Times New Roman" w:hAnsi="Times New Roman" w:cs="Times New Roman"/>
              </w:rPr>
              <w:t>1.88</w:t>
            </w:r>
          </w:p>
        </w:tc>
        <w:tc>
          <w:tcPr>
            <w:tcW w:w="621" w:type="pct"/>
            <w:vAlign w:val="center"/>
          </w:tcPr>
          <w:p w14:paraId="19CEB193" w14:textId="77777777" w:rsidR="00D12939" w:rsidRDefault="004F47F5">
            <w:pPr>
              <w:jc w:val="center"/>
              <w:rPr>
                <w:rFonts w:ascii="Times New Roman" w:hAnsi="Times New Roman" w:cs="Times New Roman"/>
              </w:rPr>
            </w:pPr>
            <w:r>
              <w:rPr>
                <w:rFonts w:ascii="Times New Roman" w:hAnsi="Times New Roman" w:cs="Times New Roman"/>
              </w:rPr>
              <w:t>5.624</w:t>
            </w:r>
          </w:p>
        </w:tc>
        <w:tc>
          <w:tcPr>
            <w:tcW w:w="621" w:type="pct"/>
            <w:vAlign w:val="center"/>
          </w:tcPr>
          <w:p w14:paraId="297F1238" w14:textId="77777777" w:rsidR="00D12939" w:rsidRDefault="004F47F5">
            <w:pPr>
              <w:jc w:val="center"/>
              <w:rPr>
                <w:rFonts w:ascii="Times New Roman" w:hAnsi="Times New Roman" w:cs="Times New Roman"/>
              </w:rPr>
            </w:pPr>
            <w:r>
              <w:rPr>
                <w:rFonts w:ascii="Times New Roman" w:hAnsi="Times New Roman" w:cs="Times New Roman"/>
              </w:rPr>
              <w:t>0.004</w:t>
            </w:r>
          </w:p>
        </w:tc>
        <w:tc>
          <w:tcPr>
            <w:tcW w:w="621" w:type="pct"/>
            <w:vAlign w:val="center"/>
          </w:tcPr>
          <w:p w14:paraId="0AEAC291" w14:textId="77777777" w:rsidR="00D12939" w:rsidRDefault="004F47F5">
            <w:pPr>
              <w:jc w:val="center"/>
              <w:rPr>
                <w:rFonts w:ascii="Times New Roman" w:hAnsi="Times New Roman" w:cs="Times New Roman"/>
              </w:rPr>
            </w:pPr>
            <w:r>
              <w:rPr>
                <w:rFonts w:ascii="Times New Roman" w:hAnsi="Times New Roman" w:cs="Times New Roman"/>
              </w:rPr>
              <w:t>0.060</w:t>
            </w:r>
          </w:p>
        </w:tc>
      </w:tr>
      <w:tr w:rsidR="00D12939" w14:paraId="3036B364" w14:textId="77777777">
        <w:trPr>
          <w:trHeight w:val="131"/>
          <w:jc w:val="center"/>
        </w:trPr>
        <w:tc>
          <w:tcPr>
            <w:tcW w:w="434" w:type="pct"/>
            <w:vAlign w:val="center"/>
          </w:tcPr>
          <w:p w14:paraId="356666F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2027</w:t>
            </w:r>
          </w:p>
        </w:tc>
        <w:tc>
          <w:tcPr>
            <w:tcW w:w="791" w:type="pct"/>
            <w:vAlign w:val="center"/>
          </w:tcPr>
          <w:p w14:paraId="34895D76" w14:textId="77777777" w:rsidR="00D12939" w:rsidRDefault="004F47F5">
            <w:pPr>
              <w:jc w:val="center"/>
              <w:rPr>
                <w:rFonts w:ascii="Times New Roman" w:hAnsi="Times New Roman" w:cs="Times New Roman"/>
              </w:rPr>
            </w:pPr>
            <w:r>
              <w:rPr>
                <w:rFonts w:ascii="Times New Roman" w:hAnsi="Times New Roman" w:cs="Times New Roman"/>
              </w:rPr>
              <w:t>454.21</w:t>
            </w:r>
          </w:p>
        </w:tc>
        <w:tc>
          <w:tcPr>
            <w:tcW w:w="665" w:type="pct"/>
            <w:vAlign w:val="center"/>
          </w:tcPr>
          <w:p w14:paraId="14D34D23" w14:textId="77777777" w:rsidR="00D12939" w:rsidRDefault="004F47F5">
            <w:pPr>
              <w:jc w:val="center"/>
              <w:rPr>
                <w:rFonts w:ascii="Times New Roman" w:hAnsi="Times New Roman" w:cs="Times New Roman"/>
              </w:rPr>
            </w:pPr>
            <w:r>
              <w:rPr>
                <w:rFonts w:ascii="Times New Roman" w:hAnsi="Times New Roman" w:cs="Times New Roman"/>
              </w:rPr>
              <w:t>227.10</w:t>
            </w:r>
          </w:p>
        </w:tc>
        <w:tc>
          <w:tcPr>
            <w:tcW w:w="626" w:type="pct"/>
            <w:vAlign w:val="center"/>
          </w:tcPr>
          <w:p w14:paraId="09430651" w14:textId="77777777" w:rsidR="00D12939" w:rsidRDefault="004F47F5">
            <w:pPr>
              <w:jc w:val="center"/>
              <w:rPr>
                <w:rFonts w:ascii="Times New Roman" w:hAnsi="Times New Roman" w:cs="Times New Roman"/>
              </w:rPr>
            </w:pPr>
            <w:r>
              <w:rPr>
                <w:rFonts w:ascii="Times New Roman" w:hAnsi="Times New Roman" w:cs="Times New Roman"/>
              </w:rPr>
              <w:t>0.07</w:t>
            </w:r>
          </w:p>
        </w:tc>
        <w:tc>
          <w:tcPr>
            <w:tcW w:w="621" w:type="pct"/>
            <w:vAlign w:val="center"/>
          </w:tcPr>
          <w:p w14:paraId="6B5619A8" w14:textId="77777777" w:rsidR="00D12939" w:rsidRDefault="004F47F5">
            <w:pPr>
              <w:jc w:val="center"/>
              <w:rPr>
                <w:rFonts w:ascii="Times New Roman" w:hAnsi="Times New Roman" w:cs="Times New Roman"/>
              </w:rPr>
            </w:pPr>
            <w:r>
              <w:rPr>
                <w:rFonts w:ascii="Times New Roman" w:hAnsi="Times New Roman" w:cs="Times New Roman"/>
              </w:rPr>
              <w:t>2.27</w:t>
            </w:r>
          </w:p>
        </w:tc>
        <w:tc>
          <w:tcPr>
            <w:tcW w:w="621" w:type="pct"/>
            <w:vAlign w:val="center"/>
          </w:tcPr>
          <w:p w14:paraId="61231FC4" w14:textId="77777777" w:rsidR="00D12939" w:rsidRDefault="004F47F5">
            <w:pPr>
              <w:jc w:val="center"/>
              <w:rPr>
                <w:rFonts w:ascii="Times New Roman" w:hAnsi="Times New Roman" w:cs="Times New Roman"/>
              </w:rPr>
            </w:pPr>
            <w:r>
              <w:rPr>
                <w:rFonts w:ascii="Times New Roman" w:hAnsi="Times New Roman" w:cs="Times New Roman"/>
              </w:rPr>
              <w:t>6.785</w:t>
            </w:r>
          </w:p>
        </w:tc>
        <w:tc>
          <w:tcPr>
            <w:tcW w:w="621" w:type="pct"/>
            <w:vAlign w:val="center"/>
          </w:tcPr>
          <w:p w14:paraId="1B868509" w14:textId="77777777" w:rsidR="00D12939" w:rsidRDefault="004F47F5">
            <w:pPr>
              <w:jc w:val="center"/>
              <w:rPr>
                <w:rFonts w:ascii="Times New Roman" w:hAnsi="Times New Roman" w:cs="Times New Roman"/>
              </w:rPr>
            </w:pPr>
            <w:r>
              <w:rPr>
                <w:rFonts w:ascii="Times New Roman" w:hAnsi="Times New Roman" w:cs="Times New Roman"/>
              </w:rPr>
              <w:t>0.004</w:t>
            </w:r>
          </w:p>
        </w:tc>
        <w:tc>
          <w:tcPr>
            <w:tcW w:w="621" w:type="pct"/>
            <w:vAlign w:val="center"/>
          </w:tcPr>
          <w:p w14:paraId="12AA7427" w14:textId="77777777" w:rsidR="00D12939" w:rsidRDefault="004F47F5">
            <w:pPr>
              <w:jc w:val="center"/>
              <w:rPr>
                <w:rFonts w:ascii="Times New Roman" w:hAnsi="Times New Roman" w:cs="Times New Roman"/>
              </w:rPr>
            </w:pPr>
            <w:r>
              <w:rPr>
                <w:rFonts w:ascii="Times New Roman" w:hAnsi="Times New Roman" w:cs="Times New Roman"/>
              </w:rPr>
              <w:t>0.073</w:t>
            </w:r>
          </w:p>
        </w:tc>
      </w:tr>
      <w:tr w:rsidR="00D12939" w14:paraId="36E10003" w14:textId="77777777">
        <w:trPr>
          <w:trHeight w:val="131"/>
          <w:jc w:val="center"/>
        </w:trPr>
        <w:tc>
          <w:tcPr>
            <w:tcW w:w="434" w:type="pct"/>
            <w:vAlign w:val="center"/>
          </w:tcPr>
          <w:p w14:paraId="3D8CD82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2028</w:t>
            </w:r>
          </w:p>
        </w:tc>
        <w:tc>
          <w:tcPr>
            <w:tcW w:w="791" w:type="pct"/>
            <w:vAlign w:val="center"/>
          </w:tcPr>
          <w:p w14:paraId="5F4CF4F5" w14:textId="77777777" w:rsidR="00D12939" w:rsidRDefault="004F47F5">
            <w:pPr>
              <w:jc w:val="center"/>
              <w:rPr>
                <w:rFonts w:ascii="Times New Roman" w:hAnsi="Times New Roman" w:cs="Times New Roman"/>
              </w:rPr>
            </w:pPr>
            <w:r>
              <w:rPr>
                <w:rFonts w:ascii="Times New Roman" w:hAnsi="Times New Roman" w:cs="Times New Roman"/>
              </w:rPr>
              <w:t>513.73</w:t>
            </w:r>
          </w:p>
        </w:tc>
        <w:tc>
          <w:tcPr>
            <w:tcW w:w="665" w:type="pct"/>
            <w:vAlign w:val="center"/>
          </w:tcPr>
          <w:p w14:paraId="265E3BF7" w14:textId="77777777" w:rsidR="00D12939" w:rsidRDefault="004F47F5">
            <w:pPr>
              <w:jc w:val="center"/>
              <w:rPr>
                <w:rFonts w:ascii="Times New Roman" w:hAnsi="Times New Roman" w:cs="Times New Roman"/>
              </w:rPr>
            </w:pPr>
            <w:r>
              <w:rPr>
                <w:rFonts w:ascii="Times New Roman" w:hAnsi="Times New Roman" w:cs="Times New Roman"/>
              </w:rPr>
              <w:t>256.87</w:t>
            </w:r>
          </w:p>
        </w:tc>
        <w:tc>
          <w:tcPr>
            <w:tcW w:w="626" w:type="pct"/>
            <w:vAlign w:val="center"/>
          </w:tcPr>
          <w:p w14:paraId="082F27DC" w14:textId="77777777" w:rsidR="00D12939" w:rsidRDefault="004F47F5">
            <w:pPr>
              <w:jc w:val="center"/>
              <w:rPr>
                <w:rFonts w:ascii="Times New Roman" w:hAnsi="Times New Roman" w:cs="Times New Roman"/>
              </w:rPr>
            </w:pPr>
            <w:r>
              <w:rPr>
                <w:rFonts w:ascii="Times New Roman" w:hAnsi="Times New Roman" w:cs="Times New Roman"/>
              </w:rPr>
              <w:t>0.08</w:t>
            </w:r>
          </w:p>
        </w:tc>
        <w:tc>
          <w:tcPr>
            <w:tcW w:w="621" w:type="pct"/>
            <w:vAlign w:val="center"/>
          </w:tcPr>
          <w:p w14:paraId="1418CE15" w14:textId="77777777" w:rsidR="00D12939" w:rsidRDefault="004F47F5">
            <w:pPr>
              <w:jc w:val="center"/>
              <w:rPr>
                <w:rFonts w:ascii="Times New Roman" w:hAnsi="Times New Roman" w:cs="Times New Roman"/>
              </w:rPr>
            </w:pPr>
            <w:r>
              <w:rPr>
                <w:rFonts w:ascii="Times New Roman" w:hAnsi="Times New Roman" w:cs="Times New Roman"/>
              </w:rPr>
              <w:t>2.57</w:t>
            </w:r>
          </w:p>
        </w:tc>
        <w:tc>
          <w:tcPr>
            <w:tcW w:w="621" w:type="pct"/>
            <w:vAlign w:val="center"/>
          </w:tcPr>
          <w:p w14:paraId="16A6C716" w14:textId="77777777" w:rsidR="00D12939" w:rsidRDefault="004F47F5">
            <w:pPr>
              <w:jc w:val="center"/>
              <w:rPr>
                <w:rFonts w:ascii="Times New Roman" w:hAnsi="Times New Roman" w:cs="Times New Roman"/>
              </w:rPr>
            </w:pPr>
            <w:r>
              <w:rPr>
                <w:rFonts w:ascii="Times New Roman" w:hAnsi="Times New Roman" w:cs="Times New Roman"/>
              </w:rPr>
              <w:t>7.674</w:t>
            </w:r>
          </w:p>
        </w:tc>
        <w:tc>
          <w:tcPr>
            <w:tcW w:w="621" w:type="pct"/>
            <w:vAlign w:val="center"/>
          </w:tcPr>
          <w:p w14:paraId="17304719" w14:textId="77777777" w:rsidR="00D12939" w:rsidRDefault="004F47F5">
            <w:pPr>
              <w:jc w:val="center"/>
              <w:rPr>
                <w:rFonts w:ascii="Times New Roman" w:hAnsi="Times New Roman" w:cs="Times New Roman"/>
              </w:rPr>
            </w:pPr>
            <w:r>
              <w:rPr>
                <w:rFonts w:ascii="Times New Roman" w:hAnsi="Times New Roman" w:cs="Times New Roman"/>
              </w:rPr>
              <w:t>0.005</w:t>
            </w:r>
          </w:p>
        </w:tc>
        <w:tc>
          <w:tcPr>
            <w:tcW w:w="621" w:type="pct"/>
            <w:vAlign w:val="center"/>
          </w:tcPr>
          <w:p w14:paraId="32245516" w14:textId="77777777" w:rsidR="00D12939" w:rsidRDefault="004F47F5">
            <w:pPr>
              <w:jc w:val="center"/>
              <w:rPr>
                <w:rFonts w:ascii="Times New Roman" w:hAnsi="Times New Roman" w:cs="Times New Roman"/>
              </w:rPr>
            </w:pPr>
            <w:r>
              <w:rPr>
                <w:rFonts w:ascii="Times New Roman" w:hAnsi="Times New Roman" w:cs="Times New Roman"/>
              </w:rPr>
              <w:t>0.082</w:t>
            </w:r>
          </w:p>
        </w:tc>
      </w:tr>
      <w:tr w:rsidR="00D12939" w14:paraId="24FED399" w14:textId="77777777">
        <w:trPr>
          <w:trHeight w:val="131"/>
          <w:jc w:val="center"/>
        </w:trPr>
        <w:tc>
          <w:tcPr>
            <w:tcW w:w="434" w:type="pct"/>
            <w:vAlign w:val="center"/>
          </w:tcPr>
          <w:p w14:paraId="70CA56D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2029</w:t>
            </w:r>
          </w:p>
        </w:tc>
        <w:tc>
          <w:tcPr>
            <w:tcW w:w="791" w:type="pct"/>
            <w:vAlign w:val="center"/>
          </w:tcPr>
          <w:p w14:paraId="1D718710" w14:textId="77777777" w:rsidR="00D12939" w:rsidRDefault="004F47F5">
            <w:pPr>
              <w:jc w:val="center"/>
              <w:rPr>
                <w:rFonts w:ascii="Times New Roman" w:hAnsi="Times New Roman" w:cs="Times New Roman"/>
              </w:rPr>
            </w:pPr>
            <w:r>
              <w:rPr>
                <w:rFonts w:ascii="Times New Roman" w:hAnsi="Times New Roman" w:cs="Times New Roman"/>
              </w:rPr>
              <w:t>557.81</w:t>
            </w:r>
          </w:p>
        </w:tc>
        <w:tc>
          <w:tcPr>
            <w:tcW w:w="665" w:type="pct"/>
            <w:vAlign w:val="center"/>
          </w:tcPr>
          <w:p w14:paraId="27574376" w14:textId="77777777" w:rsidR="00D12939" w:rsidRDefault="004F47F5">
            <w:pPr>
              <w:jc w:val="center"/>
              <w:rPr>
                <w:rFonts w:ascii="Times New Roman" w:hAnsi="Times New Roman" w:cs="Times New Roman"/>
              </w:rPr>
            </w:pPr>
            <w:r>
              <w:rPr>
                <w:rFonts w:ascii="Times New Roman" w:hAnsi="Times New Roman" w:cs="Times New Roman"/>
              </w:rPr>
              <w:t>278.91</w:t>
            </w:r>
          </w:p>
        </w:tc>
        <w:tc>
          <w:tcPr>
            <w:tcW w:w="626" w:type="pct"/>
            <w:vAlign w:val="center"/>
          </w:tcPr>
          <w:p w14:paraId="59C3C6C1" w14:textId="77777777" w:rsidR="00D12939" w:rsidRDefault="004F47F5">
            <w:pPr>
              <w:jc w:val="center"/>
              <w:rPr>
                <w:rFonts w:ascii="Times New Roman" w:hAnsi="Times New Roman" w:cs="Times New Roman"/>
              </w:rPr>
            </w:pPr>
            <w:r>
              <w:rPr>
                <w:rFonts w:ascii="Times New Roman" w:hAnsi="Times New Roman" w:cs="Times New Roman"/>
              </w:rPr>
              <w:t>0.08</w:t>
            </w:r>
          </w:p>
        </w:tc>
        <w:tc>
          <w:tcPr>
            <w:tcW w:w="621" w:type="pct"/>
            <w:vAlign w:val="center"/>
          </w:tcPr>
          <w:p w14:paraId="46ACBF7E" w14:textId="77777777" w:rsidR="00D12939" w:rsidRDefault="004F47F5">
            <w:pPr>
              <w:jc w:val="center"/>
              <w:rPr>
                <w:rFonts w:ascii="Times New Roman" w:hAnsi="Times New Roman" w:cs="Times New Roman"/>
              </w:rPr>
            </w:pPr>
            <w:r>
              <w:rPr>
                <w:rFonts w:ascii="Times New Roman" w:hAnsi="Times New Roman" w:cs="Times New Roman"/>
              </w:rPr>
              <w:t>2.79</w:t>
            </w:r>
          </w:p>
        </w:tc>
        <w:tc>
          <w:tcPr>
            <w:tcW w:w="621" w:type="pct"/>
            <w:vAlign w:val="center"/>
          </w:tcPr>
          <w:p w14:paraId="6C3B1565" w14:textId="77777777" w:rsidR="00D12939" w:rsidRDefault="004F47F5">
            <w:pPr>
              <w:jc w:val="center"/>
              <w:rPr>
                <w:rFonts w:ascii="Times New Roman" w:hAnsi="Times New Roman" w:cs="Times New Roman"/>
              </w:rPr>
            </w:pPr>
            <w:r>
              <w:rPr>
                <w:rFonts w:ascii="Times New Roman" w:hAnsi="Times New Roman" w:cs="Times New Roman"/>
              </w:rPr>
              <w:t>8.332</w:t>
            </w:r>
          </w:p>
        </w:tc>
        <w:tc>
          <w:tcPr>
            <w:tcW w:w="621" w:type="pct"/>
            <w:vAlign w:val="center"/>
          </w:tcPr>
          <w:p w14:paraId="31B0AE9E" w14:textId="77777777" w:rsidR="00D12939" w:rsidRDefault="004F47F5">
            <w:pPr>
              <w:jc w:val="center"/>
              <w:rPr>
                <w:rFonts w:ascii="Times New Roman" w:hAnsi="Times New Roman" w:cs="Times New Roman"/>
              </w:rPr>
            </w:pPr>
            <w:r>
              <w:rPr>
                <w:rFonts w:ascii="Times New Roman" w:hAnsi="Times New Roman" w:cs="Times New Roman"/>
              </w:rPr>
              <w:t>0.005</w:t>
            </w:r>
          </w:p>
        </w:tc>
        <w:tc>
          <w:tcPr>
            <w:tcW w:w="621" w:type="pct"/>
            <w:vAlign w:val="center"/>
          </w:tcPr>
          <w:p w14:paraId="62279EAA" w14:textId="77777777" w:rsidR="00D12939" w:rsidRDefault="004F47F5">
            <w:pPr>
              <w:jc w:val="center"/>
              <w:rPr>
                <w:rFonts w:ascii="Times New Roman" w:hAnsi="Times New Roman" w:cs="Times New Roman"/>
              </w:rPr>
            </w:pPr>
            <w:r>
              <w:rPr>
                <w:rFonts w:ascii="Times New Roman" w:hAnsi="Times New Roman" w:cs="Times New Roman"/>
              </w:rPr>
              <w:t>0.089</w:t>
            </w:r>
          </w:p>
        </w:tc>
      </w:tr>
      <w:tr w:rsidR="00D12939" w14:paraId="54F5D538" w14:textId="77777777">
        <w:trPr>
          <w:trHeight w:val="131"/>
          <w:jc w:val="center"/>
        </w:trPr>
        <w:tc>
          <w:tcPr>
            <w:tcW w:w="434" w:type="pct"/>
            <w:vAlign w:val="center"/>
          </w:tcPr>
          <w:p w14:paraId="5F08676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2030</w:t>
            </w:r>
          </w:p>
        </w:tc>
        <w:tc>
          <w:tcPr>
            <w:tcW w:w="791" w:type="pct"/>
            <w:vAlign w:val="center"/>
          </w:tcPr>
          <w:p w14:paraId="6072C310" w14:textId="77777777" w:rsidR="00D12939" w:rsidRDefault="004F47F5">
            <w:pPr>
              <w:jc w:val="center"/>
              <w:rPr>
                <w:rFonts w:ascii="Times New Roman" w:hAnsi="Times New Roman" w:cs="Times New Roman"/>
              </w:rPr>
            </w:pPr>
            <w:r>
              <w:rPr>
                <w:rFonts w:ascii="Times New Roman" w:hAnsi="Times New Roman" w:cs="Times New Roman"/>
              </w:rPr>
              <w:t>588.85</w:t>
            </w:r>
          </w:p>
        </w:tc>
        <w:tc>
          <w:tcPr>
            <w:tcW w:w="665" w:type="pct"/>
            <w:vAlign w:val="center"/>
          </w:tcPr>
          <w:p w14:paraId="2DB219F3" w14:textId="77777777" w:rsidR="00D12939" w:rsidRDefault="004F47F5">
            <w:pPr>
              <w:jc w:val="center"/>
              <w:rPr>
                <w:rFonts w:ascii="Times New Roman" w:hAnsi="Times New Roman" w:cs="Times New Roman"/>
              </w:rPr>
            </w:pPr>
            <w:r>
              <w:rPr>
                <w:rFonts w:ascii="Times New Roman" w:hAnsi="Times New Roman" w:cs="Times New Roman"/>
              </w:rPr>
              <w:t>294.43</w:t>
            </w:r>
          </w:p>
        </w:tc>
        <w:tc>
          <w:tcPr>
            <w:tcW w:w="626" w:type="pct"/>
            <w:vAlign w:val="center"/>
          </w:tcPr>
          <w:p w14:paraId="249A50A7"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621" w:type="pct"/>
            <w:vAlign w:val="center"/>
          </w:tcPr>
          <w:p w14:paraId="4F14D42F" w14:textId="77777777" w:rsidR="00D12939" w:rsidRDefault="004F47F5">
            <w:pPr>
              <w:jc w:val="center"/>
              <w:rPr>
                <w:rFonts w:ascii="Times New Roman" w:hAnsi="Times New Roman" w:cs="Times New Roman"/>
              </w:rPr>
            </w:pPr>
            <w:r>
              <w:rPr>
                <w:rFonts w:ascii="Times New Roman" w:hAnsi="Times New Roman" w:cs="Times New Roman"/>
              </w:rPr>
              <w:t>2.94</w:t>
            </w:r>
          </w:p>
        </w:tc>
        <w:tc>
          <w:tcPr>
            <w:tcW w:w="621" w:type="pct"/>
            <w:vAlign w:val="center"/>
          </w:tcPr>
          <w:p w14:paraId="6D1CEDC8" w14:textId="77777777" w:rsidR="00D12939" w:rsidRDefault="004F47F5">
            <w:pPr>
              <w:jc w:val="center"/>
              <w:rPr>
                <w:rFonts w:ascii="Times New Roman" w:hAnsi="Times New Roman" w:cs="Times New Roman"/>
              </w:rPr>
            </w:pPr>
            <w:r>
              <w:rPr>
                <w:rFonts w:ascii="Times New Roman" w:hAnsi="Times New Roman" w:cs="Times New Roman"/>
              </w:rPr>
              <w:t>8.796</w:t>
            </w:r>
          </w:p>
        </w:tc>
        <w:tc>
          <w:tcPr>
            <w:tcW w:w="621" w:type="pct"/>
            <w:vAlign w:val="center"/>
          </w:tcPr>
          <w:p w14:paraId="09DB0247" w14:textId="77777777" w:rsidR="00D12939" w:rsidRDefault="004F47F5">
            <w:pPr>
              <w:jc w:val="center"/>
              <w:rPr>
                <w:rFonts w:ascii="Times New Roman" w:hAnsi="Times New Roman" w:cs="Times New Roman"/>
              </w:rPr>
            </w:pPr>
            <w:r>
              <w:rPr>
                <w:rFonts w:ascii="Times New Roman" w:hAnsi="Times New Roman" w:cs="Times New Roman"/>
              </w:rPr>
              <w:t>0.006</w:t>
            </w:r>
          </w:p>
        </w:tc>
        <w:tc>
          <w:tcPr>
            <w:tcW w:w="621" w:type="pct"/>
            <w:vAlign w:val="center"/>
          </w:tcPr>
          <w:p w14:paraId="31F31192" w14:textId="77777777" w:rsidR="00D12939" w:rsidRDefault="004F47F5">
            <w:pPr>
              <w:jc w:val="center"/>
              <w:rPr>
                <w:rFonts w:ascii="Times New Roman" w:hAnsi="Times New Roman" w:cs="Times New Roman"/>
              </w:rPr>
            </w:pPr>
            <w:r>
              <w:rPr>
                <w:rFonts w:ascii="Times New Roman" w:hAnsi="Times New Roman" w:cs="Times New Roman"/>
              </w:rPr>
              <w:t>0.094</w:t>
            </w:r>
          </w:p>
        </w:tc>
      </w:tr>
      <w:tr w:rsidR="00D12939" w14:paraId="3511FD42" w14:textId="77777777">
        <w:trPr>
          <w:trHeight w:val="131"/>
          <w:jc w:val="center"/>
        </w:trPr>
        <w:tc>
          <w:tcPr>
            <w:tcW w:w="434" w:type="pct"/>
            <w:vAlign w:val="center"/>
          </w:tcPr>
          <w:p w14:paraId="7601B49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2031</w:t>
            </w:r>
          </w:p>
        </w:tc>
        <w:tc>
          <w:tcPr>
            <w:tcW w:w="791" w:type="pct"/>
            <w:vAlign w:val="center"/>
          </w:tcPr>
          <w:p w14:paraId="3A7ABAC2" w14:textId="77777777" w:rsidR="00D12939" w:rsidRDefault="004F47F5">
            <w:pPr>
              <w:jc w:val="center"/>
              <w:rPr>
                <w:rFonts w:ascii="Times New Roman" w:hAnsi="Times New Roman" w:cs="Times New Roman"/>
              </w:rPr>
            </w:pPr>
            <w:r>
              <w:rPr>
                <w:rFonts w:ascii="Times New Roman" w:hAnsi="Times New Roman" w:cs="Times New Roman"/>
              </w:rPr>
              <w:t>608.93</w:t>
            </w:r>
          </w:p>
        </w:tc>
        <w:tc>
          <w:tcPr>
            <w:tcW w:w="665" w:type="pct"/>
            <w:vAlign w:val="center"/>
          </w:tcPr>
          <w:p w14:paraId="115B8882" w14:textId="77777777" w:rsidR="00D12939" w:rsidRDefault="004F47F5">
            <w:pPr>
              <w:jc w:val="center"/>
              <w:rPr>
                <w:rFonts w:ascii="Times New Roman" w:hAnsi="Times New Roman" w:cs="Times New Roman"/>
              </w:rPr>
            </w:pPr>
            <w:r>
              <w:rPr>
                <w:rFonts w:ascii="Times New Roman" w:hAnsi="Times New Roman" w:cs="Times New Roman"/>
              </w:rPr>
              <w:t>304.47</w:t>
            </w:r>
          </w:p>
        </w:tc>
        <w:tc>
          <w:tcPr>
            <w:tcW w:w="626" w:type="pct"/>
            <w:vAlign w:val="center"/>
          </w:tcPr>
          <w:p w14:paraId="7F90A981"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621" w:type="pct"/>
            <w:vAlign w:val="center"/>
          </w:tcPr>
          <w:p w14:paraId="6BC3C899" w14:textId="77777777" w:rsidR="00D12939" w:rsidRDefault="004F47F5">
            <w:pPr>
              <w:jc w:val="center"/>
              <w:rPr>
                <w:rFonts w:ascii="Times New Roman" w:hAnsi="Times New Roman" w:cs="Times New Roman"/>
              </w:rPr>
            </w:pPr>
            <w:r>
              <w:rPr>
                <w:rFonts w:ascii="Times New Roman" w:hAnsi="Times New Roman" w:cs="Times New Roman"/>
              </w:rPr>
              <w:t>3.04</w:t>
            </w:r>
          </w:p>
        </w:tc>
        <w:tc>
          <w:tcPr>
            <w:tcW w:w="621" w:type="pct"/>
            <w:vAlign w:val="center"/>
          </w:tcPr>
          <w:p w14:paraId="50F396D5" w14:textId="77777777" w:rsidR="00D12939" w:rsidRDefault="004F47F5">
            <w:pPr>
              <w:jc w:val="center"/>
              <w:rPr>
                <w:rFonts w:ascii="Times New Roman" w:hAnsi="Times New Roman" w:cs="Times New Roman"/>
              </w:rPr>
            </w:pPr>
            <w:r>
              <w:rPr>
                <w:rFonts w:ascii="Times New Roman" w:hAnsi="Times New Roman" w:cs="Times New Roman"/>
              </w:rPr>
              <w:t>9.096</w:t>
            </w:r>
          </w:p>
        </w:tc>
        <w:tc>
          <w:tcPr>
            <w:tcW w:w="621" w:type="pct"/>
            <w:vAlign w:val="center"/>
          </w:tcPr>
          <w:p w14:paraId="2BEE4FF5" w14:textId="77777777" w:rsidR="00D12939" w:rsidRDefault="004F47F5">
            <w:pPr>
              <w:jc w:val="center"/>
              <w:rPr>
                <w:rFonts w:ascii="Times New Roman" w:hAnsi="Times New Roman" w:cs="Times New Roman"/>
              </w:rPr>
            </w:pPr>
            <w:r>
              <w:rPr>
                <w:rFonts w:ascii="Times New Roman" w:hAnsi="Times New Roman" w:cs="Times New Roman"/>
              </w:rPr>
              <w:t>0.006</w:t>
            </w:r>
          </w:p>
        </w:tc>
        <w:tc>
          <w:tcPr>
            <w:tcW w:w="621" w:type="pct"/>
            <w:vAlign w:val="center"/>
          </w:tcPr>
          <w:p w14:paraId="707E3707" w14:textId="77777777" w:rsidR="00D12939" w:rsidRDefault="004F47F5">
            <w:pPr>
              <w:jc w:val="center"/>
              <w:rPr>
                <w:rFonts w:ascii="Times New Roman" w:hAnsi="Times New Roman" w:cs="Times New Roman"/>
              </w:rPr>
            </w:pPr>
            <w:r>
              <w:rPr>
                <w:rFonts w:ascii="Times New Roman" w:hAnsi="Times New Roman" w:cs="Times New Roman"/>
              </w:rPr>
              <w:t>0.098</w:t>
            </w:r>
          </w:p>
        </w:tc>
      </w:tr>
      <w:tr w:rsidR="00D12939" w14:paraId="50B06BF5" w14:textId="77777777">
        <w:trPr>
          <w:trHeight w:val="131"/>
          <w:jc w:val="center"/>
        </w:trPr>
        <w:tc>
          <w:tcPr>
            <w:tcW w:w="434" w:type="pct"/>
            <w:vAlign w:val="center"/>
          </w:tcPr>
          <w:p w14:paraId="0E2D8E3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2032</w:t>
            </w:r>
          </w:p>
        </w:tc>
        <w:tc>
          <w:tcPr>
            <w:tcW w:w="791" w:type="pct"/>
            <w:vAlign w:val="center"/>
          </w:tcPr>
          <w:p w14:paraId="04B69C05" w14:textId="77777777" w:rsidR="00D12939" w:rsidRDefault="004F47F5">
            <w:pPr>
              <w:jc w:val="center"/>
              <w:rPr>
                <w:rFonts w:ascii="Times New Roman" w:hAnsi="Times New Roman" w:cs="Times New Roman"/>
              </w:rPr>
            </w:pPr>
            <w:r>
              <w:rPr>
                <w:rFonts w:ascii="Times New Roman" w:hAnsi="Times New Roman" w:cs="Times New Roman"/>
              </w:rPr>
              <w:t>619.86</w:t>
            </w:r>
          </w:p>
        </w:tc>
        <w:tc>
          <w:tcPr>
            <w:tcW w:w="665" w:type="pct"/>
            <w:vAlign w:val="center"/>
          </w:tcPr>
          <w:p w14:paraId="6C8C27D5" w14:textId="77777777" w:rsidR="00D12939" w:rsidRDefault="004F47F5">
            <w:pPr>
              <w:jc w:val="center"/>
              <w:rPr>
                <w:rFonts w:ascii="Times New Roman" w:hAnsi="Times New Roman" w:cs="Times New Roman"/>
              </w:rPr>
            </w:pPr>
            <w:r>
              <w:rPr>
                <w:rFonts w:ascii="Times New Roman" w:hAnsi="Times New Roman" w:cs="Times New Roman"/>
              </w:rPr>
              <w:t>309.93</w:t>
            </w:r>
          </w:p>
        </w:tc>
        <w:tc>
          <w:tcPr>
            <w:tcW w:w="626" w:type="pct"/>
            <w:vAlign w:val="center"/>
          </w:tcPr>
          <w:p w14:paraId="57E1032C"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621" w:type="pct"/>
            <w:vAlign w:val="center"/>
          </w:tcPr>
          <w:p w14:paraId="6E43A54B" w14:textId="77777777" w:rsidR="00D12939" w:rsidRDefault="004F47F5">
            <w:pPr>
              <w:jc w:val="center"/>
              <w:rPr>
                <w:rFonts w:ascii="Times New Roman" w:hAnsi="Times New Roman" w:cs="Times New Roman"/>
              </w:rPr>
            </w:pPr>
            <w:r>
              <w:rPr>
                <w:rFonts w:ascii="Times New Roman" w:hAnsi="Times New Roman" w:cs="Times New Roman"/>
              </w:rPr>
              <w:t>3.10</w:t>
            </w:r>
          </w:p>
        </w:tc>
        <w:tc>
          <w:tcPr>
            <w:tcW w:w="621" w:type="pct"/>
            <w:vAlign w:val="center"/>
          </w:tcPr>
          <w:p w14:paraId="3429272E" w14:textId="77777777" w:rsidR="00D12939" w:rsidRDefault="004F47F5">
            <w:pPr>
              <w:jc w:val="center"/>
              <w:rPr>
                <w:rFonts w:ascii="Times New Roman" w:hAnsi="Times New Roman" w:cs="Times New Roman"/>
              </w:rPr>
            </w:pPr>
            <w:r>
              <w:rPr>
                <w:rFonts w:ascii="Times New Roman" w:hAnsi="Times New Roman" w:cs="Times New Roman"/>
              </w:rPr>
              <w:t>9.259</w:t>
            </w:r>
          </w:p>
        </w:tc>
        <w:tc>
          <w:tcPr>
            <w:tcW w:w="621" w:type="pct"/>
            <w:vAlign w:val="center"/>
          </w:tcPr>
          <w:p w14:paraId="29D0F025" w14:textId="77777777" w:rsidR="00D12939" w:rsidRDefault="004F47F5">
            <w:pPr>
              <w:jc w:val="center"/>
              <w:rPr>
                <w:rFonts w:ascii="Times New Roman" w:hAnsi="Times New Roman" w:cs="Times New Roman"/>
              </w:rPr>
            </w:pPr>
            <w:r>
              <w:rPr>
                <w:rFonts w:ascii="Times New Roman" w:hAnsi="Times New Roman" w:cs="Times New Roman"/>
              </w:rPr>
              <w:t>0.006</w:t>
            </w:r>
          </w:p>
        </w:tc>
        <w:tc>
          <w:tcPr>
            <w:tcW w:w="621" w:type="pct"/>
            <w:vAlign w:val="center"/>
          </w:tcPr>
          <w:p w14:paraId="4F998C83" w14:textId="77777777" w:rsidR="00D12939" w:rsidRDefault="004F47F5">
            <w:pPr>
              <w:jc w:val="center"/>
              <w:rPr>
                <w:rFonts w:ascii="Times New Roman" w:hAnsi="Times New Roman" w:cs="Times New Roman"/>
              </w:rPr>
            </w:pPr>
            <w:r>
              <w:rPr>
                <w:rFonts w:ascii="Times New Roman" w:hAnsi="Times New Roman" w:cs="Times New Roman"/>
              </w:rPr>
              <w:t>0.099</w:t>
            </w:r>
          </w:p>
        </w:tc>
      </w:tr>
      <w:tr w:rsidR="00D12939" w14:paraId="370D722D" w14:textId="77777777">
        <w:trPr>
          <w:trHeight w:val="131"/>
          <w:jc w:val="center"/>
        </w:trPr>
        <w:tc>
          <w:tcPr>
            <w:tcW w:w="434" w:type="pct"/>
            <w:vAlign w:val="center"/>
          </w:tcPr>
          <w:p w14:paraId="1B2A8533" w14:textId="77777777" w:rsidR="00D12939" w:rsidRDefault="004F47F5">
            <w:pPr>
              <w:jc w:val="center"/>
              <w:rPr>
                <w:rFonts w:ascii="Times New Roman" w:eastAsia="宋体" w:hAnsi="Times New Roman" w:cs="Times New Roman"/>
                <w:b/>
                <w:szCs w:val="21"/>
              </w:rPr>
            </w:pPr>
            <w:r>
              <w:rPr>
                <w:rFonts w:ascii="Times New Roman" w:eastAsia="宋体" w:hAnsi="Times New Roman" w:cs="Times New Roman"/>
                <w:b/>
                <w:szCs w:val="21"/>
              </w:rPr>
              <w:t>2033</w:t>
            </w:r>
          </w:p>
        </w:tc>
        <w:tc>
          <w:tcPr>
            <w:tcW w:w="791" w:type="pct"/>
            <w:vAlign w:val="center"/>
          </w:tcPr>
          <w:p w14:paraId="4944BE48" w14:textId="77777777" w:rsidR="00D12939" w:rsidRDefault="004F47F5">
            <w:pPr>
              <w:jc w:val="center"/>
              <w:rPr>
                <w:rFonts w:ascii="Times New Roman" w:hAnsi="Times New Roman" w:cs="Times New Roman"/>
                <w:b/>
              </w:rPr>
            </w:pPr>
            <w:r>
              <w:rPr>
                <w:rFonts w:ascii="Times New Roman" w:hAnsi="Times New Roman" w:cs="Times New Roman"/>
                <w:b/>
              </w:rPr>
              <w:t>623.19</w:t>
            </w:r>
          </w:p>
        </w:tc>
        <w:tc>
          <w:tcPr>
            <w:tcW w:w="665" w:type="pct"/>
            <w:vAlign w:val="center"/>
          </w:tcPr>
          <w:p w14:paraId="6D44B84E" w14:textId="77777777" w:rsidR="00D12939" w:rsidRDefault="004F47F5">
            <w:pPr>
              <w:jc w:val="center"/>
              <w:rPr>
                <w:rFonts w:ascii="Times New Roman" w:hAnsi="Times New Roman" w:cs="Times New Roman"/>
                <w:b/>
              </w:rPr>
            </w:pPr>
            <w:r>
              <w:rPr>
                <w:rFonts w:ascii="Times New Roman" w:hAnsi="Times New Roman" w:cs="Times New Roman"/>
                <w:b/>
              </w:rPr>
              <w:t>311.59</w:t>
            </w:r>
          </w:p>
        </w:tc>
        <w:tc>
          <w:tcPr>
            <w:tcW w:w="626" w:type="pct"/>
            <w:vAlign w:val="center"/>
          </w:tcPr>
          <w:p w14:paraId="005F749D" w14:textId="77777777" w:rsidR="00D12939" w:rsidRDefault="004F47F5">
            <w:pPr>
              <w:jc w:val="center"/>
              <w:rPr>
                <w:rFonts w:ascii="Times New Roman" w:hAnsi="Times New Roman" w:cs="Times New Roman"/>
                <w:b/>
              </w:rPr>
            </w:pPr>
            <w:r>
              <w:rPr>
                <w:rFonts w:ascii="Times New Roman" w:hAnsi="Times New Roman" w:cs="Times New Roman"/>
                <w:b/>
              </w:rPr>
              <w:t>0.09</w:t>
            </w:r>
          </w:p>
        </w:tc>
        <w:tc>
          <w:tcPr>
            <w:tcW w:w="621" w:type="pct"/>
            <w:vAlign w:val="center"/>
          </w:tcPr>
          <w:p w14:paraId="69094A47" w14:textId="77777777" w:rsidR="00D12939" w:rsidRDefault="004F47F5">
            <w:pPr>
              <w:jc w:val="center"/>
              <w:rPr>
                <w:rFonts w:ascii="Times New Roman" w:hAnsi="Times New Roman" w:cs="Times New Roman"/>
                <w:b/>
              </w:rPr>
            </w:pPr>
            <w:r>
              <w:rPr>
                <w:rFonts w:ascii="Times New Roman" w:hAnsi="Times New Roman" w:cs="Times New Roman"/>
                <w:b/>
              </w:rPr>
              <w:t>3.12</w:t>
            </w:r>
          </w:p>
        </w:tc>
        <w:tc>
          <w:tcPr>
            <w:tcW w:w="621" w:type="pct"/>
            <w:vAlign w:val="center"/>
          </w:tcPr>
          <w:p w14:paraId="24737C2F" w14:textId="77777777" w:rsidR="00D12939" w:rsidRDefault="004F47F5">
            <w:pPr>
              <w:jc w:val="center"/>
              <w:rPr>
                <w:rFonts w:ascii="Times New Roman" w:hAnsi="Times New Roman" w:cs="Times New Roman"/>
                <w:b/>
              </w:rPr>
            </w:pPr>
            <w:r>
              <w:rPr>
                <w:rFonts w:ascii="Times New Roman" w:hAnsi="Times New Roman" w:cs="Times New Roman"/>
                <w:b/>
              </w:rPr>
              <w:t>9.309</w:t>
            </w:r>
          </w:p>
        </w:tc>
        <w:tc>
          <w:tcPr>
            <w:tcW w:w="621" w:type="pct"/>
            <w:vAlign w:val="center"/>
          </w:tcPr>
          <w:p w14:paraId="7D6FD8A2" w14:textId="77777777" w:rsidR="00D12939" w:rsidRDefault="004F47F5">
            <w:pPr>
              <w:jc w:val="center"/>
              <w:rPr>
                <w:rFonts w:ascii="Times New Roman" w:hAnsi="Times New Roman" w:cs="Times New Roman"/>
                <w:b/>
              </w:rPr>
            </w:pPr>
            <w:r>
              <w:rPr>
                <w:rFonts w:ascii="Times New Roman" w:hAnsi="Times New Roman" w:cs="Times New Roman"/>
                <w:b/>
              </w:rPr>
              <w:t>0.006</w:t>
            </w:r>
          </w:p>
        </w:tc>
        <w:tc>
          <w:tcPr>
            <w:tcW w:w="621" w:type="pct"/>
            <w:vAlign w:val="center"/>
          </w:tcPr>
          <w:p w14:paraId="46D6BC95" w14:textId="77777777" w:rsidR="00D12939" w:rsidRDefault="004F47F5">
            <w:pPr>
              <w:jc w:val="center"/>
              <w:rPr>
                <w:rFonts w:ascii="Times New Roman" w:hAnsi="Times New Roman" w:cs="Times New Roman"/>
                <w:b/>
              </w:rPr>
            </w:pPr>
            <w:r>
              <w:rPr>
                <w:rFonts w:ascii="Times New Roman" w:hAnsi="Times New Roman" w:cs="Times New Roman"/>
                <w:b/>
              </w:rPr>
              <w:t>0.100</w:t>
            </w:r>
          </w:p>
        </w:tc>
      </w:tr>
      <w:tr w:rsidR="00D12939" w14:paraId="6E7B1153" w14:textId="77777777">
        <w:trPr>
          <w:trHeight w:val="131"/>
          <w:jc w:val="center"/>
        </w:trPr>
        <w:tc>
          <w:tcPr>
            <w:tcW w:w="434" w:type="pct"/>
            <w:vAlign w:val="center"/>
          </w:tcPr>
          <w:p w14:paraId="19E1FE3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2034</w:t>
            </w:r>
          </w:p>
        </w:tc>
        <w:tc>
          <w:tcPr>
            <w:tcW w:w="791" w:type="pct"/>
            <w:vAlign w:val="center"/>
          </w:tcPr>
          <w:p w14:paraId="0DE263F8" w14:textId="77777777" w:rsidR="00D12939" w:rsidRDefault="004F47F5">
            <w:pPr>
              <w:jc w:val="center"/>
              <w:rPr>
                <w:rFonts w:ascii="Times New Roman" w:hAnsi="Times New Roman" w:cs="Times New Roman"/>
              </w:rPr>
            </w:pPr>
            <w:r>
              <w:rPr>
                <w:rFonts w:ascii="Times New Roman" w:hAnsi="Times New Roman" w:cs="Times New Roman"/>
              </w:rPr>
              <w:t>620.27</w:t>
            </w:r>
          </w:p>
        </w:tc>
        <w:tc>
          <w:tcPr>
            <w:tcW w:w="665" w:type="pct"/>
            <w:vAlign w:val="center"/>
          </w:tcPr>
          <w:p w14:paraId="4121C85B" w14:textId="77777777" w:rsidR="00D12939" w:rsidRDefault="004F47F5">
            <w:pPr>
              <w:jc w:val="center"/>
              <w:rPr>
                <w:rFonts w:ascii="Times New Roman" w:hAnsi="Times New Roman" w:cs="Times New Roman"/>
              </w:rPr>
            </w:pPr>
            <w:r>
              <w:rPr>
                <w:rFonts w:ascii="Times New Roman" w:hAnsi="Times New Roman" w:cs="Times New Roman"/>
              </w:rPr>
              <w:t>310.14</w:t>
            </w:r>
          </w:p>
        </w:tc>
        <w:tc>
          <w:tcPr>
            <w:tcW w:w="626" w:type="pct"/>
            <w:vAlign w:val="center"/>
          </w:tcPr>
          <w:p w14:paraId="48102BCA"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621" w:type="pct"/>
            <w:vAlign w:val="center"/>
          </w:tcPr>
          <w:p w14:paraId="2F6CD154" w14:textId="77777777" w:rsidR="00D12939" w:rsidRDefault="004F47F5">
            <w:pPr>
              <w:jc w:val="center"/>
              <w:rPr>
                <w:rFonts w:ascii="Times New Roman" w:hAnsi="Times New Roman" w:cs="Times New Roman"/>
              </w:rPr>
            </w:pPr>
            <w:r>
              <w:rPr>
                <w:rFonts w:ascii="Times New Roman" w:hAnsi="Times New Roman" w:cs="Times New Roman"/>
              </w:rPr>
              <w:t>3.10</w:t>
            </w:r>
          </w:p>
        </w:tc>
        <w:tc>
          <w:tcPr>
            <w:tcW w:w="621" w:type="pct"/>
            <w:vAlign w:val="center"/>
          </w:tcPr>
          <w:p w14:paraId="7CA76166" w14:textId="77777777" w:rsidR="00D12939" w:rsidRDefault="004F47F5">
            <w:pPr>
              <w:jc w:val="center"/>
              <w:rPr>
                <w:rFonts w:ascii="Times New Roman" w:hAnsi="Times New Roman" w:cs="Times New Roman"/>
              </w:rPr>
            </w:pPr>
            <w:r>
              <w:rPr>
                <w:rFonts w:ascii="Times New Roman" w:hAnsi="Times New Roman" w:cs="Times New Roman"/>
              </w:rPr>
              <w:t>9.265</w:t>
            </w:r>
          </w:p>
        </w:tc>
        <w:tc>
          <w:tcPr>
            <w:tcW w:w="621" w:type="pct"/>
            <w:vAlign w:val="center"/>
          </w:tcPr>
          <w:p w14:paraId="3C5076BF" w14:textId="77777777" w:rsidR="00D12939" w:rsidRDefault="004F47F5">
            <w:pPr>
              <w:jc w:val="center"/>
              <w:rPr>
                <w:rFonts w:ascii="Times New Roman" w:hAnsi="Times New Roman" w:cs="Times New Roman"/>
              </w:rPr>
            </w:pPr>
            <w:r>
              <w:rPr>
                <w:rFonts w:ascii="Times New Roman" w:hAnsi="Times New Roman" w:cs="Times New Roman"/>
              </w:rPr>
              <w:t>0.006</w:t>
            </w:r>
          </w:p>
        </w:tc>
        <w:tc>
          <w:tcPr>
            <w:tcW w:w="621" w:type="pct"/>
            <w:vAlign w:val="center"/>
          </w:tcPr>
          <w:p w14:paraId="75E85E6A" w14:textId="77777777" w:rsidR="00D12939" w:rsidRDefault="004F47F5">
            <w:pPr>
              <w:jc w:val="center"/>
              <w:rPr>
                <w:rFonts w:ascii="Times New Roman" w:hAnsi="Times New Roman" w:cs="Times New Roman"/>
              </w:rPr>
            </w:pPr>
            <w:r>
              <w:rPr>
                <w:rFonts w:ascii="Times New Roman" w:hAnsi="Times New Roman" w:cs="Times New Roman"/>
              </w:rPr>
              <w:t>0.100</w:t>
            </w:r>
          </w:p>
        </w:tc>
      </w:tr>
      <w:tr w:rsidR="00D12939" w14:paraId="64FC5D34" w14:textId="77777777">
        <w:trPr>
          <w:trHeight w:val="131"/>
          <w:jc w:val="center"/>
        </w:trPr>
        <w:tc>
          <w:tcPr>
            <w:tcW w:w="434" w:type="pct"/>
            <w:vAlign w:val="center"/>
          </w:tcPr>
          <w:p w14:paraId="0254911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2035</w:t>
            </w:r>
          </w:p>
        </w:tc>
        <w:tc>
          <w:tcPr>
            <w:tcW w:w="791" w:type="pct"/>
            <w:vAlign w:val="center"/>
          </w:tcPr>
          <w:p w14:paraId="014E1305" w14:textId="77777777" w:rsidR="00D12939" w:rsidRDefault="004F47F5">
            <w:pPr>
              <w:jc w:val="center"/>
              <w:rPr>
                <w:rFonts w:ascii="Times New Roman" w:hAnsi="Times New Roman" w:cs="Times New Roman"/>
              </w:rPr>
            </w:pPr>
            <w:r>
              <w:rPr>
                <w:rFonts w:ascii="Times New Roman" w:hAnsi="Times New Roman" w:cs="Times New Roman"/>
              </w:rPr>
              <w:t>612.27</w:t>
            </w:r>
          </w:p>
        </w:tc>
        <w:tc>
          <w:tcPr>
            <w:tcW w:w="665" w:type="pct"/>
            <w:vAlign w:val="center"/>
          </w:tcPr>
          <w:p w14:paraId="2B3C5221" w14:textId="77777777" w:rsidR="00D12939" w:rsidRDefault="004F47F5">
            <w:pPr>
              <w:jc w:val="center"/>
              <w:rPr>
                <w:rFonts w:ascii="Times New Roman" w:hAnsi="Times New Roman" w:cs="Times New Roman"/>
              </w:rPr>
            </w:pPr>
            <w:r>
              <w:rPr>
                <w:rFonts w:ascii="Times New Roman" w:hAnsi="Times New Roman" w:cs="Times New Roman"/>
              </w:rPr>
              <w:t>306.13</w:t>
            </w:r>
          </w:p>
        </w:tc>
        <w:tc>
          <w:tcPr>
            <w:tcW w:w="626" w:type="pct"/>
            <w:vAlign w:val="center"/>
          </w:tcPr>
          <w:p w14:paraId="44278603"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621" w:type="pct"/>
            <w:vAlign w:val="center"/>
          </w:tcPr>
          <w:p w14:paraId="3B4CF978" w14:textId="77777777" w:rsidR="00D12939" w:rsidRDefault="004F47F5">
            <w:pPr>
              <w:jc w:val="center"/>
              <w:rPr>
                <w:rFonts w:ascii="Times New Roman" w:hAnsi="Times New Roman" w:cs="Times New Roman"/>
              </w:rPr>
            </w:pPr>
            <w:r>
              <w:rPr>
                <w:rFonts w:ascii="Times New Roman" w:hAnsi="Times New Roman" w:cs="Times New Roman"/>
              </w:rPr>
              <w:t>3.06</w:t>
            </w:r>
          </w:p>
        </w:tc>
        <w:tc>
          <w:tcPr>
            <w:tcW w:w="621" w:type="pct"/>
            <w:vAlign w:val="center"/>
          </w:tcPr>
          <w:p w14:paraId="130B409F" w14:textId="77777777" w:rsidR="00D12939" w:rsidRDefault="004F47F5">
            <w:pPr>
              <w:jc w:val="center"/>
              <w:rPr>
                <w:rFonts w:ascii="Times New Roman" w:hAnsi="Times New Roman" w:cs="Times New Roman"/>
              </w:rPr>
            </w:pPr>
            <w:r>
              <w:rPr>
                <w:rFonts w:ascii="Times New Roman" w:hAnsi="Times New Roman" w:cs="Times New Roman"/>
              </w:rPr>
              <w:t>9.146</w:t>
            </w:r>
          </w:p>
        </w:tc>
        <w:tc>
          <w:tcPr>
            <w:tcW w:w="621" w:type="pct"/>
            <w:vAlign w:val="center"/>
          </w:tcPr>
          <w:p w14:paraId="31BAC6F0" w14:textId="77777777" w:rsidR="00D12939" w:rsidRDefault="004F47F5">
            <w:pPr>
              <w:jc w:val="center"/>
              <w:rPr>
                <w:rFonts w:ascii="Times New Roman" w:hAnsi="Times New Roman" w:cs="Times New Roman"/>
              </w:rPr>
            </w:pPr>
            <w:r>
              <w:rPr>
                <w:rFonts w:ascii="Times New Roman" w:hAnsi="Times New Roman" w:cs="Times New Roman"/>
              </w:rPr>
              <w:t>0.006</w:t>
            </w:r>
          </w:p>
        </w:tc>
        <w:tc>
          <w:tcPr>
            <w:tcW w:w="621" w:type="pct"/>
            <w:vAlign w:val="center"/>
          </w:tcPr>
          <w:p w14:paraId="656EC159" w14:textId="77777777" w:rsidR="00D12939" w:rsidRDefault="004F47F5">
            <w:pPr>
              <w:jc w:val="center"/>
              <w:rPr>
                <w:rFonts w:ascii="Times New Roman" w:hAnsi="Times New Roman" w:cs="Times New Roman"/>
              </w:rPr>
            </w:pPr>
            <w:r>
              <w:rPr>
                <w:rFonts w:ascii="Times New Roman" w:hAnsi="Times New Roman" w:cs="Times New Roman"/>
              </w:rPr>
              <w:t>0.098</w:t>
            </w:r>
          </w:p>
        </w:tc>
      </w:tr>
      <w:tr w:rsidR="00D12939" w14:paraId="42C310E6" w14:textId="77777777">
        <w:trPr>
          <w:trHeight w:val="131"/>
          <w:jc w:val="center"/>
        </w:trPr>
        <w:tc>
          <w:tcPr>
            <w:tcW w:w="434" w:type="pct"/>
            <w:vAlign w:val="center"/>
          </w:tcPr>
          <w:p w14:paraId="409086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2036</w:t>
            </w:r>
          </w:p>
        </w:tc>
        <w:tc>
          <w:tcPr>
            <w:tcW w:w="791" w:type="pct"/>
            <w:vAlign w:val="center"/>
          </w:tcPr>
          <w:p w14:paraId="03972507" w14:textId="77777777" w:rsidR="00D12939" w:rsidRDefault="004F47F5">
            <w:pPr>
              <w:jc w:val="center"/>
              <w:rPr>
                <w:rFonts w:ascii="Times New Roman" w:hAnsi="Times New Roman" w:cs="Times New Roman"/>
              </w:rPr>
            </w:pPr>
            <w:r>
              <w:rPr>
                <w:rFonts w:ascii="Times New Roman" w:hAnsi="Times New Roman" w:cs="Times New Roman"/>
              </w:rPr>
              <w:t>600.17</w:t>
            </w:r>
          </w:p>
        </w:tc>
        <w:tc>
          <w:tcPr>
            <w:tcW w:w="665" w:type="pct"/>
            <w:vAlign w:val="center"/>
          </w:tcPr>
          <w:p w14:paraId="587428DA" w14:textId="77777777" w:rsidR="00D12939" w:rsidRDefault="004F47F5">
            <w:pPr>
              <w:jc w:val="center"/>
              <w:rPr>
                <w:rFonts w:ascii="Times New Roman" w:hAnsi="Times New Roman" w:cs="Times New Roman"/>
              </w:rPr>
            </w:pPr>
            <w:r>
              <w:rPr>
                <w:rFonts w:ascii="Times New Roman" w:hAnsi="Times New Roman" w:cs="Times New Roman"/>
              </w:rPr>
              <w:t>300.08</w:t>
            </w:r>
          </w:p>
        </w:tc>
        <w:tc>
          <w:tcPr>
            <w:tcW w:w="626" w:type="pct"/>
            <w:vAlign w:val="center"/>
          </w:tcPr>
          <w:p w14:paraId="7B500C95"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621" w:type="pct"/>
            <w:vAlign w:val="center"/>
          </w:tcPr>
          <w:p w14:paraId="48FFA4B8" w14:textId="77777777" w:rsidR="00D12939" w:rsidRDefault="004F47F5">
            <w:pPr>
              <w:jc w:val="center"/>
              <w:rPr>
                <w:rFonts w:ascii="Times New Roman" w:hAnsi="Times New Roman" w:cs="Times New Roman"/>
              </w:rPr>
            </w:pPr>
            <w:r>
              <w:rPr>
                <w:rFonts w:ascii="Times New Roman" w:hAnsi="Times New Roman" w:cs="Times New Roman"/>
              </w:rPr>
              <w:t>3.00</w:t>
            </w:r>
          </w:p>
        </w:tc>
        <w:tc>
          <w:tcPr>
            <w:tcW w:w="621" w:type="pct"/>
            <w:vAlign w:val="center"/>
          </w:tcPr>
          <w:p w14:paraId="125EF299" w14:textId="77777777" w:rsidR="00D12939" w:rsidRDefault="004F47F5">
            <w:pPr>
              <w:jc w:val="center"/>
              <w:rPr>
                <w:rFonts w:ascii="Times New Roman" w:hAnsi="Times New Roman" w:cs="Times New Roman"/>
              </w:rPr>
            </w:pPr>
            <w:r>
              <w:rPr>
                <w:rFonts w:ascii="Times New Roman" w:hAnsi="Times New Roman" w:cs="Times New Roman"/>
              </w:rPr>
              <w:t>8.965</w:t>
            </w:r>
          </w:p>
        </w:tc>
        <w:tc>
          <w:tcPr>
            <w:tcW w:w="621" w:type="pct"/>
            <w:vAlign w:val="center"/>
          </w:tcPr>
          <w:p w14:paraId="5F8DA38F" w14:textId="77777777" w:rsidR="00D12939" w:rsidRDefault="004F47F5">
            <w:pPr>
              <w:jc w:val="center"/>
              <w:rPr>
                <w:rFonts w:ascii="Times New Roman" w:hAnsi="Times New Roman" w:cs="Times New Roman"/>
              </w:rPr>
            </w:pPr>
            <w:r>
              <w:rPr>
                <w:rFonts w:ascii="Times New Roman" w:hAnsi="Times New Roman" w:cs="Times New Roman"/>
              </w:rPr>
              <w:t>0.006</w:t>
            </w:r>
          </w:p>
        </w:tc>
        <w:tc>
          <w:tcPr>
            <w:tcW w:w="621" w:type="pct"/>
            <w:vAlign w:val="center"/>
          </w:tcPr>
          <w:p w14:paraId="57C885D5" w14:textId="77777777" w:rsidR="00D12939" w:rsidRDefault="004F47F5">
            <w:pPr>
              <w:jc w:val="center"/>
              <w:rPr>
                <w:rFonts w:ascii="Times New Roman" w:hAnsi="Times New Roman" w:cs="Times New Roman"/>
              </w:rPr>
            </w:pPr>
            <w:r>
              <w:rPr>
                <w:rFonts w:ascii="Times New Roman" w:hAnsi="Times New Roman" w:cs="Times New Roman"/>
              </w:rPr>
              <w:t>0.096</w:t>
            </w:r>
          </w:p>
        </w:tc>
      </w:tr>
      <w:tr w:rsidR="00D12939" w14:paraId="44500878" w14:textId="77777777">
        <w:trPr>
          <w:trHeight w:val="131"/>
          <w:jc w:val="center"/>
        </w:trPr>
        <w:tc>
          <w:tcPr>
            <w:tcW w:w="434" w:type="pct"/>
            <w:vAlign w:val="center"/>
          </w:tcPr>
          <w:p w14:paraId="506C1D3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2037</w:t>
            </w:r>
          </w:p>
        </w:tc>
        <w:tc>
          <w:tcPr>
            <w:tcW w:w="791" w:type="pct"/>
            <w:vAlign w:val="center"/>
          </w:tcPr>
          <w:p w14:paraId="5EA8F89B" w14:textId="77777777" w:rsidR="00D12939" w:rsidRDefault="004F47F5">
            <w:pPr>
              <w:jc w:val="center"/>
              <w:rPr>
                <w:rFonts w:ascii="Times New Roman" w:hAnsi="Times New Roman" w:cs="Times New Roman"/>
              </w:rPr>
            </w:pPr>
            <w:r>
              <w:rPr>
                <w:rFonts w:ascii="Times New Roman" w:hAnsi="Times New Roman" w:cs="Times New Roman"/>
              </w:rPr>
              <w:t>543.06</w:t>
            </w:r>
          </w:p>
        </w:tc>
        <w:tc>
          <w:tcPr>
            <w:tcW w:w="665" w:type="pct"/>
            <w:vAlign w:val="center"/>
          </w:tcPr>
          <w:p w14:paraId="13562C4D" w14:textId="77777777" w:rsidR="00D12939" w:rsidRDefault="004F47F5">
            <w:pPr>
              <w:jc w:val="center"/>
              <w:rPr>
                <w:rFonts w:ascii="Times New Roman" w:hAnsi="Times New Roman" w:cs="Times New Roman"/>
              </w:rPr>
            </w:pPr>
            <w:r>
              <w:rPr>
                <w:rFonts w:ascii="Times New Roman" w:hAnsi="Times New Roman" w:cs="Times New Roman"/>
              </w:rPr>
              <w:t>271.53</w:t>
            </w:r>
          </w:p>
        </w:tc>
        <w:tc>
          <w:tcPr>
            <w:tcW w:w="626" w:type="pct"/>
            <w:vAlign w:val="center"/>
          </w:tcPr>
          <w:p w14:paraId="6BEE3F37" w14:textId="77777777" w:rsidR="00D12939" w:rsidRDefault="004F47F5">
            <w:pPr>
              <w:jc w:val="center"/>
              <w:rPr>
                <w:rFonts w:ascii="Times New Roman" w:hAnsi="Times New Roman" w:cs="Times New Roman"/>
              </w:rPr>
            </w:pPr>
            <w:r>
              <w:rPr>
                <w:rFonts w:ascii="Times New Roman" w:hAnsi="Times New Roman" w:cs="Times New Roman"/>
              </w:rPr>
              <w:t>0.08</w:t>
            </w:r>
          </w:p>
        </w:tc>
        <w:tc>
          <w:tcPr>
            <w:tcW w:w="621" w:type="pct"/>
            <w:vAlign w:val="center"/>
          </w:tcPr>
          <w:p w14:paraId="2DFC187E" w14:textId="77777777" w:rsidR="00D12939" w:rsidRDefault="004F47F5">
            <w:pPr>
              <w:jc w:val="center"/>
              <w:rPr>
                <w:rFonts w:ascii="Times New Roman" w:hAnsi="Times New Roman" w:cs="Times New Roman"/>
              </w:rPr>
            </w:pPr>
            <w:r>
              <w:rPr>
                <w:rFonts w:ascii="Times New Roman" w:hAnsi="Times New Roman" w:cs="Times New Roman"/>
              </w:rPr>
              <w:t>2.72</w:t>
            </w:r>
          </w:p>
        </w:tc>
        <w:tc>
          <w:tcPr>
            <w:tcW w:w="621" w:type="pct"/>
            <w:vAlign w:val="center"/>
          </w:tcPr>
          <w:p w14:paraId="3B4468D3" w14:textId="77777777" w:rsidR="00D12939" w:rsidRDefault="004F47F5">
            <w:pPr>
              <w:jc w:val="center"/>
              <w:rPr>
                <w:rFonts w:ascii="Times New Roman" w:hAnsi="Times New Roman" w:cs="Times New Roman"/>
              </w:rPr>
            </w:pPr>
            <w:r>
              <w:rPr>
                <w:rFonts w:ascii="Times New Roman" w:hAnsi="Times New Roman" w:cs="Times New Roman"/>
              </w:rPr>
              <w:t>8.112</w:t>
            </w:r>
          </w:p>
        </w:tc>
        <w:tc>
          <w:tcPr>
            <w:tcW w:w="621" w:type="pct"/>
            <w:vAlign w:val="center"/>
          </w:tcPr>
          <w:p w14:paraId="4A763254" w14:textId="77777777" w:rsidR="00D12939" w:rsidRDefault="004F47F5">
            <w:pPr>
              <w:jc w:val="center"/>
              <w:rPr>
                <w:rFonts w:ascii="Times New Roman" w:hAnsi="Times New Roman" w:cs="Times New Roman"/>
              </w:rPr>
            </w:pPr>
            <w:r>
              <w:rPr>
                <w:rFonts w:ascii="Times New Roman" w:hAnsi="Times New Roman" w:cs="Times New Roman"/>
              </w:rPr>
              <w:t>0.005</w:t>
            </w:r>
          </w:p>
        </w:tc>
        <w:tc>
          <w:tcPr>
            <w:tcW w:w="621" w:type="pct"/>
            <w:vAlign w:val="center"/>
          </w:tcPr>
          <w:p w14:paraId="3375ABE4" w14:textId="77777777" w:rsidR="00D12939" w:rsidRDefault="004F47F5">
            <w:pPr>
              <w:jc w:val="center"/>
              <w:rPr>
                <w:rFonts w:ascii="Times New Roman" w:hAnsi="Times New Roman" w:cs="Times New Roman"/>
              </w:rPr>
            </w:pPr>
            <w:r>
              <w:rPr>
                <w:rFonts w:ascii="Times New Roman" w:hAnsi="Times New Roman" w:cs="Times New Roman"/>
              </w:rPr>
              <w:t>0.087</w:t>
            </w:r>
          </w:p>
        </w:tc>
      </w:tr>
      <w:tr w:rsidR="00D12939" w14:paraId="7DE82A87" w14:textId="77777777">
        <w:trPr>
          <w:trHeight w:val="131"/>
          <w:jc w:val="center"/>
        </w:trPr>
        <w:tc>
          <w:tcPr>
            <w:tcW w:w="434" w:type="pct"/>
            <w:vAlign w:val="center"/>
          </w:tcPr>
          <w:p w14:paraId="4D61B7B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2038</w:t>
            </w:r>
          </w:p>
        </w:tc>
        <w:tc>
          <w:tcPr>
            <w:tcW w:w="791" w:type="pct"/>
            <w:vAlign w:val="center"/>
          </w:tcPr>
          <w:p w14:paraId="38D2A6D3" w14:textId="77777777" w:rsidR="00D12939" w:rsidRDefault="004F47F5">
            <w:pPr>
              <w:jc w:val="center"/>
              <w:rPr>
                <w:rFonts w:ascii="Times New Roman" w:hAnsi="Times New Roman" w:cs="Times New Roman"/>
              </w:rPr>
            </w:pPr>
            <w:r>
              <w:rPr>
                <w:rFonts w:ascii="Times New Roman" w:hAnsi="Times New Roman" w:cs="Times New Roman"/>
              </w:rPr>
              <w:t>491.38</w:t>
            </w:r>
          </w:p>
        </w:tc>
        <w:tc>
          <w:tcPr>
            <w:tcW w:w="665" w:type="pct"/>
            <w:vAlign w:val="center"/>
          </w:tcPr>
          <w:p w14:paraId="0456CC57" w14:textId="77777777" w:rsidR="00D12939" w:rsidRDefault="004F47F5">
            <w:pPr>
              <w:jc w:val="center"/>
              <w:rPr>
                <w:rFonts w:ascii="Times New Roman" w:hAnsi="Times New Roman" w:cs="Times New Roman"/>
              </w:rPr>
            </w:pPr>
            <w:r>
              <w:rPr>
                <w:rFonts w:ascii="Times New Roman" w:hAnsi="Times New Roman" w:cs="Times New Roman"/>
              </w:rPr>
              <w:t>245.69</w:t>
            </w:r>
          </w:p>
        </w:tc>
        <w:tc>
          <w:tcPr>
            <w:tcW w:w="626" w:type="pct"/>
            <w:vAlign w:val="center"/>
          </w:tcPr>
          <w:p w14:paraId="10E9D75C" w14:textId="77777777" w:rsidR="00D12939" w:rsidRDefault="004F47F5">
            <w:pPr>
              <w:jc w:val="center"/>
              <w:rPr>
                <w:rFonts w:ascii="Times New Roman" w:hAnsi="Times New Roman" w:cs="Times New Roman"/>
              </w:rPr>
            </w:pPr>
            <w:r>
              <w:rPr>
                <w:rFonts w:ascii="Times New Roman" w:hAnsi="Times New Roman" w:cs="Times New Roman"/>
              </w:rPr>
              <w:t>0.07</w:t>
            </w:r>
          </w:p>
        </w:tc>
        <w:tc>
          <w:tcPr>
            <w:tcW w:w="621" w:type="pct"/>
            <w:vAlign w:val="center"/>
          </w:tcPr>
          <w:p w14:paraId="75F7AF46" w14:textId="77777777" w:rsidR="00D12939" w:rsidRDefault="004F47F5">
            <w:pPr>
              <w:jc w:val="center"/>
              <w:rPr>
                <w:rFonts w:ascii="Times New Roman" w:hAnsi="Times New Roman" w:cs="Times New Roman"/>
              </w:rPr>
            </w:pPr>
            <w:r>
              <w:rPr>
                <w:rFonts w:ascii="Times New Roman" w:hAnsi="Times New Roman" w:cs="Times New Roman"/>
              </w:rPr>
              <w:t>2.46</w:t>
            </w:r>
          </w:p>
        </w:tc>
        <w:tc>
          <w:tcPr>
            <w:tcW w:w="621" w:type="pct"/>
            <w:vAlign w:val="center"/>
          </w:tcPr>
          <w:p w14:paraId="3A0BFBE1" w14:textId="77777777" w:rsidR="00D12939" w:rsidRDefault="004F47F5">
            <w:pPr>
              <w:jc w:val="center"/>
              <w:rPr>
                <w:rFonts w:ascii="Times New Roman" w:hAnsi="Times New Roman" w:cs="Times New Roman"/>
              </w:rPr>
            </w:pPr>
            <w:r>
              <w:rPr>
                <w:rFonts w:ascii="Times New Roman" w:hAnsi="Times New Roman" w:cs="Times New Roman"/>
              </w:rPr>
              <w:t>7.340</w:t>
            </w:r>
          </w:p>
        </w:tc>
        <w:tc>
          <w:tcPr>
            <w:tcW w:w="621" w:type="pct"/>
            <w:vAlign w:val="center"/>
          </w:tcPr>
          <w:p w14:paraId="78CAAC7E" w14:textId="77777777" w:rsidR="00D12939" w:rsidRDefault="004F47F5">
            <w:pPr>
              <w:jc w:val="center"/>
              <w:rPr>
                <w:rFonts w:ascii="Times New Roman" w:hAnsi="Times New Roman" w:cs="Times New Roman"/>
              </w:rPr>
            </w:pPr>
            <w:r>
              <w:rPr>
                <w:rFonts w:ascii="Times New Roman" w:hAnsi="Times New Roman" w:cs="Times New Roman"/>
              </w:rPr>
              <w:t>0.005</w:t>
            </w:r>
          </w:p>
        </w:tc>
        <w:tc>
          <w:tcPr>
            <w:tcW w:w="621" w:type="pct"/>
            <w:vAlign w:val="center"/>
          </w:tcPr>
          <w:p w14:paraId="1248621A" w14:textId="77777777" w:rsidR="00D12939" w:rsidRDefault="004F47F5">
            <w:pPr>
              <w:jc w:val="center"/>
              <w:rPr>
                <w:rFonts w:ascii="Times New Roman" w:hAnsi="Times New Roman" w:cs="Times New Roman"/>
              </w:rPr>
            </w:pPr>
            <w:r>
              <w:rPr>
                <w:rFonts w:ascii="Times New Roman" w:hAnsi="Times New Roman" w:cs="Times New Roman"/>
              </w:rPr>
              <w:t>0.079</w:t>
            </w:r>
          </w:p>
        </w:tc>
      </w:tr>
      <w:tr w:rsidR="00D12939" w14:paraId="6AA1BC52" w14:textId="77777777">
        <w:trPr>
          <w:trHeight w:val="131"/>
          <w:jc w:val="center"/>
        </w:trPr>
        <w:tc>
          <w:tcPr>
            <w:tcW w:w="434" w:type="pct"/>
            <w:vAlign w:val="center"/>
          </w:tcPr>
          <w:p w14:paraId="4EB467E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2039</w:t>
            </w:r>
          </w:p>
        </w:tc>
        <w:tc>
          <w:tcPr>
            <w:tcW w:w="791" w:type="pct"/>
            <w:vAlign w:val="center"/>
          </w:tcPr>
          <w:p w14:paraId="7A027090" w14:textId="77777777" w:rsidR="00D12939" w:rsidRDefault="004F47F5">
            <w:pPr>
              <w:jc w:val="center"/>
              <w:rPr>
                <w:rFonts w:ascii="Times New Roman" w:hAnsi="Times New Roman" w:cs="Times New Roman"/>
              </w:rPr>
            </w:pPr>
            <w:r>
              <w:rPr>
                <w:rFonts w:ascii="Times New Roman" w:hAnsi="Times New Roman" w:cs="Times New Roman"/>
              </w:rPr>
              <w:t>444.62</w:t>
            </w:r>
          </w:p>
        </w:tc>
        <w:tc>
          <w:tcPr>
            <w:tcW w:w="665" w:type="pct"/>
            <w:vAlign w:val="center"/>
          </w:tcPr>
          <w:p w14:paraId="4AA5433E" w14:textId="77777777" w:rsidR="00D12939" w:rsidRDefault="004F47F5">
            <w:pPr>
              <w:jc w:val="center"/>
              <w:rPr>
                <w:rFonts w:ascii="Times New Roman" w:hAnsi="Times New Roman" w:cs="Times New Roman"/>
              </w:rPr>
            </w:pPr>
            <w:r>
              <w:rPr>
                <w:rFonts w:ascii="Times New Roman" w:hAnsi="Times New Roman" w:cs="Times New Roman"/>
              </w:rPr>
              <w:t>222.31</w:t>
            </w:r>
          </w:p>
        </w:tc>
        <w:tc>
          <w:tcPr>
            <w:tcW w:w="626" w:type="pct"/>
            <w:vAlign w:val="center"/>
          </w:tcPr>
          <w:p w14:paraId="41116FF9" w14:textId="77777777" w:rsidR="00D12939" w:rsidRDefault="004F47F5">
            <w:pPr>
              <w:jc w:val="center"/>
              <w:rPr>
                <w:rFonts w:ascii="Times New Roman" w:hAnsi="Times New Roman" w:cs="Times New Roman"/>
              </w:rPr>
            </w:pPr>
            <w:r>
              <w:rPr>
                <w:rFonts w:ascii="Times New Roman" w:hAnsi="Times New Roman" w:cs="Times New Roman"/>
              </w:rPr>
              <w:t>0.07</w:t>
            </w:r>
          </w:p>
        </w:tc>
        <w:tc>
          <w:tcPr>
            <w:tcW w:w="621" w:type="pct"/>
            <w:vAlign w:val="center"/>
          </w:tcPr>
          <w:p w14:paraId="5501841D" w14:textId="77777777" w:rsidR="00D12939" w:rsidRDefault="004F47F5">
            <w:pPr>
              <w:jc w:val="center"/>
              <w:rPr>
                <w:rFonts w:ascii="Times New Roman" w:hAnsi="Times New Roman" w:cs="Times New Roman"/>
              </w:rPr>
            </w:pPr>
            <w:r>
              <w:rPr>
                <w:rFonts w:ascii="Times New Roman" w:hAnsi="Times New Roman" w:cs="Times New Roman"/>
              </w:rPr>
              <w:t>2.22</w:t>
            </w:r>
          </w:p>
        </w:tc>
        <w:tc>
          <w:tcPr>
            <w:tcW w:w="621" w:type="pct"/>
            <w:vAlign w:val="center"/>
          </w:tcPr>
          <w:p w14:paraId="36363283" w14:textId="77777777" w:rsidR="00D12939" w:rsidRDefault="004F47F5">
            <w:pPr>
              <w:jc w:val="center"/>
              <w:rPr>
                <w:rFonts w:ascii="Times New Roman" w:hAnsi="Times New Roman" w:cs="Times New Roman"/>
              </w:rPr>
            </w:pPr>
            <w:r>
              <w:rPr>
                <w:rFonts w:ascii="Times New Roman" w:hAnsi="Times New Roman" w:cs="Times New Roman"/>
              </w:rPr>
              <w:t>6.641</w:t>
            </w:r>
          </w:p>
        </w:tc>
        <w:tc>
          <w:tcPr>
            <w:tcW w:w="621" w:type="pct"/>
            <w:vAlign w:val="center"/>
          </w:tcPr>
          <w:p w14:paraId="583CAD98" w14:textId="77777777" w:rsidR="00D12939" w:rsidRDefault="004F47F5">
            <w:pPr>
              <w:jc w:val="center"/>
              <w:rPr>
                <w:rFonts w:ascii="Times New Roman" w:hAnsi="Times New Roman" w:cs="Times New Roman"/>
              </w:rPr>
            </w:pPr>
            <w:r>
              <w:rPr>
                <w:rFonts w:ascii="Times New Roman" w:hAnsi="Times New Roman" w:cs="Times New Roman"/>
              </w:rPr>
              <w:t>0.004</w:t>
            </w:r>
          </w:p>
        </w:tc>
        <w:tc>
          <w:tcPr>
            <w:tcW w:w="621" w:type="pct"/>
            <w:vAlign w:val="center"/>
          </w:tcPr>
          <w:p w14:paraId="2ADC908A" w14:textId="77777777" w:rsidR="00D12939" w:rsidRDefault="004F47F5">
            <w:pPr>
              <w:jc w:val="center"/>
              <w:rPr>
                <w:rFonts w:ascii="Times New Roman" w:hAnsi="Times New Roman" w:cs="Times New Roman"/>
              </w:rPr>
            </w:pPr>
            <w:r>
              <w:rPr>
                <w:rFonts w:ascii="Times New Roman" w:hAnsi="Times New Roman" w:cs="Times New Roman"/>
              </w:rPr>
              <w:t>0.071</w:t>
            </w:r>
          </w:p>
        </w:tc>
      </w:tr>
      <w:tr w:rsidR="00D12939" w14:paraId="5B01E5D4" w14:textId="77777777">
        <w:trPr>
          <w:trHeight w:val="131"/>
          <w:jc w:val="center"/>
        </w:trPr>
        <w:tc>
          <w:tcPr>
            <w:tcW w:w="434" w:type="pct"/>
            <w:vAlign w:val="center"/>
          </w:tcPr>
          <w:p w14:paraId="59C28CD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2040</w:t>
            </w:r>
          </w:p>
        </w:tc>
        <w:tc>
          <w:tcPr>
            <w:tcW w:w="791" w:type="pct"/>
            <w:vAlign w:val="center"/>
          </w:tcPr>
          <w:p w14:paraId="17A252BA" w14:textId="77777777" w:rsidR="00D12939" w:rsidRDefault="004F47F5">
            <w:pPr>
              <w:jc w:val="center"/>
              <w:rPr>
                <w:rFonts w:ascii="Times New Roman" w:hAnsi="Times New Roman" w:cs="Times New Roman"/>
              </w:rPr>
            </w:pPr>
            <w:r>
              <w:rPr>
                <w:rFonts w:ascii="Times New Roman" w:hAnsi="Times New Roman" w:cs="Times New Roman"/>
              </w:rPr>
              <w:t>402.31</w:t>
            </w:r>
          </w:p>
        </w:tc>
        <w:tc>
          <w:tcPr>
            <w:tcW w:w="665" w:type="pct"/>
            <w:vAlign w:val="center"/>
          </w:tcPr>
          <w:p w14:paraId="494C60A4" w14:textId="77777777" w:rsidR="00D12939" w:rsidRDefault="004F47F5">
            <w:pPr>
              <w:jc w:val="center"/>
              <w:rPr>
                <w:rFonts w:ascii="Times New Roman" w:hAnsi="Times New Roman" w:cs="Times New Roman"/>
              </w:rPr>
            </w:pPr>
            <w:r>
              <w:rPr>
                <w:rFonts w:ascii="Times New Roman" w:hAnsi="Times New Roman" w:cs="Times New Roman"/>
              </w:rPr>
              <w:t>201.15</w:t>
            </w:r>
          </w:p>
        </w:tc>
        <w:tc>
          <w:tcPr>
            <w:tcW w:w="626" w:type="pct"/>
            <w:vAlign w:val="center"/>
          </w:tcPr>
          <w:p w14:paraId="122460D4" w14:textId="77777777" w:rsidR="00D12939" w:rsidRDefault="004F47F5">
            <w:pPr>
              <w:jc w:val="center"/>
              <w:rPr>
                <w:rFonts w:ascii="Times New Roman" w:hAnsi="Times New Roman" w:cs="Times New Roman"/>
              </w:rPr>
            </w:pPr>
            <w:r>
              <w:rPr>
                <w:rFonts w:ascii="Times New Roman" w:hAnsi="Times New Roman" w:cs="Times New Roman"/>
              </w:rPr>
              <w:t>0.06</w:t>
            </w:r>
          </w:p>
        </w:tc>
        <w:tc>
          <w:tcPr>
            <w:tcW w:w="621" w:type="pct"/>
            <w:vAlign w:val="center"/>
          </w:tcPr>
          <w:p w14:paraId="18A3520D" w14:textId="77777777" w:rsidR="00D12939" w:rsidRDefault="004F47F5">
            <w:pPr>
              <w:jc w:val="center"/>
              <w:rPr>
                <w:rFonts w:ascii="Times New Roman" w:hAnsi="Times New Roman" w:cs="Times New Roman"/>
              </w:rPr>
            </w:pPr>
            <w:r>
              <w:rPr>
                <w:rFonts w:ascii="Times New Roman" w:hAnsi="Times New Roman" w:cs="Times New Roman"/>
              </w:rPr>
              <w:t>2.01</w:t>
            </w:r>
          </w:p>
        </w:tc>
        <w:tc>
          <w:tcPr>
            <w:tcW w:w="621" w:type="pct"/>
            <w:vAlign w:val="center"/>
          </w:tcPr>
          <w:p w14:paraId="4C8F7691" w14:textId="77777777" w:rsidR="00D12939" w:rsidRDefault="004F47F5">
            <w:pPr>
              <w:jc w:val="center"/>
              <w:rPr>
                <w:rFonts w:ascii="Times New Roman" w:hAnsi="Times New Roman" w:cs="Times New Roman"/>
              </w:rPr>
            </w:pPr>
            <w:r>
              <w:rPr>
                <w:rFonts w:ascii="Times New Roman" w:hAnsi="Times New Roman" w:cs="Times New Roman"/>
              </w:rPr>
              <w:t>6.009</w:t>
            </w:r>
          </w:p>
        </w:tc>
        <w:tc>
          <w:tcPr>
            <w:tcW w:w="621" w:type="pct"/>
            <w:vAlign w:val="center"/>
          </w:tcPr>
          <w:p w14:paraId="36C47B35" w14:textId="77777777" w:rsidR="00D12939" w:rsidRDefault="004F47F5">
            <w:pPr>
              <w:jc w:val="center"/>
              <w:rPr>
                <w:rFonts w:ascii="Times New Roman" w:hAnsi="Times New Roman" w:cs="Times New Roman"/>
              </w:rPr>
            </w:pPr>
            <w:r>
              <w:rPr>
                <w:rFonts w:ascii="Times New Roman" w:hAnsi="Times New Roman" w:cs="Times New Roman"/>
              </w:rPr>
              <w:t>0.004</w:t>
            </w:r>
          </w:p>
        </w:tc>
        <w:tc>
          <w:tcPr>
            <w:tcW w:w="621" w:type="pct"/>
            <w:vAlign w:val="center"/>
          </w:tcPr>
          <w:p w14:paraId="2AB774A0" w14:textId="77777777" w:rsidR="00D12939" w:rsidRDefault="004F47F5">
            <w:pPr>
              <w:jc w:val="center"/>
              <w:rPr>
                <w:rFonts w:ascii="Times New Roman" w:hAnsi="Times New Roman" w:cs="Times New Roman"/>
              </w:rPr>
            </w:pPr>
            <w:r>
              <w:rPr>
                <w:rFonts w:ascii="Times New Roman" w:hAnsi="Times New Roman" w:cs="Times New Roman"/>
              </w:rPr>
              <w:t>0.065</w:t>
            </w:r>
          </w:p>
        </w:tc>
      </w:tr>
      <w:tr w:rsidR="00D12939" w14:paraId="0BBE1400" w14:textId="77777777">
        <w:trPr>
          <w:trHeight w:val="131"/>
          <w:jc w:val="center"/>
        </w:trPr>
        <w:tc>
          <w:tcPr>
            <w:tcW w:w="434" w:type="pct"/>
            <w:vAlign w:val="center"/>
          </w:tcPr>
          <w:p w14:paraId="72DAEFB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2041</w:t>
            </w:r>
          </w:p>
        </w:tc>
        <w:tc>
          <w:tcPr>
            <w:tcW w:w="791" w:type="pct"/>
            <w:vAlign w:val="center"/>
          </w:tcPr>
          <w:p w14:paraId="542A7F44" w14:textId="77777777" w:rsidR="00D12939" w:rsidRDefault="004F47F5">
            <w:pPr>
              <w:jc w:val="center"/>
              <w:rPr>
                <w:rFonts w:ascii="Times New Roman" w:hAnsi="Times New Roman" w:cs="Times New Roman"/>
              </w:rPr>
            </w:pPr>
            <w:r>
              <w:rPr>
                <w:rFonts w:ascii="Times New Roman" w:hAnsi="Times New Roman" w:cs="Times New Roman"/>
              </w:rPr>
              <w:t>364.02</w:t>
            </w:r>
          </w:p>
        </w:tc>
        <w:tc>
          <w:tcPr>
            <w:tcW w:w="665" w:type="pct"/>
            <w:vAlign w:val="center"/>
          </w:tcPr>
          <w:p w14:paraId="7D613A6D" w14:textId="77777777" w:rsidR="00D12939" w:rsidRDefault="004F47F5">
            <w:pPr>
              <w:jc w:val="center"/>
              <w:rPr>
                <w:rFonts w:ascii="Times New Roman" w:hAnsi="Times New Roman" w:cs="Times New Roman"/>
              </w:rPr>
            </w:pPr>
            <w:r>
              <w:rPr>
                <w:rFonts w:ascii="Times New Roman" w:hAnsi="Times New Roman" w:cs="Times New Roman"/>
              </w:rPr>
              <w:t>182.01</w:t>
            </w:r>
          </w:p>
        </w:tc>
        <w:tc>
          <w:tcPr>
            <w:tcW w:w="626" w:type="pct"/>
            <w:vAlign w:val="center"/>
          </w:tcPr>
          <w:p w14:paraId="160B68ED" w14:textId="77777777" w:rsidR="00D12939" w:rsidRDefault="004F47F5">
            <w:pPr>
              <w:jc w:val="center"/>
              <w:rPr>
                <w:rFonts w:ascii="Times New Roman" w:hAnsi="Times New Roman" w:cs="Times New Roman"/>
              </w:rPr>
            </w:pPr>
            <w:r>
              <w:rPr>
                <w:rFonts w:ascii="Times New Roman" w:hAnsi="Times New Roman" w:cs="Times New Roman"/>
              </w:rPr>
              <w:t>0.05</w:t>
            </w:r>
          </w:p>
        </w:tc>
        <w:tc>
          <w:tcPr>
            <w:tcW w:w="621" w:type="pct"/>
            <w:vAlign w:val="center"/>
          </w:tcPr>
          <w:p w14:paraId="4EC5135B" w14:textId="77777777" w:rsidR="00D12939" w:rsidRDefault="004F47F5">
            <w:pPr>
              <w:jc w:val="center"/>
              <w:rPr>
                <w:rFonts w:ascii="Times New Roman" w:hAnsi="Times New Roman" w:cs="Times New Roman"/>
              </w:rPr>
            </w:pPr>
            <w:r>
              <w:rPr>
                <w:rFonts w:ascii="Times New Roman" w:hAnsi="Times New Roman" w:cs="Times New Roman"/>
              </w:rPr>
              <w:t>1.82</w:t>
            </w:r>
          </w:p>
        </w:tc>
        <w:tc>
          <w:tcPr>
            <w:tcW w:w="621" w:type="pct"/>
            <w:vAlign w:val="center"/>
          </w:tcPr>
          <w:p w14:paraId="798459EE" w14:textId="77777777" w:rsidR="00D12939" w:rsidRDefault="004F47F5">
            <w:pPr>
              <w:jc w:val="center"/>
              <w:rPr>
                <w:rFonts w:ascii="Times New Roman" w:hAnsi="Times New Roman" w:cs="Times New Roman"/>
              </w:rPr>
            </w:pPr>
            <w:r>
              <w:rPr>
                <w:rFonts w:ascii="Times New Roman" w:hAnsi="Times New Roman" w:cs="Times New Roman"/>
              </w:rPr>
              <w:t>5.438</w:t>
            </w:r>
          </w:p>
        </w:tc>
        <w:tc>
          <w:tcPr>
            <w:tcW w:w="621" w:type="pct"/>
            <w:vAlign w:val="center"/>
          </w:tcPr>
          <w:p w14:paraId="657AF16D" w14:textId="77777777" w:rsidR="00D12939" w:rsidRDefault="004F47F5">
            <w:pPr>
              <w:jc w:val="center"/>
              <w:rPr>
                <w:rFonts w:ascii="Times New Roman" w:hAnsi="Times New Roman" w:cs="Times New Roman"/>
              </w:rPr>
            </w:pPr>
            <w:r>
              <w:rPr>
                <w:rFonts w:ascii="Times New Roman" w:hAnsi="Times New Roman" w:cs="Times New Roman"/>
              </w:rPr>
              <w:t>0.003</w:t>
            </w:r>
          </w:p>
        </w:tc>
        <w:tc>
          <w:tcPr>
            <w:tcW w:w="621" w:type="pct"/>
            <w:vAlign w:val="center"/>
          </w:tcPr>
          <w:p w14:paraId="388CC714" w14:textId="77777777" w:rsidR="00D12939" w:rsidRDefault="004F47F5">
            <w:pPr>
              <w:jc w:val="center"/>
              <w:rPr>
                <w:rFonts w:ascii="Times New Roman" w:hAnsi="Times New Roman" w:cs="Times New Roman"/>
              </w:rPr>
            </w:pPr>
            <w:r>
              <w:rPr>
                <w:rFonts w:ascii="Times New Roman" w:hAnsi="Times New Roman" w:cs="Times New Roman"/>
              </w:rPr>
              <w:t>0.058</w:t>
            </w:r>
          </w:p>
        </w:tc>
      </w:tr>
      <w:tr w:rsidR="00D12939" w14:paraId="32C3176E" w14:textId="77777777">
        <w:trPr>
          <w:trHeight w:val="131"/>
          <w:jc w:val="center"/>
        </w:trPr>
        <w:tc>
          <w:tcPr>
            <w:tcW w:w="434" w:type="pct"/>
            <w:vAlign w:val="center"/>
          </w:tcPr>
          <w:p w14:paraId="1611ED4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2042</w:t>
            </w:r>
          </w:p>
        </w:tc>
        <w:tc>
          <w:tcPr>
            <w:tcW w:w="791" w:type="pct"/>
            <w:vAlign w:val="center"/>
          </w:tcPr>
          <w:p w14:paraId="48C8E695" w14:textId="77777777" w:rsidR="00D12939" w:rsidRDefault="004F47F5">
            <w:pPr>
              <w:jc w:val="center"/>
              <w:rPr>
                <w:rFonts w:ascii="Times New Roman" w:hAnsi="Times New Roman" w:cs="Times New Roman"/>
              </w:rPr>
            </w:pPr>
            <w:r>
              <w:rPr>
                <w:rFonts w:ascii="Times New Roman" w:hAnsi="Times New Roman" w:cs="Times New Roman"/>
              </w:rPr>
              <w:t>329.38</w:t>
            </w:r>
          </w:p>
        </w:tc>
        <w:tc>
          <w:tcPr>
            <w:tcW w:w="665" w:type="pct"/>
            <w:vAlign w:val="center"/>
          </w:tcPr>
          <w:p w14:paraId="5E42AC88" w14:textId="77777777" w:rsidR="00D12939" w:rsidRDefault="004F47F5">
            <w:pPr>
              <w:jc w:val="center"/>
              <w:rPr>
                <w:rFonts w:ascii="Times New Roman" w:hAnsi="Times New Roman" w:cs="Times New Roman"/>
              </w:rPr>
            </w:pPr>
            <w:r>
              <w:rPr>
                <w:rFonts w:ascii="Times New Roman" w:hAnsi="Times New Roman" w:cs="Times New Roman"/>
              </w:rPr>
              <w:t>164.69</w:t>
            </w:r>
          </w:p>
        </w:tc>
        <w:tc>
          <w:tcPr>
            <w:tcW w:w="626" w:type="pct"/>
            <w:vAlign w:val="center"/>
          </w:tcPr>
          <w:p w14:paraId="3EE1C568" w14:textId="77777777" w:rsidR="00D12939" w:rsidRDefault="004F47F5">
            <w:pPr>
              <w:jc w:val="center"/>
              <w:rPr>
                <w:rFonts w:ascii="Times New Roman" w:hAnsi="Times New Roman" w:cs="Times New Roman"/>
              </w:rPr>
            </w:pPr>
            <w:r>
              <w:rPr>
                <w:rFonts w:ascii="Times New Roman" w:hAnsi="Times New Roman" w:cs="Times New Roman"/>
              </w:rPr>
              <w:t>0.05</w:t>
            </w:r>
          </w:p>
        </w:tc>
        <w:tc>
          <w:tcPr>
            <w:tcW w:w="621" w:type="pct"/>
            <w:vAlign w:val="center"/>
          </w:tcPr>
          <w:p w14:paraId="765F051D" w14:textId="77777777" w:rsidR="00D12939" w:rsidRDefault="004F47F5">
            <w:pPr>
              <w:jc w:val="center"/>
              <w:rPr>
                <w:rFonts w:ascii="Times New Roman" w:hAnsi="Times New Roman" w:cs="Times New Roman"/>
              </w:rPr>
            </w:pPr>
            <w:r>
              <w:rPr>
                <w:rFonts w:ascii="Times New Roman" w:hAnsi="Times New Roman" w:cs="Times New Roman"/>
              </w:rPr>
              <w:t>1.65</w:t>
            </w:r>
          </w:p>
        </w:tc>
        <w:tc>
          <w:tcPr>
            <w:tcW w:w="621" w:type="pct"/>
            <w:vAlign w:val="center"/>
          </w:tcPr>
          <w:p w14:paraId="36541DAD" w14:textId="77777777" w:rsidR="00D12939" w:rsidRDefault="004F47F5">
            <w:pPr>
              <w:jc w:val="center"/>
              <w:rPr>
                <w:rFonts w:ascii="Times New Roman" w:hAnsi="Times New Roman" w:cs="Times New Roman"/>
              </w:rPr>
            </w:pPr>
            <w:r>
              <w:rPr>
                <w:rFonts w:ascii="Times New Roman" w:hAnsi="Times New Roman" w:cs="Times New Roman"/>
              </w:rPr>
              <w:t>4.920</w:t>
            </w:r>
          </w:p>
        </w:tc>
        <w:tc>
          <w:tcPr>
            <w:tcW w:w="621" w:type="pct"/>
            <w:vAlign w:val="center"/>
          </w:tcPr>
          <w:p w14:paraId="54033E4D" w14:textId="77777777" w:rsidR="00D12939" w:rsidRDefault="004F47F5">
            <w:pPr>
              <w:jc w:val="center"/>
              <w:rPr>
                <w:rFonts w:ascii="Times New Roman" w:hAnsi="Times New Roman" w:cs="Times New Roman"/>
              </w:rPr>
            </w:pPr>
            <w:r>
              <w:rPr>
                <w:rFonts w:ascii="Times New Roman" w:hAnsi="Times New Roman" w:cs="Times New Roman"/>
              </w:rPr>
              <w:t>0.003</w:t>
            </w:r>
          </w:p>
        </w:tc>
        <w:tc>
          <w:tcPr>
            <w:tcW w:w="621" w:type="pct"/>
            <w:vAlign w:val="center"/>
          </w:tcPr>
          <w:p w14:paraId="1B7A029E" w14:textId="77777777" w:rsidR="00D12939" w:rsidRDefault="004F47F5">
            <w:pPr>
              <w:jc w:val="center"/>
              <w:rPr>
                <w:rFonts w:ascii="Times New Roman" w:hAnsi="Times New Roman" w:cs="Times New Roman"/>
              </w:rPr>
            </w:pPr>
            <w:r>
              <w:rPr>
                <w:rFonts w:ascii="Times New Roman" w:hAnsi="Times New Roman" w:cs="Times New Roman"/>
              </w:rPr>
              <w:t>0.053</w:t>
            </w:r>
          </w:p>
        </w:tc>
      </w:tr>
      <w:tr w:rsidR="00D12939" w14:paraId="5296B2DE" w14:textId="77777777">
        <w:trPr>
          <w:trHeight w:val="131"/>
          <w:jc w:val="center"/>
        </w:trPr>
        <w:tc>
          <w:tcPr>
            <w:tcW w:w="434" w:type="pct"/>
            <w:vAlign w:val="center"/>
          </w:tcPr>
          <w:p w14:paraId="01669B0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2043</w:t>
            </w:r>
          </w:p>
        </w:tc>
        <w:tc>
          <w:tcPr>
            <w:tcW w:w="791" w:type="pct"/>
            <w:vAlign w:val="center"/>
          </w:tcPr>
          <w:p w14:paraId="5854FFC7" w14:textId="77777777" w:rsidR="00D12939" w:rsidRDefault="004F47F5">
            <w:pPr>
              <w:jc w:val="center"/>
              <w:rPr>
                <w:rFonts w:ascii="Times New Roman" w:hAnsi="Times New Roman" w:cs="Times New Roman"/>
              </w:rPr>
            </w:pPr>
            <w:r>
              <w:rPr>
                <w:rFonts w:ascii="Times New Roman" w:hAnsi="Times New Roman" w:cs="Times New Roman"/>
              </w:rPr>
              <w:t>298.04</w:t>
            </w:r>
          </w:p>
        </w:tc>
        <w:tc>
          <w:tcPr>
            <w:tcW w:w="665" w:type="pct"/>
            <w:vAlign w:val="center"/>
          </w:tcPr>
          <w:p w14:paraId="4FE558A6" w14:textId="77777777" w:rsidR="00D12939" w:rsidRDefault="004F47F5">
            <w:pPr>
              <w:jc w:val="center"/>
              <w:rPr>
                <w:rFonts w:ascii="Times New Roman" w:hAnsi="Times New Roman" w:cs="Times New Roman"/>
              </w:rPr>
            </w:pPr>
            <w:r>
              <w:rPr>
                <w:rFonts w:ascii="Times New Roman" w:hAnsi="Times New Roman" w:cs="Times New Roman"/>
              </w:rPr>
              <w:t>149.02</w:t>
            </w:r>
          </w:p>
        </w:tc>
        <w:tc>
          <w:tcPr>
            <w:tcW w:w="626" w:type="pct"/>
            <w:vAlign w:val="center"/>
          </w:tcPr>
          <w:p w14:paraId="2C86B811" w14:textId="77777777" w:rsidR="00D12939" w:rsidRDefault="004F47F5">
            <w:pPr>
              <w:jc w:val="center"/>
              <w:rPr>
                <w:rFonts w:ascii="Times New Roman" w:hAnsi="Times New Roman" w:cs="Times New Roman"/>
              </w:rPr>
            </w:pPr>
            <w:r>
              <w:rPr>
                <w:rFonts w:ascii="Times New Roman" w:hAnsi="Times New Roman" w:cs="Times New Roman"/>
              </w:rPr>
              <w:t>0.04</w:t>
            </w:r>
          </w:p>
        </w:tc>
        <w:tc>
          <w:tcPr>
            <w:tcW w:w="621" w:type="pct"/>
            <w:vAlign w:val="center"/>
          </w:tcPr>
          <w:p w14:paraId="47501CE5" w14:textId="77777777" w:rsidR="00D12939" w:rsidRDefault="004F47F5">
            <w:pPr>
              <w:jc w:val="center"/>
              <w:rPr>
                <w:rFonts w:ascii="Times New Roman" w:hAnsi="Times New Roman" w:cs="Times New Roman"/>
              </w:rPr>
            </w:pPr>
            <w:r>
              <w:rPr>
                <w:rFonts w:ascii="Times New Roman" w:hAnsi="Times New Roman" w:cs="Times New Roman"/>
              </w:rPr>
              <w:t>1.49</w:t>
            </w:r>
          </w:p>
        </w:tc>
        <w:tc>
          <w:tcPr>
            <w:tcW w:w="621" w:type="pct"/>
            <w:vAlign w:val="center"/>
          </w:tcPr>
          <w:p w14:paraId="67716A49" w14:textId="77777777" w:rsidR="00D12939" w:rsidRDefault="004F47F5">
            <w:pPr>
              <w:jc w:val="center"/>
              <w:rPr>
                <w:rFonts w:ascii="Times New Roman" w:hAnsi="Times New Roman" w:cs="Times New Roman"/>
              </w:rPr>
            </w:pPr>
            <w:r>
              <w:rPr>
                <w:rFonts w:ascii="Times New Roman" w:hAnsi="Times New Roman" w:cs="Times New Roman"/>
              </w:rPr>
              <w:t>4.452</w:t>
            </w:r>
          </w:p>
        </w:tc>
        <w:tc>
          <w:tcPr>
            <w:tcW w:w="621" w:type="pct"/>
            <w:vAlign w:val="center"/>
          </w:tcPr>
          <w:p w14:paraId="05075E58" w14:textId="77777777" w:rsidR="00D12939" w:rsidRDefault="004F47F5">
            <w:pPr>
              <w:jc w:val="center"/>
              <w:rPr>
                <w:rFonts w:ascii="Times New Roman" w:hAnsi="Times New Roman" w:cs="Times New Roman"/>
              </w:rPr>
            </w:pPr>
            <w:r>
              <w:rPr>
                <w:rFonts w:ascii="Times New Roman" w:hAnsi="Times New Roman" w:cs="Times New Roman"/>
              </w:rPr>
              <w:t>0.003</w:t>
            </w:r>
          </w:p>
        </w:tc>
        <w:tc>
          <w:tcPr>
            <w:tcW w:w="621" w:type="pct"/>
            <w:vAlign w:val="center"/>
          </w:tcPr>
          <w:p w14:paraId="06BB180F" w14:textId="77777777" w:rsidR="00D12939" w:rsidRDefault="004F47F5">
            <w:pPr>
              <w:jc w:val="center"/>
              <w:rPr>
                <w:rFonts w:ascii="Times New Roman" w:hAnsi="Times New Roman" w:cs="Times New Roman"/>
              </w:rPr>
            </w:pPr>
            <w:r>
              <w:rPr>
                <w:rFonts w:ascii="Times New Roman" w:hAnsi="Times New Roman" w:cs="Times New Roman"/>
              </w:rPr>
              <w:t>0.048</w:t>
            </w:r>
          </w:p>
        </w:tc>
      </w:tr>
      <w:tr w:rsidR="00D12939" w14:paraId="1D7F3D27" w14:textId="77777777">
        <w:trPr>
          <w:trHeight w:val="131"/>
          <w:jc w:val="center"/>
        </w:trPr>
        <w:tc>
          <w:tcPr>
            <w:tcW w:w="434" w:type="pct"/>
            <w:vAlign w:val="center"/>
          </w:tcPr>
          <w:p w14:paraId="7A58CA0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2044</w:t>
            </w:r>
          </w:p>
        </w:tc>
        <w:tc>
          <w:tcPr>
            <w:tcW w:w="791" w:type="pct"/>
            <w:vAlign w:val="center"/>
          </w:tcPr>
          <w:p w14:paraId="3B4C925E" w14:textId="77777777" w:rsidR="00D12939" w:rsidRDefault="004F47F5">
            <w:pPr>
              <w:jc w:val="center"/>
              <w:rPr>
                <w:rFonts w:ascii="Times New Roman" w:hAnsi="Times New Roman" w:cs="Times New Roman"/>
              </w:rPr>
            </w:pPr>
            <w:r>
              <w:rPr>
                <w:rFonts w:ascii="Times New Roman" w:hAnsi="Times New Roman" w:cs="Times New Roman"/>
              </w:rPr>
              <w:t>269.67</w:t>
            </w:r>
          </w:p>
        </w:tc>
        <w:tc>
          <w:tcPr>
            <w:tcW w:w="665" w:type="pct"/>
            <w:vAlign w:val="center"/>
          </w:tcPr>
          <w:p w14:paraId="0397EFCD" w14:textId="77777777" w:rsidR="00D12939" w:rsidRDefault="004F47F5">
            <w:pPr>
              <w:jc w:val="center"/>
              <w:rPr>
                <w:rFonts w:ascii="Times New Roman" w:hAnsi="Times New Roman" w:cs="Times New Roman"/>
              </w:rPr>
            </w:pPr>
            <w:r>
              <w:rPr>
                <w:rFonts w:ascii="Times New Roman" w:hAnsi="Times New Roman" w:cs="Times New Roman"/>
              </w:rPr>
              <w:t>134.84</w:t>
            </w:r>
          </w:p>
        </w:tc>
        <w:tc>
          <w:tcPr>
            <w:tcW w:w="626" w:type="pct"/>
            <w:vAlign w:val="center"/>
          </w:tcPr>
          <w:p w14:paraId="76D7422B" w14:textId="77777777" w:rsidR="00D12939" w:rsidRDefault="004F47F5">
            <w:pPr>
              <w:jc w:val="center"/>
              <w:rPr>
                <w:rFonts w:ascii="Times New Roman" w:hAnsi="Times New Roman" w:cs="Times New Roman"/>
              </w:rPr>
            </w:pPr>
            <w:r>
              <w:rPr>
                <w:rFonts w:ascii="Times New Roman" w:hAnsi="Times New Roman" w:cs="Times New Roman"/>
              </w:rPr>
              <w:t>0.04</w:t>
            </w:r>
          </w:p>
        </w:tc>
        <w:tc>
          <w:tcPr>
            <w:tcW w:w="621" w:type="pct"/>
            <w:vAlign w:val="center"/>
          </w:tcPr>
          <w:p w14:paraId="3B125C64" w14:textId="77777777" w:rsidR="00D12939" w:rsidRDefault="004F47F5">
            <w:pPr>
              <w:jc w:val="center"/>
              <w:rPr>
                <w:rFonts w:ascii="Times New Roman" w:hAnsi="Times New Roman" w:cs="Times New Roman"/>
              </w:rPr>
            </w:pPr>
            <w:r>
              <w:rPr>
                <w:rFonts w:ascii="Times New Roman" w:hAnsi="Times New Roman" w:cs="Times New Roman"/>
              </w:rPr>
              <w:t>1.35</w:t>
            </w:r>
          </w:p>
        </w:tc>
        <w:tc>
          <w:tcPr>
            <w:tcW w:w="621" w:type="pct"/>
            <w:vAlign w:val="center"/>
          </w:tcPr>
          <w:p w14:paraId="4A6F2A0A" w14:textId="77777777" w:rsidR="00D12939" w:rsidRDefault="004F47F5">
            <w:pPr>
              <w:jc w:val="center"/>
              <w:rPr>
                <w:rFonts w:ascii="Times New Roman" w:hAnsi="Times New Roman" w:cs="Times New Roman"/>
              </w:rPr>
            </w:pPr>
            <w:r>
              <w:rPr>
                <w:rFonts w:ascii="Times New Roman" w:hAnsi="Times New Roman" w:cs="Times New Roman"/>
              </w:rPr>
              <w:t>4.028</w:t>
            </w:r>
          </w:p>
        </w:tc>
        <w:tc>
          <w:tcPr>
            <w:tcW w:w="621" w:type="pct"/>
            <w:vAlign w:val="center"/>
          </w:tcPr>
          <w:p w14:paraId="25ACA6F0" w14:textId="77777777" w:rsidR="00D12939" w:rsidRDefault="004F47F5">
            <w:pPr>
              <w:jc w:val="center"/>
              <w:rPr>
                <w:rFonts w:ascii="Times New Roman" w:hAnsi="Times New Roman" w:cs="Times New Roman"/>
              </w:rPr>
            </w:pPr>
            <w:r>
              <w:rPr>
                <w:rFonts w:ascii="Times New Roman" w:hAnsi="Times New Roman" w:cs="Times New Roman"/>
              </w:rPr>
              <w:t>0.003</w:t>
            </w:r>
          </w:p>
        </w:tc>
        <w:tc>
          <w:tcPr>
            <w:tcW w:w="621" w:type="pct"/>
            <w:vAlign w:val="center"/>
          </w:tcPr>
          <w:p w14:paraId="6B8D0ED7" w14:textId="77777777" w:rsidR="00D12939" w:rsidRDefault="004F47F5">
            <w:pPr>
              <w:jc w:val="center"/>
              <w:rPr>
                <w:rFonts w:ascii="Times New Roman" w:hAnsi="Times New Roman" w:cs="Times New Roman"/>
              </w:rPr>
            </w:pPr>
            <w:r>
              <w:rPr>
                <w:rFonts w:ascii="Times New Roman" w:hAnsi="Times New Roman" w:cs="Times New Roman"/>
              </w:rPr>
              <w:t>0.043</w:t>
            </w:r>
          </w:p>
        </w:tc>
      </w:tr>
      <w:tr w:rsidR="00D12939" w14:paraId="78875BF9" w14:textId="77777777">
        <w:trPr>
          <w:trHeight w:val="131"/>
          <w:jc w:val="center"/>
        </w:trPr>
        <w:tc>
          <w:tcPr>
            <w:tcW w:w="434" w:type="pct"/>
            <w:vAlign w:val="center"/>
          </w:tcPr>
          <w:p w14:paraId="3559BC2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2045</w:t>
            </w:r>
          </w:p>
        </w:tc>
        <w:tc>
          <w:tcPr>
            <w:tcW w:w="791" w:type="pct"/>
            <w:vAlign w:val="center"/>
          </w:tcPr>
          <w:p w14:paraId="4E9362AE" w14:textId="77777777" w:rsidR="00D12939" w:rsidRDefault="004F47F5">
            <w:pPr>
              <w:jc w:val="center"/>
              <w:rPr>
                <w:rFonts w:ascii="Times New Roman" w:hAnsi="Times New Roman" w:cs="Times New Roman"/>
              </w:rPr>
            </w:pPr>
            <w:r>
              <w:rPr>
                <w:rFonts w:ascii="Times New Roman" w:hAnsi="Times New Roman" w:cs="Times New Roman"/>
              </w:rPr>
              <w:t>244.01</w:t>
            </w:r>
          </w:p>
        </w:tc>
        <w:tc>
          <w:tcPr>
            <w:tcW w:w="665" w:type="pct"/>
            <w:vAlign w:val="center"/>
          </w:tcPr>
          <w:p w14:paraId="073D907F" w14:textId="77777777" w:rsidR="00D12939" w:rsidRDefault="004F47F5">
            <w:pPr>
              <w:jc w:val="center"/>
              <w:rPr>
                <w:rFonts w:ascii="Times New Roman" w:hAnsi="Times New Roman" w:cs="Times New Roman"/>
              </w:rPr>
            </w:pPr>
            <w:r>
              <w:rPr>
                <w:rFonts w:ascii="Times New Roman" w:hAnsi="Times New Roman" w:cs="Times New Roman"/>
              </w:rPr>
              <w:t>122.01</w:t>
            </w:r>
          </w:p>
        </w:tc>
        <w:tc>
          <w:tcPr>
            <w:tcW w:w="626" w:type="pct"/>
            <w:vAlign w:val="center"/>
          </w:tcPr>
          <w:p w14:paraId="5FDCFF19" w14:textId="77777777" w:rsidR="00D12939" w:rsidRDefault="004F47F5">
            <w:pPr>
              <w:jc w:val="center"/>
              <w:rPr>
                <w:rFonts w:ascii="Times New Roman" w:hAnsi="Times New Roman" w:cs="Times New Roman"/>
              </w:rPr>
            </w:pPr>
            <w:r>
              <w:rPr>
                <w:rFonts w:ascii="Times New Roman" w:hAnsi="Times New Roman" w:cs="Times New Roman"/>
              </w:rPr>
              <w:t>0.04</w:t>
            </w:r>
          </w:p>
        </w:tc>
        <w:tc>
          <w:tcPr>
            <w:tcW w:w="621" w:type="pct"/>
            <w:vAlign w:val="center"/>
          </w:tcPr>
          <w:p w14:paraId="3C334D4E" w14:textId="77777777" w:rsidR="00D12939" w:rsidRDefault="004F47F5">
            <w:pPr>
              <w:jc w:val="center"/>
              <w:rPr>
                <w:rFonts w:ascii="Times New Roman" w:hAnsi="Times New Roman" w:cs="Times New Roman"/>
              </w:rPr>
            </w:pPr>
            <w:r>
              <w:rPr>
                <w:rFonts w:ascii="Times New Roman" w:hAnsi="Times New Roman" w:cs="Times New Roman"/>
              </w:rPr>
              <w:t>1.22</w:t>
            </w:r>
          </w:p>
        </w:tc>
        <w:tc>
          <w:tcPr>
            <w:tcW w:w="621" w:type="pct"/>
            <w:vAlign w:val="center"/>
          </w:tcPr>
          <w:p w14:paraId="17298068" w14:textId="77777777" w:rsidR="00D12939" w:rsidRDefault="004F47F5">
            <w:pPr>
              <w:jc w:val="center"/>
              <w:rPr>
                <w:rFonts w:ascii="Times New Roman" w:hAnsi="Times New Roman" w:cs="Times New Roman"/>
              </w:rPr>
            </w:pPr>
            <w:r>
              <w:rPr>
                <w:rFonts w:ascii="Times New Roman" w:hAnsi="Times New Roman" w:cs="Times New Roman"/>
              </w:rPr>
              <w:t>3.645</w:t>
            </w:r>
          </w:p>
        </w:tc>
        <w:tc>
          <w:tcPr>
            <w:tcW w:w="621" w:type="pct"/>
            <w:vAlign w:val="center"/>
          </w:tcPr>
          <w:p w14:paraId="2E2FCBCE" w14:textId="77777777" w:rsidR="00D12939" w:rsidRDefault="004F47F5">
            <w:pPr>
              <w:jc w:val="center"/>
              <w:rPr>
                <w:rFonts w:ascii="Times New Roman" w:hAnsi="Times New Roman" w:cs="Times New Roman"/>
              </w:rPr>
            </w:pPr>
            <w:r>
              <w:rPr>
                <w:rFonts w:ascii="Times New Roman" w:hAnsi="Times New Roman" w:cs="Times New Roman"/>
              </w:rPr>
              <w:t>0.002</w:t>
            </w:r>
          </w:p>
        </w:tc>
        <w:tc>
          <w:tcPr>
            <w:tcW w:w="621" w:type="pct"/>
            <w:vAlign w:val="center"/>
          </w:tcPr>
          <w:p w14:paraId="7AAA7640" w14:textId="77777777" w:rsidR="00D12939" w:rsidRDefault="004F47F5">
            <w:pPr>
              <w:jc w:val="center"/>
              <w:rPr>
                <w:rFonts w:ascii="Times New Roman" w:hAnsi="Times New Roman" w:cs="Times New Roman"/>
              </w:rPr>
            </w:pPr>
            <w:r>
              <w:rPr>
                <w:rFonts w:ascii="Times New Roman" w:hAnsi="Times New Roman" w:cs="Times New Roman"/>
              </w:rPr>
              <w:t>0.039</w:t>
            </w:r>
          </w:p>
        </w:tc>
      </w:tr>
      <w:tr w:rsidR="00D12939" w14:paraId="2EDD9FD5" w14:textId="77777777">
        <w:trPr>
          <w:trHeight w:val="131"/>
          <w:jc w:val="center"/>
        </w:trPr>
        <w:tc>
          <w:tcPr>
            <w:tcW w:w="434" w:type="pct"/>
            <w:vAlign w:val="center"/>
          </w:tcPr>
          <w:p w14:paraId="7BE060D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2046</w:t>
            </w:r>
          </w:p>
        </w:tc>
        <w:tc>
          <w:tcPr>
            <w:tcW w:w="791" w:type="pct"/>
            <w:vAlign w:val="center"/>
          </w:tcPr>
          <w:p w14:paraId="69F0A612" w14:textId="77777777" w:rsidR="00D12939" w:rsidRDefault="004F47F5">
            <w:pPr>
              <w:jc w:val="center"/>
              <w:rPr>
                <w:rFonts w:ascii="Times New Roman" w:hAnsi="Times New Roman" w:cs="Times New Roman"/>
              </w:rPr>
            </w:pPr>
            <w:r>
              <w:rPr>
                <w:rFonts w:ascii="Times New Roman" w:hAnsi="Times New Roman" w:cs="Times New Roman"/>
              </w:rPr>
              <w:t>220.79</w:t>
            </w:r>
          </w:p>
        </w:tc>
        <w:tc>
          <w:tcPr>
            <w:tcW w:w="665" w:type="pct"/>
            <w:vAlign w:val="center"/>
          </w:tcPr>
          <w:p w14:paraId="501FEBC3" w14:textId="77777777" w:rsidR="00D12939" w:rsidRDefault="004F47F5">
            <w:pPr>
              <w:jc w:val="center"/>
              <w:rPr>
                <w:rFonts w:ascii="Times New Roman" w:hAnsi="Times New Roman" w:cs="Times New Roman"/>
              </w:rPr>
            </w:pPr>
            <w:r>
              <w:rPr>
                <w:rFonts w:ascii="Times New Roman" w:hAnsi="Times New Roman" w:cs="Times New Roman"/>
              </w:rPr>
              <w:t>110.40</w:t>
            </w:r>
          </w:p>
        </w:tc>
        <w:tc>
          <w:tcPr>
            <w:tcW w:w="626" w:type="pct"/>
            <w:vAlign w:val="center"/>
          </w:tcPr>
          <w:p w14:paraId="73A46EE7"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621" w:type="pct"/>
            <w:vAlign w:val="center"/>
          </w:tcPr>
          <w:p w14:paraId="063F96AC" w14:textId="77777777" w:rsidR="00D12939" w:rsidRDefault="004F47F5">
            <w:pPr>
              <w:jc w:val="center"/>
              <w:rPr>
                <w:rFonts w:ascii="Times New Roman" w:hAnsi="Times New Roman" w:cs="Times New Roman"/>
              </w:rPr>
            </w:pPr>
            <w:r>
              <w:rPr>
                <w:rFonts w:ascii="Times New Roman" w:hAnsi="Times New Roman" w:cs="Times New Roman"/>
              </w:rPr>
              <w:t>1.10</w:t>
            </w:r>
          </w:p>
        </w:tc>
        <w:tc>
          <w:tcPr>
            <w:tcW w:w="621" w:type="pct"/>
            <w:vAlign w:val="center"/>
          </w:tcPr>
          <w:p w14:paraId="5083F69C" w14:textId="77777777" w:rsidR="00D12939" w:rsidRDefault="004F47F5">
            <w:pPr>
              <w:jc w:val="center"/>
              <w:rPr>
                <w:rFonts w:ascii="Times New Roman" w:hAnsi="Times New Roman" w:cs="Times New Roman"/>
              </w:rPr>
            </w:pPr>
            <w:r>
              <w:rPr>
                <w:rFonts w:ascii="Times New Roman" w:hAnsi="Times New Roman" w:cs="Times New Roman"/>
              </w:rPr>
              <w:t>3.298</w:t>
            </w:r>
          </w:p>
        </w:tc>
        <w:tc>
          <w:tcPr>
            <w:tcW w:w="621" w:type="pct"/>
            <w:vAlign w:val="center"/>
          </w:tcPr>
          <w:p w14:paraId="7198AC5D" w14:textId="77777777" w:rsidR="00D12939" w:rsidRDefault="004F47F5">
            <w:pPr>
              <w:jc w:val="center"/>
              <w:rPr>
                <w:rFonts w:ascii="Times New Roman" w:hAnsi="Times New Roman" w:cs="Times New Roman"/>
              </w:rPr>
            </w:pPr>
            <w:r>
              <w:rPr>
                <w:rFonts w:ascii="Times New Roman" w:hAnsi="Times New Roman" w:cs="Times New Roman"/>
              </w:rPr>
              <w:t>0.002</w:t>
            </w:r>
          </w:p>
        </w:tc>
        <w:tc>
          <w:tcPr>
            <w:tcW w:w="621" w:type="pct"/>
            <w:vAlign w:val="center"/>
          </w:tcPr>
          <w:p w14:paraId="091968FE" w14:textId="77777777" w:rsidR="00D12939" w:rsidRDefault="004F47F5">
            <w:pPr>
              <w:jc w:val="center"/>
              <w:rPr>
                <w:rFonts w:ascii="Times New Roman" w:hAnsi="Times New Roman" w:cs="Times New Roman"/>
              </w:rPr>
            </w:pPr>
            <w:r>
              <w:rPr>
                <w:rFonts w:ascii="Times New Roman" w:hAnsi="Times New Roman" w:cs="Times New Roman"/>
              </w:rPr>
              <w:t>0.035</w:t>
            </w:r>
          </w:p>
        </w:tc>
      </w:tr>
    </w:tbl>
    <w:p w14:paraId="074973C4" w14:textId="77777777" w:rsidR="00D12939" w:rsidRDefault="004F47F5">
      <w:pPr>
        <w:tabs>
          <w:tab w:val="left" w:pos="7385"/>
        </w:tabs>
        <w:adjustRightInd w:val="0"/>
        <w:snapToGrid w:val="0"/>
        <w:spacing w:line="360" w:lineRule="auto"/>
        <w:ind w:firstLine="480"/>
        <w:rPr>
          <w:rFonts w:ascii="Times New Roman" w:eastAsia="宋体" w:hAnsi="Times New Roman" w:cs="Times New Roman"/>
          <w:sz w:val="24"/>
          <w:szCs w:val="28"/>
        </w:rPr>
      </w:pPr>
      <w:r>
        <w:rPr>
          <w:rFonts w:ascii="Times New Roman" w:eastAsia="宋体" w:hAnsi="Times New Roman" w:cs="Times New Roman"/>
          <w:sz w:val="24"/>
          <w:szCs w:val="28"/>
        </w:rPr>
        <w:t>由表可以看出，填埋场在</w:t>
      </w:r>
      <w:r>
        <w:rPr>
          <w:rFonts w:ascii="Times New Roman" w:eastAsia="宋体" w:hAnsi="Times New Roman" w:cs="Times New Roman"/>
          <w:sz w:val="24"/>
          <w:szCs w:val="28"/>
        </w:rPr>
        <w:t>2033</w:t>
      </w:r>
      <w:r>
        <w:rPr>
          <w:rFonts w:ascii="Times New Roman" w:eastAsia="宋体" w:hAnsi="Times New Roman" w:cs="Times New Roman"/>
          <w:sz w:val="24"/>
          <w:szCs w:val="28"/>
        </w:rPr>
        <w:t>年的填埋气产生量最大，各组分的产生量也最大，</w:t>
      </w:r>
      <w:r>
        <w:rPr>
          <w:rFonts w:ascii="Times New Roman" w:eastAsia="宋体" w:hAnsi="Times New Roman" w:cs="Times New Roman"/>
          <w:sz w:val="24"/>
        </w:rPr>
        <w:t>评价以产气量最大年份为例（</w:t>
      </w:r>
      <w:r>
        <w:rPr>
          <w:rFonts w:ascii="Times New Roman" w:eastAsia="宋体" w:hAnsi="Times New Roman" w:cs="Times New Roman"/>
          <w:sz w:val="24"/>
        </w:rPr>
        <w:t>2033</w:t>
      </w:r>
      <w:r>
        <w:rPr>
          <w:rFonts w:ascii="Times New Roman" w:eastAsia="宋体" w:hAnsi="Times New Roman" w:cs="Times New Roman"/>
          <w:sz w:val="24"/>
        </w:rPr>
        <w:t>年），</w:t>
      </w:r>
      <w:r>
        <w:rPr>
          <w:rFonts w:ascii="Times New Roman" w:eastAsia="宋体" w:hAnsi="Times New Roman" w:cs="Times New Roman"/>
          <w:sz w:val="24"/>
          <w:szCs w:val="28"/>
        </w:rPr>
        <w:t>填埋气中各污染物的产生情况见表</w:t>
      </w:r>
      <w:r>
        <w:rPr>
          <w:rFonts w:ascii="Times New Roman" w:eastAsia="宋体" w:hAnsi="Times New Roman" w:cs="Times New Roman"/>
          <w:sz w:val="24"/>
          <w:szCs w:val="28"/>
        </w:rPr>
        <w:t>4.2-9</w:t>
      </w:r>
      <w:r>
        <w:rPr>
          <w:rFonts w:ascii="Times New Roman" w:eastAsia="宋体" w:hAnsi="Times New Roman" w:cs="Times New Roman"/>
          <w:sz w:val="24"/>
          <w:szCs w:val="28"/>
        </w:rPr>
        <w:t>。</w:t>
      </w:r>
    </w:p>
    <w:p w14:paraId="27EAE153" w14:textId="77777777" w:rsidR="00D12939" w:rsidRDefault="004F47F5">
      <w:pPr>
        <w:adjustRightInd w:val="0"/>
        <w:snapToGrid w:val="0"/>
        <w:jc w:val="center"/>
        <w:rPr>
          <w:rFonts w:ascii="黑体" w:eastAsia="黑体" w:hAnsi="黑体"/>
          <w:bCs/>
          <w:kern w:val="0"/>
          <w:sz w:val="24"/>
          <w:szCs w:val="21"/>
        </w:rPr>
      </w:pPr>
      <w:r>
        <w:rPr>
          <w:rFonts w:ascii="黑体" w:eastAsia="黑体" w:hAnsi="黑体" w:hint="eastAsia"/>
          <w:bCs/>
          <w:kern w:val="0"/>
          <w:sz w:val="24"/>
          <w:szCs w:val="21"/>
        </w:rPr>
        <w:t>表4.2-</w:t>
      </w:r>
      <w:r>
        <w:rPr>
          <w:rFonts w:ascii="黑体" w:eastAsia="黑体" w:hAnsi="黑体"/>
          <w:bCs/>
          <w:kern w:val="0"/>
          <w:sz w:val="24"/>
          <w:szCs w:val="21"/>
        </w:rPr>
        <w:t xml:space="preserve">9  </w:t>
      </w:r>
      <w:r>
        <w:rPr>
          <w:rFonts w:ascii="黑体" w:eastAsia="黑体" w:hAnsi="黑体" w:hint="eastAsia"/>
          <w:bCs/>
          <w:kern w:val="0"/>
          <w:sz w:val="24"/>
          <w:szCs w:val="21"/>
        </w:rPr>
        <w:t>填埋气体污染物产生情况表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59"/>
        <w:gridCol w:w="1860"/>
        <w:gridCol w:w="1857"/>
        <w:gridCol w:w="1857"/>
        <w:gridCol w:w="2303"/>
      </w:tblGrid>
      <w:tr w:rsidR="00D12939" w14:paraId="2F9C49F0" w14:textId="77777777">
        <w:trPr>
          <w:trHeight w:val="340"/>
          <w:jc w:val="center"/>
        </w:trPr>
        <w:tc>
          <w:tcPr>
            <w:tcW w:w="1859" w:type="dxa"/>
            <w:vAlign w:val="center"/>
          </w:tcPr>
          <w:p w14:paraId="78D2ECB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产生源强</w:t>
            </w:r>
          </w:p>
        </w:tc>
        <w:tc>
          <w:tcPr>
            <w:tcW w:w="1860" w:type="dxa"/>
            <w:vAlign w:val="center"/>
          </w:tcPr>
          <w:p w14:paraId="4ECF1D5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单位</w:t>
            </w:r>
          </w:p>
        </w:tc>
        <w:tc>
          <w:tcPr>
            <w:tcW w:w="1857" w:type="dxa"/>
            <w:vAlign w:val="center"/>
          </w:tcPr>
          <w:p w14:paraId="7AA560C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甲烷</w:t>
            </w:r>
          </w:p>
        </w:tc>
        <w:tc>
          <w:tcPr>
            <w:tcW w:w="1857" w:type="dxa"/>
            <w:vAlign w:val="center"/>
          </w:tcPr>
          <w:p w14:paraId="357DB74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硫化氢</w:t>
            </w:r>
          </w:p>
        </w:tc>
        <w:tc>
          <w:tcPr>
            <w:tcW w:w="2303" w:type="dxa"/>
            <w:vAlign w:val="center"/>
          </w:tcPr>
          <w:p w14:paraId="32EC559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氨气</w:t>
            </w:r>
          </w:p>
        </w:tc>
      </w:tr>
      <w:tr w:rsidR="00D12939" w14:paraId="542321E9" w14:textId="77777777">
        <w:trPr>
          <w:trHeight w:val="340"/>
          <w:jc w:val="center"/>
        </w:trPr>
        <w:tc>
          <w:tcPr>
            <w:tcW w:w="1859" w:type="dxa"/>
            <w:vAlign w:val="center"/>
          </w:tcPr>
          <w:p w14:paraId="19CD4BF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年产生体积</w:t>
            </w:r>
          </w:p>
        </w:tc>
        <w:tc>
          <w:tcPr>
            <w:tcW w:w="1860" w:type="dxa"/>
            <w:vAlign w:val="center"/>
          </w:tcPr>
          <w:p w14:paraId="73E8ED8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1857" w:type="dxa"/>
            <w:vAlign w:val="center"/>
          </w:tcPr>
          <w:p w14:paraId="49EDD60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113731.77</w:t>
            </w:r>
          </w:p>
        </w:tc>
        <w:tc>
          <w:tcPr>
            <w:tcW w:w="1857" w:type="dxa"/>
            <w:vAlign w:val="center"/>
          </w:tcPr>
          <w:p w14:paraId="443866A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32.85</w:t>
            </w:r>
          </w:p>
        </w:tc>
        <w:tc>
          <w:tcPr>
            <w:tcW w:w="2303" w:type="dxa"/>
            <w:vAlign w:val="center"/>
          </w:tcPr>
          <w:p w14:paraId="42C67FD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1138.8</w:t>
            </w:r>
          </w:p>
        </w:tc>
      </w:tr>
      <w:tr w:rsidR="00D12939" w14:paraId="396B2CA6" w14:textId="77777777">
        <w:trPr>
          <w:trHeight w:val="340"/>
          <w:jc w:val="center"/>
        </w:trPr>
        <w:tc>
          <w:tcPr>
            <w:tcW w:w="1859" w:type="dxa"/>
            <w:vAlign w:val="center"/>
          </w:tcPr>
          <w:p w14:paraId="62D8DA6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日产生体积</w:t>
            </w:r>
          </w:p>
        </w:tc>
        <w:tc>
          <w:tcPr>
            <w:tcW w:w="1860" w:type="dxa"/>
            <w:vAlign w:val="center"/>
          </w:tcPr>
          <w:p w14:paraId="3440B8A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/d</w:t>
            </w:r>
          </w:p>
        </w:tc>
        <w:tc>
          <w:tcPr>
            <w:tcW w:w="1857" w:type="dxa"/>
            <w:vAlign w:val="center"/>
          </w:tcPr>
          <w:p w14:paraId="31F8C0D3" w14:textId="77777777" w:rsidR="00D12939" w:rsidRDefault="004F47F5">
            <w:pPr>
              <w:jc w:val="center"/>
              <w:rPr>
                <w:rFonts w:ascii="Times New Roman" w:hAnsi="Times New Roman" w:cs="Times New Roman"/>
              </w:rPr>
            </w:pPr>
            <w:r>
              <w:rPr>
                <w:rFonts w:ascii="Times New Roman" w:hAnsi="Times New Roman" w:cs="Times New Roman"/>
              </w:rPr>
              <w:t>311.59</w:t>
            </w:r>
          </w:p>
        </w:tc>
        <w:tc>
          <w:tcPr>
            <w:tcW w:w="1857" w:type="dxa"/>
            <w:vAlign w:val="center"/>
          </w:tcPr>
          <w:p w14:paraId="2F0A368B"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2303" w:type="dxa"/>
            <w:vAlign w:val="center"/>
          </w:tcPr>
          <w:p w14:paraId="35DB4ECF" w14:textId="77777777" w:rsidR="00D12939" w:rsidRDefault="004F47F5">
            <w:pPr>
              <w:jc w:val="center"/>
              <w:rPr>
                <w:rFonts w:ascii="Times New Roman" w:hAnsi="Times New Roman" w:cs="Times New Roman"/>
              </w:rPr>
            </w:pPr>
            <w:r>
              <w:rPr>
                <w:rFonts w:ascii="Times New Roman" w:hAnsi="Times New Roman" w:cs="Times New Roman"/>
              </w:rPr>
              <w:t>3.12</w:t>
            </w:r>
          </w:p>
        </w:tc>
      </w:tr>
      <w:tr w:rsidR="00D12939" w14:paraId="0F8424CC" w14:textId="77777777">
        <w:trPr>
          <w:trHeight w:val="340"/>
          <w:jc w:val="center"/>
        </w:trPr>
        <w:tc>
          <w:tcPr>
            <w:tcW w:w="1859" w:type="dxa"/>
            <w:vAlign w:val="center"/>
          </w:tcPr>
          <w:p w14:paraId="5F9CA0C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密度</w:t>
            </w:r>
          </w:p>
        </w:tc>
        <w:tc>
          <w:tcPr>
            <w:tcW w:w="1860" w:type="dxa"/>
            <w:vAlign w:val="center"/>
          </w:tcPr>
          <w:p w14:paraId="16D13FF9"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kg</w:t>
            </w:r>
            <w:r>
              <w:rPr>
                <w:rFonts w:ascii="Times New Roman" w:eastAsia="宋体" w:hAnsi="Times New Roman" w:cs="Times New Roman"/>
              </w:rPr>
              <w:t>/</w:t>
            </w:r>
            <w:r>
              <w:rPr>
                <w:rFonts w:ascii="Times New Roman" w:eastAsia="宋体" w:hAnsi="Times New Roman" w:cs="Times New Roman" w:hint="eastAsia"/>
              </w:rPr>
              <w:t>m</w:t>
            </w:r>
            <w:r>
              <w:rPr>
                <w:rFonts w:ascii="Times New Roman" w:eastAsia="宋体" w:hAnsi="Times New Roman" w:cs="Times New Roman"/>
                <w:vertAlign w:val="superscript"/>
              </w:rPr>
              <w:t>3</w:t>
            </w:r>
          </w:p>
        </w:tc>
        <w:tc>
          <w:tcPr>
            <w:tcW w:w="1857" w:type="dxa"/>
            <w:vAlign w:val="center"/>
          </w:tcPr>
          <w:p w14:paraId="748FFE1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0.717</w:t>
            </w:r>
          </w:p>
        </w:tc>
        <w:tc>
          <w:tcPr>
            <w:tcW w:w="1857" w:type="dxa"/>
            <w:vAlign w:val="center"/>
          </w:tcPr>
          <w:p w14:paraId="5313688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1.52</w:t>
            </w:r>
          </w:p>
        </w:tc>
        <w:tc>
          <w:tcPr>
            <w:tcW w:w="2303" w:type="dxa"/>
            <w:vAlign w:val="center"/>
          </w:tcPr>
          <w:p w14:paraId="2A9E21D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0.77</w:t>
            </w:r>
          </w:p>
        </w:tc>
      </w:tr>
      <w:tr w:rsidR="00D12939" w14:paraId="758A6271" w14:textId="77777777">
        <w:trPr>
          <w:trHeight w:val="340"/>
          <w:jc w:val="center"/>
        </w:trPr>
        <w:tc>
          <w:tcPr>
            <w:tcW w:w="1859" w:type="dxa"/>
            <w:vAlign w:val="center"/>
          </w:tcPr>
          <w:p w14:paraId="5B845FB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年产生量</w:t>
            </w:r>
          </w:p>
        </w:tc>
        <w:tc>
          <w:tcPr>
            <w:tcW w:w="1860" w:type="dxa"/>
            <w:vAlign w:val="center"/>
          </w:tcPr>
          <w:p w14:paraId="0059569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t/a</w:t>
            </w:r>
          </w:p>
        </w:tc>
        <w:tc>
          <w:tcPr>
            <w:tcW w:w="1857" w:type="dxa"/>
            <w:vAlign w:val="center"/>
          </w:tcPr>
          <w:p w14:paraId="7E5A8CAE" w14:textId="77777777" w:rsidR="00D12939" w:rsidRDefault="004F47F5">
            <w:pPr>
              <w:widowControl/>
              <w:jc w:val="center"/>
              <w:rPr>
                <w:rFonts w:ascii="Times New Roman" w:hAnsi="Times New Roman" w:cs="Times New Roman"/>
              </w:rPr>
            </w:pPr>
            <w:r>
              <w:rPr>
                <w:rFonts w:ascii="Times New Roman" w:hAnsi="Times New Roman" w:cs="Times New Roman"/>
              </w:rPr>
              <w:t>81.55</w:t>
            </w:r>
          </w:p>
        </w:tc>
        <w:tc>
          <w:tcPr>
            <w:tcW w:w="1857" w:type="dxa"/>
            <w:vAlign w:val="center"/>
          </w:tcPr>
          <w:p w14:paraId="72D3DC28" w14:textId="77777777" w:rsidR="00D12939" w:rsidRDefault="004F47F5">
            <w:pPr>
              <w:jc w:val="center"/>
              <w:rPr>
                <w:rFonts w:ascii="Times New Roman" w:hAnsi="Times New Roman" w:cs="Times New Roman"/>
              </w:rPr>
            </w:pPr>
            <w:r>
              <w:rPr>
                <w:rFonts w:ascii="Times New Roman" w:hAnsi="Times New Roman" w:cs="Times New Roman"/>
              </w:rPr>
              <w:t>0.053</w:t>
            </w:r>
          </w:p>
        </w:tc>
        <w:tc>
          <w:tcPr>
            <w:tcW w:w="2303" w:type="dxa"/>
            <w:vAlign w:val="center"/>
          </w:tcPr>
          <w:p w14:paraId="44B1D6CD" w14:textId="77777777" w:rsidR="00D12939" w:rsidRDefault="004F47F5">
            <w:pPr>
              <w:jc w:val="center"/>
              <w:rPr>
                <w:rFonts w:ascii="Times New Roman" w:hAnsi="Times New Roman" w:cs="Times New Roman"/>
              </w:rPr>
            </w:pPr>
            <w:r>
              <w:rPr>
                <w:rFonts w:ascii="Times New Roman" w:hAnsi="Times New Roman" w:cs="Times New Roman"/>
              </w:rPr>
              <w:t>0.88</w:t>
            </w:r>
          </w:p>
        </w:tc>
      </w:tr>
      <w:tr w:rsidR="00D12939" w14:paraId="37505938" w14:textId="77777777">
        <w:trPr>
          <w:trHeight w:val="340"/>
          <w:jc w:val="center"/>
        </w:trPr>
        <w:tc>
          <w:tcPr>
            <w:tcW w:w="1859" w:type="dxa"/>
            <w:vAlign w:val="center"/>
          </w:tcPr>
          <w:p w14:paraId="58EF7F7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日产生量</w:t>
            </w:r>
          </w:p>
        </w:tc>
        <w:tc>
          <w:tcPr>
            <w:tcW w:w="1860" w:type="dxa"/>
            <w:vAlign w:val="center"/>
          </w:tcPr>
          <w:p w14:paraId="76F8C53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kg/d</w:t>
            </w:r>
          </w:p>
        </w:tc>
        <w:tc>
          <w:tcPr>
            <w:tcW w:w="1857" w:type="dxa"/>
            <w:vAlign w:val="center"/>
          </w:tcPr>
          <w:p w14:paraId="40B31E3B" w14:textId="77777777" w:rsidR="00D12939" w:rsidRDefault="004F47F5">
            <w:pPr>
              <w:widowControl/>
              <w:jc w:val="center"/>
              <w:rPr>
                <w:rFonts w:ascii="Times New Roman" w:hAnsi="Times New Roman" w:cs="Times New Roman"/>
              </w:rPr>
            </w:pPr>
            <w:r>
              <w:rPr>
                <w:rFonts w:ascii="Times New Roman" w:hAnsi="Times New Roman" w:cs="Times New Roman"/>
              </w:rPr>
              <w:t>223.42</w:t>
            </w:r>
          </w:p>
        </w:tc>
        <w:tc>
          <w:tcPr>
            <w:tcW w:w="1857" w:type="dxa"/>
            <w:vAlign w:val="center"/>
          </w:tcPr>
          <w:p w14:paraId="329BA775" w14:textId="77777777" w:rsidR="00D12939" w:rsidRDefault="004F47F5">
            <w:pPr>
              <w:jc w:val="center"/>
              <w:rPr>
                <w:rFonts w:ascii="Times New Roman" w:hAnsi="Times New Roman" w:cs="Times New Roman"/>
              </w:rPr>
            </w:pPr>
            <w:r>
              <w:rPr>
                <w:rFonts w:ascii="Times New Roman" w:hAnsi="Times New Roman" w:cs="Times New Roman"/>
              </w:rPr>
              <w:t>0.144</w:t>
            </w:r>
          </w:p>
        </w:tc>
        <w:tc>
          <w:tcPr>
            <w:tcW w:w="2303" w:type="dxa"/>
            <w:vAlign w:val="center"/>
          </w:tcPr>
          <w:p w14:paraId="18740E2B" w14:textId="77777777" w:rsidR="00D12939" w:rsidRDefault="004F47F5">
            <w:pPr>
              <w:jc w:val="center"/>
              <w:rPr>
                <w:rFonts w:ascii="Times New Roman" w:hAnsi="Times New Roman" w:cs="Times New Roman"/>
              </w:rPr>
            </w:pPr>
            <w:r>
              <w:rPr>
                <w:rFonts w:ascii="Times New Roman" w:hAnsi="Times New Roman" w:cs="Times New Roman"/>
              </w:rPr>
              <w:t>2.40</w:t>
            </w:r>
          </w:p>
        </w:tc>
      </w:tr>
      <w:tr w:rsidR="00D12939" w14:paraId="293FDBC8" w14:textId="77777777">
        <w:trPr>
          <w:trHeight w:val="340"/>
          <w:jc w:val="center"/>
        </w:trPr>
        <w:tc>
          <w:tcPr>
            <w:tcW w:w="1859" w:type="dxa"/>
            <w:vAlign w:val="center"/>
          </w:tcPr>
          <w:p w14:paraId="207B8BC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小时产生量</w:t>
            </w:r>
          </w:p>
        </w:tc>
        <w:tc>
          <w:tcPr>
            <w:tcW w:w="1860" w:type="dxa"/>
            <w:vAlign w:val="center"/>
          </w:tcPr>
          <w:p w14:paraId="3EADB08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kg/h</w:t>
            </w:r>
          </w:p>
        </w:tc>
        <w:tc>
          <w:tcPr>
            <w:tcW w:w="1857" w:type="dxa"/>
            <w:vAlign w:val="center"/>
          </w:tcPr>
          <w:p w14:paraId="285ADC9A" w14:textId="77777777" w:rsidR="00D12939" w:rsidRDefault="004F47F5">
            <w:pPr>
              <w:jc w:val="center"/>
              <w:rPr>
                <w:rFonts w:ascii="Times New Roman" w:hAnsi="Times New Roman" w:cs="Times New Roman"/>
              </w:rPr>
            </w:pPr>
            <w:r>
              <w:rPr>
                <w:rFonts w:ascii="Times New Roman" w:hAnsi="Times New Roman" w:cs="Times New Roman"/>
              </w:rPr>
              <w:t>9.309</w:t>
            </w:r>
          </w:p>
        </w:tc>
        <w:tc>
          <w:tcPr>
            <w:tcW w:w="1857" w:type="dxa"/>
            <w:vAlign w:val="center"/>
          </w:tcPr>
          <w:p w14:paraId="40CDCF72" w14:textId="77777777" w:rsidR="00D12939" w:rsidRDefault="004F47F5">
            <w:pPr>
              <w:jc w:val="center"/>
              <w:rPr>
                <w:rFonts w:ascii="Times New Roman" w:hAnsi="Times New Roman" w:cs="Times New Roman"/>
              </w:rPr>
            </w:pPr>
            <w:r>
              <w:rPr>
                <w:rFonts w:ascii="Times New Roman" w:hAnsi="Times New Roman" w:cs="Times New Roman"/>
              </w:rPr>
              <w:t>0.006</w:t>
            </w:r>
          </w:p>
        </w:tc>
        <w:tc>
          <w:tcPr>
            <w:tcW w:w="2303" w:type="dxa"/>
            <w:vAlign w:val="center"/>
          </w:tcPr>
          <w:p w14:paraId="329C178A" w14:textId="77777777" w:rsidR="00D12939" w:rsidRDefault="004F47F5">
            <w:pPr>
              <w:jc w:val="center"/>
              <w:rPr>
                <w:rFonts w:ascii="Times New Roman" w:hAnsi="Times New Roman" w:cs="Times New Roman"/>
              </w:rPr>
            </w:pPr>
            <w:r>
              <w:rPr>
                <w:rFonts w:ascii="Times New Roman" w:hAnsi="Times New Roman" w:cs="Times New Roman"/>
              </w:rPr>
              <w:t>0.100</w:t>
            </w:r>
          </w:p>
        </w:tc>
      </w:tr>
    </w:tbl>
    <w:p w14:paraId="11DF488C" w14:textId="77777777" w:rsidR="00D12939" w:rsidRDefault="004F47F5">
      <w:pPr>
        <w:widowControl/>
        <w:spacing w:line="360" w:lineRule="auto"/>
        <w:ind w:firstLine="480"/>
        <w:rPr>
          <w:rFonts w:ascii="Times New Roman" w:eastAsia="宋体" w:hAnsi="Times New Roman" w:cs="Times New Roman"/>
          <w:sz w:val="24"/>
          <w:szCs w:val="28"/>
        </w:rPr>
      </w:pPr>
      <w:r>
        <w:rPr>
          <w:rFonts w:ascii="Times New Roman" w:eastAsia="宋体" w:hAnsi="Times New Roman" w:cs="Times New Roman"/>
          <w:sz w:val="24"/>
          <w:szCs w:val="28"/>
        </w:rPr>
        <w:lastRenderedPageBreak/>
        <w:t>项目为乡镇生活垃圾填埋场，无机物含量较高，占</w:t>
      </w:r>
      <w:r>
        <w:rPr>
          <w:rFonts w:ascii="Times New Roman" w:eastAsia="宋体" w:hAnsi="Times New Roman" w:cs="Times New Roman"/>
          <w:sz w:val="24"/>
          <w:szCs w:val="28"/>
        </w:rPr>
        <w:t>65~70%</w:t>
      </w:r>
      <w:r>
        <w:rPr>
          <w:rFonts w:ascii="Times New Roman" w:eastAsia="宋体" w:hAnsi="Times New Roman" w:cs="Times New Roman"/>
          <w:sz w:val="24"/>
          <w:szCs w:val="28"/>
        </w:rPr>
        <w:t>，</w:t>
      </w:r>
      <w:r>
        <w:rPr>
          <w:rFonts w:ascii="Times New Roman" w:eastAsia="宋体" w:hAnsi="Times New Roman" w:cs="Times New Roman" w:hint="eastAsia"/>
          <w:sz w:val="24"/>
          <w:szCs w:val="28"/>
        </w:rPr>
        <w:t>且本填埋场填埋规模较小，故本工程中前期不考虑填埋气体的利用，以疏导排放为主，后期气体浓度局部较高时采用燃烧处理。</w:t>
      </w:r>
    </w:p>
    <w:p w14:paraId="105C1F00" w14:textId="77777777" w:rsidR="00D12939" w:rsidRDefault="004F47F5">
      <w:pPr>
        <w:widowControl/>
        <w:spacing w:line="360" w:lineRule="auto"/>
        <w:ind w:firstLine="480"/>
        <w:rPr>
          <w:rFonts w:ascii="Times New Roman" w:eastAsia="宋体" w:hAnsi="Times New Roman" w:cs="Times New Roman"/>
          <w:sz w:val="24"/>
        </w:rPr>
      </w:pPr>
      <w:r>
        <w:rPr>
          <w:rFonts w:ascii="Times New Roman" w:eastAsia="宋体" w:hAnsi="Times New Roman" w:cs="Times New Roman"/>
          <w:sz w:val="24"/>
        </w:rPr>
        <w:t>采用便捷式甲烷测定仪定期对填埋区和填埋区气体进行监测。若发现导气管排放口甲烷体积分数大于</w:t>
      </w:r>
      <w:r>
        <w:rPr>
          <w:rFonts w:ascii="Times New Roman" w:eastAsia="宋体" w:hAnsi="Times New Roman" w:cs="Times New Roman"/>
          <w:sz w:val="24"/>
        </w:rPr>
        <w:t>5%</w:t>
      </w:r>
      <w:r>
        <w:rPr>
          <w:rFonts w:ascii="Times New Roman" w:eastAsia="宋体" w:hAnsi="Times New Roman" w:cs="Times New Roman"/>
          <w:sz w:val="24"/>
        </w:rPr>
        <w:t>时，将原填埋气体导排系统改建成填埋气体主动收集系统，通过开放式的燃烧火炬燃烧处理，达标排放。根据填埋场资料介绍，填埋场导排系统集气效率可以达</w:t>
      </w:r>
      <w:r>
        <w:rPr>
          <w:rFonts w:ascii="Times New Roman" w:eastAsia="宋体" w:hAnsi="Times New Roman" w:cs="Times New Roman"/>
          <w:sz w:val="24"/>
        </w:rPr>
        <w:t>80%</w:t>
      </w:r>
      <w:r>
        <w:rPr>
          <w:rFonts w:ascii="Times New Roman" w:eastAsia="宋体" w:hAnsi="Times New Roman" w:cs="Times New Roman"/>
          <w:sz w:val="24"/>
        </w:rPr>
        <w:t>，其余的</w:t>
      </w:r>
      <w:r>
        <w:rPr>
          <w:rFonts w:ascii="Times New Roman" w:eastAsia="宋体" w:hAnsi="Times New Roman" w:cs="Times New Roman"/>
          <w:sz w:val="24"/>
        </w:rPr>
        <w:t>20%</w:t>
      </w:r>
      <w:r>
        <w:rPr>
          <w:rFonts w:ascii="Times New Roman" w:eastAsia="宋体" w:hAnsi="Times New Roman" w:cs="Times New Roman"/>
          <w:sz w:val="24"/>
        </w:rPr>
        <w:t>为无组织排放。环评建议在各导气石笼气体排放口设置电子监控器，该装置通过自动感应收集管内的可燃气体浓度达到一定浓度时自动点火，及时排除填埋气体并燃烧处理，以脱除废气中的恶臭，防止大气污染，并保证填埋作业的安全。点燃状态下</w:t>
      </w:r>
      <w:r>
        <w:rPr>
          <w:rFonts w:ascii="Times New Roman" w:eastAsia="宋体" w:hAnsi="Times New Roman" w:cs="Times New Roman"/>
          <w:sz w:val="24"/>
        </w:rPr>
        <w:t>SO</w:t>
      </w:r>
      <w:r>
        <w:rPr>
          <w:rFonts w:ascii="Times New Roman" w:eastAsia="宋体" w:hAnsi="Times New Roman" w:cs="Times New Roman"/>
          <w:sz w:val="24"/>
          <w:vertAlign w:val="subscript"/>
        </w:rPr>
        <w:t>2</w:t>
      </w:r>
      <w:r>
        <w:rPr>
          <w:rFonts w:ascii="Times New Roman" w:eastAsia="宋体" w:hAnsi="Times New Roman" w:cs="Times New Roman"/>
          <w:sz w:val="24"/>
        </w:rPr>
        <w:t>排放量按</w:t>
      </w:r>
      <w:r>
        <w:rPr>
          <w:rFonts w:ascii="Times New Roman" w:eastAsia="宋体" w:hAnsi="Times New Roman" w:cs="Times New Roman"/>
          <w:sz w:val="24"/>
        </w:rPr>
        <w:t>4H</w:t>
      </w:r>
      <w:r>
        <w:rPr>
          <w:rFonts w:ascii="Times New Roman" w:eastAsia="宋体" w:hAnsi="Times New Roman" w:cs="Times New Roman"/>
          <w:sz w:val="24"/>
          <w:vertAlign w:val="subscript"/>
        </w:rPr>
        <w:t>2</w:t>
      </w:r>
      <w:r>
        <w:rPr>
          <w:rFonts w:ascii="Times New Roman" w:eastAsia="宋体" w:hAnsi="Times New Roman" w:cs="Times New Roman"/>
          <w:sz w:val="24"/>
        </w:rPr>
        <w:t>S+6O</w:t>
      </w:r>
      <w:r>
        <w:rPr>
          <w:rFonts w:ascii="Times New Roman" w:eastAsia="宋体" w:hAnsi="Times New Roman" w:cs="Times New Roman"/>
          <w:sz w:val="24"/>
          <w:vertAlign w:val="subscript"/>
        </w:rPr>
        <w:t>2</w:t>
      </w:r>
      <w:r>
        <w:rPr>
          <w:rFonts w:ascii="Times New Roman" w:eastAsia="宋体" w:hAnsi="Times New Roman" w:cs="Times New Roman"/>
          <w:sz w:val="24"/>
        </w:rPr>
        <w:t>=4H</w:t>
      </w:r>
      <w:r>
        <w:rPr>
          <w:rFonts w:ascii="Times New Roman" w:eastAsia="宋体" w:hAnsi="Times New Roman" w:cs="Times New Roman"/>
          <w:sz w:val="24"/>
          <w:vertAlign w:val="subscript"/>
        </w:rPr>
        <w:t>2</w:t>
      </w:r>
      <w:r>
        <w:rPr>
          <w:rFonts w:ascii="Times New Roman" w:eastAsia="宋体" w:hAnsi="Times New Roman" w:cs="Times New Roman"/>
          <w:sz w:val="24"/>
        </w:rPr>
        <w:t>O+4SO</w:t>
      </w:r>
      <w:r>
        <w:rPr>
          <w:rFonts w:ascii="Times New Roman" w:eastAsia="宋体" w:hAnsi="Times New Roman" w:cs="Times New Roman"/>
          <w:sz w:val="24"/>
          <w:vertAlign w:val="subscript"/>
        </w:rPr>
        <w:t>2</w:t>
      </w:r>
      <w:r>
        <w:rPr>
          <w:rFonts w:ascii="Times New Roman" w:eastAsia="宋体" w:hAnsi="Times New Roman" w:cs="Times New Roman"/>
          <w:sz w:val="24"/>
        </w:rPr>
        <w:t>方程式计算，</w:t>
      </w:r>
      <w:r>
        <w:rPr>
          <w:rFonts w:ascii="Times New Roman" w:eastAsia="宋体" w:hAnsi="Times New Roman" w:cs="Times New Roman"/>
          <w:sz w:val="24"/>
        </w:rPr>
        <w:t>NOx</w:t>
      </w:r>
      <w:r>
        <w:rPr>
          <w:rFonts w:ascii="Times New Roman" w:eastAsia="宋体" w:hAnsi="Times New Roman" w:cs="Times New Roman"/>
          <w:sz w:val="24"/>
        </w:rPr>
        <w:t>排放量参照《环境保护实用数据手册》</w:t>
      </w:r>
      <w:r>
        <w:rPr>
          <w:rFonts w:ascii="Times New Roman" w:eastAsia="宋体" w:hAnsi="Times New Roman" w:cs="Times New Roman"/>
          <w:snapToGrid w:val="0"/>
          <w:sz w:val="24"/>
        </w:rPr>
        <w:t>确定，</w:t>
      </w:r>
      <w:r>
        <w:rPr>
          <w:rFonts w:ascii="Times New Roman" w:eastAsia="宋体" w:hAnsi="Times New Roman" w:cs="Times New Roman"/>
          <w:sz w:val="24"/>
        </w:rPr>
        <w:t>燃烧</w:t>
      </w:r>
      <w:r>
        <w:rPr>
          <w:rFonts w:ascii="Times New Roman" w:eastAsia="宋体" w:hAnsi="Times New Roman" w:cs="Times New Roman"/>
          <w:snapToGrid w:val="0"/>
          <w:sz w:val="24"/>
        </w:rPr>
        <w:t>1m</w:t>
      </w:r>
      <w:r>
        <w:rPr>
          <w:rFonts w:ascii="Times New Roman" w:eastAsia="宋体" w:hAnsi="Times New Roman" w:cs="Times New Roman"/>
          <w:snapToGrid w:val="0"/>
          <w:sz w:val="24"/>
          <w:vertAlign w:val="superscript"/>
        </w:rPr>
        <w:t>3</w:t>
      </w:r>
      <w:r>
        <w:rPr>
          <w:rFonts w:ascii="Times New Roman" w:eastAsia="宋体" w:hAnsi="Times New Roman" w:cs="Times New Roman"/>
          <w:snapToGrid w:val="0"/>
          <w:sz w:val="24"/>
        </w:rPr>
        <w:t>沼气产生的烟气量为</w:t>
      </w:r>
      <w:r>
        <w:rPr>
          <w:rFonts w:ascii="Times New Roman" w:eastAsia="宋体" w:hAnsi="Times New Roman" w:cs="Times New Roman"/>
          <w:snapToGrid w:val="0"/>
          <w:sz w:val="24"/>
        </w:rPr>
        <w:t>13.6m</w:t>
      </w:r>
      <w:r>
        <w:rPr>
          <w:rFonts w:ascii="Times New Roman" w:eastAsia="宋体" w:hAnsi="Times New Roman" w:cs="Times New Roman"/>
          <w:snapToGrid w:val="0"/>
          <w:sz w:val="24"/>
          <w:vertAlign w:val="superscript"/>
        </w:rPr>
        <w:t>3</w:t>
      </w:r>
      <w:r>
        <w:rPr>
          <w:rFonts w:ascii="Times New Roman" w:eastAsia="宋体" w:hAnsi="Times New Roman" w:cs="Times New Roman"/>
          <w:snapToGrid w:val="0"/>
          <w:sz w:val="24"/>
        </w:rPr>
        <w:t>；</w:t>
      </w:r>
      <w:r>
        <w:rPr>
          <w:rFonts w:ascii="Times New Roman" w:eastAsia="宋体" w:hAnsi="Times New Roman" w:cs="Times New Roman"/>
          <w:bCs/>
          <w:snapToGrid w:val="0"/>
          <w:sz w:val="24"/>
        </w:rPr>
        <w:t>NO</w:t>
      </w:r>
      <w:r>
        <w:rPr>
          <w:rFonts w:ascii="Times New Roman" w:eastAsia="宋体" w:hAnsi="Times New Roman" w:cs="Times New Roman"/>
          <w:bCs/>
          <w:snapToGrid w:val="0"/>
          <w:sz w:val="24"/>
          <w:vertAlign w:val="subscript"/>
        </w:rPr>
        <w:t>x</w:t>
      </w:r>
      <w:r>
        <w:rPr>
          <w:rFonts w:ascii="Times New Roman" w:eastAsia="宋体" w:hAnsi="Times New Roman" w:cs="Times New Roman"/>
          <w:snapToGrid w:val="0"/>
          <w:sz w:val="24"/>
        </w:rPr>
        <w:t>产排浓度为</w:t>
      </w:r>
      <w:r>
        <w:rPr>
          <w:rFonts w:ascii="Times New Roman" w:eastAsia="宋体" w:hAnsi="Times New Roman" w:cs="Times New Roman"/>
          <w:snapToGrid w:val="0"/>
          <w:sz w:val="24"/>
        </w:rPr>
        <w:t>137mg/m</w:t>
      </w:r>
      <w:r>
        <w:rPr>
          <w:rFonts w:ascii="Times New Roman" w:eastAsia="宋体" w:hAnsi="Times New Roman" w:cs="Times New Roman"/>
          <w:snapToGrid w:val="0"/>
          <w:sz w:val="24"/>
          <w:vertAlign w:val="superscript"/>
        </w:rPr>
        <w:t>3</w:t>
      </w:r>
      <w:r>
        <w:rPr>
          <w:rFonts w:ascii="Times New Roman" w:eastAsia="宋体" w:hAnsi="Times New Roman" w:cs="Times New Roman"/>
          <w:snapToGrid w:val="0"/>
          <w:sz w:val="24"/>
        </w:rPr>
        <w:t>，火炬燃烧废气量为</w:t>
      </w:r>
      <w:r>
        <w:rPr>
          <w:rFonts w:ascii="Times New Roman" w:eastAsia="宋体" w:hAnsi="Times New Roman" w:cs="Times New Roman"/>
          <w:snapToGrid w:val="0"/>
          <w:sz w:val="24"/>
        </w:rPr>
        <w:t>309.4</w:t>
      </w:r>
      <w:r>
        <w:rPr>
          <w:rFonts w:ascii="Times New Roman" w:eastAsia="宋体" w:hAnsi="Times New Roman" w:cs="Times New Roman"/>
          <w:snapToGrid w:val="0"/>
          <w:sz w:val="24"/>
        </w:rPr>
        <w:t>万</w:t>
      </w:r>
      <w:r>
        <w:rPr>
          <w:rFonts w:ascii="Times New Roman" w:eastAsia="宋体" w:hAnsi="Times New Roman" w:cs="Times New Roman"/>
          <w:sz w:val="24"/>
        </w:rPr>
        <w:t>m</w:t>
      </w:r>
      <w:r>
        <w:rPr>
          <w:rFonts w:ascii="Times New Roman" w:eastAsia="宋体" w:hAnsi="Times New Roman" w:cs="Times New Roman"/>
          <w:sz w:val="24"/>
          <w:vertAlign w:val="superscript"/>
        </w:rPr>
        <w:t>3</w:t>
      </w:r>
      <w:r>
        <w:rPr>
          <w:rFonts w:ascii="Times New Roman" w:eastAsia="宋体" w:hAnsi="Times New Roman" w:cs="Times New Roman"/>
          <w:sz w:val="24"/>
        </w:rPr>
        <w:t>/a</w:t>
      </w:r>
      <w:r>
        <w:rPr>
          <w:rFonts w:ascii="Times New Roman" w:eastAsia="宋体" w:hAnsi="Times New Roman" w:cs="Times New Roman"/>
          <w:sz w:val="24"/>
        </w:rPr>
        <w:t>。评价以产气量最大年份为例（</w:t>
      </w:r>
      <w:r>
        <w:rPr>
          <w:rFonts w:ascii="Times New Roman" w:eastAsia="宋体" w:hAnsi="Times New Roman" w:cs="Times New Roman"/>
          <w:sz w:val="24"/>
        </w:rPr>
        <w:t>2033</w:t>
      </w:r>
      <w:r>
        <w:rPr>
          <w:rFonts w:ascii="Times New Roman" w:eastAsia="宋体" w:hAnsi="Times New Roman" w:cs="Times New Roman"/>
          <w:sz w:val="24"/>
        </w:rPr>
        <w:t>年），确定填埋场废气污染物排放源强，详见表</w:t>
      </w:r>
      <w:r>
        <w:rPr>
          <w:rFonts w:ascii="Times New Roman" w:eastAsia="宋体" w:hAnsi="Times New Roman" w:cs="Times New Roman"/>
          <w:sz w:val="24"/>
        </w:rPr>
        <w:t>4.2-10</w:t>
      </w:r>
      <w:r>
        <w:rPr>
          <w:rFonts w:ascii="Times New Roman" w:eastAsia="宋体" w:hAnsi="Times New Roman" w:cs="Times New Roman"/>
          <w:sz w:val="24"/>
        </w:rPr>
        <w:t>。</w:t>
      </w:r>
    </w:p>
    <w:p w14:paraId="391E078F" w14:textId="77777777" w:rsidR="00D12939" w:rsidRDefault="004F47F5">
      <w:pPr>
        <w:adjustRightInd w:val="0"/>
        <w:snapToGrid w:val="0"/>
        <w:jc w:val="center"/>
        <w:rPr>
          <w:rFonts w:ascii="黑体" w:eastAsia="黑体" w:hAnsi="黑体"/>
          <w:bCs/>
          <w:kern w:val="0"/>
          <w:sz w:val="24"/>
          <w:szCs w:val="21"/>
        </w:rPr>
      </w:pPr>
      <w:bookmarkStart w:id="346" w:name="_Ref11160"/>
      <w:r>
        <w:rPr>
          <w:rFonts w:ascii="黑体" w:eastAsia="黑体" w:hAnsi="黑体" w:hint="eastAsia"/>
          <w:bCs/>
          <w:kern w:val="0"/>
          <w:sz w:val="24"/>
          <w:szCs w:val="21"/>
        </w:rPr>
        <w:t>表</w:t>
      </w:r>
      <w:bookmarkEnd w:id="346"/>
      <w:r>
        <w:rPr>
          <w:rFonts w:ascii="黑体" w:eastAsia="黑体" w:hAnsi="黑体" w:hint="eastAsia"/>
          <w:bCs/>
          <w:kern w:val="0"/>
          <w:sz w:val="24"/>
          <w:szCs w:val="21"/>
        </w:rPr>
        <w:t>4.2-</w:t>
      </w:r>
      <w:r>
        <w:rPr>
          <w:rFonts w:ascii="黑体" w:eastAsia="黑体" w:hAnsi="黑体"/>
          <w:bCs/>
          <w:kern w:val="0"/>
          <w:sz w:val="24"/>
          <w:szCs w:val="21"/>
        </w:rPr>
        <w:t xml:space="preserve">10  </w:t>
      </w:r>
      <w:r>
        <w:rPr>
          <w:rFonts w:ascii="黑体" w:eastAsia="黑体" w:hAnsi="黑体" w:hint="eastAsia"/>
          <w:bCs/>
          <w:kern w:val="0"/>
          <w:sz w:val="24"/>
          <w:szCs w:val="21"/>
        </w:rPr>
        <w:t>填埋气体污染物排放情况表</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1"/>
        <w:gridCol w:w="616"/>
        <w:gridCol w:w="851"/>
        <w:gridCol w:w="710"/>
        <w:gridCol w:w="851"/>
        <w:gridCol w:w="996"/>
        <w:gridCol w:w="708"/>
        <w:gridCol w:w="851"/>
        <w:gridCol w:w="996"/>
        <w:gridCol w:w="702"/>
        <w:gridCol w:w="708"/>
        <w:gridCol w:w="710"/>
        <w:gridCol w:w="851"/>
      </w:tblGrid>
      <w:tr w:rsidR="00D12939" w14:paraId="7BE05D5F" w14:textId="77777777">
        <w:trPr>
          <w:trHeight w:val="257"/>
          <w:jc w:val="center"/>
        </w:trPr>
        <w:tc>
          <w:tcPr>
            <w:tcW w:w="621" w:type="pct"/>
            <w:gridSpan w:val="2"/>
            <w:vMerge w:val="restart"/>
            <w:vAlign w:val="center"/>
          </w:tcPr>
          <w:p w14:paraId="5014DA81" w14:textId="77777777" w:rsidR="00D12939" w:rsidRDefault="004F47F5">
            <w:pPr>
              <w:pStyle w:val="1f9"/>
              <w:rPr>
                <w:bCs/>
                <w:sz w:val="18"/>
                <w:szCs w:val="18"/>
              </w:rPr>
            </w:pPr>
            <w:r>
              <w:rPr>
                <w:bCs/>
                <w:sz w:val="18"/>
                <w:szCs w:val="18"/>
              </w:rPr>
              <w:t>填埋气体</w:t>
            </w:r>
          </w:p>
        </w:tc>
        <w:tc>
          <w:tcPr>
            <w:tcW w:w="417" w:type="pct"/>
            <w:vMerge w:val="restart"/>
            <w:vAlign w:val="center"/>
          </w:tcPr>
          <w:p w14:paraId="4B0F73BC" w14:textId="77777777" w:rsidR="00D12939" w:rsidRDefault="004F47F5">
            <w:pPr>
              <w:pStyle w:val="1f9"/>
              <w:rPr>
                <w:bCs/>
                <w:sz w:val="18"/>
                <w:szCs w:val="18"/>
              </w:rPr>
            </w:pPr>
            <w:r>
              <w:rPr>
                <w:bCs/>
                <w:sz w:val="18"/>
                <w:szCs w:val="18"/>
              </w:rPr>
              <w:t>填埋气量（万</w:t>
            </w:r>
            <w:r>
              <w:rPr>
                <w:bCs/>
                <w:sz w:val="18"/>
                <w:szCs w:val="18"/>
              </w:rPr>
              <w:t>m</w:t>
            </w:r>
            <w:r>
              <w:rPr>
                <w:bCs/>
                <w:sz w:val="18"/>
                <w:szCs w:val="18"/>
                <w:vertAlign w:val="superscript"/>
              </w:rPr>
              <w:t>3</w:t>
            </w:r>
            <w:r>
              <w:rPr>
                <w:bCs/>
                <w:sz w:val="18"/>
                <w:szCs w:val="18"/>
              </w:rPr>
              <w:t>/a</w:t>
            </w:r>
            <w:r>
              <w:rPr>
                <w:bCs/>
                <w:sz w:val="18"/>
                <w:szCs w:val="18"/>
              </w:rPr>
              <w:t>）</w:t>
            </w:r>
          </w:p>
        </w:tc>
        <w:tc>
          <w:tcPr>
            <w:tcW w:w="1253" w:type="pct"/>
            <w:gridSpan w:val="3"/>
            <w:vAlign w:val="center"/>
          </w:tcPr>
          <w:p w14:paraId="2AD7CA37" w14:textId="77777777" w:rsidR="00D12939" w:rsidRDefault="004F47F5">
            <w:pPr>
              <w:pStyle w:val="1f9"/>
              <w:rPr>
                <w:bCs/>
                <w:sz w:val="18"/>
                <w:szCs w:val="18"/>
              </w:rPr>
            </w:pPr>
            <w:r>
              <w:rPr>
                <w:sz w:val="18"/>
                <w:szCs w:val="18"/>
              </w:rPr>
              <w:t>CH</w:t>
            </w:r>
            <w:r>
              <w:rPr>
                <w:sz w:val="18"/>
                <w:szCs w:val="18"/>
                <w:vertAlign w:val="subscript"/>
              </w:rPr>
              <w:t>4</w:t>
            </w:r>
          </w:p>
        </w:tc>
        <w:tc>
          <w:tcPr>
            <w:tcW w:w="1252" w:type="pct"/>
            <w:gridSpan w:val="3"/>
            <w:vAlign w:val="center"/>
          </w:tcPr>
          <w:p w14:paraId="33756E6E" w14:textId="77777777" w:rsidR="00D12939" w:rsidRDefault="004F47F5">
            <w:pPr>
              <w:pStyle w:val="1f9"/>
              <w:rPr>
                <w:bCs/>
                <w:sz w:val="18"/>
                <w:szCs w:val="18"/>
              </w:rPr>
            </w:pPr>
            <w:r>
              <w:rPr>
                <w:sz w:val="18"/>
                <w:szCs w:val="18"/>
              </w:rPr>
              <w:t>H</w:t>
            </w:r>
            <w:r>
              <w:rPr>
                <w:sz w:val="18"/>
                <w:szCs w:val="18"/>
                <w:vertAlign w:val="subscript"/>
              </w:rPr>
              <w:t>2</w:t>
            </w:r>
            <w:r>
              <w:rPr>
                <w:sz w:val="18"/>
                <w:szCs w:val="18"/>
              </w:rPr>
              <w:t>S</w:t>
            </w:r>
          </w:p>
        </w:tc>
        <w:tc>
          <w:tcPr>
            <w:tcW w:w="1456" w:type="pct"/>
            <w:gridSpan w:val="4"/>
            <w:vAlign w:val="center"/>
          </w:tcPr>
          <w:p w14:paraId="3B1A529E" w14:textId="77777777" w:rsidR="00D12939" w:rsidRDefault="004F47F5">
            <w:pPr>
              <w:pStyle w:val="1f9"/>
              <w:rPr>
                <w:bCs/>
                <w:sz w:val="18"/>
                <w:szCs w:val="18"/>
              </w:rPr>
            </w:pPr>
            <w:r>
              <w:rPr>
                <w:sz w:val="18"/>
                <w:szCs w:val="18"/>
              </w:rPr>
              <w:t>NH</w:t>
            </w:r>
            <w:r>
              <w:rPr>
                <w:sz w:val="18"/>
                <w:szCs w:val="18"/>
                <w:vertAlign w:val="subscript"/>
              </w:rPr>
              <w:t>3</w:t>
            </w:r>
          </w:p>
        </w:tc>
      </w:tr>
      <w:tr w:rsidR="00D12939" w14:paraId="6A98AB61" w14:textId="77777777">
        <w:trPr>
          <w:trHeight w:val="183"/>
          <w:jc w:val="center"/>
        </w:trPr>
        <w:tc>
          <w:tcPr>
            <w:tcW w:w="621" w:type="pct"/>
            <w:gridSpan w:val="2"/>
            <w:vMerge/>
            <w:vAlign w:val="center"/>
          </w:tcPr>
          <w:p w14:paraId="696B0DE1" w14:textId="77777777" w:rsidR="00D12939" w:rsidRDefault="00D12939">
            <w:pPr>
              <w:pStyle w:val="1f9"/>
              <w:rPr>
                <w:bCs/>
                <w:sz w:val="18"/>
                <w:szCs w:val="18"/>
              </w:rPr>
            </w:pPr>
          </w:p>
        </w:tc>
        <w:tc>
          <w:tcPr>
            <w:tcW w:w="417" w:type="pct"/>
            <w:vMerge/>
            <w:vAlign w:val="center"/>
          </w:tcPr>
          <w:p w14:paraId="4B00610E" w14:textId="77777777" w:rsidR="00D12939" w:rsidRDefault="00D12939">
            <w:pPr>
              <w:pStyle w:val="1f9"/>
              <w:rPr>
                <w:bCs/>
                <w:sz w:val="18"/>
                <w:szCs w:val="18"/>
              </w:rPr>
            </w:pPr>
          </w:p>
        </w:tc>
        <w:tc>
          <w:tcPr>
            <w:tcW w:w="348" w:type="pct"/>
            <w:vAlign w:val="center"/>
          </w:tcPr>
          <w:p w14:paraId="68983AA3" w14:textId="77777777" w:rsidR="00D12939" w:rsidRDefault="004F47F5">
            <w:pPr>
              <w:pStyle w:val="1f9"/>
              <w:rPr>
                <w:bCs/>
                <w:sz w:val="18"/>
                <w:szCs w:val="18"/>
              </w:rPr>
            </w:pPr>
            <w:r>
              <w:rPr>
                <w:bCs/>
                <w:sz w:val="18"/>
                <w:szCs w:val="18"/>
              </w:rPr>
              <w:t>排放量</w:t>
            </w:r>
            <w:r>
              <w:rPr>
                <w:bCs/>
                <w:sz w:val="18"/>
                <w:szCs w:val="18"/>
              </w:rPr>
              <w:t>t/a</w:t>
            </w:r>
          </w:p>
        </w:tc>
        <w:tc>
          <w:tcPr>
            <w:tcW w:w="417" w:type="pct"/>
            <w:vAlign w:val="center"/>
          </w:tcPr>
          <w:p w14:paraId="330E7647" w14:textId="77777777" w:rsidR="00D12939" w:rsidRDefault="004F47F5">
            <w:pPr>
              <w:pStyle w:val="1f9"/>
              <w:rPr>
                <w:bCs/>
                <w:sz w:val="18"/>
                <w:szCs w:val="18"/>
              </w:rPr>
            </w:pPr>
            <w:r>
              <w:rPr>
                <w:bCs/>
                <w:sz w:val="18"/>
                <w:szCs w:val="18"/>
              </w:rPr>
              <w:t>排放速率</w:t>
            </w:r>
            <w:r>
              <w:rPr>
                <w:bCs/>
                <w:sz w:val="18"/>
                <w:szCs w:val="18"/>
              </w:rPr>
              <w:t>kg/h</w:t>
            </w:r>
          </w:p>
        </w:tc>
        <w:tc>
          <w:tcPr>
            <w:tcW w:w="488" w:type="pct"/>
            <w:vAlign w:val="center"/>
          </w:tcPr>
          <w:p w14:paraId="4CDC4D52" w14:textId="77777777" w:rsidR="00D12939" w:rsidRDefault="004F47F5">
            <w:pPr>
              <w:pStyle w:val="1f9"/>
              <w:rPr>
                <w:bCs/>
                <w:sz w:val="18"/>
                <w:szCs w:val="18"/>
              </w:rPr>
            </w:pPr>
            <w:r>
              <w:rPr>
                <w:bCs/>
                <w:sz w:val="18"/>
                <w:szCs w:val="18"/>
              </w:rPr>
              <w:t>排放浓度</w:t>
            </w:r>
            <w:r>
              <w:rPr>
                <w:bCs/>
                <w:sz w:val="18"/>
                <w:szCs w:val="18"/>
              </w:rPr>
              <w:t>mg/m</w:t>
            </w:r>
            <w:r>
              <w:rPr>
                <w:bCs/>
                <w:sz w:val="18"/>
                <w:szCs w:val="18"/>
                <w:vertAlign w:val="superscript"/>
              </w:rPr>
              <w:t>3</w:t>
            </w:r>
          </w:p>
        </w:tc>
        <w:tc>
          <w:tcPr>
            <w:tcW w:w="347" w:type="pct"/>
            <w:vAlign w:val="center"/>
          </w:tcPr>
          <w:p w14:paraId="3A8F203A" w14:textId="77777777" w:rsidR="00D12939" w:rsidRDefault="004F47F5">
            <w:pPr>
              <w:pStyle w:val="1f9"/>
              <w:rPr>
                <w:bCs/>
                <w:sz w:val="18"/>
                <w:szCs w:val="18"/>
              </w:rPr>
            </w:pPr>
            <w:r>
              <w:rPr>
                <w:bCs/>
                <w:sz w:val="18"/>
                <w:szCs w:val="18"/>
              </w:rPr>
              <w:t>排放量</w:t>
            </w:r>
            <w:r>
              <w:rPr>
                <w:bCs/>
                <w:sz w:val="18"/>
                <w:szCs w:val="18"/>
              </w:rPr>
              <w:t>t/a</w:t>
            </w:r>
          </w:p>
        </w:tc>
        <w:tc>
          <w:tcPr>
            <w:tcW w:w="417" w:type="pct"/>
            <w:vAlign w:val="center"/>
          </w:tcPr>
          <w:p w14:paraId="1FD417F4" w14:textId="77777777" w:rsidR="00D12939" w:rsidRDefault="004F47F5">
            <w:pPr>
              <w:pStyle w:val="1f9"/>
              <w:rPr>
                <w:bCs/>
                <w:sz w:val="18"/>
                <w:szCs w:val="18"/>
              </w:rPr>
            </w:pPr>
            <w:r>
              <w:rPr>
                <w:bCs/>
                <w:sz w:val="18"/>
                <w:szCs w:val="18"/>
              </w:rPr>
              <w:t>排放速率</w:t>
            </w:r>
            <w:r>
              <w:rPr>
                <w:bCs/>
                <w:sz w:val="18"/>
                <w:szCs w:val="18"/>
              </w:rPr>
              <w:t>kg/h</w:t>
            </w:r>
          </w:p>
        </w:tc>
        <w:tc>
          <w:tcPr>
            <w:tcW w:w="488" w:type="pct"/>
            <w:vAlign w:val="center"/>
          </w:tcPr>
          <w:p w14:paraId="26A7BF0A" w14:textId="77777777" w:rsidR="00D12939" w:rsidRDefault="004F47F5">
            <w:pPr>
              <w:pStyle w:val="1f9"/>
              <w:rPr>
                <w:bCs/>
                <w:sz w:val="18"/>
                <w:szCs w:val="18"/>
              </w:rPr>
            </w:pPr>
            <w:r>
              <w:rPr>
                <w:bCs/>
                <w:sz w:val="18"/>
                <w:szCs w:val="18"/>
              </w:rPr>
              <w:t>排放浓度</w:t>
            </w:r>
            <w:r>
              <w:rPr>
                <w:bCs/>
                <w:sz w:val="18"/>
                <w:szCs w:val="18"/>
              </w:rPr>
              <w:t>mg/m</w:t>
            </w:r>
            <w:r>
              <w:rPr>
                <w:bCs/>
                <w:sz w:val="18"/>
                <w:szCs w:val="18"/>
                <w:vertAlign w:val="superscript"/>
              </w:rPr>
              <w:t>3</w:t>
            </w:r>
          </w:p>
        </w:tc>
        <w:tc>
          <w:tcPr>
            <w:tcW w:w="691" w:type="pct"/>
            <w:gridSpan w:val="2"/>
            <w:vAlign w:val="center"/>
          </w:tcPr>
          <w:p w14:paraId="0C589C7B" w14:textId="77777777" w:rsidR="00D12939" w:rsidRDefault="004F47F5">
            <w:pPr>
              <w:pStyle w:val="1f9"/>
              <w:rPr>
                <w:bCs/>
                <w:sz w:val="18"/>
                <w:szCs w:val="18"/>
              </w:rPr>
            </w:pPr>
            <w:r>
              <w:rPr>
                <w:bCs/>
                <w:sz w:val="18"/>
                <w:szCs w:val="18"/>
              </w:rPr>
              <w:t>排放量</w:t>
            </w:r>
          </w:p>
          <w:p w14:paraId="3E77D6DA" w14:textId="77777777" w:rsidR="00D12939" w:rsidRDefault="004F47F5">
            <w:pPr>
              <w:pStyle w:val="1f9"/>
              <w:rPr>
                <w:bCs/>
                <w:sz w:val="18"/>
                <w:szCs w:val="18"/>
              </w:rPr>
            </w:pPr>
            <w:r>
              <w:rPr>
                <w:bCs/>
                <w:sz w:val="18"/>
                <w:szCs w:val="18"/>
              </w:rPr>
              <w:t>t/a</w:t>
            </w:r>
          </w:p>
        </w:tc>
        <w:tc>
          <w:tcPr>
            <w:tcW w:w="765" w:type="pct"/>
            <w:gridSpan w:val="2"/>
            <w:vAlign w:val="center"/>
          </w:tcPr>
          <w:p w14:paraId="167A3D91" w14:textId="77777777" w:rsidR="00D12939" w:rsidRDefault="004F47F5">
            <w:pPr>
              <w:pStyle w:val="1f9"/>
              <w:rPr>
                <w:bCs/>
                <w:sz w:val="18"/>
                <w:szCs w:val="18"/>
              </w:rPr>
            </w:pPr>
            <w:r>
              <w:rPr>
                <w:bCs/>
                <w:sz w:val="18"/>
                <w:szCs w:val="18"/>
              </w:rPr>
              <w:t>排放速率</w:t>
            </w:r>
            <w:r>
              <w:rPr>
                <w:bCs/>
                <w:sz w:val="18"/>
                <w:szCs w:val="18"/>
              </w:rPr>
              <w:t>kg/h</w:t>
            </w:r>
          </w:p>
        </w:tc>
      </w:tr>
      <w:tr w:rsidR="00D12939" w14:paraId="2AFA93B5" w14:textId="77777777">
        <w:trPr>
          <w:trHeight w:val="209"/>
          <w:jc w:val="center"/>
        </w:trPr>
        <w:tc>
          <w:tcPr>
            <w:tcW w:w="319" w:type="pct"/>
            <w:vMerge w:val="restart"/>
            <w:vAlign w:val="center"/>
          </w:tcPr>
          <w:p w14:paraId="7DF3A1EB" w14:textId="77777777" w:rsidR="00D12939" w:rsidRDefault="004F47F5">
            <w:pPr>
              <w:pStyle w:val="1f9"/>
              <w:rPr>
                <w:sz w:val="18"/>
                <w:szCs w:val="18"/>
              </w:rPr>
            </w:pPr>
            <w:r>
              <w:rPr>
                <w:sz w:val="18"/>
                <w:szCs w:val="18"/>
              </w:rPr>
              <w:t>非点燃状态</w:t>
            </w:r>
          </w:p>
        </w:tc>
        <w:tc>
          <w:tcPr>
            <w:tcW w:w="302" w:type="pct"/>
            <w:vAlign w:val="center"/>
          </w:tcPr>
          <w:p w14:paraId="0697B3FA" w14:textId="77777777" w:rsidR="00D12939" w:rsidRDefault="004F47F5">
            <w:pPr>
              <w:pStyle w:val="1f9"/>
              <w:rPr>
                <w:sz w:val="18"/>
                <w:szCs w:val="18"/>
              </w:rPr>
            </w:pPr>
            <w:r>
              <w:rPr>
                <w:rFonts w:hint="eastAsia"/>
                <w:sz w:val="18"/>
                <w:szCs w:val="18"/>
              </w:rPr>
              <w:t>导气石笼</w:t>
            </w:r>
          </w:p>
        </w:tc>
        <w:tc>
          <w:tcPr>
            <w:tcW w:w="417" w:type="pct"/>
            <w:vMerge w:val="restart"/>
            <w:vAlign w:val="center"/>
          </w:tcPr>
          <w:p w14:paraId="04E03E30" w14:textId="77777777" w:rsidR="00D12939" w:rsidRDefault="004F47F5">
            <w:pPr>
              <w:pStyle w:val="1f9"/>
              <w:rPr>
                <w:sz w:val="18"/>
                <w:szCs w:val="18"/>
              </w:rPr>
            </w:pPr>
            <w:r>
              <w:rPr>
                <w:sz w:val="18"/>
                <w:szCs w:val="18"/>
              </w:rPr>
              <w:t>22.75</w:t>
            </w:r>
          </w:p>
        </w:tc>
        <w:tc>
          <w:tcPr>
            <w:tcW w:w="348" w:type="pct"/>
            <w:vAlign w:val="center"/>
          </w:tcPr>
          <w:p w14:paraId="29BE6C0A" w14:textId="77777777" w:rsidR="00D12939" w:rsidRDefault="004F47F5">
            <w:pPr>
              <w:widowControl/>
              <w:jc w:val="center"/>
              <w:rPr>
                <w:rFonts w:ascii="Times New Roman" w:hAnsi="Times New Roman" w:cs="Times New Roman"/>
                <w:sz w:val="18"/>
                <w:szCs w:val="18"/>
              </w:rPr>
            </w:pPr>
            <w:r>
              <w:rPr>
                <w:rFonts w:ascii="Times New Roman" w:hAnsi="Times New Roman" w:cs="Times New Roman"/>
                <w:sz w:val="18"/>
                <w:szCs w:val="18"/>
              </w:rPr>
              <w:t>65.24</w:t>
            </w:r>
          </w:p>
        </w:tc>
        <w:tc>
          <w:tcPr>
            <w:tcW w:w="417" w:type="pct"/>
            <w:vAlign w:val="center"/>
          </w:tcPr>
          <w:p w14:paraId="094382B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7.447</w:t>
            </w:r>
          </w:p>
        </w:tc>
        <w:tc>
          <w:tcPr>
            <w:tcW w:w="488" w:type="pct"/>
            <w:vAlign w:val="center"/>
          </w:tcPr>
          <w:p w14:paraId="7DFB74F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347" w:type="pct"/>
            <w:vAlign w:val="center"/>
          </w:tcPr>
          <w:p w14:paraId="32C2D53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0.042</w:t>
            </w:r>
          </w:p>
        </w:tc>
        <w:tc>
          <w:tcPr>
            <w:tcW w:w="417" w:type="pct"/>
            <w:vAlign w:val="center"/>
          </w:tcPr>
          <w:p w14:paraId="777A5C5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0.0048</w:t>
            </w:r>
          </w:p>
        </w:tc>
        <w:tc>
          <w:tcPr>
            <w:tcW w:w="488" w:type="pct"/>
            <w:vAlign w:val="center"/>
          </w:tcPr>
          <w:p w14:paraId="2C35931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691" w:type="pct"/>
            <w:gridSpan w:val="2"/>
            <w:vAlign w:val="center"/>
          </w:tcPr>
          <w:p w14:paraId="1E59457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0.704</w:t>
            </w:r>
          </w:p>
        </w:tc>
        <w:tc>
          <w:tcPr>
            <w:tcW w:w="765" w:type="pct"/>
            <w:gridSpan w:val="2"/>
            <w:vAlign w:val="center"/>
          </w:tcPr>
          <w:p w14:paraId="61CA5A6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0.08</w:t>
            </w:r>
          </w:p>
        </w:tc>
      </w:tr>
      <w:tr w:rsidR="00D12939" w14:paraId="7E4C6E08" w14:textId="77777777">
        <w:trPr>
          <w:trHeight w:val="209"/>
          <w:jc w:val="center"/>
        </w:trPr>
        <w:tc>
          <w:tcPr>
            <w:tcW w:w="319" w:type="pct"/>
            <w:vMerge/>
            <w:vAlign w:val="center"/>
          </w:tcPr>
          <w:p w14:paraId="6A015760" w14:textId="77777777" w:rsidR="00D12939" w:rsidRDefault="00D12939">
            <w:pPr>
              <w:pStyle w:val="1f9"/>
              <w:rPr>
                <w:sz w:val="18"/>
                <w:szCs w:val="18"/>
              </w:rPr>
            </w:pPr>
          </w:p>
        </w:tc>
        <w:tc>
          <w:tcPr>
            <w:tcW w:w="302" w:type="pct"/>
            <w:vAlign w:val="center"/>
          </w:tcPr>
          <w:p w14:paraId="5081E8CC" w14:textId="77777777" w:rsidR="00D12939" w:rsidRDefault="004F47F5">
            <w:pPr>
              <w:pStyle w:val="1f9"/>
              <w:rPr>
                <w:sz w:val="18"/>
                <w:szCs w:val="18"/>
              </w:rPr>
            </w:pPr>
            <w:r>
              <w:rPr>
                <w:rFonts w:hint="eastAsia"/>
                <w:sz w:val="18"/>
                <w:szCs w:val="18"/>
              </w:rPr>
              <w:t>无组织</w:t>
            </w:r>
          </w:p>
        </w:tc>
        <w:tc>
          <w:tcPr>
            <w:tcW w:w="417" w:type="pct"/>
            <w:vMerge/>
            <w:vAlign w:val="center"/>
          </w:tcPr>
          <w:p w14:paraId="22CCBBAB" w14:textId="77777777" w:rsidR="00D12939" w:rsidRDefault="00D12939">
            <w:pPr>
              <w:pStyle w:val="1f9"/>
              <w:rPr>
                <w:sz w:val="18"/>
                <w:szCs w:val="18"/>
              </w:rPr>
            </w:pPr>
          </w:p>
        </w:tc>
        <w:tc>
          <w:tcPr>
            <w:tcW w:w="348" w:type="pct"/>
            <w:vAlign w:val="center"/>
          </w:tcPr>
          <w:p w14:paraId="234855A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16.31</w:t>
            </w:r>
          </w:p>
        </w:tc>
        <w:tc>
          <w:tcPr>
            <w:tcW w:w="417" w:type="pct"/>
            <w:vAlign w:val="center"/>
          </w:tcPr>
          <w:p w14:paraId="2909D86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1.862</w:t>
            </w:r>
          </w:p>
        </w:tc>
        <w:tc>
          <w:tcPr>
            <w:tcW w:w="488" w:type="pct"/>
            <w:vAlign w:val="center"/>
          </w:tcPr>
          <w:p w14:paraId="79BFDC3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347" w:type="pct"/>
            <w:vAlign w:val="center"/>
          </w:tcPr>
          <w:p w14:paraId="5070A41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0.011</w:t>
            </w:r>
          </w:p>
        </w:tc>
        <w:tc>
          <w:tcPr>
            <w:tcW w:w="417" w:type="pct"/>
            <w:vAlign w:val="center"/>
          </w:tcPr>
          <w:p w14:paraId="0C53EC7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0.0012</w:t>
            </w:r>
          </w:p>
        </w:tc>
        <w:tc>
          <w:tcPr>
            <w:tcW w:w="488" w:type="pct"/>
            <w:vAlign w:val="center"/>
          </w:tcPr>
          <w:p w14:paraId="0AA41AA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691" w:type="pct"/>
            <w:gridSpan w:val="2"/>
            <w:vAlign w:val="center"/>
          </w:tcPr>
          <w:p w14:paraId="549E543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0.176</w:t>
            </w:r>
          </w:p>
        </w:tc>
        <w:tc>
          <w:tcPr>
            <w:tcW w:w="765" w:type="pct"/>
            <w:gridSpan w:val="2"/>
            <w:vAlign w:val="center"/>
          </w:tcPr>
          <w:p w14:paraId="59110DD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0.02</w:t>
            </w:r>
          </w:p>
        </w:tc>
      </w:tr>
      <w:tr w:rsidR="00D12939" w14:paraId="6933B8ED" w14:textId="77777777">
        <w:trPr>
          <w:trHeight w:val="209"/>
          <w:jc w:val="center"/>
        </w:trPr>
        <w:tc>
          <w:tcPr>
            <w:tcW w:w="621" w:type="pct"/>
            <w:gridSpan w:val="2"/>
            <w:vAlign w:val="center"/>
          </w:tcPr>
          <w:p w14:paraId="552617F3" w14:textId="77777777" w:rsidR="00D12939" w:rsidRDefault="004F47F5">
            <w:pPr>
              <w:pStyle w:val="1f9"/>
              <w:rPr>
                <w:sz w:val="18"/>
                <w:szCs w:val="18"/>
              </w:rPr>
            </w:pPr>
            <w:r>
              <w:rPr>
                <w:sz w:val="18"/>
                <w:szCs w:val="18"/>
              </w:rPr>
              <w:t>总计</w:t>
            </w:r>
          </w:p>
        </w:tc>
        <w:tc>
          <w:tcPr>
            <w:tcW w:w="417" w:type="pct"/>
            <w:vAlign w:val="center"/>
          </w:tcPr>
          <w:p w14:paraId="3171A69C" w14:textId="77777777" w:rsidR="00D12939" w:rsidRDefault="004F47F5">
            <w:pPr>
              <w:pStyle w:val="affffd"/>
              <w:rPr>
                <w:rFonts w:ascii="Times New Roman" w:eastAsia="宋体" w:hAnsi="Times New Roman" w:cs="Times New Roman"/>
                <w:sz w:val="18"/>
                <w:szCs w:val="18"/>
              </w:rPr>
            </w:pPr>
            <w:r>
              <w:rPr>
                <w:rFonts w:ascii="Times New Roman" w:eastAsia="宋体" w:hAnsi="Times New Roman" w:cs="Times New Roman"/>
                <w:sz w:val="18"/>
                <w:szCs w:val="18"/>
              </w:rPr>
              <w:t>22.75</w:t>
            </w:r>
          </w:p>
        </w:tc>
        <w:tc>
          <w:tcPr>
            <w:tcW w:w="348" w:type="pct"/>
            <w:vAlign w:val="center"/>
          </w:tcPr>
          <w:p w14:paraId="701186A3" w14:textId="77777777" w:rsidR="00D12939" w:rsidRDefault="004F47F5">
            <w:pPr>
              <w:pStyle w:val="affffd"/>
              <w:rPr>
                <w:rFonts w:ascii="Times New Roman" w:eastAsia="宋体" w:hAnsi="Times New Roman" w:cs="Times New Roman"/>
                <w:sz w:val="18"/>
                <w:szCs w:val="18"/>
              </w:rPr>
            </w:pPr>
            <w:r>
              <w:rPr>
                <w:rFonts w:ascii="Times New Roman" w:eastAsia="宋体" w:hAnsi="Times New Roman" w:cs="Times New Roman"/>
                <w:sz w:val="18"/>
                <w:szCs w:val="18"/>
              </w:rPr>
              <w:t>81.55</w:t>
            </w:r>
          </w:p>
        </w:tc>
        <w:tc>
          <w:tcPr>
            <w:tcW w:w="417" w:type="pct"/>
            <w:vAlign w:val="center"/>
          </w:tcPr>
          <w:p w14:paraId="6B66FE7E" w14:textId="77777777" w:rsidR="00D12939" w:rsidRDefault="004F47F5">
            <w:pPr>
              <w:pStyle w:val="affffd"/>
              <w:rPr>
                <w:rFonts w:ascii="Times New Roman" w:eastAsia="宋体" w:hAnsi="Times New Roman" w:cs="Times New Roman"/>
                <w:sz w:val="18"/>
                <w:szCs w:val="18"/>
              </w:rPr>
            </w:pPr>
            <w:r>
              <w:rPr>
                <w:rFonts w:ascii="Times New Roman" w:eastAsia="宋体" w:hAnsi="Times New Roman" w:cs="Times New Roman"/>
                <w:sz w:val="18"/>
                <w:szCs w:val="18"/>
              </w:rPr>
              <w:t>9.309</w:t>
            </w:r>
          </w:p>
        </w:tc>
        <w:tc>
          <w:tcPr>
            <w:tcW w:w="488" w:type="pct"/>
            <w:vAlign w:val="center"/>
          </w:tcPr>
          <w:p w14:paraId="693E1B89" w14:textId="77777777" w:rsidR="00D12939" w:rsidRDefault="004F47F5">
            <w:pPr>
              <w:pStyle w:val="affffd"/>
              <w:rPr>
                <w:rFonts w:ascii="Times New Roman" w:eastAsia="宋体" w:hAnsi="Times New Roman" w:cs="Times New Roman"/>
                <w:sz w:val="18"/>
                <w:szCs w:val="18"/>
              </w:rPr>
            </w:pPr>
            <w:r>
              <w:rPr>
                <w:rFonts w:ascii="Times New Roman" w:eastAsia="宋体" w:hAnsi="Times New Roman" w:cs="Times New Roman"/>
                <w:sz w:val="18"/>
                <w:szCs w:val="18"/>
              </w:rPr>
              <w:t>/</w:t>
            </w:r>
          </w:p>
        </w:tc>
        <w:tc>
          <w:tcPr>
            <w:tcW w:w="347" w:type="pct"/>
            <w:vAlign w:val="center"/>
          </w:tcPr>
          <w:p w14:paraId="0EB3490A" w14:textId="77777777" w:rsidR="00D12939" w:rsidRDefault="004F47F5">
            <w:pPr>
              <w:pStyle w:val="affffd"/>
              <w:rPr>
                <w:rFonts w:ascii="Times New Roman" w:eastAsia="宋体" w:hAnsi="Times New Roman" w:cs="Times New Roman"/>
                <w:sz w:val="18"/>
                <w:szCs w:val="18"/>
              </w:rPr>
            </w:pPr>
            <w:r>
              <w:rPr>
                <w:rFonts w:ascii="Times New Roman" w:eastAsia="宋体" w:hAnsi="Times New Roman" w:cs="Times New Roman" w:hint="eastAsia"/>
                <w:sz w:val="18"/>
                <w:szCs w:val="18"/>
              </w:rPr>
              <w:t>0</w:t>
            </w:r>
            <w:r>
              <w:rPr>
                <w:rFonts w:ascii="Times New Roman" w:eastAsia="宋体" w:hAnsi="Times New Roman" w:cs="Times New Roman"/>
                <w:sz w:val="18"/>
                <w:szCs w:val="18"/>
              </w:rPr>
              <w:t>.053</w:t>
            </w:r>
          </w:p>
        </w:tc>
        <w:tc>
          <w:tcPr>
            <w:tcW w:w="417" w:type="pct"/>
            <w:vAlign w:val="center"/>
          </w:tcPr>
          <w:p w14:paraId="0F05B830" w14:textId="77777777" w:rsidR="00D12939" w:rsidRDefault="004F47F5">
            <w:pPr>
              <w:pStyle w:val="affffd"/>
              <w:rPr>
                <w:rFonts w:ascii="Times New Roman" w:eastAsia="宋体" w:hAnsi="Times New Roman" w:cs="Times New Roman"/>
                <w:sz w:val="18"/>
                <w:szCs w:val="18"/>
              </w:rPr>
            </w:pPr>
            <w:r>
              <w:rPr>
                <w:rFonts w:ascii="Times New Roman" w:eastAsia="宋体" w:hAnsi="Times New Roman" w:cs="Times New Roman"/>
                <w:sz w:val="18"/>
                <w:szCs w:val="18"/>
              </w:rPr>
              <w:t>0.006</w:t>
            </w:r>
          </w:p>
        </w:tc>
        <w:tc>
          <w:tcPr>
            <w:tcW w:w="488" w:type="pct"/>
            <w:vAlign w:val="center"/>
          </w:tcPr>
          <w:p w14:paraId="6977BBB6" w14:textId="77777777" w:rsidR="00D12939" w:rsidRDefault="004F47F5">
            <w:pPr>
              <w:pStyle w:val="1f9"/>
              <w:rPr>
                <w:sz w:val="18"/>
                <w:szCs w:val="18"/>
              </w:rPr>
            </w:pPr>
            <w:r>
              <w:rPr>
                <w:sz w:val="18"/>
                <w:szCs w:val="18"/>
              </w:rPr>
              <w:t>/</w:t>
            </w:r>
          </w:p>
        </w:tc>
        <w:tc>
          <w:tcPr>
            <w:tcW w:w="691" w:type="pct"/>
            <w:gridSpan w:val="2"/>
            <w:vAlign w:val="center"/>
          </w:tcPr>
          <w:p w14:paraId="316930C0" w14:textId="77777777" w:rsidR="00D12939" w:rsidRDefault="004F47F5">
            <w:pPr>
              <w:pStyle w:val="1f9"/>
              <w:rPr>
                <w:sz w:val="18"/>
                <w:szCs w:val="18"/>
              </w:rPr>
            </w:pPr>
            <w:r>
              <w:rPr>
                <w:rFonts w:hint="eastAsia"/>
                <w:sz w:val="18"/>
                <w:szCs w:val="18"/>
              </w:rPr>
              <w:t>0</w:t>
            </w:r>
            <w:r>
              <w:rPr>
                <w:sz w:val="18"/>
                <w:szCs w:val="18"/>
              </w:rPr>
              <w:t>.88</w:t>
            </w:r>
          </w:p>
        </w:tc>
        <w:tc>
          <w:tcPr>
            <w:tcW w:w="765" w:type="pct"/>
            <w:gridSpan w:val="2"/>
            <w:vAlign w:val="center"/>
          </w:tcPr>
          <w:p w14:paraId="2B80045A" w14:textId="77777777" w:rsidR="00D12939" w:rsidRDefault="004F47F5">
            <w:pPr>
              <w:pStyle w:val="1f9"/>
              <w:rPr>
                <w:sz w:val="18"/>
                <w:szCs w:val="18"/>
              </w:rPr>
            </w:pPr>
            <w:r>
              <w:rPr>
                <w:rFonts w:hint="eastAsia"/>
                <w:sz w:val="18"/>
                <w:szCs w:val="18"/>
              </w:rPr>
              <w:t>0</w:t>
            </w:r>
            <w:r>
              <w:rPr>
                <w:sz w:val="18"/>
                <w:szCs w:val="18"/>
              </w:rPr>
              <w:t>.10</w:t>
            </w:r>
          </w:p>
        </w:tc>
      </w:tr>
      <w:tr w:rsidR="00D12939" w14:paraId="3E087BA5" w14:textId="77777777">
        <w:trPr>
          <w:trHeight w:val="209"/>
          <w:jc w:val="center"/>
        </w:trPr>
        <w:tc>
          <w:tcPr>
            <w:tcW w:w="621" w:type="pct"/>
            <w:gridSpan w:val="2"/>
            <w:vMerge w:val="restart"/>
            <w:vAlign w:val="center"/>
          </w:tcPr>
          <w:p w14:paraId="004A39D6" w14:textId="77777777" w:rsidR="00D12939" w:rsidRDefault="004F47F5">
            <w:pPr>
              <w:pStyle w:val="1f9"/>
              <w:rPr>
                <w:sz w:val="18"/>
                <w:szCs w:val="18"/>
              </w:rPr>
            </w:pPr>
            <w:r>
              <w:rPr>
                <w:bCs/>
                <w:sz w:val="18"/>
                <w:szCs w:val="18"/>
              </w:rPr>
              <w:t>填埋气体</w:t>
            </w:r>
          </w:p>
        </w:tc>
        <w:tc>
          <w:tcPr>
            <w:tcW w:w="417" w:type="pct"/>
            <w:vMerge w:val="restart"/>
            <w:vAlign w:val="center"/>
          </w:tcPr>
          <w:p w14:paraId="3A998323" w14:textId="77777777" w:rsidR="00D12939" w:rsidRDefault="004F47F5">
            <w:pPr>
              <w:pStyle w:val="1f9"/>
              <w:rPr>
                <w:bCs/>
                <w:sz w:val="18"/>
                <w:szCs w:val="18"/>
              </w:rPr>
            </w:pPr>
            <w:r>
              <w:rPr>
                <w:bCs/>
                <w:sz w:val="18"/>
                <w:szCs w:val="18"/>
              </w:rPr>
              <w:t>燃烧废气量（万</w:t>
            </w:r>
            <w:r>
              <w:rPr>
                <w:bCs/>
                <w:sz w:val="18"/>
                <w:szCs w:val="18"/>
              </w:rPr>
              <w:t>m</w:t>
            </w:r>
            <w:r>
              <w:rPr>
                <w:bCs/>
                <w:sz w:val="18"/>
                <w:szCs w:val="18"/>
                <w:vertAlign w:val="superscript"/>
              </w:rPr>
              <w:t>3</w:t>
            </w:r>
            <w:r>
              <w:rPr>
                <w:bCs/>
                <w:sz w:val="18"/>
                <w:szCs w:val="18"/>
              </w:rPr>
              <w:t>/a</w:t>
            </w:r>
            <w:r>
              <w:rPr>
                <w:bCs/>
                <w:sz w:val="18"/>
                <w:szCs w:val="18"/>
              </w:rPr>
              <w:t>）</w:t>
            </w:r>
          </w:p>
        </w:tc>
        <w:tc>
          <w:tcPr>
            <w:tcW w:w="1253" w:type="pct"/>
            <w:gridSpan w:val="3"/>
            <w:vAlign w:val="center"/>
          </w:tcPr>
          <w:p w14:paraId="2E4898A1" w14:textId="77777777" w:rsidR="00D12939" w:rsidRDefault="004F47F5">
            <w:pPr>
              <w:pStyle w:val="1f9"/>
              <w:rPr>
                <w:bCs/>
                <w:sz w:val="18"/>
                <w:szCs w:val="18"/>
              </w:rPr>
            </w:pPr>
            <w:r>
              <w:rPr>
                <w:sz w:val="18"/>
                <w:szCs w:val="18"/>
              </w:rPr>
              <w:t>SO</w:t>
            </w:r>
            <w:r>
              <w:rPr>
                <w:sz w:val="18"/>
                <w:szCs w:val="18"/>
                <w:vertAlign w:val="subscript"/>
              </w:rPr>
              <w:t>2</w:t>
            </w:r>
          </w:p>
        </w:tc>
        <w:tc>
          <w:tcPr>
            <w:tcW w:w="1252" w:type="pct"/>
            <w:gridSpan w:val="3"/>
            <w:vAlign w:val="center"/>
          </w:tcPr>
          <w:p w14:paraId="32142238" w14:textId="77777777" w:rsidR="00D12939" w:rsidRDefault="004F47F5">
            <w:pPr>
              <w:pStyle w:val="1f9"/>
              <w:rPr>
                <w:sz w:val="18"/>
                <w:szCs w:val="18"/>
              </w:rPr>
            </w:pPr>
            <w:r>
              <w:rPr>
                <w:sz w:val="18"/>
                <w:szCs w:val="18"/>
              </w:rPr>
              <w:t>NOx</w:t>
            </w:r>
          </w:p>
        </w:tc>
        <w:tc>
          <w:tcPr>
            <w:tcW w:w="691" w:type="pct"/>
            <w:gridSpan w:val="2"/>
            <w:vAlign w:val="center"/>
          </w:tcPr>
          <w:p w14:paraId="49718DFE" w14:textId="77777777" w:rsidR="00D12939" w:rsidRDefault="004F47F5">
            <w:pPr>
              <w:pStyle w:val="1f9"/>
              <w:rPr>
                <w:sz w:val="18"/>
                <w:szCs w:val="18"/>
              </w:rPr>
            </w:pPr>
            <w:r>
              <w:rPr>
                <w:sz w:val="18"/>
                <w:szCs w:val="18"/>
              </w:rPr>
              <w:t>NH</w:t>
            </w:r>
            <w:r>
              <w:rPr>
                <w:sz w:val="18"/>
                <w:szCs w:val="18"/>
                <w:vertAlign w:val="subscript"/>
              </w:rPr>
              <w:t>3</w:t>
            </w:r>
          </w:p>
        </w:tc>
        <w:tc>
          <w:tcPr>
            <w:tcW w:w="765" w:type="pct"/>
            <w:gridSpan w:val="2"/>
            <w:vAlign w:val="center"/>
          </w:tcPr>
          <w:p w14:paraId="24612656" w14:textId="77777777" w:rsidR="00D12939" w:rsidRDefault="004F47F5">
            <w:pPr>
              <w:pStyle w:val="1f9"/>
              <w:rPr>
                <w:sz w:val="18"/>
                <w:szCs w:val="18"/>
              </w:rPr>
            </w:pPr>
            <w:r>
              <w:rPr>
                <w:sz w:val="18"/>
                <w:szCs w:val="18"/>
              </w:rPr>
              <w:t>H</w:t>
            </w:r>
            <w:r>
              <w:rPr>
                <w:sz w:val="18"/>
                <w:szCs w:val="18"/>
                <w:vertAlign w:val="subscript"/>
              </w:rPr>
              <w:t>2</w:t>
            </w:r>
            <w:r>
              <w:rPr>
                <w:sz w:val="18"/>
                <w:szCs w:val="18"/>
              </w:rPr>
              <w:t>S</w:t>
            </w:r>
          </w:p>
        </w:tc>
      </w:tr>
      <w:tr w:rsidR="00D12939" w14:paraId="276FDF95" w14:textId="77777777">
        <w:trPr>
          <w:trHeight w:val="209"/>
          <w:jc w:val="center"/>
        </w:trPr>
        <w:tc>
          <w:tcPr>
            <w:tcW w:w="621" w:type="pct"/>
            <w:gridSpan w:val="2"/>
            <w:vMerge/>
            <w:vAlign w:val="center"/>
          </w:tcPr>
          <w:p w14:paraId="667C50F1" w14:textId="77777777" w:rsidR="00D12939" w:rsidRDefault="00D12939">
            <w:pPr>
              <w:pStyle w:val="1f9"/>
              <w:rPr>
                <w:sz w:val="18"/>
                <w:szCs w:val="18"/>
              </w:rPr>
            </w:pPr>
          </w:p>
        </w:tc>
        <w:tc>
          <w:tcPr>
            <w:tcW w:w="417" w:type="pct"/>
            <w:vMerge/>
            <w:vAlign w:val="center"/>
          </w:tcPr>
          <w:p w14:paraId="4A3A0BE3" w14:textId="77777777" w:rsidR="00D12939" w:rsidRDefault="00D12939">
            <w:pPr>
              <w:pStyle w:val="1f9"/>
              <w:rPr>
                <w:bCs/>
                <w:sz w:val="18"/>
                <w:szCs w:val="18"/>
              </w:rPr>
            </w:pPr>
          </w:p>
        </w:tc>
        <w:tc>
          <w:tcPr>
            <w:tcW w:w="348" w:type="pct"/>
            <w:vAlign w:val="center"/>
          </w:tcPr>
          <w:p w14:paraId="2FE6D13E" w14:textId="77777777" w:rsidR="00D12939" w:rsidRDefault="004F47F5">
            <w:pPr>
              <w:pStyle w:val="1f9"/>
              <w:rPr>
                <w:bCs/>
                <w:sz w:val="18"/>
                <w:szCs w:val="18"/>
              </w:rPr>
            </w:pPr>
            <w:r>
              <w:rPr>
                <w:bCs/>
                <w:sz w:val="18"/>
                <w:szCs w:val="18"/>
              </w:rPr>
              <w:t>排放量</w:t>
            </w:r>
            <w:r>
              <w:rPr>
                <w:bCs/>
                <w:sz w:val="18"/>
                <w:szCs w:val="18"/>
              </w:rPr>
              <w:t>t/a</w:t>
            </w:r>
          </w:p>
        </w:tc>
        <w:tc>
          <w:tcPr>
            <w:tcW w:w="417" w:type="pct"/>
            <w:vAlign w:val="center"/>
          </w:tcPr>
          <w:p w14:paraId="44F5FFD4" w14:textId="77777777" w:rsidR="00D12939" w:rsidRDefault="004F47F5">
            <w:pPr>
              <w:pStyle w:val="1f9"/>
              <w:rPr>
                <w:bCs/>
                <w:sz w:val="18"/>
                <w:szCs w:val="18"/>
              </w:rPr>
            </w:pPr>
            <w:r>
              <w:rPr>
                <w:bCs/>
                <w:sz w:val="18"/>
                <w:szCs w:val="18"/>
              </w:rPr>
              <w:t>排放速率</w:t>
            </w:r>
            <w:r>
              <w:rPr>
                <w:bCs/>
                <w:sz w:val="18"/>
                <w:szCs w:val="18"/>
              </w:rPr>
              <w:t>kg/h</w:t>
            </w:r>
          </w:p>
        </w:tc>
        <w:tc>
          <w:tcPr>
            <w:tcW w:w="488" w:type="pct"/>
            <w:vAlign w:val="center"/>
          </w:tcPr>
          <w:p w14:paraId="2C644CB9" w14:textId="77777777" w:rsidR="00D12939" w:rsidRDefault="004F47F5">
            <w:pPr>
              <w:pStyle w:val="1f9"/>
              <w:rPr>
                <w:bCs/>
                <w:sz w:val="18"/>
                <w:szCs w:val="18"/>
              </w:rPr>
            </w:pPr>
            <w:r>
              <w:rPr>
                <w:bCs/>
                <w:sz w:val="18"/>
                <w:szCs w:val="18"/>
              </w:rPr>
              <w:t>排放浓度</w:t>
            </w:r>
            <w:r>
              <w:rPr>
                <w:bCs/>
                <w:sz w:val="18"/>
                <w:szCs w:val="18"/>
              </w:rPr>
              <w:t>mg/m</w:t>
            </w:r>
            <w:r>
              <w:rPr>
                <w:bCs/>
                <w:sz w:val="18"/>
                <w:szCs w:val="18"/>
                <w:vertAlign w:val="superscript"/>
              </w:rPr>
              <w:t>3</w:t>
            </w:r>
          </w:p>
        </w:tc>
        <w:tc>
          <w:tcPr>
            <w:tcW w:w="347" w:type="pct"/>
            <w:vAlign w:val="center"/>
          </w:tcPr>
          <w:p w14:paraId="1EE00D7B" w14:textId="77777777" w:rsidR="00D12939" w:rsidRDefault="004F47F5">
            <w:pPr>
              <w:pStyle w:val="1f9"/>
              <w:rPr>
                <w:bCs/>
                <w:sz w:val="18"/>
                <w:szCs w:val="18"/>
              </w:rPr>
            </w:pPr>
            <w:r>
              <w:rPr>
                <w:bCs/>
                <w:sz w:val="18"/>
                <w:szCs w:val="18"/>
              </w:rPr>
              <w:t>排放量</w:t>
            </w:r>
            <w:r>
              <w:rPr>
                <w:bCs/>
                <w:sz w:val="18"/>
                <w:szCs w:val="18"/>
              </w:rPr>
              <w:t>t/a</w:t>
            </w:r>
          </w:p>
        </w:tc>
        <w:tc>
          <w:tcPr>
            <w:tcW w:w="417" w:type="pct"/>
            <w:vAlign w:val="center"/>
          </w:tcPr>
          <w:p w14:paraId="1471EAF9" w14:textId="77777777" w:rsidR="00D12939" w:rsidRDefault="004F47F5">
            <w:pPr>
              <w:pStyle w:val="1f9"/>
              <w:rPr>
                <w:bCs/>
                <w:sz w:val="18"/>
                <w:szCs w:val="18"/>
              </w:rPr>
            </w:pPr>
            <w:r>
              <w:rPr>
                <w:bCs/>
                <w:sz w:val="18"/>
                <w:szCs w:val="18"/>
              </w:rPr>
              <w:t>排放速率</w:t>
            </w:r>
            <w:r>
              <w:rPr>
                <w:bCs/>
                <w:sz w:val="18"/>
                <w:szCs w:val="18"/>
              </w:rPr>
              <w:t>kg/h</w:t>
            </w:r>
          </w:p>
        </w:tc>
        <w:tc>
          <w:tcPr>
            <w:tcW w:w="488" w:type="pct"/>
            <w:vAlign w:val="center"/>
          </w:tcPr>
          <w:p w14:paraId="71500A47" w14:textId="77777777" w:rsidR="00D12939" w:rsidRDefault="004F47F5">
            <w:pPr>
              <w:pStyle w:val="1f9"/>
              <w:rPr>
                <w:bCs/>
                <w:sz w:val="18"/>
                <w:szCs w:val="18"/>
              </w:rPr>
            </w:pPr>
            <w:r>
              <w:rPr>
                <w:bCs/>
                <w:sz w:val="18"/>
                <w:szCs w:val="18"/>
              </w:rPr>
              <w:t>排放浓度</w:t>
            </w:r>
            <w:r>
              <w:rPr>
                <w:bCs/>
                <w:sz w:val="18"/>
                <w:szCs w:val="18"/>
              </w:rPr>
              <w:t>mg/m</w:t>
            </w:r>
            <w:r>
              <w:rPr>
                <w:bCs/>
                <w:sz w:val="18"/>
                <w:szCs w:val="18"/>
                <w:vertAlign w:val="superscript"/>
              </w:rPr>
              <w:t>3</w:t>
            </w:r>
          </w:p>
        </w:tc>
        <w:tc>
          <w:tcPr>
            <w:tcW w:w="344" w:type="pct"/>
            <w:vAlign w:val="center"/>
          </w:tcPr>
          <w:p w14:paraId="26A72BFF" w14:textId="77777777" w:rsidR="00D12939" w:rsidRDefault="004F47F5">
            <w:pPr>
              <w:pStyle w:val="1f9"/>
              <w:rPr>
                <w:bCs/>
                <w:sz w:val="18"/>
                <w:szCs w:val="18"/>
              </w:rPr>
            </w:pPr>
            <w:r>
              <w:rPr>
                <w:bCs/>
                <w:sz w:val="18"/>
                <w:szCs w:val="18"/>
              </w:rPr>
              <w:t>排放量</w:t>
            </w:r>
            <w:r>
              <w:rPr>
                <w:bCs/>
                <w:sz w:val="18"/>
                <w:szCs w:val="18"/>
              </w:rPr>
              <w:t>t/a</w:t>
            </w:r>
          </w:p>
        </w:tc>
        <w:tc>
          <w:tcPr>
            <w:tcW w:w="347" w:type="pct"/>
            <w:vAlign w:val="center"/>
          </w:tcPr>
          <w:p w14:paraId="764FA62F" w14:textId="77777777" w:rsidR="00D12939" w:rsidRDefault="004F47F5">
            <w:pPr>
              <w:pStyle w:val="1f9"/>
              <w:rPr>
                <w:bCs/>
                <w:sz w:val="18"/>
                <w:szCs w:val="18"/>
              </w:rPr>
            </w:pPr>
            <w:r>
              <w:rPr>
                <w:bCs/>
                <w:sz w:val="18"/>
                <w:szCs w:val="18"/>
              </w:rPr>
              <w:t>排放速率</w:t>
            </w:r>
            <w:r>
              <w:rPr>
                <w:bCs/>
                <w:sz w:val="18"/>
                <w:szCs w:val="18"/>
              </w:rPr>
              <w:t>kg/h</w:t>
            </w:r>
          </w:p>
        </w:tc>
        <w:tc>
          <w:tcPr>
            <w:tcW w:w="348" w:type="pct"/>
            <w:vAlign w:val="center"/>
          </w:tcPr>
          <w:p w14:paraId="68A73D07" w14:textId="77777777" w:rsidR="00D12939" w:rsidRDefault="004F47F5">
            <w:pPr>
              <w:pStyle w:val="1f9"/>
              <w:rPr>
                <w:bCs/>
                <w:sz w:val="18"/>
                <w:szCs w:val="18"/>
              </w:rPr>
            </w:pPr>
            <w:r>
              <w:rPr>
                <w:bCs/>
                <w:sz w:val="18"/>
                <w:szCs w:val="18"/>
              </w:rPr>
              <w:t>排放量</w:t>
            </w:r>
            <w:r>
              <w:rPr>
                <w:bCs/>
                <w:sz w:val="18"/>
                <w:szCs w:val="18"/>
              </w:rPr>
              <w:t>t/a</w:t>
            </w:r>
          </w:p>
        </w:tc>
        <w:tc>
          <w:tcPr>
            <w:tcW w:w="417" w:type="pct"/>
            <w:vAlign w:val="center"/>
          </w:tcPr>
          <w:p w14:paraId="72DD1B5E" w14:textId="77777777" w:rsidR="00D12939" w:rsidRDefault="004F47F5">
            <w:pPr>
              <w:pStyle w:val="1f9"/>
              <w:rPr>
                <w:bCs/>
                <w:sz w:val="18"/>
                <w:szCs w:val="18"/>
              </w:rPr>
            </w:pPr>
            <w:r>
              <w:rPr>
                <w:bCs/>
                <w:sz w:val="18"/>
                <w:szCs w:val="18"/>
              </w:rPr>
              <w:t>排放速率</w:t>
            </w:r>
            <w:r>
              <w:rPr>
                <w:bCs/>
                <w:sz w:val="18"/>
                <w:szCs w:val="18"/>
              </w:rPr>
              <w:t>kg/h</w:t>
            </w:r>
          </w:p>
        </w:tc>
      </w:tr>
      <w:tr w:rsidR="00D12939" w14:paraId="45868BA7" w14:textId="77777777">
        <w:trPr>
          <w:trHeight w:val="209"/>
          <w:jc w:val="center"/>
        </w:trPr>
        <w:tc>
          <w:tcPr>
            <w:tcW w:w="319" w:type="pct"/>
            <w:vMerge w:val="restart"/>
            <w:vAlign w:val="center"/>
          </w:tcPr>
          <w:p w14:paraId="09E1297B" w14:textId="77777777" w:rsidR="00D12939" w:rsidRDefault="004F47F5">
            <w:pPr>
              <w:pStyle w:val="1f9"/>
              <w:rPr>
                <w:sz w:val="18"/>
                <w:szCs w:val="18"/>
              </w:rPr>
            </w:pPr>
            <w:r>
              <w:rPr>
                <w:sz w:val="18"/>
                <w:szCs w:val="18"/>
              </w:rPr>
              <w:t>点燃状态</w:t>
            </w:r>
          </w:p>
        </w:tc>
        <w:tc>
          <w:tcPr>
            <w:tcW w:w="302" w:type="pct"/>
            <w:vAlign w:val="center"/>
          </w:tcPr>
          <w:p w14:paraId="1E00F8B3" w14:textId="77777777" w:rsidR="00D12939" w:rsidRDefault="004F47F5">
            <w:pPr>
              <w:pStyle w:val="1f9"/>
              <w:rPr>
                <w:sz w:val="18"/>
                <w:szCs w:val="18"/>
              </w:rPr>
            </w:pPr>
            <w:r>
              <w:rPr>
                <w:rFonts w:hint="eastAsia"/>
                <w:sz w:val="18"/>
                <w:szCs w:val="18"/>
              </w:rPr>
              <w:t>导气石笼</w:t>
            </w:r>
          </w:p>
        </w:tc>
        <w:tc>
          <w:tcPr>
            <w:tcW w:w="417" w:type="pct"/>
            <w:vAlign w:val="center"/>
          </w:tcPr>
          <w:p w14:paraId="2651BA87" w14:textId="77777777" w:rsidR="00D12939" w:rsidRDefault="004F47F5">
            <w:pPr>
              <w:pStyle w:val="1f9"/>
              <w:rPr>
                <w:sz w:val="18"/>
                <w:szCs w:val="18"/>
              </w:rPr>
            </w:pPr>
            <w:r>
              <w:rPr>
                <w:sz w:val="18"/>
                <w:szCs w:val="18"/>
              </w:rPr>
              <w:t>309.4</w:t>
            </w:r>
          </w:p>
        </w:tc>
        <w:tc>
          <w:tcPr>
            <w:tcW w:w="348" w:type="pct"/>
            <w:vAlign w:val="center"/>
          </w:tcPr>
          <w:p w14:paraId="286D9C2B" w14:textId="77777777" w:rsidR="00D12939" w:rsidRDefault="004F47F5">
            <w:pPr>
              <w:pStyle w:val="1f9"/>
              <w:rPr>
                <w:sz w:val="18"/>
                <w:szCs w:val="18"/>
              </w:rPr>
            </w:pPr>
            <w:r>
              <w:rPr>
                <w:sz w:val="18"/>
                <w:szCs w:val="18"/>
              </w:rPr>
              <w:t>0.079</w:t>
            </w:r>
          </w:p>
        </w:tc>
        <w:tc>
          <w:tcPr>
            <w:tcW w:w="417" w:type="pct"/>
            <w:vAlign w:val="center"/>
          </w:tcPr>
          <w:p w14:paraId="100CF045" w14:textId="77777777" w:rsidR="00D12939" w:rsidRDefault="004F47F5">
            <w:pPr>
              <w:pStyle w:val="1f9"/>
              <w:rPr>
                <w:sz w:val="18"/>
                <w:szCs w:val="18"/>
              </w:rPr>
            </w:pPr>
            <w:r>
              <w:rPr>
                <w:sz w:val="18"/>
                <w:szCs w:val="18"/>
              </w:rPr>
              <w:t>0.009</w:t>
            </w:r>
          </w:p>
        </w:tc>
        <w:tc>
          <w:tcPr>
            <w:tcW w:w="488" w:type="pct"/>
            <w:vAlign w:val="center"/>
          </w:tcPr>
          <w:p w14:paraId="5B6A47F4" w14:textId="77777777" w:rsidR="00D12939" w:rsidRDefault="004F47F5">
            <w:pPr>
              <w:pStyle w:val="1f9"/>
              <w:rPr>
                <w:sz w:val="18"/>
                <w:szCs w:val="18"/>
              </w:rPr>
            </w:pPr>
            <w:r>
              <w:rPr>
                <w:sz w:val="18"/>
                <w:szCs w:val="18"/>
              </w:rPr>
              <w:t>25.48</w:t>
            </w:r>
          </w:p>
        </w:tc>
        <w:tc>
          <w:tcPr>
            <w:tcW w:w="347" w:type="pct"/>
            <w:vAlign w:val="center"/>
          </w:tcPr>
          <w:p w14:paraId="17574105" w14:textId="77777777" w:rsidR="00D12939" w:rsidRDefault="004F47F5">
            <w:pPr>
              <w:pStyle w:val="1f9"/>
              <w:rPr>
                <w:sz w:val="18"/>
                <w:szCs w:val="18"/>
              </w:rPr>
            </w:pPr>
            <w:r>
              <w:rPr>
                <w:sz w:val="18"/>
                <w:szCs w:val="18"/>
              </w:rPr>
              <w:t>0.42</w:t>
            </w:r>
          </w:p>
        </w:tc>
        <w:tc>
          <w:tcPr>
            <w:tcW w:w="417" w:type="pct"/>
            <w:vAlign w:val="center"/>
          </w:tcPr>
          <w:p w14:paraId="09662D71" w14:textId="77777777" w:rsidR="00D12939" w:rsidRDefault="004F47F5">
            <w:pPr>
              <w:pStyle w:val="1f9"/>
              <w:rPr>
                <w:sz w:val="18"/>
                <w:szCs w:val="18"/>
              </w:rPr>
            </w:pPr>
            <w:r>
              <w:rPr>
                <w:sz w:val="18"/>
                <w:szCs w:val="18"/>
              </w:rPr>
              <w:t>0.048</w:t>
            </w:r>
          </w:p>
        </w:tc>
        <w:tc>
          <w:tcPr>
            <w:tcW w:w="488" w:type="pct"/>
            <w:vAlign w:val="center"/>
          </w:tcPr>
          <w:p w14:paraId="2FEA0C9D" w14:textId="77777777" w:rsidR="00D12939" w:rsidRDefault="004F47F5">
            <w:pPr>
              <w:pStyle w:val="1f9"/>
              <w:rPr>
                <w:sz w:val="18"/>
                <w:szCs w:val="18"/>
              </w:rPr>
            </w:pPr>
            <w:r>
              <w:rPr>
                <w:sz w:val="18"/>
                <w:szCs w:val="18"/>
              </w:rPr>
              <w:t>137</w:t>
            </w:r>
          </w:p>
        </w:tc>
        <w:tc>
          <w:tcPr>
            <w:tcW w:w="344" w:type="pct"/>
            <w:vAlign w:val="center"/>
          </w:tcPr>
          <w:p w14:paraId="40F29E3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0.704</w:t>
            </w:r>
          </w:p>
        </w:tc>
        <w:tc>
          <w:tcPr>
            <w:tcW w:w="347" w:type="pct"/>
            <w:vAlign w:val="center"/>
          </w:tcPr>
          <w:p w14:paraId="36AD03F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0.08</w:t>
            </w:r>
          </w:p>
        </w:tc>
        <w:tc>
          <w:tcPr>
            <w:tcW w:w="348" w:type="pct"/>
            <w:vAlign w:val="center"/>
          </w:tcPr>
          <w:p w14:paraId="267D0B78" w14:textId="77777777" w:rsidR="00D12939" w:rsidRDefault="004F47F5">
            <w:pPr>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417" w:type="pct"/>
            <w:vAlign w:val="center"/>
          </w:tcPr>
          <w:p w14:paraId="262DC90C" w14:textId="77777777" w:rsidR="00D12939" w:rsidRDefault="004F47F5">
            <w:pPr>
              <w:jc w:val="center"/>
              <w:rPr>
                <w:rFonts w:ascii="Times New Roman" w:hAnsi="Times New Roman" w:cs="Times New Roman"/>
                <w:sz w:val="18"/>
                <w:szCs w:val="18"/>
              </w:rPr>
            </w:pPr>
            <w:r>
              <w:rPr>
                <w:rFonts w:ascii="Times New Roman" w:hAnsi="Times New Roman" w:cs="Times New Roman" w:hint="eastAsia"/>
                <w:sz w:val="18"/>
                <w:szCs w:val="18"/>
              </w:rPr>
              <w:t>/</w:t>
            </w:r>
          </w:p>
        </w:tc>
      </w:tr>
      <w:tr w:rsidR="00D12939" w14:paraId="15A6E66C" w14:textId="77777777">
        <w:trPr>
          <w:trHeight w:val="209"/>
          <w:jc w:val="center"/>
        </w:trPr>
        <w:tc>
          <w:tcPr>
            <w:tcW w:w="319" w:type="pct"/>
            <w:vMerge/>
            <w:vAlign w:val="center"/>
          </w:tcPr>
          <w:p w14:paraId="55A86BA5" w14:textId="77777777" w:rsidR="00D12939" w:rsidRDefault="00D12939">
            <w:pPr>
              <w:pStyle w:val="1f9"/>
              <w:rPr>
                <w:sz w:val="18"/>
                <w:szCs w:val="18"/>
              </w:rPr>
            </w:pPr>
          </w:p>
        </w:tc>
        <w:tc>
          <w:tcPr>
            <w:tcW w:w="302" w:type="pct"/>
            <w:vAlign w:val="center"/>
          </w:tcPr>
          <w:p w14:paraId="39367AF3" w14:textId="77777777" w:rsidR="00D12939" w:rsidRDefault="004F47F5">
            <w:pPr>
              <w:pStyle w:val="1f9"/>
              <w:rPr>
                <w:sz w:val="18"/>
                <w:szCs w:val="18"/>
              </w:rPr>
            </w:pPr>
            <w:r>
              <w:rPr>
                <w:rFonts w:hint="eastAsia"/>
                <w:sz w:val="18"/>
                <w:szCs w:val="18"/>
              </w:rPr>
              <w:t>无组织</w:t>
            </w:r>
          </w:p>
        </w:tc>
        <w:tc>
          <w:tcPr>
            <w:tcW w:w="417" w:type="pct"/>
            <w:vAlign w:val="center"/>
          </w:tcPr>
          <w:p w14:paraId="7A17863A" w14:textId="77777777" w:rsidR="00D12939" w:rsidRDefault="004F47F5">
            <w:pPr>
              <w:pStyle w:val="1f9"/>
              <w:rPr>
                <w:sz w:val="18"/>
                <w:szCs w:val="18"/>
              </w:rPr>
            </w:pPr>
            <w:r>
              <w:rPr>
                <w:rFonts w:hint="eastAsia"/>
                <w:sz w:val="18"/>
                <w:szCs w:val="18"/>
              </w:rPr>
              <w:t>/</w:t>
            </w:r>
          </w:p>
        </w:tc>
        <w:tc>
          <w:tcPr>
            <w:tcW w:w="348" w:type="pct"/>
            <w:vAlign w:val="center"/>
          </w:tcPr>
          <w:p w14:paraId="738569FC" w14:textId="77777777" w:rsidR="00D12939" w:rsidRDefault="004F47F5">
            <w:pPr>
              <w:pStyle w:val="1f9"/>
              <w:rPr>
                <w:sz w:val="18"/>
                <w:szCs w:val="18"/>
              </w:rPr>
            </w:pPr>
            <w:r>
              <w:rPr>
                <w:rFonts w:hint="eastAsia"/>
                <w:sz w:val="18"/>
                <w:szCs w:val="18"/>
              </w:rPr>
              <w:t>/</w:t>
            </w:r>
          </w:p>
        </w:tc>
        <w:tc>
          <w:tcPr>
            <w:tcW w:w="417" w:type="pct"/>
            <w:vAlign w:val="center"/>
          </w:tcPr>
          <w:p w14:paraId="603FDFC2" w14:textId="77777777" w:rsidR="00D12939" w:rsidRDefault="004F47F5">
            <w:pPr>
              <w:pStyle w:val="1f9"/>
              <w:rPr>
                <w:sz w:val="18"/>
                <w:szCs w:val="18"/>
              </w:rPr>
            </w:pPr>
            <w:r>
              <w:rPr>
                <w:rFonts w:hint="eastAsia"/>
                <w:sz w:val="18"/>
                <w:szCs w:val="18"/>
              </w:rPr>
              <w:t>/</w:t>
            </w:r>
          </w:p>
        </w:tc>
        <w:tc>
          <w:tcPr>
            <w:tcW w:w="488" w:type="pct"/>
            <w:vAlign w:val="center"/>
          </w:tcPr>
          <w:p w14:paraId="0D77EF05" w14:textId="77777777" w:rsidR="00D12939" w:rsidRDefault="004F47F5">
            <w:pPr>
              <w:pStyle w:val="1f9"/>
              <w:rPr>
                <w:sz w:val="18"/>
                <w:szCs w:val="18"/>
              </w:rPr>
            </w:pPr>
            <w:r>
              <w:rPr>
                <w:rFonts w:hint="eastAsia"/>
                <w:sz w:val="18"/>
                <w:szCs w:val="18"/>
              </w:rPr>
              <w:t>/</w:t>
            </w:r>
          </w:p>
        </w:tc>
        <w:tc>
          <w:tcPr>
            <w:tcW w:w="347" w:type="pct"/>
            <w:vAlign w:val="center"/>
          </w:tcPr>
          <w:p w14:paraId="4D19489D" w14:textId="77777777" w:rsidR="00D12939" w:rsidRDefault="004F47F5">
            <w:pPr>
              <w:pStyle w:val="1f9"/>
              <w:rPr>
                <w:sz w:val="18"/>
                <w:szCs w:val="18"/>
              </w:rPr>
            </w:pPr>
            <w:r>
              <w:rPr>
                <w:rFonts w:hint="eastAsia"/>
                <w:sz w:val="18"/>
                <w:szCs w:val="18"/>
              </w:rPr>
              <w:t>/</w:t>
            </w:r>
          </w:p>
        </w:tc>
        <w:tc>
          <w:tcPr>
            <w:tcW w:w="417" w:type="pct"/>
            <w:vAlign w:val="center"/>
          </w:tcPr>
          <w:p w14:paraId="5E0398E8" w14:textId="77777777" w:rsidR="00D12939" w:rsidRDefault="004F47F5">
            <w:pPr>
              <w:pStyle w:val="1f9"/>
              <w:rPr>
                <w:sz w:val="18"/>
                <w:szCs w:val="18"/>
              </w:rPr>
            </w:pPr>
            <w:r>
              <w:rPr>
                <w:rFonts w:hint="eastAsia"/>
                <w:sz w:val="18"/>
                <w:szCs w:val="18"/>
              </w:rPr>
              <w:t>/</w:t>
            </w:r>
          </w:p>
        </w:tc>
        <w:tc>
          <w:tcPr>
            <w:tcW w:w="488" w:type="pct"/>
            <w:vAlign w:val="center"/>
          </w:tcPr>
          <w:p w14:paraId="4B0DEF5F" w14:textId="77777777" w:rsidR="00D12939" w:rsidRDefault="004F47F5">
            <w:pPr>
              <w:pStyle w:val="1f9"/>
              <w:rPr>
                <w:sz w:val="18"/>
                <w:szCs w:val="18"/>
              </w:rPr>
            </w:pPr>
            <w:r>
              <w:rPr>
                <w:rFonts w:hint="eastAsia"/>
                <w:sz w:val="18"/>
                <w:szCs w:val="18"/>
              </w:rPr>
              <w:t>/</w:t>
            </w:r>
          </w:p>
        </w:tc>
        <w:tc>
          <w:tcPr>
            <w:tcW w:w="344" w:type="pct"/>
            <w:vAlign w:val="center"/>
          </w:tcPr>
          <w:p w14:paraId="70A4E95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0.176</w:t>
            </w:r>
          </w:p>
        </w:tc>
        <w:tc>
          <w:tcPr>
            <w:tcW w:w="347" w:type="pct"/>
            <w:vAlign w:val="center"/>
          </w:tcPr>
          <w:p w14:paraId="0198F35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0.02</w:t>
            </w:r>
          </w:p>
        </w:tc>
        <w:tc>
          <w:tcPr>
            <w:tcW w:w="348" w:type="pct"/>
            <w:vAlign w:val="center"/>
          </w:tcPr>
          <w:p w14:paraId="63BD36B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0.011</w:t>
            </w:r>
          </w:p>
        </w:tc>
        <w:tc>
          <w:tcPr>
            <w:tcW w:w="417" w:type="pct"/>
            <w:vAlign w:val="center"/>
          </w:tcPr>
          <w:p w14:paraId="6CE7DA1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0.0012</w:t>
            </w:r>
          </w:p>
        </w:tc>
      </w:tr>
      <w:tr w:rsidR="00D12939" w14:paraId="2BDA7048" w14:textId="77777777">
        <w:trPr>
          <w:trHeight w:val="209"/>
          <w:jc w:val="center"/>
        </w:trPr>
        <w:tc>
          <w:tcPr>
            <w:tcW w:w="621" w:type="pct"/>
            <w:gridSpan w:val="2"/>
            <w:vAlign w:val="center"/>
          </w:tcPr>
          <w:p w14:paraId="3EE28218" w14:textId="77777777" w:rsidR="00D12939" w:rsidRDefault="004F47F5">
            <w:pPr>
              <w:pStyle w:val="1f9"/>
              <w:rPr>
                <w:sz w:val="18"/>
                <w:szCs w:val="18"/>
              </w:rPr>
            </w:pPr>
            <w:r>
              <w:rPr>
                <w:sz w:val="18"/>
                <w:szCs w:val="18"/>
              </w:rPr>
              <w:t>总计</w:t>
            </w:r>
          </w:p>
        </w:tc>
        <w:tc>
          <w:tcPr>
            <w:tcW w:w="417" w:type="pct"/>
            <w:vAlign w:val="center"/>
          </w:tcPr>
          <w:p w14:paraId="12A5A9CA" w14:textId="77777777" w:rsidR="00D12939" w:rsidRDefault="004F47F5">
            <w:pPr>
              <w:pStyle w:val="1f9"/>
              <w:rPr>
                <w:sz w:val="18"/>
                <w:szCs w:val="18"/>
              </w:rPr>
            </w:pPr>
            <w:r>
              <w:rPr>
                <w:sz w:val="18"/>
                <w:szCs w:val="18"/>
              </w:rPr>
              <w:t>309.4</w:t>
            </w:r>
          </w:p>
        </w:tc>
        <w:tc>
          <w:tcPr>
            <w:tcW w:w="348" w:type="pct"/>
            <w:vAlign w:val="center"/>
          </w:tcPr>
          <w:p w14:paraId="786F6067" w14:textId="77777777" w:rsidR="00D12939" w:rsidRDefault="004F47F5">
            <w:pPr>
              <w:pStyle w:val="1f9"/>
              <w:rPr>
                <w:sz w:val="18"/>
                <w:szCs w:val="18"/>
              </w:rPr>
            </w:pPr>
            <w:r>
              <w:rPr>
                <w:sz w:val="18"/>
                <w:szCs w:val="18"/>
              </w:rPr>
              <w:t>0.079</w:t>
            </w:r>
          </w:p>
        </w:tc>
        <w:tc>
          <w:tcPr>
            <w:tcW w:w="417" w:type="pct"/>
            <w:vAlign w:val="center"/>
          </w:tcPr>
          <w:p w14:paraId="63D24E32" w14:textId="77777777" w:rsidR="00D12939" w:rsidRDefault="004F47F5">
            <w:pPr>
              <w:pStyle w:val="1f9"/>
              <w:rPr>
                <w:sz w:val="18"/>
                <w:szCs w:val="18"/>
              </w:rPr>
            </w:pPr>
            <w:r>
              <w:rPr>
                <w:sz w:val="18"/>
                <w:szCs w:val="18"/>
              </w:rPr>
              <w:t>0.009</w:t>
            </w:r>
          </w:p>
        </w:tc>
        <w:tc>
          <w:tcPr>
            <w:tcW w:w="488" w:type="pct"/>
            <w:vAlign w:val="center"/>
          </w:tcPr>
          <w:p w14:paraId="160EBAE5" w14:textId="77777777" w:rsidR="00D12939" w:rsidRDefault="004F47F5">
            <w:pPr>
              <w:pStyle w:val="1f9"/>
              <w:rPr>
                <w:sz w:val="18"/>
                <w:szCs w:val="18"/>
              </w:rPr>
            </w:pPr>
            <w:r>
              <w:rPr>
                <w:sz w:val="18"/>
                <w:szCs w:val="18"/>
              </w:rPr>
              <w:t>25.48</w:t>
            </w:r>
          </w:p>
        </w:tc>
        <w:tc>
          <w:tcPr>
            <w:tcW w:w="347" w:type="pct"/>
            <w:vAlign w:val="center"/>
          </w:tcPr>
          <w:p w14:paraId="4E2497CA" w14:textId="77777777" w:rsidR="00D12939" w:rsidRDefault="004F47F5">
            <w:pPr>
              <w:pStyle w:val="1f9"/>
              <w:rPr>
                <w:sz w:val="18"/>
                <w:szCs w:val="18"/>
              </w:rPr>
            </w:pPr>
            <w:r>
              <w:rPr>
                <w:sz w:val="18"/>
                <w:szCs w:val="18"/>
              </w:rPr>
              <w:t>0.42</w:t>
            </w:r>
          </w:p>
        </w:tc>
        <w:tc>
          <w:tcPr>
            <w:tcW w:w="417" w:type="pct"/>
            <w:vAlign w:val="center"/>
          </w:tcPr>
          <w:p w14:paraId="6CE00DDA" w14:textId="77777777" w:rsidR="00D12939" w:rsidRDefault="004F47F5">
            <w:pPr>
              <w:pStyle w:val="1f9"/>
              <w:rPr>
                <w:sz w:val="18"/>
                <w:szCs w:val="18"/>
              </w:rPr>
            </w:pPr>
            <w:r>
              <w:rPr>
                <w:sz w:val="18"/>
                <w:szCs w:val="18"/>
              </w:rPr>
              <w:t>0.048</w:t>
            </w:r>
          </w:p>
        </w:tc>
        <w:tc>
          <w:tcPr>
            <w:tcW w:w="488" w:type="pct"/>
            <w:vAlign w:val="center"/>
          </w:tcPr>
          <w:p w14:paraId="6A804C7E" w14:textId="77777777" w:rsidR="00D12939" w:rsidRDefault="004F47F5">
            <w:pPr>
              <w:pStyle w:val="1f9"/>
              <w:rPr>
                <w:sz w:val="18"/>
                <w:szCs w:val="18"/>
              </w:rPr>
            </w:pPr>
            <w:r>
              <w:rPr>
                <w:sz w:val="18"/>
                <w:szCs w:val="18"/>
              </w:rPr>
              <w:t>137</w:t>
            </w:r>
          </w:p>
        </w:tc>
        <w:tc>
          <w:tcPr>
            <w:tcW w:w="344" w:type="pct"/>
            <w:vAlign w:val="center"/>
          </w:tcPr>
          <w:p w14:paraId="570377FB" w14:textId="77777777" w:rsidR="00D12939" w:rsidRDefault="004F47F5">
            <w:pPr>
              <w:pStyle w:val="1f9"/>
              <w:rPr>
                <w:sz w:val="18"/>
                <w:szCs w:val="18"/>
              </w:rPr>
            </w:pPr>
            <w:r>
              <w:rPr>
                <w:rFonts w:hint="eastAsia"/>
                <w:sz w:val="18"/>
                <w:szCs w:val="18"/>
              </w:rPr>
              <w:t>0</w:t>
            </w:r>
            <w:r>
              <w:rPr>
                <w:sz w:val="18"/>
                <w:szCs w:val="18"/>
              </w:rPr>
              <w:t>.88</w:t>
            </w:r>
          </w:p>
        </w:tc>
        <w:tc>
          <w:tcPr>
            <w:tcW w:w="347" w:type="pct"/>
            <w:vAlign w:val="center"/>
          </w:tcPr>
          <w:p w14:paraId="3B1EBBD7" w14:textId="77777777" w:rsidR="00D12939" w:rsidRDefault="004F47F5">
            <w:pPr>
              <w:pStyle w:val="1f9"/>
              <w:rPr>
                <w:sz w:val="18"/>
                <w:szCs w:val="18"/>
              </w:rPr>
            </w:pPr>
            <w:r>
              <w:rPr>
                <w:rFonts w:hint="eastAsia"/>
                <w:sz w:val="18"/>
                <w:szCs w:val="18"/>
              </w:rPr>
              <w:t>0</w:t>
            </w:r>
            <w:r>
              <w:rPr>
                <w:sz w:val="18"/>
                <w:szCs w:val="18"/>
              </w:rPr>
              <w:t>.10</w:t>
            </w:r>
          </w:p>
        </w:tc>
        <w:tc>
          <w:tcPr>
            <w:tcW w:w="348" w:type="pct"/>
            <w:vAlign w:val="center"/>
          </w:tcPr>
          <w:p w14:paraId="2518F0E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0.011</w:t>
            </w:r>
          </w:p>
        </w:tc>
        <w:tc>
          <w:tcPr>
            <w:tcW w:w="417" w:type="pct"/>
            <w:vAlign w:val="center"/>
          </w:tcPr>
          <w:p w14:paraId="48DEF14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0.0012</w:t>
            </w:r>
          </w:p>
        </w:tc>
      </w:tr>
    </w:tbl>
    <w:p w14:paraId="761244E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2</w:t>
      </w:r>
      <w:r>
        <w:rPr>
          <w:rFonts w:ascii="Times New Roman" w:eastAsia="宋体" w:hAnsi="Times New Roman" w:cs="Times New Roman" w:hint="eastAsia"/>
          <w:sz w:val="24"/>
        </w:rPr>
        <w:t>）调节池及渗滤液处理系统恶臭</w:t>
      </w:r>
    </w:p>
    <w:p w14:paraId="35EB694E"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本项目设置一座垃圾填埋渗滤液调节池，采用封闭加盖的钢筋混凝土结构，容积为</w:t>
      </w:r>
      <w:r>
        <w:rPr>
          <w:rFonts w:ascii="Times New Roman" w:eastAsia="宋体" w:hAnsi="Times New Roman" w:cs="Times New Roman"/>
          <w:sz w:val="24"/>
        </w:rPr>
        <w:t>1800m</w:t>
      </w:r>
      <w:r>
        <w:rPr>
          <w:rFonts w:ascii="Times New Roman" w:eastAsia="宋体" w:hAnsi="Times New Roman" w:cs="Times New Roman"/>
          <w:sz w:val="24"/>
          <w:vertAlign w:val="superscript"/>
        </w:rPr>
        <w:t>3</w:t>
      </w:r>
      <w:r>
        <w:rPr>
          <w:rFonts w:ascii="Times New Roman" w:eastAsia="宋体" w:hAnsi="Times New Roman" w:cs="Times New Roman"/>
          <w:sz w:val="24"/>
        </w:rPr>
        <w:t>，占地面积为</w:t>
      </w:r>
      <w:r>
        <w:rPr>
          <w:rFonts w:ascii="Times New Roman" w:eastAsia="宋体" w:hAnsi="Times New Roman" w:cs="Times New Roman"/>
          <w:sz w:val="24"/>
        </w:rPr>
        <w:t>400m</w:t>
      </w:r>
      <w:r>
        <w:rPr>
          <w:rFonts w:ascii="Times New Roman" w:eastAsia="宋体" w:hAnsi="Times New Roman" w:cs="Times New Roman"/>
          <w:sz w:val="24"/>
          <w:vertAlign w:val="superscript"/>
        </w:rPr>
        <w:t>2</w:t>
      </w:r>
      <w:r>
        <w:rPr>
          <w:rFonts w:ascii="Times New Roman" w:eastAsia="宋体" w:hAnsi="Times New Roman" w:cs="Times New Roman"/>
          <w:sz w:val="24"/>
        </w:rPr>
        <w:t>，恶臭气体主要为</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 xml:space="preserve"> </w:t>
      </w:r>
      <w:r>
        <w:rPr>
          <w:rFonts w:ascii="Times New Roman" w:eastAsia="宋体" w:hAnsi="Times New Roman" w:cs="Times New Roman"/>
          <w:sz w:val="24"/>
        </w:rPr>
        <w:t>和</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w:t>
      </w:r>
      <w:r>
        <w:rPr>
          <w:rFonts w:ascii="Times New Roman" w:eastAsia="宋体" w:hAnsi="Times New Roman" w:cs="Times New Roman" w:hint="eastAsia"/>
          <w:sz w:val="24"/>
        </w:rPr>
        <w:t>渗滤液处理站处理规模为</w:t>
      </w:r>
      <w:r>
        <w:rPr>
          <w:rFonts w:ascii="Times New Roman" w:eastAsia="宋体" w:hAnsi="Times New Roman" w:cs="Times New Roman"/>
          <w:sz w:val="24"/>
        </w:rPr>
        <w:t>65m</w:t>
      </w:r>
      <w:r>
        <w:rPr>
          <w:rFonts w:ascii="Times New Roman" w:eastAsia="宋体" w:hAnsi="Times New Roman" w:cs="Times New Roman"/>
          <w:sz w:val="24"/>
          <w:vertAlign w:val="superscript"/>
        </w:rPr>
        <w:t>3</w:t>
      </w:r>
      <w:r>
        <w:rPr>
          <w:rFonts w:ascii="Times New Roman" w:eastAsia="宋体" w:hAnsi="Times New Roman" w:cs="Times New Roman"/>
          <w:sz w:val="24"/>
        </w:rPr>
        <w:t>/d</w:t>
      </w:r>
      <w:r>
        <w:rPr>
          <w:rFonts w:ascii="Times New Roman" w:eastAsia="宋体" w:hAnsi="Times New Roman" w:cs="Times New Roman"/>
          <w:sz w:val="24"/>
        </w:rPr>
        <w:t>，处理工艺采用</w:t>
      </w:r>
      <w:r>
        <w:rPr>
          <w:rFonts w:ascii="Times New Roman" w:eastAsia="宋体" w:hAnsi="Times New Roman" w:cs="Times New Roman"/>
          <w:sz w:val="24"/>
        </w:rPr>
        <w:t>“</w:t>
      </w:r>
      <w:r>
        <w:rPr>
          <w:rFonts w:ascii="Times New Roman" w:eastAsia="宋体" w:hAnsi="Times New Roman" w:cs="Times New Roman"/>
          <w:sz w:val="24"/>
        </w:rPr>
        <w:t>预处理</w:t>
      </w:r>
      <w:r>
        <w:rPr>
          <w:rFonts w:ascii="Times New Roman" w:eastAsia="宋体" w:hAnsi="Times New Roman" w:cs="Times New Roman"/>
          <w:sz w:val="24"/>
        </w:rPr>
        <w:t>-</w:t>
      </w:r>
      <w:r>
        <w:rPr>
          <w:rFonts w:ascii="Times New Roman" w:eastAsia="宋体" w:hAnsi="Times New Roman" w:cs="Times New Roman"/>
          <w:sz w:val="24"/>
        </w:rPr>
        <w:t>一体化反应池</w:t>
      </w:r>
      <w:r>
        <w:rPr>
          <w:rFonts w:ascii="Times New Roman" w:eastAsia="宋体" w:hAnsi="Times New Roman" w:cs="Times New Roman"/>
          <w:sz w:val="24"/>
        </w:rPr>
        <w:t>-</w:t>
      </w:r>
      <w:r>
        <w:rPr>
          <w:rFonts w:ascii="Times New Roman" w:eastAsia="宋体" w:hAnsi="Times New Roman" w:cs="Times New Roman"/>
          <w:sz w:val="24"/>
        </w:rPr>
        <w:t>气浮</w:t>
      </w:r>
      <w:r>
        <w:rPr>
          <w:rFonts w:ascii="Times New Roman" w:eastAsia="宋体" w:hAnsi="Times New Roman" w:cs="Times New Roman"/>
          <w:sz w:val="24"/>
        </w:rPr>
        <w:t>-</w:t>
      </w:r>
      <w:r>
        <w:rPr>
          <w:rFonts w:ascii="Times New Roman" w:eastAsia="宋体" w:hAnsi="Times New Roman" w:cs="Times New Roman"/>
          <w:sz w:val="24"/>
        </w:rPr>
        <w:t>斜板沉淀</w:t>
      </w:r>
      <w:r>
        <w:rPr>
          <w:rFonts w:ascii="Times New Roman" w:eastAsia="宋体" w:hAnsi="Times New Roman" w:cs="Times New Roman"/>
          <w:sz w:val="24"/>
        </w:rPr>
        <w:t>-A</w:t>
      </w:r>
      <w:r>
        <w:rPr>
          <w:rFonts w:ascii="Times New Roman" w:eastAsia="宋体" w:hAnsi="Times New Roman" w:cs="Times New Roman"/>
          <w:sz w:val="24"/>
          <w:vertAlign w:val="superscript"/>
        </w:rPr>
        <w:t>2</w:t>
      </w:r>
      <w:r>
        <w:rPr>
          <w:rFonts w:ascii="Times New Roman" w:eastAsia="宋体" w:hAnsi="Times New Roman" w:cs="Times New Roman"/>
          <w:sz w:val="24"/>
        </w:rPr>
        <w:t>/O-MBR</w:t>
      </w:r>
      <w:r>
        <w:rPr>
          <w:rFonts w:ascii="Times New Roman" w:eastAsia="宋体" w:hAnsi="Times New Roman" w:cs="Times New Roman"/>
          <w:sz w:val="24"/>
        </w:rPr>
        <w:t>膜池</w:t>
      </w:r>
      <w:r>
        <w:rPr>
          <w:rFonts w:ascii="Times New Roman" w:eastAsia="宋体" w:hAnsi="Times New Roman" w:cs="Times New Roman"/>
          <w:sz w:val="24"/>
        </w:rPr>
        <w:t>-</w:t>
      </w:r>
      <w:r>
        <w:rPr>
          <w:rFonts w:ascii="Times New Roman" w:eastAsia="宋体" w:hAnsi="Times New Roman" w:cs="Times New Roman"/>
          <w:sz w:val="24"/>
        </w:rPr>
        <w:t>纳滤</w:t>
      </w:r>
      <w:r>
        <w:rPr>
          <w:rFonts w:ascii="Times New Roman" w:eastAsia="宋体" w:hAnsi="Times New Roman" w:cs="Times New Roman"/>
          <w:sz w:val="24"/>
        </w:rPr>
        <w:t>-</w:t>
      </w:r>
      <w:r>
        <w:rPr>
          <w:rFonts w:ascii="Times New Roman" w:eastAsia="宋体" w:hAnsi="Times New Roman" w:cs="Times New Roman"/>
          <w:sz w:val="24"/>
        </w:rPr>
        <w:t>反渗透</w:t>
      </w:r>
      <w:r>
        <w:rPr>
          <w:rFonts w:ascii="Times New Roman" w:eastAsia="宋体" w:hAnsi="Times New Roman" w:cs="Times New Roman"/>
          <w:sz w:val="24"/>
        </w:rPr>
        <w:t>”</w:t>
      </w:r>
      <w:r>
        <w:rPr>
          <w:rFonts w:ascii="Times New Roman" w:eastAsia="宋体" w:hAnsi="Times New Roman" w:cs="Times New Roman"/>
          <w:sz w:val="24"/>
        </w:rPr>
        <w:t>。</w:t>
      </w:r>
    </w:p>
    <w:p w14:paraId="23339F2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渗滤液调节池占地</w:t>
      </w:r>
      <w:r>
        <w:rPr>
          <w:rFonts w:ascii="Times New Roman" w:eastAsia="宋体" w:hAnsi="Times New Roman" w:cs="Times New Roman" w:hint="eastAsia"/>
          <w:sz w:val="24"/>
        </w:rPr>
        <w:t>4</w:t>
      </w:r>
      <w:r>
        <w:rPr>
          <w:rFonts w:ascii="Times New Roman" w:eastAsia="宋体" w:hAnsi="Times New Roman" w:cs="Times New Roman"/>
          <w:sz w:val="24"/>
        </w:rPr>
        <w:t>00</w:t>
      </w:r>
      <w:r>
        <w:rPr>
          <w:rFonts w:ascii="Times New Roman" w:eastAsia="宋体" w:hAnsi="Times New Roman" w:cs="Times New Roman" w:hint="eastAsia"/>
          <w:sz w:val="24"/>
        </w:rPr>
        <w:t>m</w:t>
      </w:r>
      <w:r>
        <w:rPr>
          <w:rFonts w:ascii="Times New Roman" w:eastAsia="宋体" w:hAnsi="Times New Roman" w:cs="Times New Roman"/>
          <w:sz w:val="24"/>
          <w:vertAlign w:val="superscript"/>
        </w:rPr>
        <w:t>2</w:t>
      </w:r>
      <w:r>
        <w:rPr>
          <w:rFonts w:ascii="Times New Roman" w:eastAsia="宋体" w:hAnsi="Times New Roman" w:cs="Times New Roman" w:hint="eastAsia"/>
          <w:sz w:val="24"/>
        </w:rPr>
        <w:t>，渗滤液处理站</w:t>
      </w:r>
      <w:r>
        <w:rPr>
          <w:rFonts w:ascii="Times New Roman" w:eastAsia="宋体" w:hAnsi="Times New Roman" w:cs="Times New Roman"/>
          <w:sz w:val="24"/>
        </w:rPr>
        <w:t>占地</w:t>
      </w:r>
      <w:r>
        <w:rPr>
          <w:rFonts w:ascii="Times New Roman" w:eastAsia="宋体" w:hAnsi="Times New Roman" w:cs="Times New Roman"/>
          <w:sz w:val="24"/>
        </w:rPr>
        <w:t>782m</w:t>
      </w:r>
      <w:r>
        <w:rPr>
          <w:rFonts w:ascii="Times New Roman" w:eastAsia="宋体" w:hAnsi="Times New Roman" w:cs="Times New Roman"/>
          <w:sz w:val="24"/>
          <w:vertAlign w:val="superscript"/>
        </w:rPr>
        <w:t>2</w:t>
      </w:r>
      <w:r>
        <w:rPr>
          <w:rFonts w:ascii="Times New Roman" w:eastAsia="宋体" w:hAnsi="Times New Roman" w:cs="Times New Roman"/>
          <w:sz w:val="24"/>
        </w:rPr>
        <w:t>，类比相似的生活垃圾填埋场的渗滤液处</w:t>
      </w:r>
      <w:r>
        <w:rPr>
          <w:rFonts w:ascii="Times New Roman" w:eastAsia="宋体" w:hAnsi="Times New Roman" w:cs="Times New Roman" w:hint="eastAsia"/>
          <w:sz w:val="24"/>
        </w:rPr>
        <w:t>理系统，</w:t>
      </w:r>
      <w:r>
        <w:rPr>
          <w:rFonts w:ascii="Times New Roman" w:eastAsia="宋体" w:hAnsi="Times New Roman" w:cs="Times New Roman"/>
          <w:sz w:val="24"/>
        </w:rPr>
        <w:t>NH</w:t>
      </w:r>
      <w:r>
        <w:rPr>
          <w:rFonts w:ascii="Times New Roman" w:eastAsia="宋体" w:hAnsi="Times New Roman" w:cs="Times New Roman"/>
          <w:sz w:val="24"/>
          <w:vertAlign w:val="subscript"/>
        </w:rPr>
        <w:t xml:space="preserve">3 </w:t>
      </w:r>
      <w:r>
        <w:rPr>
          <w:rFonts w:ascii="Times New Roman" w:eastAsia="宋体" w:hAnsi="Times New Roman" w:cs="Times New Roman"/>
          <w:sz w:val="24"/>
        </w:rPr>
        <w:t>的产生量为</w:t>
      </w:r>
      <w:r>
        <w:rPr>
          <w:rFonts w:ascii="Times New Roman" w:eastAsia="宋体" w:hAnsi="Times New Roman" w:cs="Times New Roman"/>
          <w:sz w:val="24"/>
        </w:rPr>
        <w:t>0.1mg/s m</w:t>
      </w:r>
      <w:r>
        <w:rPr>
          <w:rFonts w:ascii="Times New Roman" w:eastAsia="宋体" w:hAnsi="Times New Roman" w:cs="Times New Roman"/>
          <w:sz w:val="24"/>
          <w:vertAlign w:val="superscript"/>
        </w:rPr>
        <w:t>2</w:t>
      </w:r>
      <w:r>
        <w:rPr>
          <w:rFonts w:ascii="Times New Roman" w:eastAsia="宋体" w:hAnsi="Times New Roman" w:cs="Times New Roman"/>
          <w:sz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 xml:space="preserve">S </w:t>
      </w:r>
      <w:r>
        <w:rPr>
          <w:rFonts w:ascii="Times New Roman" w:eastAsia="宋体" w:hAnsi="Times New Roman" w:cs="Times New Roman"/>
          <w:sz w:val="24"/>
        </w:rPr>
        <w:t>的产生量为</w:t>
      </w:r>
      <w:r>
        <w:rPr>
          <w:rFonts w:ascii="Times New Roman" w:eastAsia="宋体" w:hAnsi="Times New Roman" w:cs="Times New Roman"/>
          <w:sz w:val="24"/>
        </w:rPr>
        <w:t>0.00139 mg/s m</w:t>
      </w:r>
      <w:r>
        <w:rPr>
          <w:rFonts w:ascii="Times New Roman" w:eastAsia="宋体" w:hAnsi="Times New Roman" w:cs="Times New Roman"/>
          <w:sz w:val="24"/>
          <w:vertAlign w:val="superscript"/>
        </w:rPr>
        <w:t>2</w:t>
      </w:r>
      <w:r>
        <w:rPr>
          <w:rFonts w:ascii="Times New Roman" w:eastAsia="宋体" w:hAnsi="Times New Roman" w:cs="Times New Roman"/>
          <w:sz w:val="24"/>
        </w:rPr>
        <w:t>，则渗滤</w:t>
      </w:r>
      <w:r>
        <w:rPr>
          <w:rFonts w:ascii="Times New Roman" w:eastAsia="宋体" w:hAnsi="Times New Roman" w:cs="Times New Roman" w:hint="eastAsia"/>
          <w:sz w:val="24"/>
        </w:rPr>
        <w:t>液调节池的</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 xml:space="preserve"> </w:t>
      </w:r>
      <w:r>
        <w:rPr>
          <w:rFonts w:ascii="Times New Roman" w:eastAsia="宋体" w:hAnsi="Times New Roman" w:cs="Times New Roman"/>
          <w:sz w:val="24"/>
        </w:rPr>
        <w:t>和</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 xml:space="preserve">S </w:t>
      </w:r>
      <w:r>
        <w:rPr>
          <w:rFonts w:ascii="Times New Roman" w:eastAsia="宋体" w:hAnsi="Times New Roman" w:cs="Times New Roman"/>
          <w:sz w:val="24"/>
        </w:rPr>
        <w:t>的产生速率分别为</w:t>
      </w:r>
      <w:r>
        <w:rPr>
          <w:rFonts w:ascii="Times New Roman" w:eastAsia="宋体" w:hAnsi="Times New Roman" w:cs="Times New Roman"/>
          <w:sz w:val="24"/>
        </w:rPr>
        <w:t xml:space="preserve">0.144kg/h </w:t>
      </w:r>
      <w:r>
        <w:rPr>
          <w:rFonts w:ascii="Times New Roman" w:eastAsia="宋体" w:hAnsi="Times New Roman" w:cs="Times New Roman"/>
          <w:sz w:val="24"/>
        </w:rPr>
        <w:t>和</w:t>
      </w:r>
      <w:r>
        <w:rPr>
          <w:rFonts w:ascii="Times New Roman" w:eastAsia="宋体" w:hAnsi="Times New Roman" w:cs="Times New Roman"/>
          <w:sz w:val="24"/>
        </w:rPr>
        <w:t>0.002kg/h</w:t>
      </w:r>
      <w:r>
        <w:rPr>
          <w:rFonts w:ascii="Times New Roman" w:eastAsia="宋体" w:hAnsi="Times New Roman" w:cs="Times New Roman"/>
          <w:sz w:val="24"/>
        </w:rPr>
        <w:t>，渗滤液</w:t>
      </w:r>
      <w:r>
        <w:rPr>
          <w:rFonts w:ascii="Times New Roman" w:eastAsia="宋体" w:hAnsi="Times New Roman" w:cs="Times New Roman" w:hint="eastAsia"/>
          <w:sz w:val="24"/>
        </w:rPr>
        <w:t>处理</w:t>
      </w:r>
      <w:r>
        <w:rPr>
          <w:rFonts w:ascii="Times New Roman" w:eastAsia="宋体" w:hAnsi="Times New Roman" w:cs="Times New Roman"/>
          <w:sz w:val="24"/>
        </w:rPr>
        <w:t>站</w:t>
      </w:r>
      <w:r>
        <w:rPr>
          <w:rFonts w:ascii="Times New Roman" w:eastAsia="宋体" w:hAnsi="Times New Roman" w:cs="Times New Roman" w:hint="eastAsia"/>
          <w:sz w:val="24"/>
        </w:rPr>
        <w:t>的</w:t>
      </w:r>
      <w:r>
        <w:rPr>
          <w:rFonts w:ascii="Times New Roman" w:eastAsia="宋体" w:hAnsi="Times New Roman" w:cs="Times New Roman"/>
          <w:sz w:val="24"/>
        </w:rPr>
        <w:t>NH</w:t>
      </w:r>
      <w:r>
        <w:rPr>
          <w:rFonts w:ascii="Times New Roman" w:eastAsia="宋体" w:hAnsi="Times New Roman" w:cs="Times New Roman"/>
          <w:sz w:val="24"/>
          <w:vertAlign w:val="subscript"/>
        </w:rPr>
        <w:t xml:space="preserve">3 </w:t>
      </w:r>
      <w:r>
        <w:rPr>
          <w:rFonts w:ascii="Times New Roman" w:eastAsia="宋体" w:hAnsi="Times New Roman" w:cs="Times New Roman"/>
          <w:sz w:val="24"/>
        </w:rPr>
        <w:t>和</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 xml:space="preserve">S </w:t>
      </w:r>
      <w:r>
        <w:rPr>
          <w:rFonts w:ascii="Times New Roman" w:eastAsia="宋体" w:hAnsi="Times New Roman" w:cs="Times New Roman"/>
          <w:sz w:val="24"/>
        </w:rPr>
        <w:t>的产生速率分别为</w:t>
      </w:r>
      <w:r>
        <w:rPr>
          <w:rFonts w:ascii="Times New Roman" w:eastAsia="宋体" w:hAnsi="Times New Roman" w:cs="Times New Roman"/>
          <w:sz w:val="24"/>
        </w:rPr>
        <w:t xml:space="preserve">0.282kg/h </w:t>
      </w:r>
      <w:r>
        <w:rPr>
          <w:rFonts w:ascii="Times New Roman" w:eastAsia="宋体" w:hAnsi="Times New Roman" w:cs="Times New Roman"/>
          <w:sz w:val="24"/>
        </w:rPr>
        <w:t>和</w:t>
      </w:r>
      <w:r>
        <w:rPr>
          <w:rFonts w:ascii="Times New Roman" w:eastAsia="宋体" w:hAnsi="Times New Roman" w:cs="Times New Roman"/>
          <w:sz w:val="24"/>
        </w:rPr>
        <w:t>0.0039kg/h</w:t>
      </w:r>
      <w:r>
        <w:rPr>
          <w:rFonts w:ascii="Times New Roman" w:eastAsia="宋体" w:hAnsi="Times New Roman" w:cs="Times New Roman"/>
          <w:sz w:val="24"/>
        </w:rPr>
        <w:t>。</w:t>
      </w:r>
    </w:p>
    <w:p w14:paraId="0E6CFEB3" w14:textId="60435E9A"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项目拟设一套离子除臭系统，渗滤液调节池和渗滤液处理系统均密闭加盖，恶臭气体的收集效率可达</w:t>
      </w:r>
      <w:r w:rsidR="001A4637">
        <w:rPr>
          <w:rFonts w:ascii="Times New Roman" w:eastAsia="宋体" w:hAnsi="Times New Roman" w:cs="Times New Roman"/>
          <w:sz w:val="24"/>
        </w:rPr>
        <w:t>95</w:t>
      </w:r>
      <w:r>
        <w:rPr>
          <w:rFonts w:ascii="Times New Roman" w:eastAsia="宋体" w:hAnsi="Times New Roman" w:cs="Times New Roman"/>
          <w:sz w:val="24"/>
        </w:rPr>
        <w:t>%</w:t>
      </w:r>
      <w:r>
        <w:rPr>
          <w:rFonts w:ascii="Times New Roman" w:eastAsia="宋体" w:hAnsi="Times New Roman" w:cs="Times New Roman"/>
          <w:sz w:val="24"/>
        </w:rPr>
        <w:t>，收集后的恶臭污染物进入离子除臭系统进行处理，处理效率不小于</w:t>
      </w:r>
      <w:r>
        <w:rPr>
          <w:rFonts w:ascii="Times New Roman" w:eastAsia="宋体" w:hAnsi="Times New Roman" w:cs="Times New Roman"/>
          <w:sz w:val="24"/>
        </w:rPr>
        <w:t>95%</w:t>
      </w:r>
      <w:r>
        <w:rPr>
          <w:rFonts w:ascii="Times New Roman" w:eastAsia="宋体" w:hAnsi="Times New Roman" w:cs="Times New Roman"/>
          <w:sz w:val="24"/>
        </w:rPr>
        <w:t>，处理达标后的尾气经</w:t>
      </w:r>
      <w:r>
        <w:rPr>
          <w:rFonts w:ascii="Times New Roman" w:eastAsia="宋体" w:hAnsi="Times New Roman" w:cs="Times New Roman"/>
          <w:sz w:val="24"/>
        </w:rPr>
        <w:t>15m</w:t>
      </w:r>
      <w:r>
        <w:rPr>
          <w:rFonts w:ascii="Times New Roman" w:eastAsia="宋体" w:hAnsi="Times New Roman" w:cs="Times New Roman"/>
          <w:sz w:val="24"/>
        </w:rPr>
        <w:t>高的排气筒外排</w:t>
      </w:r>
      <w:r>
        <w:rPr>
          <w:rFonts w:ascii="Times New Roman" w:eastAsia="宋体" w:hAnsi="Times New Roman" w:cs="Times New Roman" w:hint="eastAsia"/>
          <w:sz w:val="24"/>
        </w:rPr>
        <w:t>。</w:t>
      </w:r>
    </w:p>
    <w:p w14:paraId="2356C417" w14:textId="77777777" w:rsidR="00D12939" w:rsidRDefault="004F47F5">
      <w:pPr>
        <w:adjustRightInd w:val="0"/>
        <w:spacing w:line="360" w:lineRule="auto"/>
        <w:ind w:firstLine="462"/>
        <w:jc w:val="center"/>
        <w:rPr>
          <w:rFonts w:ascii="黑体" w:eastAsia="黑体" w:hAnsi="黑体" w:cs="Times New Roman"/>
          <w:sz w:val="24"/>
          <w:szCs w:val="28"/>
        </w:rPr>
      </w:pPr>
      <w:r>
        <w:rPr>
          <w:rFonts w:ascii="黑体" w:eastAsia="黑体" w:hAnsi="黑体" w:cs="Times New Roman" w:hint="eastAsia"/>
          <w:sz w:val="24"/>
          <w:szCs w:val="28"/>
        </w:rPr>
        <w:t>表4</w:t>
      </w:r>
      <w:r>
        <w:rPr>
          <w:rFonts w:ascii="黑体" w:eastAsia="黑体" w:hAnsi="黑体" w:cs="Times New Roman"/>
          <w:sz w:val="24"/>
          <w:szCs w:val="28"/>
        </w:rPr>
        <w:t xml:space="preserve">.2-11  </w:t>
      </w:r>
      <w:r>
        <w:rPr>
          <w:rFonts w:ascii="黑体" w:eastAsia="黑体" w:hAnsi="黑体" w:cs="Times New Roman" w:hint="eastAsia"/>
          <w:sz w:val="24"/>
          <w:szCs w:val="28"/>
        </w:rPr>
        <w:t>调节池及渗滤液处理系统恶臭污染物</w:t>
      </w:r>
      <w:r>
        <w:rPr>
          <w:rFonts w:ascii="黑体" w:eastAsia="黑体" w:hAnsi="黑体" w:cs="Times New Roman"/>
          <w:sz w:val="24"/>
          <w:szCs w:val="28"/>
        </w:rPr>
        <w:t>排放源强</w:t>
      </w:r>
      <w:r>
        <w:rPr>
          <w:rFonts w:ascii="黑体" w:eastAsia="黑体" w:hAnsi="黑体" w:cs="Times New Roman" w:hint="eastAsia"/>
          <w:sz w:val="24"/>
          <w:szCs w:val="28"/>
        </w:rPr>
        <w:t>一览表</w:t>
      </w:r>
    </w:p>
    <w:tbl>
      <w:tblPr>
        <w:tblW w:w="986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73"/>
        <w:gridCol w:w="848"/>
        <w:gridCol w:w="726"/>
        <w:gridCol w:w="611"/>
        <w:gridCol w:w="764"/>
        <w:gridCol w:w="802"/>
        <w:gridCol w:w="904"/>
        <w:gridCol w:w="892"/>
        <w:gridCol w:w="538"/>
        <w:gridCol w:w="698"/>
        <w:gridCol w:w="860"/>
        <w:gridCol w:w="710"/>
        <w:gridCol w:w="936"/>
      </w:tblGrid>
      <w:tr w:rsidR="001A4637" w:rsidRPr="001A4637" w14:paraId="0A5E8D7D" w14:textId="77777777" w:rsidTr="001A4637">
        <w:trPr>
          <w:trHeight w:val="71"/>
          <w:jc w:val="center"/>
        </w:trPr>
        <w:tc>
          <w:tcPr>
            <w:tcW w:w="573" w:type="dxa"/>
            <w:vMerge w:val="restart"/>
            <w:tcBorders>
              <w:top w:val="single" w:sz="12" w:space="0" w:color="auto"/>
              <w:left w:val="single" w:sz="4" w:space="0" w:color="auto"/>
              <w:bottom w:val="single" w:sz="4" w:space="0" w:color="auto"/>
            </w:tcBorders>
            <w:shd w:val="clear" w:color="auto" w:fill="auto"/>
            <w:vAlign w:val="center"/>
          </w:tcPr>
          <w:p w14:paraId="52AD6478"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类型</w:t>
            </w:r>
          </w:p>
        </w:tc>
        <w:tc>
          <w:tcPr>
            <w:tcW w:w="848" w:type="dxa"/>
            <w:vMerge w:val="restart"/>
            <w:tcBorders>
              <w:top w:val="single" w:sz="12" w:space="0" w:color="auto"/>
              <w:bottom w:val="single" w:sz="4" w:space="0" w:color="auto"/>
            </w:tcBorders>
            <w:shd w:val="clear" w:color="auto" w:fill="auto"/>
            <w:vAlign w:val="center"/>
          </w:tcPr>
          <w:p w14:paraId="60F43FAF"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污染源</w:t>
            </w:r>
          </w:p>
        </w:tc>
        <w:tc>
          <w:tcPr>
            <w:tcW w:w="726" w:type="dxa"/>
            <w:vMerge w:val="restart"/>
            <w:tcBorders>
              <w:top w:val="single" w:sz="12" w:space="0" w:color="auto"/>
              <w:bottom w:val="single" w:sz="4" w:space="0" w:color="auto"/>
            </w:tcBorders>
            <w:shd w:val="clear" w:color="auto" w:fill="auto"/>
            <w:vAlign w:val="center"/>
          </w:tcPr>
          <w:p w14:paraId="153C1297"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污染物</w:t>
            </w:r>
          </w:p>
        </w:tc>
        <w:tc>
          <w:tcPr>
            <w:tcW w:w="611" w:type="dxa"/>
            <w:vMerge w:val="restart"/>
            <w:tcBorders>
              <w:top w:val="single" w:sz="12" w:space="0" w:color="auto"/>
              <w:bottom w:val="single" w:sz="4" w:space="0" w:color="auto"/>
            </w:tcBorders>
            <w:shd w:val="clear" w:color="auto" w:fill="auto"/>
            <w:vAlign w:val="center"/>
          </w:tcPr>
          <w:p w14:paraId="3CA1E18E"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排气量</w:t>
            </w:r>
            <w:r w:rsidRPr="001A4637">
              <w:rPr>
                <w:rFonts w:ascii="Times New Roman" w:eastAsia="宋体" w:hAnsi="Times New Roman" w:cs="Times New Roman"/>
                <w:color w:val="FF0000"/>
                <w:kern w:val="0"/>
                <w:sz w:val="18"/>
                <w:szCs w:val="18"/>
              </w:rPr>
              <w:t>m</w:t>
            </w:r>
            <w:r w:rsidRPr="001A4637">
              <w:rPr>
                <w:rFonts w:ascii="Times New Roman" w:eastAsia="宋体" w:hAnsi="Times New Roman" w:cs="Times New Roman"/>
                <w:color w:val="FF0000"/>
                <w:kern w:val="0"/>
                <w:sz w:val="18"/>
                <w:szCs w:val="18"/>
                <w:vertAlign w:val="superscript"/>
              </w:rPr>
              <w:t>3</w:t>
            </w:r>
            <w:r w:rsidRPr="001A4637">
              <w:rPr>
                <w:rFonts w:ascii="Times New Roman" w:eastAsia="宋体" w:hAnsi="Times New Roman" w:cs="Times New Roman"/>
                <w:color w:val="FF0000"/>
                <w:kern w:val="0"/>
                <w:sz w:val="18"/>
                <w:szCs w:val="18"/>
              </w:rPr>
              <w:t>/h</w:t>
            </w:r>
          </w:p>
        </w:tc>
        <w:tc>
          <w:tcPr>
            <w:tcW w:w="2470" w:type="dxa"/>
            <w:gridSpan w:val="3"/>
            <w:tcBorders>
              <w:top w:val="single" w:sz="12" w:space="0" w:color="auto"/>
              <w:bottom w:val="single" w:sz="4" w:space="0" w:color="auto"/>
            </w:tcBorders>
            <w:shd w:val="clear" w:color="auto" w:fill="auto"/>
            <w:vAlign w:val="center"/>
          </w:tcPr>
          <w:p w14:paraId="2956CEFE"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产生状况</w:t>
            </w:r>
          </w:p>
        </w:tc>
        <w:tc>
          <w:tcPr>
            <w:tcW w:w="892" w:type="dxa"/>
            <w:vMerge w:val="restart"/>
            <w:tcBorders>
              <w:top w:val="single" w:sz="12" w:space="0" w:color="auto"/>
              <w:bottom w:val="single" w:sz="4" w:space="0" w:color="auto"/>
            </w:tcBorders>
            <w:shd w:val="clear" w:color="auto" w:fill="auto"/>
            <w:vAlign w:val="center"/>
          </w:tcPr>
          <w:p w14:paraId="024FA7EA"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治理措施</w:t>
            </w:r>
          </w:p>
        </w:tc>
        <w:tc>
          <w:tcPr>
            <w:tcW w:w="2806" w:type="dxa"/>
            <w:gridSpan w:val="4"/>
            <w:tcBorders>
              <w:top w:val="single" w:sz="12" w:space="0" w:color="auto"/>
              <w:bottom w:val="single" w:sz="4" w:space="0" w:color="auto"/>
            </w:tcBorders>
            <w:shd w:val="clear" w:color="auto" w:fill="auto"/>
            <w:vAlign w:val="center"/>
          </w:tcPr>
          <w:p w14:paraId="44E973FB"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排放状况</w:t>
            </w:r>
          </w:p>
        </w:tc>
        <w:tc>
          <w:tcPr>
            <w:tcW w:w="936" w:type="dxa"/>
            <w:vMerge w:val="restart"/>
            <w:tcBorders>
              <w:top w:val="single" w:sz="12" w:space="0" w:color="auto"/>
              <w:bottom w:val="single" w:sz="4" w:space="0" w:color="auto"/>
              <w:right w:val="single" w:sz="4" w:space="0" w:color="auto"/>
            </w:tcBorders>
            <w:shd w:val="clear" w:color="auto" w:fill="auto"/>
            <w:vAlign w:val="center"/>
          </w:tcPr>
          <w:p w14:paraId="3A7089AD" w14:textId="54D035DB" w:rsidR="00D12939" w:rsidRPr="001A4637" w:rsidRDefault="004F47F5" w:rsidP="001A4637">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排放口参数</w:t>
            </w:r>
            <w:r w:rsidRPr="001A4637">
              <w:rPr>
                <w:rFonts w:ascii="Times New Roman" w:eastAsia="宋体" w:hAnsi="Times New Roman" w:cs="Times New Roman"/>
                <w:color w:val="FF0000"/>
                <w:kern w:val="0"/>
                <w:sz w:val="18"/>
                <w:szCs w:val="18"/>
              </w:rPr>
              <w:t>m</w:t>
            </w:r>
          </w:p>
        </w:tc>
      </w:tr>
      <w:tr w:rsidR="001A4637" w:rsidRPr="001A4637" w14:paraId="3A04185D" w14:textId="77777777" w:rsidTr="001A4637">
        <w:trPr>
          <w:trHeight w:val="71"/>
          <w:jc w:val="center"/>
        </w:trPr>
        <w:tc>
          <w:tcPr>
            <w:tcW w:w="573" w:type="dxa"/>
            <w:vMerge/>
            <w:tcBorders>
              <w:top w:val="single" w:sz="4" w:space="0" w:color="auto"/>
              <w:left w:val="single" w:sz="4" w:space="0" w:color="auto"/>
              <w:bottom w:val="single" w:sz="4" w:space="0" w:color="auto"/>
            </w:tcBorders>
            <w:shd w:val="clear" w:color="auto" w:fill="auto"/>
            <w:vAlign w:val="center"/>
          </w:tcPr>
          <w:p w14:paraId="6866AD81"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848" w:type="dxa"/>
            <w:vMerge/>
            <w:tcBorders>
              <w:top w:val="single" w:sz="4" w:space="0" w:color="auto"/>
              <w:bottom w:val="single" w:sz="4" w:space="0" w:color="auto"/>
            </w:tcBorders>
            <w:shd w:val="clear" w:color="auto" w:fill="auto"/>
            <w:vAlign w:val="center"/>
          </w:tcPr>
          <w:p w14:paraId="461B1770"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726" w:type="dxa"/>
            <w:vMerge/>
            <w:tcBorders>
              <w:top w:val="single" w:sz="4" w:space="0" w:color="auto"/>
              <w:bottom w:val="single" w:sz="4" w:space="0" w:color="auto"/>
            </w:tcBorders>
            <w:shd w:val="clear" w:color="auto" w:fill="auto"/>
            <w:vAlign w:val="center"/>
          </w:tcPr>
          <w:p w14:paraId="185EFAE8"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611" w:type="dxa"/>
            <w:vMerge/>
            <w:tcBorders>
              <w:top w:val="single" w:sz="4" w:space="0" w:color="auto"/>
              <w:bottom w:val="single" w:sz="4" w:space="0" w:color="auto"/>
            </w:tcBorders>
            <w:shd w:val="clear" w:color="auto" w:fill="auto"/>
            <w:vAlign w:val="center"/>
          </w:tcPr>
          <w:p w14:paraId="0ECC5A3F"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764" w:type="dxa"/>
            <w:tcBorders>
              <w:top w:val="single" w:sz="4" w:space="0" w:color="auto"/>
              <w:bottom w:val="single" w:sz="4" w:space="0" w:color="auto"/>
            </w:tcBorders>
            <w:shd w:val="clear" w:color="auto" w:fill="auto"/>
            <w:vAlign w:val="center"/>
          </w:tcPr>
          <w:p w14:paraId="50AECCB2"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产生量</w:t>
            </w:r>
          </w:p>
        </w:tc>
        <w:tc>
          <w:tcPr>
            <w:tcW w:w="802" w:type="dxa"/>
            <w:tcBorders>
              <w:top w:val="single" w:sz="4" w:space="0" w:color="auto"/>
              <w:bottom w:val="single" w:sz="4" w:space="0" w:color="auto"/>
            </w:tcBorders>
            <w:shd w:val="clear" w:color="auto" w:fill="auto"/>
            <w:vAlign w:val="center"/>
          </w:tcPr>
          <w:p w14:paraId="5CEFB023"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产生速率</w:t>
            </w:r>
          </w:p>
        </w:tc>
        <w:tc>
          <w:tcPr>
            <w:tcW w:w="904" w:type="dxa"/>
            <w:tcBorders>
              <w:top w:val="single" w:sz="4" w:space="0" w:color="auto"/>
              <w:bottom w:val="single" w:sz="4" w:space="0" w:color="auto"/>
            </w:tcBorders>
            <w:shd w:val="clear" w:color="auto" w:fill="auto"/>
            <w:vAlign w:val="center"/>
          </w:tcPr>
          <w:p w14:paraId="724528FF"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产生浓度</w:t>
            </w:r>
          </w:p>
        </w:tc>
        <w:tc>
          <w:tcPr>
            <w:tcW w:w="892" w:type="dxa"/>
            <w:vMerge/>
            <w:tcBorders>
              <w:top w:val="single" w:sz="4" w:space="0" w:color="auto"/>
              <w:bottom w:val="single" w:sz="4" w:space="0" w:color="auto"/>
            </w:tcBorders>
            <w:shd w:val="clear" w:color="auto" w:fill="auto"/>
            <w:vAlign w:val="center"/>
          </w:tcPr>
          <w:p w14:paraId="6242A942"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1236" w:type="dxa"/>
            <w:gridSpan w:val="2"/>
            <w:tcBorders>
              <w:top w:val="single" w:sz="4" w:space="0" w:color="auto"/>
              <w:bottom w:val="single" w:sz="4" w:space="0" w:color="auto"/>
            </w:tcBorders>
            <w:shd w:val="clear" w:color="auto" w:fill="auto"/>
            <w:vAlign w:val="center"/>
          </w:tcPr>
          <w:p w14:paraId="32643519"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排放量</w:t>
            </w:r>
          </w:p>
        </w:tc>
        <w:tc>
          <w:tcPr>
            <w:tcW w:w="860" w:type="dxa"/>
            <w:tcBorders>
              <w:top w:val="single" w:sz="4" w:space="0" w:color="auto"/>
              <w:bottom w:val="single" w:sz="4" w:space="0" w:color="auto"/>
            </w:tcBorders>
            <w:shd w:val="clear" w:color="auto" w:fill="auto"/>
            <w:vAlign w:val="center"/>
          </w:tcPr>
          <w:p w14:paraId="4955DE0B"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排放速率</w:t>
            </w:r>
          </w:p>
        </w:tc>
        <w:tc>
          <w:tcPr>
            <w:tcW w:w="710" w:type="dxa"/>
            <w:tcBorders>
              <w:top w:val="single" w:sz="4" w:space="0" w:color="auto"/>
              <w:bottom w:val="single" w:sz="4" w:space="0" w:color="auto"/>
            </w:tcBorders>
            <w:shd w:val="clear" w:color="auto" w:fill="auto"/>
            <w:vAlign w:val="center"/>
          </w:tcPr>
          <w:p w14:paraId="7E341D4A"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排放浓度</w:t>
            </w:r>
          </w:p>
        </w:tc>
        <w:tc>
          <w:tcPr>
            <w:tcW w:w="936" w:type="dxa"/>
            <w:vMerge/>
            <w:tcBorders>
              <w:top w:val="single" w:sz="4" w:space="0" w:color="auto"/>
              <w:bottom w:val="single" w:sz="4" w:space="0" w:color="auto"/>
              <w:right w:val="single" w:sz="4" w:space="0" w:color="auto"/>
            </w:tcBorders>
            <w:shd w:val="clear" w:color="auto" w:fill="auto"/>
            <w:vAlign w:val="center"/>
          </w:tcPr>
          <w:p w14:paraId="3054A329" w14:textId="77777777" w:rsidR="00D12939" w:rsidRPr="001A4637" w:rsidRDefault="00D12939">
            <w:pPr>
              <w:widowControl/>
              <w:jc w:val="center"/>
              <w:rPr>
                <w:rFonts w:ascii="Times New Roman" w:eastAsia="宋体" w:hAnsi="Times New Roman" w:cs="Times New Roman"/>
                <w:color w:val="FF0000"/>
                <w:kern w:val="0"/>
                <w:sz w:val="18"/>
                <w:szCs w:val="18"/>
              </w:rPr>
            </w:pPr>
          </w:p>
        </w:tc>
      </w:tr>
      <w:tr w:rsidR="001A4637" w:rsidRPr="001A4637" w14:paraId="5236ADA4" w14:textId="77777777" w:rsidTr="001A4637">
        <w:trPr>
          <w:trHeight w:val="71"/>
          <w:jc w:val="center"/>
        </w:trPr>
        <w:tc>
          <w:tcPr>
            <w:tcW w:w="573" w:type="dxa"/>
            <w:vMerge/>
            <w:tcBorders>
              <w:top w:val="single" w:sz="4" w:space="0" w:color="auto"/>
              <w:left w:val="single" w:sz="4" w:space="0" w:color="auto"/>
              <w:bottom w:val="single" w:sz="4" w:space="0" w:color="auto"/>
            </w:tcBorders>
            <w:shd w:val="clear" w:color="auto" w:fill="auto"/>
            <w:vAlign w:val="center"/>
          </w:tcPr>
          <w:p w14:paraId="4A2771AA"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848" w:type="dxa"/>
            <w:vMerge/>
            <w:tcBorders>
              <w:top w:val="single" w:sz="4" w:space="0" w:color="auto"/>
              <w:bottom w:val="single" w:sz="4" w:space="0" w:color="auto"/>
            </w:tcBorders>
            <w:shd w:val="clear" w:color="auto" w:fill="auto"/>
            <w:vAlign w:val="center"/>
          </w:tcPr>
          <w:p w14:paraId="66406457"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726" w:type="dxa"/>
            <w:vMerge/>
            <w:tcBorders>
              <w:top w:val="single" w:sz="4" w:space="0" w:color="auto"/>
              <w:bottom w:val="single" w:sz="4" w:space="0" w:color="auto"/>
            </w:tcBorders>
            <w:shd w:val="clear" w:color="auto" w:fill="auto"/>
            <w:vAlign w:val="center"/>
          </w:tcPr>
          <w:p w14:paraId="4F5658C9"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611" w:type="dxa"/>
            <w:vMerge/>
            <w:tcBorders>
              <w:top w:val="single" w:sz="4" w:space="0" w:color="auto"/>
              <w:bottom w:val="single" w:sz="4" w:space="0" w:color="auto"/>
            </w:tcBorders>
            <w:shd w:val="clear" w:color="auto" w:fill="auto"/>
            <w:vAlign w:val="center"/>
          </w:tcPr>
          <w:p w14:paraId="3E990889"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764" w:type="dxa"/>
            <w:tcBorders>
              <w:top w:val="single" w:sz="4" w:space="0" w:color="auto"/>
              <w:bottom w:val="single" w:sz="4" w:space="0" w:color="auto"/>
            </w:tcBorders>
            <w:shd w:val="clear" w:color="auto" w:fill="auto"/>
            <w:vAlign w:val="center"/>
          </w:tcPr>
          <w:p w14:paraId="0FE950BB"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t/a</w:t>
            </w:r>
          </w:p>
        </w:tc>
        <w:tc>
          <w:tcPr>
            <w:tcW w:w="802" w:type="dxa"/>
            <w:tcBorders>
              <w:top w:val="single" w:sz="4" w:space="0" w:color="auto"/>
              <w:bottom w:val="single" w:sz="4" w:space="0" w:color="auto"/>
            </w:tcBorders>
            <w:shd w:val="clear" w:color="auto" w:fill="auto"/>
            <w:vAlign w:val="center"/>
          </w:tcPr>
          <w:p w14:paraId="04CACB10"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kg/h</w:t>
            </w:r>
          </w:p>
        </w:tc>
        <w:tc>
          <w:tcPr>
            <w:tcW w:w="904" w:type="dxa"/>
            <w:tcBorders>
              <w:top w:val="single" w:sz="4" w:space="0" w:color="auto"/>
              <w:bottom w:val="single" w:sz="4" w:space="0" w:color="auto"/>
            </w:tcBorders>
            <w:shd w:val="clear" w:color="auto" w:fill="auto"/>
            <w:vAlign w:val="center"/>
          </w:tcPr>
          <w:p w14:paraId="72DCCFF8"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mg/m</w:t>
            </w:r>
            <w:r w:rsidRPr="001A4637">
              <w:rPr>
                <w:rFonts w:ascii="Times New Roman" w:eastAsia="宋体" w:hAnsi="Times New Roman" w:cs="Times New Roman"/>
                <w:color w:val="FF0000"/>
                <w:kern w:val="0"/>
                <w:sz w:val="18"/>
                <w:szCs w:val="18"/>
                <w:vertAlign w:val="superscript"/>
              </w:rPr>
              <w:t>3</w:t>
            </w:r>
          </w:p>
        </w:tc>
        <w:tc>
          <w:tcPr>
            <w:tcW w:w="892" w:type="dxa"/>
            <w:vMerge/>
            <w:tcBorders>
              <w:top w:val="single" w:sz="4" w:space="0" w:color="auto"/>
              <w:bottom w:val="single" w:sz="4" w:space="0" w:color="auto"/>
            </w:tcBorders>
            <w:shd w:val="clear" w:color="auto" w:fill="auto"/>
            <w:vAlign w:val="center"/>
          </w:tcPr>
          <w:p w14:paraId="1C234EEA" w14:textId="77777777" w:rsidR="00D12939" w:rsidRPr="001A4637" w:rsidRDefault="00D12939">
            <w:pPr>
              <w:widowControl/>
              <w:jc w:val="center"/>
              <w:rPr>
                <w:rFonts w:ascii="Times New Roman" w:eastAsia="宋体" w:hAnsi="Times New Roman" w:cs="Times New Roman"/>
                <w:color w:val="FF0000"/>
                <w:kern w:val="0"/>
                <w:sz w:val="18"/>
                <w:szCs w:val="18"/>
              </w:rPr>
            </w:pPr>
          </w:p>
        </w:tc>
        <w:tc>
          <w:tcPr>
            <w:tcW w:w="1236" w:type="dxa"/>
            <w:gridSpan w:val="2"/>
            <w:tcBorders>
              <w:top w:val="single" w:sz="4" w:space="0" w:color="auto"/>
              <w:bottom w:val="single" w:sz="4" w:space="0" w:color="auto"/>
            </w:tcBorders>
            <w:shd w:val="clear" w:color="auto" w:fill="auto"/>
            <w:vAlign w:val="center"/>
          </w:tcPr>
          <w:p w14:paraId="11971731"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t/a</w:t>
            </w:r>
          </w:p>
        </w:tc>
        <w:tc>
          <w:tcPr>
            <w:tcW w:w="860" w:type="dxa"/>
            <w:tcBorders>
              <w:top w:val="single" w:sz="4" w:space="0" w:color="auto"/>
              <w:bottom w:val="single" w:sz="4" w:space="0" w:color="auto"/>
            </w:tcBorders>
            <w:shd w:val="clear" w:color="auto" w:fill="auto"/>
            <w:vAlign w:val="center"/>
          </w:tcPr>
          <w:p w14:paraId="6C615E68"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kg/h</w:t>
            </w:r>
          </w:p>
        </w:tc>
        <w:tc>
          <w:tcPr>
            <w:tcW w:w="710" w:type="dxa"/>
            <w:tcBorders>
              <w:top w:val="single" w:sz="4" w:space="0" w:color="auto"/>
              <w:bottom w:val="single" w:sz="4" w:space="0" w:color="auto"/>
            </w:tcBorders>
            <w:shd w:val="clear" w:color="auto" w:fill="auto"/>
            <w:vAlign w:val="center"/>
          </w:tcPr>
          <w:p w14:paraId="6E6FB10B" w14:textId="77777777" w:rsidR="00D12939" w:rsidRPr="001A4637" w:rsidRDefault="004F47F5">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mg/m</w:t>
            </w:r>
            <w:r w:rsidRPr="001A4637">
              <w:rPr>
                <w:rFonts w:ascii="Times New Roman" w:eastAsia="宋体" w:hAnsi="Times New Roman" w:cs="Times New Roman"/>
                <w:color w:val="FF0000"/>
                <w:kern w:val="0"/>
                <w:sz w:val="18"/>
                <w:szCs w:val="18"/>
                <w:vertAlign w:val="superscript"/>
              </w:rPr>
              <w:t>3</w:t>
            </w:r>
          </w:p>
        </w:tc>
        <w:tc>
          <w:tcPr>
            <w:tcW w:w="936" w:type="dxa"/>
            <w:vMerge/>
            <w:tcBorders>
              <w:top w:val="single" w:sz="4" w:space="0" w:color="auto"/>
              <w:bottom w:val="single" w:sz="4" w:space="0" w:color="auto"/>
              <w:right w:val="single" w:sz="4" w:space="0" w:color="auto"/>
            </w:tcBorders>
            <w:shd w:val="clear" w:color="auto" w:fill="auto"/>
            <w:vAlign w:val="center"/>
          </w:tcPr>
          <w:p w14:paraId="4DE7D72D" w14:textId="77777777" w:rsidR="00D12939" w:rsidRPr="001A4637" w:rsidRDefault="00D12939">
            <w:pPr>
              <w:widowControl/>
              <w:jc w:val="center"/>
              <w:rPr>
                <w:rFonts w:ascii="Times New Roman" w:eastAsia="宋体" w:hAnsi="Times New Roman" w:cs="Times New Roman"/>
                <w:color w:val="FF0000"/>
                <w:kern w:val="0"/>
                <w:sz w:val="18"/>
                <w:szCs w:val="18"/>
              </w:rPr>
            </w:pPr>
          </w:p>
        </w:tc>
      </w:tr>
      <w:tr w:rsidR="001A4637" w:rsidRPr="001A4637" w14:paraId="3819EC04" w14:textId="77777777" w:rsidTr="001A4637">
        <w:trPr>
          <w:trHeight w:val="150"/>
          <w:jc w:val="center"/>
        </w:trPr>
        <w:tc>
          <w:tcPr>
            <w:tcW w:w="573" w:type="dxa"/>
            <w:vMerge w:val="restart"/>
            <w:tcBorders>
              <w:top w:val="single" w:sz="4" w:space="0" w:color="auto"/>
            </w:tcBorders>
            <w:shd w:val="clear" w:color="auto" w:fill="auto"/>
            <w:vAlign w:val="center"/>
          </w:tcPr>
          <w:p w14:paraId="16B053AF"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有组织</w:t>
            </w:r>
          </w:p>
        </w:tc>
        <w:tc>
          <w:tcPr>
            <w:tcW w:w="848" w:type="dxa"/>
            <w:vMerge w:val="restart"/>
            <w:tcBorders>
              <w:top w:val="single" w:sz="4" w:space="0" w:color="auto"/>
            </w:tcBorders>
            <w:vAlign w:val="center"/>
          </w:tcPr>
          <w:p w14:paraId="058711A8"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调节池</w:t>
            </w:r>
          </w:p>
        </w:tc>
        <w:tc>
          <w:tcPr>
            <w:tcW w:w="726" w:type="dxa"/>
            <w:tcBorders>
              <w:top w:val="single" w:sz="4" w:space="0" w:color="auto"/>
            </w:tcBorders>
            <w:shd w:val="clear" w:color="auto" w:fill="auto"/>
            <w:vAlign w:val="center"/>
          </w:tcPr>
          <w:p w14:paraId="29BD0C89"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NH</w:t>
            </w:r>
            <w:r w:rsidRPr="001A4637">
              <w:rPr>
                <w:rFonts w:ascii="Times New Roman" w:eastAsia="宋体" w:hAnsi="Times New Roman" w:cs="Times New Roman"/>
                <w:color w:val="FF0000"/>
                <w:sz w:val="18"/>
                <w:szCs w:val="18"/>
                <w:vertAlign w:val="subscript"/>
              </w:rPr>
              <w:t>3</w:t>
            </w:r>
          </w:p>
        </w:tc>
        <w:tc>
          <w:tcPr>
            <w:tcW w:w="611" w:type="dxa"/>
            <w:vMerge w:val="restart"/>
            <w:tcBorders>
              <w:top w:val="single" w:sz="4" w:space="0" w:color="auto"/>
            </w:tcBorders>
            <w:shd w:val="clear" w:color="auto" w:fill="auto"/>
            <w:vAlign w:val="center"/>
          </w:tcPr>
          <w:p w14:paraId="5496A794"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10000</w:t>
            </w:r>
          </w:p>
        </w:tc>
        <w:tc>
          <w:tcPr>
            <w:tcW w:w="764" w:type="dxa"/>
            <w:tcBorders>
              <w:top w:val="single" w:sz="4" w:space="0" w:color="auto"/>
            </w:tcBorders>
            <w:shd w:val="clear" w:color="auto" w:fill="auto"/>
            <w:vAlign w:val="center"/>
          </w:tcPr>
          <w:p w14:paraId="32A7C15E" w14:textId="2EA073C1" w:rsidR="001A4637" w:rsidRPr="001A4637" w:rsidRDefault="001A4637" w:rsidP="001A4637">
            <w:pPr>
              <w:widowControl/>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1.198 </w:t>
            </w:r>
          </w:p>
        </w:tc>
        <w:tc>
          <w:tcPr>
            <w:tcW w:w="802" w:type="dxa"/>
            <w:tcBorders>
              <w:top w:val="single" w:sz="4" w:space="0" w:color="auto"/>
            </w:tcBorders>
            <w:shd w:val="clear" w:color="auto" w:fill="auto"/>
            <w:vAlign w:val="center"/>
          </w:tcPr>
          <w:p w14:paraId="68B1FC80" w14:textId="09B9C71C"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0.137 </w:t>
            </w:r>
          </w:p>
        </w:tc>
        <w:tc>
          <w:tcPr>
            <w:tcW w:w="904" w:type="dxa"/>
            <w:tcBorders>
              <w:top w:val="single" w:sz="4" w:space="0" w:color="auto"/>
            </w:tcBorders>
            <w:shd w:val="clear" w:color="auto" w:fill="auto"/>
            <w:vAlign w:val="center"/>
          </w:tcPr>
          <w:p w14:paraId="0F30B409" w14:textId="5B7958BD"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13.680 </w:t>
            </w:r>
          </w:p>
        </w:tc>
        <w:tc>
          <w:tcPr>
            <w:tcW w:w="892" w:type="dxa"/>
            <w:vMerge w:val="restart"/>
            <w:tcBorders>
              <w:top w:val="single" w:sz="4" w:space="0" w:color="auto"/>
            </w:tcBorders>
            <w:shd w:val="clear" w:color="auto" w:fill="auto"/>
            <w:vAlign w:val="center"/>
          </w:tcPr>
          <w:p w14:paraId="5A778892" w14:textId="77777777" w:rsidR="001A4637" w:rsidRPr="001A4637" w:rsidRDefault="001A4637" w:rsidP="001A4637">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加盖密封</w:t>
            </w:r>
            <w:r w:rsidRPr="001A4637">
              <w:rPr>
                <w:rFonts w:ascii="Times New Roman" w:eastAsia="宋体" w:hAnsi="Times New Roman" w:cs="Times New Roman"/>
                <w:color w:val="FF0000"/>
                <w:kern w:val="0"/>
                <w:sz w:val="18"/>
                <w:szCs w:val="18"/>
              </w:rPr>
              <w:t>+</w:t>
            </w:r>
            <w:r w:rsidRPr="001A4637">
              <w:rPr>
                <w:rFonts w:ascii="Times New Roman" w:eastAsia="宋体" w:hAnsi="Times New Roman" w:cs="Times New Roman"/>
                <w:color w:val="FF0000"/>
                <w:kern w:val="0"/>
                <w:sz w:val="18"/>
                <w:szCs w:val="18"/>
              </w:rPr>
              <w:t>离子除臭装置</w:t>
            </w:r>
            <w:r w:rsidRPr="001A4637">
              <w:rPr>
                <w:rFonts w:ascii="Times New Roman" w:eastAsia="宋体" w:hAnsi="Times New Roman" w:cs="Times New Roman"/>
                <w:color w:val="FF0000"/>
                <w:kern w:val="0"/>
                <w:sz w:val="18"/>
                <w:szCs w:val="18"/>
              </w:rPr>
              <w:t>+</w:t>
            </w:r>
            <w:r w:rsidRPr="001A4637">
              <w:rPr>
                <w:rFonts w:ascii="Times New Roman" w:eastAsia="宋体" w:hAnsi="Times New Roman" w:cs="Times New Roman"/>
                <w:color w:val="FF0000"/>
                <w:kern w:val="0"/>
                <w:sz w:val="18"/>
                <w:szCs w:val="18"/>
              </w:rPr>
              <w:t>排气筒</w:t>
            </w:r>
          </w:p>
        </w:tc>
        <w:tc>
          <w:tcPr>
            <w:tcW w:w="538" w:type="dxa"/>
            <w:vMerge w:val="restart"/>
            <w:tcBorders>
              <w:top w:val="single" w:sz="4" w:space="0" w:color="auto"/>
            </w:tcBorders>
            <w:shd w:val="clear" w:color="auto" w:fill="auto"/>
            <w:vAlign w:val="center"/>
          </w:tcPr>
          <w:p w14:paraId="36BF37EF"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NH</w:t>
            </w:r>
            <w:r w:rsidRPr="001A4637">
              <w:rPr>
                <w:rFonts w:ascii="Times New Roman" w:eastAsia="宋体" w:hAnsi="Times New Roman" w:cs="Times New Roman"/>
                <w:color w:val="FF0000"/>
                <w:sz w:val="18"/>
                <w:szCs w:val="18"/>
                <w:vertAlign w:val="subscript"/>
              </w:rPr>
              <w:t>3</w:t>
            </w:r>
          </w:p>
        </w:tc>
        <w:tc>
          <w:tcPr>
            <w:tcW w:w="698" w:type="dxa"/>
            <w:vMerge w:val="restart"/>
            <w:tcBorders>
              <w:top w:val="single" w:sz="4" w:space="0" w:color="auto"/>
            </w:tcBorders>
            <w:shd w:val="clear" w:color="auto" w:fill="auto"/>
            <w:vAlign w:val="center"/>
          </w:tcPr>
          <w:p w14:paraId="60D19F11" w14:textId="33540624" w:rsidR="001A4637" w:rsidRPr="001A4637" w:rsidRDefault="001A4637" w:rsidP="001A4637">
            <w:pPr>
              <w:widowControl/>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0.177 </w:t>
            </w:r>
          </w:p>
        </w:tc>
        <w:tc>
          <w:tcPr>
            <w:tcW w:w="860" w:type="dxa"/>
            <w:vMerge w:val="restart"/>
            <w:tcBorders>
              <w:top w:val="single" w:sz="4" w:space="0" w:color="auto"/>
            </w:tcBorders>
            <w:shd w:val="clear" w:color="auto" w:fill="auto"/>
            <w:vAlign w:val="center"/>
          </w:tcPr>
          <w:p w14:paraId="64D047CF" w14:textId="72B3A456"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0.020 </w:t>
            </w:r>
          </w:p>
        </w:tc>
        <w:tc>
          <w:tcPr>
            <w:tcW w:w="710" w:type="dxa"/>
            <w:vMerge w:val="restart"/>
            <w:tcBorders>
              <w:top w:val="single" w:sz="4" w:space="0" w:color="auto"/>
            </w:tcBorders>
            <w:shd w:val="clear" w:color="auto" w:fill="auto"/>
            <w:vAlign w:val="center"/>
          </w:tcPr>
          <w:p w14:paraId="255FBAF9" w14:textId="56402332"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2.024 </w:t>
            </w:r>
          </w:p>
        </w:tc>
        <w:tc>
          <w:tcPr>
            <w:tcW w:w="936" w:type="dxa"/>
            <w:vMerge w:val="restart"/>
            <w:tcBorders>
              <w:top w:val="single" w:sz="4" w:space="0" w:color="auto"/>
            </w:tcBorders>
            <w:shd w:val="clear" w:color="auto" w:fill="auto"/>
            <w:vAlign w:val="center"/>
          </w:tcPr>
          <w:p w14:paraId="6494B613" w14:textId="77777777" w:rsidR="001A4637" w:rsidRPr="001A4637" w:rsidRDefault="001A4637" w:rsidP="001A4637">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φ0.5m×15m</w:t>
            </w:r>
          </w:p>
        </w:tc>
      </w:tr>
      <w:tr w:rsidR="001A4637" w:rsidRPr="001A4637" w14:paraId="1C9F57F4" w14:textId="77777777" w:rsidTr="001A4637">
        <w:trPr>
          <w:trHeight w:val="116"/>
          <w:jc w:val="center"/>
        </w:trPr>
        <w:tc>
          <w:tcPr>
            <w:tcW w:w="573" w:type="dxa"/>
            <w:vMerge/>
            <w:shd w:val="clear" w:color="auto" w:fill="auto"/>
            <w:vAlign w:val="center"/>
          </w:tcPr>
          <w:p w14:paraId="55802B9F"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848" w:type="dxa"/>
            <w:vMerge/>
            <w:vAlign w:val="center"/>
          </w:tcPr>
          <w:p w14:paraId="31164842"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726" w:type="dxa"/>
            <w:shd w:val="clear" w:color="auto" w:fill="auto"/>
            <w:vAlign w:val="center"/>
          </w:tcPr>
          <w:p w14:paraId="3EDEC91E"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H</w:t>
            </w:r>
            <w:r w:rsidRPr="001A4637">
              <w:rPr>
                <w:rFonts w:ascii="Times New Roman" w:eastAsia="宋体" w:hAnsi="Times New Roman" w:cs="Times New Roman"/>
                <w:color w:val="FF0000"/>
                <w:sz w:val="18"/>
                <w:szCs w:val="18"/>
                <w:vertAlign w:val="subscript"/>
              </w:rPr>
              <w:t>2</w:t>
            </w:r>
            <w:r w:rsidRPr="001A4637">
              <w:rPr>
                <w:rFonts w:ascii="Times New Roman" w:eastAsia="宋体" w:hAnsi="Times New Roman" w:cs="Times New Roman"/>
                <w:color w:val="FF0000"/>
                <w:sz w:val="18"/>
                <w:szCs w:val="18"/>
              </w:rPr>
              <w:t>S</w:t>
            </w:r>
          </w:p>
        </w:tc>
        <w:tc>
          <w:tcPr>
            <w:tcW w:w="611" w:type="dxa"/>
            <w:vMerge/>
            <w:shd w:val="clear" w:color="auto" w:fill="auto"/>
            <w:vAlign w:val="center"/>
          </w:tcPr>
          <w:p w14:paraId="03D66622"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764" w:type="dxa"/>
            <w:shd w:val="clear" w:color="auto" w:fill="auto"/>
            <w:vAlign w:val="center"/>
          </w:tcPr>
          <w:p w14:paraId="5318DED9" w14:textId="37BE4E94"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0.017 </w:t>
            </w:r>
          </w:p>
        </w:tc>
        <w:tc>
          <w:tcPr>
            <w:tcW w:w="802" w:type="dxa"/>
            <w:shd w:val="clear" w:color="auto" w:fill="auto"/>
            <w:vAlign w:val="center"/>
          </w:tcPr>
          <w:p w14:paraId="7C2A0305" w14:textId="1F30DD42"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0.002 </w:t>
            </w:r>
          </w:p>
        </w:tc>
        <w:tc>
          <w:tcPr>
            <w:tcW w:w="904" w:type="dxa"/>
            <w:shd w:val="clear" w:color="auto" w:fill="auto"/>
            <w:vAlign w:val="center"/>
          </w:tcPr>
          <w:p w14:paraId="72C2CF00" w14:textId="288A1544"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0.190 </w:t>
            </w:r>
          </w:p>
        </w:tc>
        <w:tc>
          <w:tcPr>
            <w:tcW w:w="892" w:type="dxa"/>
            <w:vMerge/>
            <w:shd w:val="clear" w:color="auto" w:fill="auto"/>
            <w:vAlign w:val="center"/>
          </w:tcPr>
          <w:p w14:paraId="368C1A54"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c>
          <w:tcPr>
            <w:tcW w:w="538" w:type="dxa"/>
            <w:vMerge/>
            <w:shd w:val="clear" w:color="auto" w:fill="auto"/>
            <w:vAlign w:val="center"/>
          </w:tcPr>
          <w:p w14:paraId="37DACE93" w14:textId="77777777" w:rsidR="001A4637" w:rsidRPr="001A4637" w:rsidRDefault="001A4637" w:rsidP="001A4637">
            <w:pPr>
              <w:jc w:val="center"/>
              <w:rPr>
                <w:rFonts w:ascii="Times New Roman" w:hAnsi="Times New Roman" w:cs="Times New Roman"/>
                <w:color w:val="FF0000"/>
                <w:sz w:val="18"/>
                <w:szCs w:val="18"/>
              </w:rPr>
            </w:pPr>
          </w:p>
        </w:tc>
        <w:tc>
          <w:tcPr>
            <w:tcW w:w="698" w:type="dxa"/>
            <w:vMerge/>
            <w:shd w:val="clear" w:color="auto" w:fill="auto"/>
            <w:vAlign w:val="center"/>
          </w:tcPr>
          <w:p w14:paraId="6033B0DF" w14:textId="77777777" w:rsidR="001A4637" w:rsidRPr="001A4637" w:rsidRDefault="001A4637" w:rsidP="001A4637">
            <w:pPr>
              <w:jc w:val="center"/>
              <w:rPr>
                <w:rFonts w:ascii="Times New Roman" w:hAnsi="Times New Roman" w:cs="Times New Roman"/>
                <w:color w:val="FF0000"/>
                <w:sz w:val="18"/>
                <w:szCs w:val="18"/>
              </w:rPr>
            </w:pPr>
          </w:p>
        </w:tc>
        <w:tc>
          <w:tcPr>
            <w:tcW w:w="860" w:type="dxa"/>
            <w:vMerge/>
            <w:shd w:val="clear" w:color="auto" w:fill="auto"/>
            <w:vAlign w:val="center"/>
          </w:tcPr>
          <w:p w14:paraId="3A154230" w14:textId="77777777" w:rsidR="001A4637" w:rsidRPr="001A4637" w:rsidRDefault="001A4637" w:rsidP="001A4637">
            <w:pPr>
              <w:jc w:val="center"/>
              <w:rPr>
                <w:rFonts w:ascii="Times New Roman" w:hAnsi="Times New Roman" w:cs="Times New Roman"/>
                <w:color w:val="FF0000"/>
                <w:sz w:val="18"/>
                <w:szCs w:val="18"/>
              </w:rPr>
            </w:pPr>
          </w:p>
        </w:tc>
        <w:tc>
          <w:tcPr>
            <w:tcW w:w="710" w:type="dxa"/>
            <w:vMerge/>
            <w:shd w:val="clear" w:color="auto" w:fill="auto"/>
            <w:vAlign w:val="center"/>
          </w:tcPr>
          <w:p w14:paraId="5C9909D9" w14:textId="77777777" w:rsidR="001A4637" w:rsidRPr="001A4637" w:rsidRDefault="001A4637" w:rsidP="001A4637">
            <w:pPr>
              <w:jc w:val="center"/>
              <w:rPr>
                <w:rFonts w:ascii="Times New Roman" w:hAnsi="Times New Roman" w:cs="Times New Roman"/>
                <w:color w:val="FF0000"/>
                <w:sz w:val="18"/>
                <w:szCs w:val="18"/>
              </w:rPr>
            </w:pPr>
          </w:p>
        </w:tc>
        <w:tc>
          <w:tcPr>
            <w:tcW w:w="936" w:type="dxa"/>
            <w:vMerge/>
            <w:shd w:val="clear" w:color="auto" w:fill="auto"/>
            <w:vAlign w:val="center"/>
          </w:tcPr>
          <w:p w14:paraId="761B9E93"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r>
      <w:tr w:rsidR="001A4637" w:rsidRPr="001A4637" w14:paraId="4E83B9BB" w14:textId="77777777" w:rsidTr="001A4637">
        <w:trPr>
          <w:trHeight w:val="116"/>
          <w:jc w:val="center"/>
        </w:trPr>
        <w:tc>
          <w:tcPr>
            <w:tcW w:w="573" w:type="dxa"/>
            <w:vMerge/>
            <w:shd w:val="clear" w:color="auto" w:fill="auto"/>
            <w:vAlign w:val="center"/>
          </w:tcPr>
          <w:p w14:paraId="27FDEA82"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848" w:type="dxa"/>
            <w:vMerge w:val="restart"/>
            <w:vAlign w:val="center"/>
          </w:tcPr>
          <w:p w14:paraId="531A3FE9"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渗滤液处理间</w:t>
            </w:r>
          </w:p>
        </w:tc>
        <w:tc>
          <w:tcPr>
            <w:tcW w:w="726" w:type="dxa"/>
            <w:shd w:val="clear" w:color="auto" w:fill="auto"/>
            <w:vAlign w:val="center"/>
          </w:tcPr>
          <w:p w14:paraId="3112C0D0"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NH</w:t>
            </w:r>
            <w:r w:rsidRPr="001A4637">
              <w:rPr>
                <w:rFonts w:ascii="Times New Roman" w:eastAsia="宋体" w:hAnsi="Times New Roman" w:cs="Times New Roman"/>
                <w:color w:val="FF0000"/>
                <w:sz w:val="18"/>
                <w:szCs w:val="18"/>
                <w:vertAlign w:val="subscript"/>
              </w:rPr>
              <w:t>3</w:t>
            </w:r>
          </w:p>
        </w:tc>
        <w:tc>
          <w:tcPr>
            <w:tcW w:w="611" w:type="dxa"/>
            <w:vMerge/>
            <w:shd w:val="clear" w:color="auto" w:fill="auto"/>
            <w:vAlign w:val="center"/>
          </w:tcPr>
          <w:p w14:paraId="377BA602"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764" w:type="dxa"/>
            <w:shd w:val="clear" w:color="auto" w:fill="auto"/>
            <w:vAlign w:val="center"/>
          </w:tcPr>
          <w:p w14:paraId="1D9C6848" w14:textId="453A1AA7"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2.347 </w:t>
            </w:r>
          </w:p>
        </w:tc>
        <w:tc>
          <w:tcPr>
            <w:tcW w:w="802" w:type="dxa"/>
            <w:shd w:val="clear" w:color="auto" w:fill="auto"/>
            <w:vAlign w:val="center"/>
          </w:tcPr>
          <w:p w14:paraId="1459458F" w14:textId="3A1EB77D"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0.268 </w:t>
            </w:r>
          </w:p>
        </w:tc>
        <w:tc>
          <w:tcPr>
            <w:tcW w:w="904" w:type="dxa"/>
            <w:shd w:val="clear" w:color="auto" w:fill="auto"/>
            <w:vAlign w:val="center"/>
          </w:tcPr>
          <w:p w14:paraId="3FCE49A7" w14:textId="4AF6D290"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26.790 </w:t>
            </w:r>
          </w:p>
        </w:tc>
        <w:tc>
          <w:tcPr>
            <w:tcW w:w="892" w:type="dxa"/>
            <w:vMerge/>
            <w:shd w:val="clear" w:color="auto" w:fill="auto"/>
            <w:vAlign w:val="center"/>
          </w:tcPr>
          <w:p w14:paraId="67EC692D"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c>
          <w:tcPr>
            <w:tcW w:w="538" w:type="dxa"/>
            <w:vMerge w:val="restart"/>
            <w:shd w:val="clear" w:color="auto" w:fill="auto"/>
            <w:vAlign w:val="center"/>
          </w:tcPr>
          <w:p w14:paraId="738BD78F"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H</w:t>
            </w:r>
            <w:r w:rsidRPr="001A4637">
              <w:rPr>
                <w:rFonts w:ascii="Times New Roman" w:eastAsia="宋体" w:hAnsi="Times New Roman" w:cs="Times New Roman"/>
                <w:color w:val="FF0000"/>
                <w:sz w:val="18"/>
                <w:szCs w:val="18"/>
                <w:vertAlign w:val="subscript"/>
              </w:rPr>
              <w:t>2</w:t>
            </w:r>
            <w:r w:rsidRPr="001A4637">
              <w:rPr>
                <w:rFonts w:ascii="Times New Roman" w:eastAsia="宋体" w:hAnsi="Times New Roman" w:cs="Times New Roman"/>
                <w:color w:val="FF0000"/>
                <w:sz w:val="18"/>
                <w:szCs w:val="18"/>
              </w:rPr>
              <w:t>S</w:t>
            </w:r>
          </w:p>
        </w:tc>
        <w:tc>
          <w:tcPr>
            <w:tcW w:w="698" w:type="dxa"/>
            <w:vMerge w:val="restart"/>
            <w:shd w:val="clear" w:color="auto" w:fill="auto"/>
            <w:vAlign w:val="center"/>
          </w:tcPr>
          <w:p w14:paraId="56D97E96" w14:textId="2B37F722" w:rsidR="001A4637" w:rsidRPr="001A4637" w:rsidRDefault="001A4637" w:rsidP="001A4637">
            <w:pPr>
              <w:widowControl/>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0.002 </w:t>
            </w:r>
          </w:p>
        </w:tc>
        <w:tc>
          <w:tcPr>
            <w:tcW w:w="860" w:type="dxa"/>
            <w:vMerge w:val="restart"/>
            <w:shd w:val="clear" w:color="auto" w:fill="auto"/>
            <w:vAlign w:val="center"/>
          </w:tcPr>
          <w:p w14:paraId="70DA2139" w14:textId="62056AE8" w:rsidR="001A4637" w:rsidRPr="001A4637" w:rsidRDefault="000C34D0" w:rsidP="001A4637">
            <w:pPr>
              <w:jc w:val="center"/>
              <w:rPr>
                <w:rFonts w:ascii="Times New Roman" w:hAnsi="Times New Roman" w:cs="Times New Roman"/>
                <w:color w:val="FF0000"/>
                <w:sz w:val="18"/>
                <w:szCs w:val="18"/>
              </w:rPr>
            </w:pPr>
            <w:r>
              <w:rPr>
                <w:rFonts w:ascii="Times New Roman" w:hAnsi="Times New Roman" w:cs="Times New Roman"/>
                <w:color w:val="FF0000"/>
                <w:sz w:val="16"/>
                <w:szCs w:val="16"/>
              </w:rPr>
              <w:t>0.0003</w:t>
            </w:r>
          </w:p>
        </w:tc>
        <w:tc>
          <w:tcPr>
            <w:tcW w:w="710" w:type="dxa"/>
            <w:vMerge w:val="restart"/>
            <w:shd w:val="clear" w:color="auto" w:fill="auto"/>
            <w:vAlign w:val="center"/>
          </w:tcPr>
          <w:p w14:paraId="7B3974A6" w14:textId="05827EA6"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0.028 </w:t>
            </w:r>
          </w:p>
        </w:tc>
        <w:tc>
          <w:tcPr>
            <w:tcW w:w="936" w:type="dxa"/>
            <w:vMerge/>
            <w:shd w:val="clear" w:color="auto" w:fill="auto"/>
            <w:vAlign w:val="center"/>
          </w:tcPr>
          <w:p w14:paraId="663D08B3"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r>
      <w:tr w:rsidR="001A4637" w:rsidRPr="001A4637" w14:paraId="4DF0CD38" w14:textId="77777777" w:rsidTr="001A4637">
        <w:trPr>
          <w:trHeight w:val="116"/>
          <w:jc w:val="center"/>
        </w:trPr>
        <w:tc>
          <w:tcPr>
            <w:tcW w:w="573" w:type="dxa"/>
            <w:vMerge/>
            <w:shd w:val="clear" w:color="auto" w:fill="auto"/>
            <w:vAlign w:val="center"/>
          </w:tcPr>
          <w:p w14:paraId="2E791AB1"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848" w:type="dxa"/>
            <w:vMerge/>
            <w:vAlign w:val="center"/>
          </w:tcPr>
          <w:p w14:paraId="7701D762"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c>
          <w:tcPr>
            <w:tcW w:w="726" w:type="dxa"/>
            <w:shd w:val="clear" w:color="auto" w:fill="auto"/>
            <w:vAlign w:val="center"/>
          </w:tcPr>
          <w:p w14:paraId="1CB0B7B3"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H</w:t>
            </w:r>
            <w:r w:rsidRPr="001A4637">
              <w:rPr>
                <w:rFonts w:ascii="Times New Roman" w:eastAsia="宋体" w:hAnsi="Times New Roman" w:cs="Times New Roman"/>
                <w:color w:val="FF0000"/>
                <w:sz w:val="18"/>
                <w:szCs w:val="18"/>
                <w:vertAlign w:val="subscript"/>
              </w:rPr>
              <w:t>2</w:t>
            </w:r>
            <w:r w:rsidRPr="001A4637">
              <w:rPr>
                <w:rFonts w:ascii="Times New Roman" w:eastAsia="宋体" w:hAnsi="Times New Roman" w:cs="Times New Roman"/>
                <w:color w:val="FF0000"/>
                <w:sz w:val="18"/>
                <w:szCs w:val="18"/>
              </w:rPr>
              <w:t>S</w:t>
            </w:r>
          </w:p>
        </w:tc>
        <w:tc>
          <w:tcPr>
            <w:tcW w:w="611" w:type="dxa"/>
            <w:vMerge/>
            <w:shd w:val="clear" w:color="auto" w:fill="auto"/>
            <w:vAlign w:val="center"/>
          </w:tcPr>
          <w:p w14:paraId="4284137C"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764" w:type="dxa"/>
            <w:shd w:val="clear" w:color="auto" w:fill="auto"/>
            <w:vAlign w:val="center"/>
          </w:tcPr>
          <w:p w14:paraId="5FEC647F" w14:textId="7E3C750A"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0.032 </w:t>
            </w:r>
          </w:p>
        </w:tc>
        <w:tc>
          <w:tcPr>
            <w:tcW w:w="802" w:type="dxa"/>
            <w:shd w:val="clear" w:color="auto" w:fill="auto"/>
            <w:vAlign w:val="center"/>
          </w:tcPr>
          <w:p w14:paraId="0AD83DEC" w14:textId="1FCAF303"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0.004 </w:t>
            </w:r>
          </w:p>
        </w:tc>
        <w:tc>
          <w:tcPr>
            <w:tcW w:w="904" w:type="dxa"/>
            <w:shd w:val="clear" w:color="auto" w:fill="auto"/>
            <w:vAlign w:val="center"/>
          </w:tcPr>
          <w:p w14:paraId="24CC3BC9" w14:textId="53FA3625"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0.371 </w:t>
            </w:r>
          </w:p>
        </w:tc>
        <w:tc>
          <w:tcPr>
            <w:tcW w:w="892" w:type="dxa"/>
            <w:vMerge/>
            <w:shd w:val="clear" w:color="auto" w:fill="auto"/>
            <w:vAlign w:val="center"/>
          </w:tcPr>
          <w:p w14:paraId="4A1E5893"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c>
          <w:tcPr>
            <w:tcW w:w="538" w:type="dxa"/>
            <w:vMerge/>
            <w:shd w:val="clear" w:color="auto" w:fill="auto"/>
            <w:vAlign w:val="center"/>
          </w:tcPr>
          <w:p w14:paraId="0938CEFB" w14:textId="77777777" w:rsidR="001A4637" w:rsidRPr="001A4637" w:rsidRDefault="001A4637" w:rsidP="001A4637">
            <w:pPr>
              <w:jc w:val="center"/>
              <w:rPr>
                <w:rFonts w:ascii="Times New Roman" w:hAnsi="Times New Roman" w:cs="Times New Roman"/>
                <w:color w:val="FF0000"/>
                <w:sz w:val="18"/>
                <w:szCs w:val="18"/>
              </w:rPr>
            </w:pPr>
          </w:p>
        </w:tc>
        <w:tc>
          <w:tcPr>
            <w:tcW w:w="698" w:type="dxa"/>
            <w:vMerge/>
            <w:shd w:val="clear" w:color="auto" w:fill="auto"/>
            <w:vAlign w:val="center"/>
          </w:tcPr>
          <w:p w14:paraId="636922E9" w14:textId="77777777" w:rsidR="001A4637" w:rsidRPr="001A4637" w:rsidRDefault="001A4637" w:rsidP="001A4637">
            <w:pPr>
              <w:jc w:val="center"/>
              <w:rPr>
                <w:rFonts w:ascii="Times New Roman" w:hAnsi="Times New Roman" w:cs="Times New Roman"/>
                <w:color w:val="FF0000"/>
                <w:sz w:val="18"/>
                <w:szCs w:val="18"/>
              </w:rPr>
            </w:pPr>
          </w:p>
        </w:tc>
        <w:tc>
          <w:tcPr>
            <w:tcW w:w="860" w:type="dxa"/>
            <w:vMerge/>
            <w:shd w:val="clear" w:color="auto" w:fill="auto"/>
            <w:vAlign w:val="center"/>
          </w:tcPr>
          <w:p w14:paraId="536D3988" w14:textId="77777777" w:rsidR="001A4637" w:rsidRPr="001A4637" w:rsidRDefault="001A4637" w:rsidP="001A4637">
            <w:pPr>
              <w:jc w:val="center"/>
              <w:rPr>
                <w:rFonts w:ascii="Times New Roman" w:hAnsi="Times New Roman" w:cs="Times New Roman"/>
                <w:color w:val="FF0000"/>
                <w:sz w:val="18"/>
                <w:szCs w:val="18"/>
              </w:rPr>
            </w:pPr>
          </w:p>
        </w:tc>
        <w:tc>
          <w:tcPr>
            <w:tcW w:w="710" w:type="dxa"/>
            <w:vMerge/>
            <w:shd w:val="clear" w:color="auto" w:fill="auto"/>
            <w:vAlign w:val="center"/>
          </w:tcPr>
          <w:p w14:paraId="2044FE09" w14:textId="77777777" w:rsidR="001A4637" w:rsidRPr="001A4637" w:rsidRDefault="001A4637" w:rsidP="001A4637">
            <w:pPr>
              <w:jc w:val="center"/>
              <w:rPr>
                <w:rFonts w:ascii="Times New Roman" w:hAnsi="Times New Roman" w:cs="Times New Roman"/>
                <w:color w:val="FF0000"/>
                <w:sz w:val="18"/>
                <w:szCs w:val="18"/>
              </w:rPr>
            </w:pPr>
          </w:p>
        </w:tc>
        <w:tc>
          <w:tcPr>
            <w:tcW w:w="936" w:type="dxa"/>
            <w:vMerge/>
            <w:shd w:val="clear" w:color="auto" w:fill="auto"/>
            <w:vAlign w:val="center"/>
          </w:tcPr>
          <w:p w14:paraId="11D25AC4"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r>
      <w:tr w:rsidR="001A4637" w:rsidRPr="001A4637" w14:paraId="10F0B418" w14:textId="77777777" w:rsidTr="001A4637">
        <w:trPr>
          <w:trHeight w:val="114"/>
          <w:jc w:val="center"/>
        </w:trPr>
        <w:tc>
          <w:tcPr>
            <w:tcW w:w="573" w:type="dxa"/>
            <w:vMerge w:val="restart"/>
            <w:shd w:val="clear" w:color="auto" w:fill="auto"/>
            <w:vAlign w:val="center"/>
          </w:tcPr>
          <w:p w14:paraId="29FDCA24"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无组织</w:t>
            </w:r>
          </w:p>
        </w:tc>
        <w:tc>
          <w:tcPr>
            <w:tcW w:w="848" w:type="dxa"/>
            <w:vMerge w:val="restart"/>
            <w:vAlign w:val="center"/>
          </w:tcPr>
          <w:p w14:paraId="08409708"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调节池</w:t>
            </w:r>
          </w:p>
        </w:tc>
        <w:tc>
          <w:tcPr>
            <w:tcW w:w="726" w:type="dxa"/>
            <w:shd w:val="clear" w:color="auto" w:fill="auto"/>
            <w:vAlign w:val="center"/>
          </w:tcPr>
          <w:p w14:paraId="30EEBA1D"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NH</w:t>
            </w:r>
            <w:r w:rsidRPr="001A4637">
              <w:rPr>
                <w:rFonts w:ascii="Times New Roman" w:eastAsia="宋体" w:hAnsi="Times New Roman" w:cs="Times New Roman"/>
                <w:color w:val="FF0000"/>
                <w:sz w:val="18"/>
                <w:szCs w:val="18"/>
                <w:vertAlign w:val="subscript"/>
              </w:rPr>
              <w:t>3</w:t>
            </w:r>
          </w:p>
        </w:tc>
        <w:tc>
          <w:tcPr>
            <w:tcW w:w="611" w:type="dxa"/>
            <w:vMerge w:val="restart"/>
            <w:shd w:val="clear" w:color="auto" w:fill="auto"/>
            <w:vAlign w:val="center"/>
          </w:tcPr>
          <w:p w14:paraId="5166CAD1" w14:textId="77777777" w:rsidR="001A4637" w:rsidRPr="001A4637" w:rsidRDefault="001A4637" w:rsidP="001A4637">
            <w:pPr>
              <w:jc w:val="center"/>
              <w:rPr>
                <w:rFonts w:ascii="Times New Roman" w:eastAsia="宋体" w:hAnsi="Times New Roman" w:cs="Times New Roman"/>
                <w:color w:val="FF0000"/>
                <w:sz w:val="18"/>
                <w:szCs w:val="18"/>
              </w:rPr>
            </w:pPr>
            <w:r w:rsidRPr="001A4637">
              <w:rPr>
                <w:rFonts w:ascii="Times New Roman" w:eastAsia="宋体" w:hAnsi="Times New Roman" w:cs="Times New Roman"/>
                <w:color w:val="FF0000"/>
                <w:kern w:val="0"/>
                <w:sz w:val="18"/>
                <w:szCs w:val="18"/>
              </w:rPr>
              <w:t>/</w:t>
            </w:r>
          </w:p>
        </w:tc>
        <w:tc>
          <w:tcPr>
            <w:tcW w:w="764" w:type="dxa"/>
            <w:shd w:val="clear" w:color="auto" w:fill="auto"/>
            <w:vAlign w:val="center"/>
          </w:tcPr>
          <w:p w14:paraId="6F7F9D6C" w14:textId="7BA92135" w:rsidR="001A4637" w:rsidRPr="001A4637" w:rsidRDefault="001A4637" w:rsidP="001A4637">
            <w:pPr>
              <w:widowControl/>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0.06307 </w:t>
            </w:r>
          </w:p>
        </w:tc>
        <w:tc>
          <w:tcPr>
            <w:tcW w:w="802" w:type="dxa"/>
            <w:shd w:val="clear" w:color="auto" w:fill="auto"/>
            <w:vAlign w:val="center"/>
          </w:tcPr>
          <w:p w14:paraId="0DC72ED9" w14:textId="1F12ADFF"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0.00720 </w:t>
            </w:r>
          </w:p>
        </w:tc>
        <w:tc>
          <w:tcPr>
            <w:tcW w:w="904" w:type="dxa"/>
            <w:shd w:val="clear" w:color="auto" w:fill="auto"/>
            <w:vAlign w:val="center"/>
          </w:tcPr>
          <w:p w14:paraId="2D5D02FD" w14:textId="77777777" w:rsidR="001A4637" w:rsidRPr="001A4637" w:rsidRDefault="001A4637" w:rsidP="001A4637">
            <w:pPr>
              <w:jc w:val="center"/>
              <w:rPr>
                <w:rFonts w:ascii="Times New Roman" w:eastAsia="宋体" w:hAnsi="Times New Roman" w:cs="Times New Roman"/>
                <w:color w:val="FF0000"/>
                <w:sz w:val="18"/>
                <w:szCs w:val="18"/>
              </w:rPr>
            </w:pPr>
            <w:r w:rsidRPr="001A4637">
              <w:rPr>
                <w:rFonts w:ascii="Times New Roman" w:eastAsia="宋体" w:hAnsi="Times New Roman" w:cs="Times New Roman"/>
                <w:color w:val="FF0000"/>
                <w:kern w:val="0"/>
                <w:sz w:val="18"/>
                <w:szCs w:val="18"/>
              </w:rPr>
              <w:t>/</w:t>
            </w:r>
          </w:p>
        </w:tc>
        <w:tc>
          <w:tcPr>
            <w:tcW w:w="892" w:type="dxa"/>
            <w:vMerge w:val="restart"/>
            <w:shd w:val="clear" w:color="auto" w:fill="auto"/>
            <w:vAlign w:val="center"/>
          </w:tcPr>
          <w:p w14:paraId="64487AAD" w14:textId="77777777" w:rsidR="001A4637" w:rsidRPr="001A4637" w:rsidRDefault="001A4637" w:rsidP="001A4637">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w:t>
            </w:r>
          </w:p>
        </w:tc>
        <w:tc>
          <w:tcPr>
            <w:tcW w:w="1236" w:type="dxa"/>
            <w:gridSpan w:val="2"/>
            <w:shd w:val="clear" w:color="auto" w:fill="auto"/>
            <w:vAlign w:val="center"/>
          </w:tcPr>
          <w:p w14:paraId="4B9725B9" w14:textId="4013A50A" w:rsidR="001A4637" w:rsidRPr="001A4637" w:rsidRDefault="001A4637" w:rsidP="001A4637">
            <w:pPr>
              <w:widowControl/>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0.06307 </w:t>
            </w:r>
          </w:p>
        </w:tc>
        <w:tc>
          <w:tcPr>
            <w:tcW w:w="860" w:type="dxa"/>
            <w:shd w:val="clear" w:color="auto" w:fill="auto"/>
            <w:vAlign w:val="center"/>
          </w:tcPr>
          <w:p w14:paraId="008F131C" w14:textId="79D1CC42"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0.00720 </w:t>
            </w:r>
          </w:p>
        </w:tc>
        <w:tc>
          <w:tcPr>
            <w:tcW w:w="710" w:type="dxa"/>
            <w:shd w:val="clear" w:color="auto" w:fill="auto"/>
            <w:vAlign w:val="center"/>
          </w:tcPr>
          <w:p w14:paraId="0BDCD80A" w14:textId="77777777" w:rsidR="001A4637" w:rsidRPr="001A4637" w:rsidRDefault="001A4637" w:rsidP="001A4637">
            <w:pPr>
              <w:jc w:val="center"/>
              <w:rPr>
                <w:rFonts w:ascii="Times New Roman" w:eastAsia="宋体" w:hAnsi="Times New Roman" w:cs="Times New Roman"/>
                <w:color w:val="FF0000"/>
                <w:sz w:val="18"/>
                <w:szCs w:val="18"/>
              </w:rPr>
            </w:pPr>
            <w:r w:rsidRPr="001A4637">
              <w:rPr>
                <w:rFonts w:ascii="Times New Roman" w:eastAsia="宋体" w:hAnsi="Times New Roman" w:cs="Times New Roman"/>
                <w:color w:val="FF0000"/>
                <w:kern w:val="0"/>
                <w:sz w:val="18"/>
                <w:szCs w:val="18"/>
              </w:rPr>
              <w:t>/</w:t>
            </w:r>
          </w:p>
        </w:tc>
        <w:tc>
          <w:tcPr>
            <w:tcW w:w="936" w:type="dxa"/>
            <w:vMerge w:val="restart"/>
            <w:shd w:val="clear" w:color="auto" w:fill="auto"/>
            <w:vAlign w:val="center"/>
          </w:tcPr>
          <w:p w14:paraId="3258BA52" w14:textId="77777777" w:rsidR="001A4637" w:rsidRPr="001A4637" w:rsidRDefault="001A4637" w:rsidP="001A4637">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20m×20m</w:t>
            </w:r>
          </w:p>
        </w:tc>
      </w:tr>
      <w:tr w:rsidR="001A4637" w:rsidRPr="001A4637" w14:paraId="2697E0C6" w14:textId="77777777" w:rsidTr="001A4637">
        <w:trPr>
          <w:trHeight w:val="145"/>
          <w:jc w:val="center"/>
        </w:trPr>
        <w:tc>
          <w:tcPr>
            <w:tcW w:w="573" w:type="dxa"/>
            <w:vMerge/>
            <w:shd w:val="clear" w:color="auto" w:fill="auto"/>
            <w:vAlign w:val="center"/>
          </w:tcPr>
          <w:p w14:paraId="7D39C5CF"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848" w:type="dxa"/>
            <w:vMerge/>
            <w:vAlign w:val="center"/>
          </w:tcPr>
          <w:p w14:paraId="2C668A87"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c>
          <w:tcPr>
            <w:tcW w:w="726" w:type="dxa"/>
            <w:shd w:val="clear" w:color="auto" w:fill="auto"/>
            <w:vAlign w:val="center"/>
          </w:tcPr>
          <w:p w14:paraId="74DD23B3"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H</w:t>
            </w:r>
            <w:r w:rsidRPr="001A4637">
              <w:rPr>
                <w:rFonts w:ascii="Times New Roman" w:eastAsia="宋体" w:hAnsi="Times New Roman" w:cs="Times New Roman"/>
                <w:color w:val="FF0000"/>
                <w:sz w:val="18"/>
                <w:szCs w:val="18"/>
                <w:vertAlign w:val="subscript"/>
              </w:rPr>
              <w:t>2</w:t>
            </w:r>
            <w:r w:rsidRPr="001A4637">
              <w:rPr>
                <w:rFonts w:ascii="Times New Roman" w:eastAsia="宋体" w:hAnsi="Times New Roman" w:cs="Times New Roman"/>
                <w:color w:val="FF0000"/>
                <w:sz w:val="18"/>
                <w:szCs w:val="18"/>
              </w:rPr>
              <w:t>S</w:t>
            </w:r>
          </w:p>
        </w:tc>
        <w:tc>
          <w:tcPr>
            <w:tcW w:w="611" w:type="dxa"/>
            <w:vMerge/>
            <w:shd w:val="clear" w:color="auto" w:fill="auto"/>
            <w:vAlign w:val="center"/>
          </w:tcPr>
          <w:p w14:paraId="62AF6EE1"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764" w:type="dxa"/>
            <w:shd w:val="clear" w:color="auto" w:fill="auto"/>
            <w:vAlign w:val="center"/>
          </w:tcPr>
          <w:p w14:paraId="7F3D9A75" w14:textId="52B9A724"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0.00088 </w:t>
            </w:r>
          </w:p>
        </w:tc>
        <w:tc>
          <w:tcPr>
            <w:tcW w:w="802" w:type="dxa"/>
            <w:shd w:val="clear" w:color="auto" w:fill="auto"/>
            <w:vAlign w:val="center"/>
          </w:tcPr>
          <w:p w14:paraId="795B69D8" w14:textId="41AC5E35"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0.00010 </w:t>
            </w:r>
          </w:p>
        </w:tc>
        <w:tc>
          <w:tcPr>
            <w:tcW w:w="904" w:type="dxa"/>
            <w:shd w:val="clear" w:color="auto" w:fill="auto"/>
            <w:vAlign w:val="center"/>
          </w:tcPr>
          <w:p w14:paraId="42F880AD"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w:t>
            </w:r>
          </w:p>
        </w:tc>
        <w:tc>
          <w:tcPr>
            <w:tcW w:w="892" w:type="dxa"/>
            <w:vMerge/>
            <w:shd w:val="clear" w:color="auto" w:fill="auto"/>
            <w:vAlign w:val="center"/>
          </w:tcPr>
          <w:p w14:paraId="526D3467"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c>
          <w:tcPr>
            <w:tcW w:w="1236" w:type="dxa"/>
            <w:gridSpan w:val="2"/>
            <w:shd w:val="clear" w:color="auto" w:fill="auto"/>
            <w:vAlign w:val="center"/>
          </w:tcPr>
          <w:p w14:paraId="42803F2A" w14:textId="145864A2"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0.00088 </w:t>
            </w:r>
          </w:p>
        </w:tc>
        <w:tc>
          <w:tcPr>
            <w:tcW w:w="860" w:type="dxa"/>
            <w:shd w:val="clear" w:color="auto" w:fill="auto"/>
            <w:vAlign w:val="center"/>
          </w:tcPr>
          <w:p w14:paraId="4D040FBD" w14:textId="4C37E5AE"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0.00010 </w:t>
            </w:r>
          </w:p>
        </w:tc>
        <w:tc>
          <w:tcPr>
            <w:tcW w:w="710" w:type="dxa"/>
            <w:shd w:val="clear" w:color="auto" w:fill="auto"/>
            <w:vAlign w:val="center"/>
          </w:tcPr>
          <w:p w14:paraId="2FDCAB90"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w:t>
            </w:r>
          </w:p>
        </w:tc>
        <w:tc>
          <w:tcPr>
            <w:tcW w:w="936" w:type="dxa"/>
            <w:vMerge/>
            <w:shd w:val="clear" w:color="auto" w:fill="auto"/>
            <w:vAlign w:val="center"/>
          </w:tcPr>
          <w:p w14:paraId="3FAE8E5A"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r>
      <w:tr w:rsidR="001A4637" w:rsidRPr="001A4637" w14:paraId="3D766FEC" w14:textId="77777777" w:rsidTr="001A4637">
        <w:trPr>
          <w:trHeight w:val="145"/>
          <w:jc w:val="center"/>
        </w:trPr>
        <w:tc>
          <w:tcPr>
            <w:tcW w:w="573" w:type="dxa"/>
            <w:vMerge/>
            <w:shd w:val="clear" w:color="auto" w:fill="auto"/>
            <w:vAlign w:val="center"/>
          </w:tcPr>
          <w:p w14:paraId="2B96C9BF"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848" w:type="dxa"/>
            <w:vMerge w:val="restart"/>
            <w:vAlign w:val="center"/>
          </w:tcPr>
          <w:p w14:paraId="52C6789B"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渗滤液处理间</w:t>
            </w:r>
          </w:p>
        </w:tc>
        <w:tc>
          <w:tcPr>
            <w:tcW w:w="726" w:type="dxa"/>
            <w:shd w:val="clear" w:color="auto" w:fill="auto"/>
            <w:vAlign w:val="center"/>
          </w:tcPr>
          <w:p w14:paraId="230DB272"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NH</w:t>
            </w:r>
            <w:r w:rsidRPr="001A4637">
              <w:rPr>
                <w:rFonts w:ascii="Times New Roman" w:eastAsia="宋体" w:hAnsi="Times New Roman" w:cs="Times New Roman"/>
                <w:color w:val="FF0000"/>
                <w:sz w:val="18"/>
                <w:szCs w:val="18"/>
                <w:vertAlign w:val="subscript"/>
              </w:rPr>
              <w:t>3</w:t>
            </w:r>
          </w:p>
        </w:tc>
        <w:tc>
          <w:tcPr>
            <w:tcW w:w="611" w:type="dxa"/>
            <w:vMerge w:val="restart"/>
            <w:shd w:val="clear" w:color="auto" w:fill="auto"/>
            <w:vAlign w:val="center"/>
          </w:tcPr>
          <w:p w14:paraId="5F83749D"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w:t>
            </w:r>
          </w:p>
        </w:tc>
        <w:tc>
          <w:tcPr>
            <w:tcW w:w="764" w:type="dxa"/>
            <w:shd w:val="clear" w:color="auto" w:fill="auto"/>
            <w:vAlign w:val="center"/>
          </w:tcPr>
          <w:p w14:paraId="511D8386" w14:textId="7DE03BD7"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0.12352 </w:t>
            </w:r>
          </w:p>
        </w:tc>
        <w:tc>
          <w:tcPr>
            <w:tcW w:w="802" w:type="dxa"/>
            <w:shd w:val="clear" w:color="auto" w:fill="auto"/>
            <w:vAlign w:val="center"/>
          </w:tcPr>
          <w:p w14:paraId="744B995F" w14:textId="17116C69"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0.01410 </w:t>
            </w:r>
          </w:p>
        </w:tc>
        <w:tc>
          <w:tcPr>
            <w:tcW w:w="904" w:type="dxa"/>
            <w:shd w:val="clear" w:color="auto" w:fill="auto"/>
            <w:vAlign w:val="center"/>
          </w:tcPr>
          <w:p w14:paraId="1347CEB8"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w:t>
            </w:r>
          </w:p>
        </w:tc>
        <w:tc>
          <w:tcPr>
            <w:tcW w:w="892" w:type="dxa"/>
            <w:vMerge w:val="restart"/>
            <w:shd w:val="clear" w:color="auto" w:fill="auto"/>
            <w:vAlign w:val="center"/>
          </w:tcPr>
          <w:p w14:paraId="44D23066" w14:textId="77777777" w:rsidR="001A4637" w:rsidRPr="001A4637" w:rsidRDefault="001A4637" w:rsidP="001A4637">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w:t>
            </w:r>
          </w:p>
        </w:tc>
        <w:tc>
          <w:tcPr>
            <w:tcW w:w="1236" w:type="dxa"/>
            <w:gridSpan w:val="2"/>
            <w:shd w:val="clear" w:color="auto" w:fill="auto"/>
            <w:vAlign w:val="center"/>
          </w:tcPr>
          <w:p w14:paraId="4E97A4CD" w14:textId="368F97B5"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0.12352 </w:t>
            </w:r>
          </w:p>
        </w:tc>
        <w:tc>
          <w:tcPr>
            <w:tcW w:w="860" w:type="dxa"/>
            <w:shd w:val="clear" w:color="auto" w:fill="auto"/>
            <w:vAlign w:val="center"/>
          </w:tcPr>
          <w:p w14:paraId="2A9A2DF5" w14:textId="68173110"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0.01410 </w:t>
            </w:r>
          </w:p>
        </w:tc>
        <w:tc>
          <w:tcPr>
            <w:tcW w:w="710" w:type="dxa"/>
            <w:shd w:val="clear" w:color="auto" w:fill="auto"/>
            <w:vAlign w:val="center"/>
          </w:tcPr>
          <w:p w14:paraId="77E1CF8A"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w:t>
            </w:r>
          </w:p>
        </w:tc>
        <w:tc>
          <w:tcPr>
            <w:tcW w:w="936" w:type="dxa"/>
            <w:vMerge w:val="restart"/>
            <w:shd w:val="clear" w:color="auto" w:fill="auto"/>
            <w:vAlign w:val="center"/>
          </w:tcPr>
          <w:p w14:paraId="2CE3E289" w14:textId="77777777" w:rsidR="001A4637" w:rsidRPr="001A4637" w:rsidRDefault="001A4637" w:rsidP="001A4637">
            <w:pPr>
              <w:widowControl/>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color w:val="FF0000"/>
                <w:kern w:val="0"/>
                <w:sz w:val="18"/>
                <w:szCs w:val="18"/>
              </w:rPr>
              <w:t>23m×34m</w:t>
            </w:r>
          </w:p>
        </w:tc>
      </w:tr>
      <w:tr w:rsidR="001A4637" w:rsidRPr="001A4637" w14:paraId="7575C8D8" w14:textId="77777777" w:rsidTr="001A4637">
        <w:trPr>
          <w:trHeight w:val="145"/>
          <w:jc w:val="center"/>
        </w:trPr>
        <w:tc>
          <w:tcPr>
            <w:tcW w:w="573" w:type="dxa"/>
            <w:vMerge/>
            <w:shd w:val="clear" w:color="auto" w:fill="auto"/>
            <w:vAlign w:val="center"/>
          </w:tcPr>
          <w:p w14:paraId="03B07586"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848" w:type="dxa"/>
            <w:vMerge/>
            <w:vAlign w:val="center"/>
          </w:tcPr>
          <w:p w14:paraId="23993F6B"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c>
          <w:tcPr>
            <w:tcW w:w="726" w:type="dxa"/>
            <w:shd w:val="clear" w:color="auto" w:fill="auto"/>
            <w:vAlign w:val="center"/>
          </w:tcPr>
          <w:p w14:paraId="4922A604" w14:textId="77777777" w:rsidR="001A4637" w:rsidRPr="001A4637" w:rsidRDefault="001A4637" w:rsidP="001A4637">
            <w:pPr>
              <w:pStyle w:val="affffd"/>
              <w:rPr>
                <w:rFonts w:ascii="Times New Roman" w:eastAsia="宋体" w:hAnsi="Times New Roman" w:cs="Times New Roman"/>
                <w:color w:val="FF0000"/>
                <w:sz w:val="18"/>
                <w:szCs w:val="18"/>
              </w:rPr>
            </w:pPr>
            <w:r w:rsidRPr="001A4637">
              <w:rPr>
                <w:rFonts w:ascii="Times New Roman" w:eastAsia="宋体" w:hAnsi="Times New Roman" w:cs="Times New Roman"/>
                <w:color w:val="FF0000"/>
                <w:sz w:val="18"/>
                <w:szCs w:val="18"/>
              </w:rPr>
              <w:t>H</w:t>
            </w:r>
            <w:r w:rsidRPr="001A4637">
              <w:rPr>
                <w:rFonts w:ascii="Times New Roman" w:eastAsia="宋体" w:hAnsi="Times New Roman" w:cs="Times New Roman"/>
                <w:color w:val="FF0000"/>
                <w:sz w:val="18"/>
                <w:szCs w:val="18"/>
                <w:vertAlign w:val="subscript"/>
              </w:rPr>
              <w:t>2</w:t>
            </w:r>
            <w:r w:rsidRPr="001A4637">
              <w:rPr>
                <w:rFonts w:ascii="Times New Roman" w:eastAsia="宋体" w:hAnsi="Times New Roman" w:cs="Times New Roman"/>
                <w:color w:val="FF0000"/>
                <w:sz w:val="18"/>
                <w:szCs w:val="18"/>
              </w:rPr>
              <w:t>S</w:t>
            </w:r>
          </w:p>
        </w:tc>
        <w:tc>
          <w:tcPr>
            <w:tcW w:w="611" w:type="dxa"/>
            <w:vMerge/>
            <w:shd w:val="clear" w:color="auto" w:fill="auto"/>
            <w:vAlign w:val="center"/>
          </w:tcPr>
          <w:p w14:paraId="5147BF7E" w14:textId="77777777" w:rsidR="001A4637" w:rsidRPr="001A4637" w:rsidRDefault="001A4637" w:rsidP="001A4637">
            <w:pPr>
              <w:jc w:val="center"/>
              <w:rPr>
                <w:rFonts w:ascii="Times New Roman" w:eastAsia="宋体" w:hAnsi="Times New Roman" w:cs="Times New Roman"/>
                <w:color w:val="FF0000"/>
                <w:kern w:val="0"/>
                <w:sz w:val="18"/>
                <w:szCs w:val="18"/>
              </w:rPr>
            </w:pPr>
          </w:p>
        </w:tc>
        <w:tc>
          <w:tcPr>
            <w:tcW w:w="764" w:type="dxa"/>
            <w:shd w:val="clear" w:color="auto" w:fill="auto"/>
            <w:vAlign w:val="center"/>
          </w:tcPr>
          <w:p w14:paraId="488A2F06" w14:textId="3CE94714"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0.00171 </w:t>
            </w:r>
          </w:p>
        </w:tc>
        <w:tc>
          <w:tcPr>
            <w:tcW w:w="802" w:type="dxa"/>
            <w:shd w:val="clear" w:color="auto" w:fill="auto"/>
            <w:vAlign w:val="center"/>
          </w:tcPr>
          <w:p w14:paraId="783AC262" w14:textId="4D54EBBC"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0.00020 </w:t>
            </w:r>
          </w:p>
        </w:tc>
        <w:tc>
          <w:tcPr>
            <w:tcW w:w="904" w:type="dxa"/>
            <w:shd w:val="clear" w:color="auto" w:fill="auto"/>
            <w:vAlign w:val="center"/>
          </w:tcPr>
          <w:p w14:paraId="01401534"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w:t>
            </w:r>
          </w:p>
        </w:tc>
        <w:tc>
          <w:tcPr>
            <w:tcW w:w="892" w:type="dxa"/>
            <w:vMerge/>
            <w:shd w:val="clear" w:color="auto" w:fill="auto"/>
            <w:vAlign w:val="center"/>
          </w:tcPr>
          <w:p w14:paraId="127A1913"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c>
          <w:tcPr>
            <w:tcW w:w="1236" w:type="dxa"/>
            <w:gridSpan w:val="2"/>
            <w:shd w:val="clear" w:color="auto" w:fill="auto"/>
            <w:vAlign w:val="center"/>
          </w:tcPr>
          <w:p w14:paraId="7120B5AF" w14:textId="1FB642F1"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0.00171 </w:t>
            </w:r>
          </w:p>
        </w:tc>
        <w:tc>
          <w:tcPr>
            <w:tcW w:w="860" w:type="dxa"/>
            <w:shd w:val="clear" w:color="auto" w:fill="auto"/>
            <w:vAlign w:val="center"/>
          </w:tcPr>
          <w:p w14:paraId="0EE6E05E" w14:textId="6D5EA051" w:rsidR="001A4637" w:rsidRPr="001A4637" w:rsidRDefault="001A4637" w:rsidP="001A4637">
            <w:pPr>
              <w:jc w:val="center"/>
              <w:rPr>
                <w:rFonts w:ascii="Times New Roman" w:hAnsi="Times New Roman" w:cs="Times New Roman"/>
                <w:color w:val="FF0000"/>
                <w:sz w:val="18"/>
                <w:szCs w:val="18"/>
              </w:rPr>
            </w:pPr>
            <w:r w:rsidRPr="001A4637">
              <w:rPr>
                <w:rFonts w:ascii="Times New Roman" w:hAnsi="Times New Roman" w:cs="Times New Roman"/>
                <w:color w:val="FF0000"/>
                <w:sz w:val="16"/>
                <w:szCs w:val="16"/>
              </w:rPr>
              <w:t xml:space="preserve">0.00020 </w:t>
            </w:r>
          </w:p>
        </w:tc>
        <w:tc>
          <w:tcPr>
            <w:tcW w:w="710" w:type="dxa"/>
            <w:shd w:val="clear" w:color="auto" w:fill="auto"/>
            <w:vAlign w:val="center"/>
          </w:tcPr>
          <w:p w14:paraId="4A3A33AA" w14:textId="77777777" w:rsidR="001A4637" w:rsidRPr="001A4637" w:rsidRDefault="001A4637" w:rsidP="001A4637">
            <w:pPr>
              <w:jc w:val="center"/>
              <w:rPr>
                <w:rFonts w:ascii="Times New Roman" w:eastAsia="宋体" w:hAnsi="Times New Roman" w:cs="Times New Roman"/>
                <w:color w:val="FF0000"/>
                <w:kern w:val="0"/>
                <w:sz w:val="18"/>
                <w:szCs w:val="18"/>
              </w:rPr>
            </w:pPr>
            <w:r w:rsidRPr="001A4637">
              <w:rPr>
                <w:rFonts w:ascii="Times New Roman" w:eastAsia="宋体" w:hAnsi="Times New Roman" w:cs="Times New Roman" w:hint="eastAsia"/>
                <w:color w:val="FF0000"/>
                <w:kern w:val="0"/>
                <w:sz w:val="18"/>
                <w:szCs w:val="18"/>
              </w:rPr>
              <w:t>/</w:t>
            </w:r>
          </w:p>
        </w:tc>
        <w:tc>
          <w:tcPr>
            <w:tcW w:w="936" w:type="dxa"/>
            <w:vMerge/>
            <w:shd w:val="clear" w:color="auto" w:fill="auto"/>
            <w:vAlign w:val="center"/>
          </w:tcPr>
          <w:p w14:paraId="35DCDF78" w14:textId="77777777" w:rsidR="001A4637" w:rsidRPr="001A4637" w:rsidRDefault="001A4637" w:rsidP="001A4637">
            <w:pPr>
              <w:widowControl/>
              <w:jc w:val="center"/>
              <w:rPr>
                <w:rFonts w:ascii="Times New Roman" w:eastAsia="宋体" w:hAnsi="Times New Roman" w:cs="Times New Roman"/>
                <w:color w:val="FF0000"/>
                <w:kern w:val="0"/>
                <w:sz w:val="18"/>
                <w:szCs w:val="18"/>
              </w:rPr>
            </w:pPr>
          </w:p>
        </w:tc>
      </w:tr>
    </w:tbl>
    <w:p w14:paraId="42A706E5"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）填埋作业扬尘</w:t>
      </w:r>
    </w:p>
    <w:p w14:paraId="1CC065EC"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运营期填埋作业扬尘主要包括：垃圾运输和卸车时扬起的灰尘、垃圾覆土倾倒碾压过程中扬起的灰尘以及风力作用将垃圾覆土吹起的扬尘。本次评价引用开放源煤堆的扬尘量公式类比计算垃圾的起尘量，这是因为考虑粒径在</w:t>
      </w:r>
      <w:r>
        <w:rPr>
          <w:rFonts w:ascii="Times New Roman" w:eastAsia="宋体" w:hAnsi="Times New Roman" w:cs="Times New Roman"/>
          <w:sz w:val="24"/>
        </w:rPr>
        <w:t>100mm</w:t>
      </w:r>
      <w:r>
        <w:rPr>
          <w:rFonts w:ascii="Times New Roman" w:eastAsia="宋体" w:hAnsi="Times New Roman" w:cs="Times New Roman"/>
          <w:sz w:val="24"/>
        </w:rPr>
        <w:t>以下的土壤颗粒的比重与煤堆的煤颗粒比重近似，而且两者中的中值直径也比较相近。起尘量计算公式：</w:t>
      </w:r>
    </w:p>
    <w:p w14:paraId="1C12C356" w14:textId="77777777" w:rsidR="00D12939" w:rsidRDefault="004F47F5">
      <w:pPr>
        <w:pStyle w:val="afff6"/>
        <w:ind w:firstLine="240"/>
        <w:jc w:val="center"/>
      </w:pPr>
      <w:r>
        <w:rPr>
          <w:rFonts w:hint="eastAsia"/>
          <w:noProof/>
        </w:rPr>
        <w:drawing>
          <wp:inline distT="0" distB="0" distL="0" distR="0">
            <wp:extent cx="2038350" cy="44767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038350" cy="447675"/>
                    </a:xfrm>
                    <a:prstGeom prst="rect">
                      <a:avLst/>
                    </a:prstGeom>
                    <a:noFill/>
                    <a:ln>
                      <a:noFill/>
                    </a:ln>
                  </pic:spPr>
                </pic:pic>
              </a:graphicData>
            </a:graphic>
          </wp:inline>
        </w:drawing>
      </w:r>
    </w:p>
    <w:p w14:paraId="16DC815A"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式中：</w:t>
      </w:r>
      <w:r>
        <w:rPr>
          <w:rFonts w:ascii="Times New Roman" w:eastAsia="宋体" w:hAnsi="Times New Roman" w:cs="Times New Roman"/>
          <w:sz w:val="24"/>
        </w:rPr>
        <w:t>Q——</w:t>
      </w:r>
      <w:r>
        <w:rPr>
          <w:rFonts w:ascii="Times New Roman" w:eastAsia="宋体" w:hAnsi="Times New Roman" w:cs="Times New Roman"/>
          <w:sz w:val="24"/>
        </w:rPr>
        <w:t>开放源起尘量，</w:t>
      </w:r>
      <w:r>
        <w:rPr>
          <w:rFonts w:ascii="Times New Roman" w:eastAsia="宋体" w:hAnsi="Times New Roman" w:cs="Times New Roman"/>
          <w:sz w:val="24"/>
        </w:rPr>
        <w:t>mg/s</w:t>
      </w:r>
      <w:r>
        <w:rPr>
          <w:rFonts w:ascii="Times New Roman" w:eastAsia="宋体" w:hAnsi="Times New Roman" w:cs="Times New Roman"/>
          <w:sz w:val="24"/>
        </w:rPr>
        <w:t>；</w:t>
      </w:r>
    </w:p>
    <w:p w14:paraId="245B1BA2" w14:textId="77777777" w:rsidR="00D12939" w:rsidRDefault="004F47F5">
      <w:pPr>
        <w:spacing w:line="360" w:lineRule="auto"/>
        <w:ind w:firstLineChars="500" w:firstLine="1200"/>
        <w:rPr>
          <w:rFonts w:ascii="Times New Roman" w:eastAsia="宋体" w:hAnsi="Times New Roman" w:cs="Times New Roman"/>
          <w:sz w:val="24"/>
        </w:rPr>
      </w:pPr>
      <w:r>
        <w:rPr>
          <w:rFonts w:ascii="Times New Roman" w:eastAsia="宋体" w:hAnsi="Times New Roman" w:cs="Times New Roman"/>
          <w:sz w:val="24"/>
        </w:rPr>
        <w:t>U——</w:t>
      </w:r>
      <w:r>
        <w:rPr>
          <w:rFonts w:ascii="Times New Roman" w:eastAsia="宋体" w:hAnsi="Times New Roman" w:cs="Times New Roman"/>
          <w:sz w:val="24"/>
        </w:rPr>
        <w:t>平均风速，</w:t>
      </w:r>
      <w:r>
        <w:rPr>
          <w:rFonts w:ascii="Times New Roman" w:eastAsia="宋体" w:hAnsi="Times New Roman" w:cs="Times New Roman"/>
          <w:sz w:val="24"/>
        </w:rPr>
        <w:t>m/s</w:t>
      </w:r>
      <w:r>
        <w:rPr>
          <w:rFonts w:ascii="Times New Roman" w:eastAsia="宋体" w:hAnsi="Times New Roman" w:cs="Times New Roman"/>
          <w:sz w:val="24"/>
        </w:rPr>
        <w:t>；</w:t>
      </w:r>
    </w:p>
    <w:p w14:paraId="563FE9B2" w14:textId="77777777" w:rsidR="00D12939" w:rsidRDefault="004F47F5">
      <w:pPr>
        <w:spacing w:line="360" w:lineRule="auto"/>
        <w:ind w:firstLineChars="500" w:firstLine="1200"/>
        <w:rPr>
          <w:rFonts w:ascii="Times New Roman" w:eastAsia="宋体" w:hAnsi="Times New Roman" w:cs="Times New Roman"/>
          <w:sz w:val="24"/>
        </w:rPr>
      </w:pPr>
      <w:r>
        <w:rPr>
          <w:rFonts w:ascii="Times New Roman" w:eastAsia="宋体" w:hAnsi="Times New Roman" w:cs="Times New Roman"/>
          <w:sz w:val="24"/>
        </w:rPr>
        <w:t>Ap ——</w:t>
      </w:r>
      <w:r>
        <w:rPr>
          <w:rFonts w:ascii="Times New Roman" w:eastAsia="宋体" w:hAnsi="Times New Roman" w:cs="Times New Roman"/>
          <w:sz w:val="24"/>
        </w:rPr>
        <w:t>开放源的表面积，</w:t>
      </w:r>
      <w:r>
        <w:rPr>
          <w:rFonts w:ascii="Times New Roman" w:eastAsia="宋体" w:hAnsi="Times New Roman" w:cs="Times New Roman"/>
          <w:sz w:val="24"/>
        </w:rPr>
        <w:t>m</w:t>
      </w:r>
      <w:r>
        <w:rPr>
          <w:rFonts w:ascii="Times New Roman" w:eastAsia="宋体" w:hAnsi="Times New Roman" w:cs="Times New Roman"/>
          <w:sz w:val="24"/>
          <w:vertAlign w:val="superscript"/>
        </w:rPr>
        <w:t>2</w:t>
      </w:r>
      <w:r>
        <w:rPr>
          <w:rFonts w:ascii="Times New Roman" w:eastAsia="宋体" w:hAnsi="Times New Roman" w:cs="Times New Roman"/>
          <w:sz w:val="24"/>
        </w:rPr>
        <w:t>。</w:t>
      </w:r>
    </w:p>
    <w:p w14:paraId="6CF53551"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本项目垃圾填埋库区单元作业面积为</w:t>
      </w:r>
      <w:r>
        <w:rPr>
          <w:rFonts w:ascii="Times New Roman" w:eastAsia="宋体" w:hAnsi="Times New Roman" w:cs="Times New Roman"/>
          <w:sz w:val="24"/>
        </w:rPr>
        <w:t>5000m</w:t>
      </w:r>
      <w:r>
        <w:rPr>
          <w:rFonts w:ascii="Times New Roman" w:eastAsia="宋体" w:hAnsi="Times New Roman" w:cs="Times New Roman"/>
          <w:sz w:val="24"/>
          <w:vertAlign w:val="superscript"/>
        </w:rPr>
        <w:t>2</w:t>
      </w:r>
      <w:r>
        <w:rPr>
          <w:rFonts w:ascii="Times New Roman" w:eastAsia="宋体" w:hAnsi="Times New Roman" w:cs="Times New Roman"/>
          <w:sz w:val="24"/>
        </w:rPr>
        <w:t>，</w:t>
      </w:r>
      <w:r>
        <w:rPr>
          <w:rFonts w:ascii="Times New Roman" w:eastAsia="宋体" w:hAnsi="Times New Roman" w:cs="Times New Roman" w:hint="eastAsia"/>
          <w:sz w:val="24"/>
        </w:rPr>
        <w:t>柞水</w:t>
      </w:r>
      <w:r>
        <w:rPr>
          <w:rFonts w:ascii="Times New Roman" w:eastAsia="宋体" w:hAnsi="Times New Roman" w:cs="Times New Roman"/>
          <w:sz w:val="24"/>
        </w:rPr>
        <w:t>县夏季平均风速为</w:t>
      </w:r>
      <w:r>
        <w:rPr>
          <w:rFonts w:ascii="Times New Roman" w:eastAsia="宋体" w:hAnsi="Times New Roman" w:cs="Times New Roman"/>
          <w:sz w:val="24"/>
        </w:rPr>
        <w:t>1.75m/s</w:t>
      </w:r>
      <w:r>
        <w:rPr>
          <w:rFonts w:ascii="Times New Roman" w:eastAsia="宋体" w:hAnsi="Times New Roman" w:cs="Times New Roman"/>
          <w:sz w:val="24"/>
        </w:rPr>
        <w:t>，则作业扬尘量为</w:t>
      </w:r>
      <w:r>
        <w:rPr>
          <w:rFonts w:ascii="Times New Roman" w:eastAsia="宋体" w:hAnsi="Times New Roman" w:cs="Times New Roman"/>
          <w:sz w:val="24"/>
        </w:rPr>
        <w:t>15.86mg/s</w:t>
      </w:r>
      <w:r>
        <w:rPr>
          <w:rFonts w:ascii="Times New Roman" w:eastAsia="宋体" w:hAnsi="Times New Roman" w:cs="Times New Roman"/>
          <w:sz w:val="24"/>
        </w:rPr>
        <w:t>（</w:t>
      </w:r>
      <w:r>
        <w:rPr>
          <w:rFonts w:ascii="Times New Roman" w:eastAsia="宋体" w:hAnsi="Times New Roman" w:cs="Times New Roman"/>
          <w:sz w:val="24"/>
        </w:rPr>
        <w:t>0.057kg/h</w:t>
      </w:r>
      <w:r>
        <w:rPr>
          <w:rFonts w:ascii="Times New Roman" w:eastAsia="宋体" w:hAnsi="Times New Roman" w:cs="Times New Roman"/>
          <w:sz w:val="24"/>
        </w:rPr>
        <w:t>），填埋作业过程中采取洒水抑尘，扬尘沉降率可达</w:t>
      </w:r>
      <w:r>
        <w:rPr>
          <w:rFonts w:ascii="Times New Roman" w:eastAsia="宋体" w:hAnsi="Times New Roman" w:cs="Times New Roman"/>
          <w:sz w:val="24"/>
        </w:rPr>
        <w:t>70%</w:t>
      </w:r>
      <w:r>
        <w:rPr>
          <w:rFonts w:ascii="Times New Roman" w:eastAsia="宋体" w:hAnsi="Times New Roman" w:cs="Times New Roman"/>
          <w:sz w:val="24"/>
        </w:rPr>
        <w:t>，则作业扬尘实际无组织排放量为</w:t>
      </w:r>
      <w:r>
        <w:rPr>
          <w:rFonts w:ascii="Times New Roman" w:eastAsia="宋体" w:hAnsi="Times New Roman" w:cs="Times New Roman"/>
          <w:sz w:val="24"/>
        </w:rPr>
        <w:t>0.0171kg/h</w:t>
      </w:r>
      <w:r>
        <w:rPr>
          <w:rFonts w:ascii="Times New Roman" w:eastAsia="宋体" w:hAnsi="Times New Roman" w:cs="Times New Roman"/>
          <w:sz w:val="24"/>
        </w:rPr>
        <w:t>（</w:t>
      </w:r>
      <w:r>
        <w:rPr>
          <w:rFonts w:ascii="Times New Roman" w:eastAsia="宋体" w:hAnsi="Times New Roman" w:cs="Times New Roman"/>
          <w:sz w:val="24"/>
        </w:rPr>
        <w:t>0.0999t/a</w:t>
      </w:r>
      <w:r>
        <w:rPr>
          <w:rFonts w:ascii="Times New Roman" w:eastAsia="宋体" w:hAnsi="Times New Roman" w:cs="Times New Roman"/>
          <w:sz w:val="24"/>
        </w:rPr>
        <w:t>）。</w:t>
      </w:r>
    </w:p>
    <w:p w14:paraId="160B5499" w14:textId="77777777" w:rsidR="00D12939" w:rsidRDefault="004F47F5">
      <w:pPr>
        <w:adjustRightInd w:val="0"/>
        <w:spacing w:line="360" w:lineRule="auto"/>
        <w:ind w:firstLine="480"/>
        <w:jc w:val="center"/>
        <w:rPr>
          <w:rFonts w:ascii="黑体" w:eastAsia="黑体" w:hAnsi="黑体" w:cs="Times New Roman"/>
          <w:sz w:val="24"/>
          <w:szCs w:val="28"/>
        </w:rPr>
      </w:pPr>
      <w:r>
        <w:rPr>
          <w:rFonts w:ascii="黑体" w:eastAsia="黑体" w:hAnsi="黑体" w:hint="eastAsia"/>
          <w:bCs/>
          <w:sz w:val="24"/>
        </w:rPr>
        <w:t>表4</w:t>
      </w:r>
      <w:r>
        <w:rPr>
          <w:rFonts w:ascii="黑体" w:eastAsia="黑体" w:hAnsi="黑体"/>
          <w:bCs/>
          <w:sz w:val="24"/>
        </w:rPr>
        <w:t xml:space="preserve">.2-12  </w:t>
      </w:r>
      <w:r>
        <w:rPr>
          <w:rFonts w:ascii="黑体" w:eastAsia="黑体" w:hAnsi="黑体" w:hint="eastAsia"/>
          <w:bCs/>
          <w:sz w:val="24"/>
        </w:rPr>
        <w:t>填埋作业扬尘</w:t>
      </w:r>
      <w:r>
        <w:rPr>
          <w:rFonts w:ascii="黑体" w:eastAsia="黑体" w:hAnsi="黑体"/>
          <w:bCs/>
          <w:sz w:val="24"/>
        </w:rPr>
        <w:t>污染物</w:t>
      </w:r>
      <w:r>
        <w:rPr>
          <w:rFonts w:ascii="黑体" w:eastAsia="黑体" w:hAnsi="黑体" w:cs="Times New Roman"/>
          <w:sz w:val="24"/>
          <w:szCs w:val="28"/>
        </w:rPr>
        <w:t>排放源强</w:t>
      </w:r>
      <w:r>
        <w:rPr>
          <w:rFonts w:ascii="黑体" w:eastAsia="黑体" w:hAnsi="黑体" w:cs="Times New Roman" w:hint="eastAsia"/>
          <w:sz w:val="24"/>
          <w:szCs w:val="28"/>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236"/>
        <w:gridCol w:w="1287"/>
        <w:gridCol w:w="1449"/>
        <w:gridCol w:w="1447"/>
        <w:gridCol w:w="1240"/>
        <w:gridCol w:w="1482"/>
      </w:tblGrid>
      <w:tr w:rsidR="00D12939" w14:paraId="0D654DD3" w14:textId="77777777">
        <w:trPr>
          <w:trHeight w:val="340"/>
          <w:jc w:val="center"/>
        </w:trPr>
        <w:tc>
          <w:tcPr>
            <w:tcW w:w="819" w:type="pct"/>
            <w:vMerge w:val="restart"/>
            <w:vAlign w:val="center"/>
          </w:tcPr>
          <w:p w14:paraId="4BB921E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污染源</w:t>
            </w:r>
          </w:p>
          <w:p w14:paraId="1856C78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名称</w:t>
            </w:r>
          </w:p>
        </w:tc>
        <w:tc>
          <w:tcPr>
            <w:tcW w:w="2783" w:type="pct"/>
            <w:gridSpan w:val="4"/>
            <w:vAlign w:val="center"/>
          </w:tcPr>
          <w:p w14:paraId="5432593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主要污染物产生、排放情况</w:t>
            </w:r>
          </w:p>
        </w:tc>
        <w:tc>
          <w:tcPr>
            <w:tcW w:w="637" w:type="pct"/>
            <w:vMerge w:val="restart"/>
            <w:vAlign w:val="center"/>
          </w:tcPr>
          <w:p w14:paraId="2A96846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排放规律</w:t>
            </w:r>
          </w:p>
        </w:tc>
        <w:tc>
          <w:tcPr>
            <w:tcW w:w="761" w:type="pct"/>
            <w:vMerge w:val="restart"/>
            <w:vAlign w:val="center"/>
          </w:tcPr>
          <w:p w14:paraId="6B61437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治理措施</w:t>
            </w:r>
          </w:p>
        </w:tc>
      </w:tr>
      <w:tr w:rsidR="00D12939" w14:paraId="7960B42B" w14:textId="77777777">
        <w:trPr>
          <w:trHeight w:val="340"/>
          <w:jc w:val="center"/>
        </w:trPr>
        <w:tc>
          <w:tcPr>
            <w:tcW w:w="819" w:type="pct"/>
            <w:vMerge/>
            <w:tcBorders>
              <w:bottom w:val="single" w:sz="4" w:space="0" w:color="auto"/>
            </w:tcBorders>
            <w:vAlign w:val="center"/>
          </w:tcPr>
          <w:p w14:paraId="0267503A" w14:textId="77777777" w:rsidR="00D12939" w:rsidRDefault="00D12939">
            <w:pPr>
              <w:pStyle w:val="affffd"/>
              <w:rPr>
                <w:rFonts w:ascii="Times New Roman" w:eastAsia="宋体" w:hAnsi="Times New Roman" w:cs="Times New Roman"/>
              </w:rPr>
            </w:pPr>
          </w:p>
        </w:tc>
        <w:tc>
          <w:tcPr>
            <w:tcW w:w="635" w:type="pct"/>
            <w:tcBorders>
              <w:bottom w:val="single" w:sz="4" w:space="0" w:color="auto"/>
            </w:tcBorders>
            <w:vAlign w:val="center"/>
          </w:tcPr>
          <w:p w14:paraId="507D79D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污染物</w:t>
            </w:r>
          </w:p>
        </w:tc>
        <w:tc>
          <w:tcPr>
            <w:tcW w:w="661" w:type="pct"/>
            <w:tcBorders>
              <w:bottom w:val="single" w:sz="4" w:space="0" w:color="auto"/>
            </w:tcBorders>
            <w:vAlign w:val="center"/>
          </w:tcPr>
          <w:p w14:paraId="78B9075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产生量（</w:t>
            </w:r>
            <w:r>
              <w:rPr>
                <w:rFonts w:ascii="Times New Roman" w:eastAsia="宋体" w:hAnsi="Times New Roman" w:cs="Times New Roman"/>
              </w:rPr>
              <w:t>kg/h</w:t>
            </w:r>
            <w:r>
              <w:rPr>
                <w:rFonts w:ascii="Times New Roman" w:eastAsia="宋体" w:hAnsi="Times New Roman" w:cs="Times New Roman"/>
              </w:rPr>
              <w:t>）</w:t>
            </w:r>
          </w:p>
        </w:tc>
        <w:tc>
          <w:tcPr>
            <w:tcW w:w="744" w:type="pct"/>
            <w:tcBorders>
              <w:bottom w:val="single" w:sz="4" w:space="0" w:color="auto"/>
            </w:tcBorders>
            <w:vAlign w:val="center"/>
          </w:tcPr>
          <w:p w14:paraId="6D5BE009"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排放量</w:t>
            </w:r>
          </w:p>
          <w:p w14:paraId="78AE991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w:t>
            </w:r>
            <w:r>
              <w:rPr>
                <w:rFonts w:ascii="Times New Roman" w:eastAsia="宋体" w:hAnsi="Times New Roman" w:cs="Times New Roman"/>
              </w:rPr>
              <w:t>kg/h</w:t>
            </w:r>
            <w:r>
              <w:rPr>
                <w:rFonts w:ascii="Times New Roman" w:eastAsia="宋体" w:hAnsi="Times New Roman" w:cs="Times New Roman"/>
              </w:rPr>
              <w:t>）</w:t>
            </w:r>
          </w:p>
        </w:tc>
        <w:tc>
          <w:tcPr>
            <w:tcW w:w="743" w:type="pct"/>
            <w:tcBorders>
              <w:bottom w:val="single" w:sz="4" w:space="0" w:color="auto"/>
            </w:tcBorders>
            <w:vAlign w:val="center"/>
          </w:tcPr>
          <w:p w14:paraId="5D34609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去除效率（</w:t>
            </w:r>
            <w:r>
              <w:rPr>
                <w:rFonts w:ascii="Times New Roman" w:eastAsia="宋体" w:hAnsi="Times New Roman" w:cs="Times New Roman"/>
              </w:rPr>
              <w:t>%</w:t>
            </w:r>
            <w:r>
              <w:rPr>
                <w:rFonts w:ascii="Times New Roman" w:eastAsia="宋体" w:hAnsi="Times New Roman" w:cs="Times New Roman"/>
              </w:rPr>
              <w:t>）</w:t>
            </w:r>
          </w:p>
        </w:tc>
        <w:tc>
          <w:tcPr>
            <w:tcW w:w="637" w:type="pct"/>
            <w:vMerge/>
            <w:tcBorders>
              <w:bottom w:val="single" w:sz="4" w:space="0" w:color="auto"/>
            </w:tcBorders>
            <w:vAlign w:val="center"/>
          </w:tcPr>
          <w:p w14:paraId="3D69B10F" w14:textId="77777777" w:rsidR="00D12939" w:rsidRDefault="00D12939">
            <w:pPr>
              <w:pStyle w:val="affffd"/>
              <w:rPr>
                <w:rFonts w:ascii="Times New Roman" w:eastAsia="宋体" w:hAnsi="Times New Roman" w:cs="Times New Roman"/>
              </w:rPr>
            </w:pPr>
          </w:p>
        </w:tc>
        <w:tc>
          <w:tcPr>
            <w:tcW w:w="761" w:type="pct"/>
            <w:vMerge/>
            <w:tcBorders>
              <w:bottom w:val="single" w:sz="4" w:space="0" w:color="auto"/>
            </w:tcBorders>
            <w:vAlign w:val="center"/>
          </w:tcPr>
          <w:p w14:paraId="1ABA5522" w14:textId="77777777" w:rsidR="00D12939" w:rsidRDefault="00D12939">
            <w:pPr>
              <w:pStyle w:val="affffd"/>
              <w:rPr>
                <w:rFonts w:ascii="Times New Roman" w:eastAsia="宋体" w:hAnsi="Times New Roman" w:cs="Times New Roman"/>
              </w:rPr>
            </w:pPr>
          </w:p>
        </w:tc>
      </w:tr>
      <w:tr w:rsidR="00D12939" w14:paraId="6AEE4E16" w14:textId="77777777">
        <w:trPr>
          <w:trHeight w:val="340"/>
          <w:jc w:val="center"/>
        </w:trPr>
        <w:tc>
          <w:tcPr>
            <w:tcW w:w="819" w:type="pct"/>
            <w:vAlign w:val="center"/>
          </w:tcPr>
          <w:p w14:paraId="0DECC60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lastRenderedPageBreak/>
              <w:t>填埋作业扬尘</w:t>
            </w:r>
          </w:p>
        </w:tc>
        <w:tc>
          <w:tcPr>
            <w:tcW w:w="635" w:type="pct"/>
            <w:vAlign w:val="center"/>
          </w:tcPr>
          <w:p w14:paraId="4F754C9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颗粒物</w:t>
            </w:r>
          </w:p>
        </w:tc>
        <w:tc>
          <w:tcPr>
            <w:tcW w:w="661" w:type="pct"/>
            <w:vAlign w:val="center"/>
          </w:tcPr>
          <w:p w14:paraId="6208EF9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0.057</w:t>
            </w:r>
          </w:p>
        </w:tc>
        <w:tc>
          <w:tcPr>
            <w:tcW w:w="744" w:type="pct"/>
            <w:vAlign w:val="center"/>
          </w:tcPr>
          <w:p w14:paraId="0BDD25F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0.0171</w:t>
            </w:r>
          </w:p>
        </w:tc>
        <w:tc>
          <w:tcPr>
            <w:tcW w:w="743" w:type="pct"/>
            <w:vAlign w:val="center"/>
          </w:tcPr>
          <w:p w14:paraId="3E05421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70</w:t>
            </w:r>
          </w:p>
        </w:tc>
        <w:tc>
          <w:tcPr>
            <w:tcW w:w="637" w:type="pct"/>
            <w:vAlign w:val="center"/>
          </w:tcPr>
          <w:p w14:paraId="6AC5B81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连续</w:t>
            </w:r>
          </w:p>
        </w:tc>
        <w:tc>
          <w:tcPr>
            <w:tcW w:w="761" w:type="pct"/>
            <w:vAlign w:val="center"/>
          </w:tcPr>
          <w:p w14:paraId="3E33F94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洒水抑尘</w:t>
            </w:r>
          </w:p>
        </w:tc>
      </w:tr>
    </w:tbl>
    <w:p w14:paraId="53369E86"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w:t>
      </w:r>
      <w:r>
        <w:rPr>
          <w:rFonts w:ascii="Times New Roman" w:eastAsia="宋体" w:hAnsi="Times New Roman" w:cs="Times New Roman" w:hint="eastAsia"/>
          <w:sz w:val="24"/>
        </w:rPr>
        <w:t>垃圾填埋场恶臭</w:t>
      </w:r>
    </w:p>
    <w:p w14:paraId="716C5052" w14:textId="77777777" w:rsidR="00D12939" w:rsidRDefault="004F47F5">
      <w:pPr>
        <w:spacing w:line="360" w:lineRule="auto"/>
        <w:ind w:firstLineChars="200" w:firstLine="480"/>
      </w:pPr>
      <w:r>
        <w:rPr>
          <w:rFonts w:ascii="宋体" w:eastAsia="宋体" w:cs="宋体" w:hint="eastAsia"/>
          <w:kern w:val="0"/>
          <w:sz w:val="24"/>
          <w:szCs w:val="24"/>
        </w:rPr>
        <w:t>项目填埋库区在垃圾卸料填埋作业过程中会散发恶臭气体，应定期喷杀虫剂和除臭剂，及时覆盖掩盖，同时应合理安排工作时间，提高填埋效率，减少垃圾暴露在外的时间，避免臭气外逸。</w:t>
      </w:r>
      <w:r>
        <w:rPr>
          <w:rFonts w:ascii="Times New Roman" w:eastAsia="宋体" w:hAnsi="Times New Roman" w:cs="Times New Roman"/>
          <w:sz w:val="24"/>
          <w:szCs w:val="28"/>
        </w:rPr>
        <w:t>除臭剂对</w:t>
      </w:r>
      <w:r>
        <w:rPr>
          <w:rFonts w:ascii="Times New Roman" w:eastAsia="宋体" w:hAnsi="Times New Roman" w:cs="Times New Roman"/>
          <w:sz w:val="24"/>
          <w:szCs w:val="28"/>
        </w:rPr>
        <w:t>NH</w:t>
      </w:r>
      <w:r>
        <w:rPr>
          <w:rFonts w:ascii="Times New Roman" w:eastAsia="宋体" w:hAnsi="Times New Roman" w:cs="Times New Roman"/>
          <w:sz w:val="24"/>
          <w:szCs w:val="28"/>
          <w:vertAlign w:val="subscript"/>
        </w:rPr>
        <w:t>3</w:t>
      </w:r>
      <w:r>
        <w:rPr>
          <w:rFonts w:ascii="Times New Roman" w:eastAsia="宋体" w:hAnsi="Times New Roman" w:cs="Times New Roman"/>
          <w:sz w:val="24"/>
          <w:szCs w:val="28"/>
        </w:rPr>
        <w:t>的去除效率取</w:t>
      </w:r>
      <w:r>
        <w:rPr>
          <w:rFonts w:ascii="Times New Roman" w:eastAsia="宋体" w:hAnsi="Times New Roman" w:cs="Times New Roman"/>
          <w:sz w:val="24"/>
          <w:szCs w:val="28"/>
        </w:rPr>
        <w:t>70%</w:t>
      </w:r>
      <w:r>
        <w:rPr>
          <w:rFonts w:ascii="Times New Roman" w:eastAsia="宋体" w:hAnsi="Times New Roman" w:cs="Times New Roman"/>
          <w:sz w:val="24"/>
          <w:szCs w:val="28"/>
        </w:rPr>
        <w:t>，对</w:t>
      </w:r>
      <w:r>
        <w:rPr>
          <w:rFonts w:ascii="Times New Roman" w:eastAsia="宋体" w:hAnsi="Times New Roman" w:cs="Times New Roman"/>
          <w:sz w:val="24"/>
          <w:szCs w:val="28"/>
        </w:rPr>
        <w:t>H</w:t>
      </w:r>
      <w:r>
        <w:rPr>
          <w:rFonts w:ascii="Times New Roman" w:eastAsia="宋体" w:hAnsi="Times New Roman" w:cs="Times New Roman"/>
          <w:sz w:val="24"/>
          <w:szCs w:val="28"/>
          <w:vertAlign w:val="subscript"/>
        </w:rPr>
        <w:t>2</w:t>
      </w:r>
      <w:r>
        <w:rPr>
          <w:rFonts w:ascii="Times New Roman" w:eastAsia="宋体" w:hAnsi="Times New Roman" w:cs="Times New Roman"/>
          <w:sz w:val="24"/>
          <w:szCs w:val="28"/>
        </w:rPr>
        <w:t>S</w:t>
      </w:r>
      <w:r>
        <w:rPr>
          <w:rFonts w:ascii="Times New Roman" w:eastAsia="宋体" w:hAnsi="Times New Roman" w:cs="Times New Roman"/>
          <w:sz w:val="24"/>
          <w:szCs w:val="28"/>
        </w:rPr>
        <w:t>的去除效率取</w:t>
      </w:r>
      <w:r>
        <w:rPr>
          <w:rFonts w:ascii="Times New Roman" w:eastAsia="宋体" w:hAnsi="Times New Roman" w:cs="Times New Roman"/>
          <w:sz w:val="24"/>
          <w:szCs w:val="28"/>
        </w:rPr>
        <w:t>70%</w:t>
      </w:r>
      <w:r>
        <w:rPr>
          <w:rFonts w:ascii="Times New Roman" w:eastAsia="宋体" w:hAnsi="Times New Roman" w:cs="Times New Roman"/>
          <w:sz w:val="24"/>
          <w:szCs w:val="28"/>
        </w:rPr>
        <w:t>，</w:t>
      </w:r>
      <w:r>
        <w:rPr>
          <w:rFonts w:ascii="宋体" w:eastAsia="宋体" w:cs="宋体" w:hint="eastAsia"/>
          <w:kern w:val="0"/>
          <w:sz w:val="24"/>
          <w:szCs w:val="24"/>
        </w:rPr>
        <w:t>能够有效抑制恶臭污染物的外逸。</w:t>
      </w:r>
    </w:p>
    <w:p w14:paraId="63524B3B"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4.2.3.3</w:t>
      </w:r>
      <w:r>
        <w:rPr>
          <w:rFonts w:ascii="宋体" w:eastAsia="宋体" w:hAnsi="宋体" w:hint="eastAsia"/>
          <w:sz w:val="24"/>
        </w:rPr>
        <w:t>噪声</w:t>
      </w:r>
    </w:p>
    <w:p w14:paraId="671CF092" w14:textId="77777777" w:rsidR="00D12939" w:rsidRDefault="004F47F5">
      <w:pPr>
        <w:spacing w:line="360" w:lineRule="auto"/>
        <w:ind w:firstLineChars="200" w:firstLine="480"/>
        <w:rPr>
          <w:rFonts w:ascii="宋体" w:eastAsia="宋体" w:cs="宋体"/>
          <w:kern w:val="0"/>
          <w:sz w:val="24"/>
          <w:szCs w:val="24"/>
        </w:rPr>
      </w:pPr>
      <w:r>
        <w:rPr>
          <w:rFonts w:ascii="宋体" w:eastAsia="宋体" w:cs="宋体" w:hint="eastAsia"/>
          <w:kern w:val="0"/>
          <w:sz w:val="24"/>
          <w:szCs w:val="24"/>
        </w:rPr>
        <w:t>本项目噪声源组成主要为交通噪声及填埋场内机械作业时设备噪声。</w:t>
      </w:r>
    </w:p>
    <w:p w14:paraId="5C45FE95" w14:textId="77777777" w:rsidR="00D12939" w:rsidRDefault="004F47F5">
      <w:pPr>
        <w:spacing w:line="360" w:lineRule="auto"/>
        <w:ind w:firstLineChars="200" w:firstLine="480"/>
        <w:rPr>
          <w:rFonts w:ascii="宋体" w:eastAsia="宋体" w:cs="宋体"/>
          <w:kern w:val="0"/>
          <w:sz w:val="24"/>
          <w:szCs w:val="24"/>
        </w:rPr>
      </w:pPr>
      <w:r>
        <w:rPr>
          <w:rFonts w:ascii="宋体" w:eastAsia="宋体" w:cs="宋体" w:hint="eastAsia"/>
          <w:kern w:val="0"/>
          <w:sz w:val="24"/>
          <w:szCs w:val="24"/>
        </w:rPr>
        <w:t>根据填埋场机械设备、运输设备种类及运行情况，填埋场作业区内设备噪声在</w:t>
      </w:r>
      <w:r>
        <w:rPr>
          <w:rFonts w:ascii="宋体" w:eastAsia="宋体" w:cs="宋体"/>
          <w:kern w:val="0"/>
          <w:sz w:val="24"/>
          <w:szCs w:val="24"/>
        </w:rPr>
        <w:t>75dB(A)～90dB(A)之间。为降低噪声污染，选用低噪声设备，对所选用设备噪声进行严</w:t>
      </w:r>
      <w:r>
        <w:rPr>
          <w:rFonts w:ascii="宋体" w:eastAsia="宋体" w:cs="宋体" w:hint="eastAsia"/>
          <w:kern w:val="0"/>
          <w:sz w:val="24"/>
          <w:szCs w:val="24"/>
        </w:rPr>
        <w:t>格控制，并尽量避免机械空转。各种噪声源、噪声值见表</w:t>
      </w:r>
      <w:r>
        <w:rPr>
          <w:rFonts w:ascii="宋体" w:eastAsia="宋体" w:cs="宋体"/>
          <w:kern w:val="0"/>
          <w:sz w:val="24"/>
          <w:szCs w:val="24"/>
        </w:rPr>
        <w:t>4.2-14。</w:t>
      </w:r>
    </w:p>
    <w:p w14:paraId="04448967" w14:textId="77777777" w:rsidR="00D12939" w:rsidRDefault="004F47F5">
      <w:pPr>
        <w:pStyle w:val="a5"/>
        <w:ind w:firstLine="480"/>
        <w:rPr>
          <w:rFonts w:ascii="黑体" w:eastAsia="黑体" w:hAnsi="黑体"/>
          <w:sz w:val="24"/>
          <w:szCs w:val="21"/>
        </w:rPr>
      </w:pPr>
      <w:r>
        <w:rPr>
          <w:rFonts w:ascii="黑体" w:eastAsia="黑体" w:hAnsi="黑体"/>
          <w:sz w:val="24"/>
          <w:szCs w:val="21"/>
        </w:rPr>
        <w:t>表4.2-14   主要</w:t>
      </w:r>
      <w:r>
        <w:rPr>
          <w:rFonts w:ascii="黑体" w:eastAsia="黑体" w:hAnsi="黑体" w:hint="eastAsia"/>
          <w:sz w:val="24"/>
          <w:szCs w:val="21"/>
        </w:rPr>
        <w:t>设备噪声源强一览表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7"/>
        <w:gridCol w:w="2013"/>
        <w:gridCol w:w="2201"/>
        <w:gridCol w:w="1166"/>
        <w:gridCol w:w="1824"/>
        <w:gridCol w:w="1491"/>
      </w:tblGrid>
      <w:tr w:rsidR="00D12939" w14:paraId="15C287A4" w14:textId="77777777">
        <w:trPr>
          <w:trHeight w:val="340"/>
          <w:jc w:val="center"/>
        </w:trPr>
        <w:tc>
          <w:tcPr>
            <w:tcW w:w="533" w:type="pct"/>
            <w:vAlign w:val="center"/>
          </w:tcPr>
          <w:p w14:paraId="5457DDC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序号</w:t>
            </w:r>
          </w:p>
        </w:tc>
        <w:tc>
          <w:tcPr>
            <w:tcW w:w="2165" w:type="pct"/>
            <w:gridSpan w:val="2"/>
            <w:vAlign w:val="center"/>
          </w:tcPr>
          <w:p w14:paraId="49E3FF5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噪声源</w:t>
            </w:r>
          </w:p>
        </w:tc>
        <w:tc>
          <w:tcPr>
            <w:tcW w:w="599" w:type="pct"/>
            <w:vAlign w:val="center"/>
          </w:tcPr>
          <w:p w14:paraId="4AC6D96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数量</w:t>
            </w:r>
          </w:p>
        </w:tc>
        <w:tc>
          <w:tcPr>
            <w:tcW w:w="937" w:type="pct"/>
            <w:vAlign w:val="center"/>
          </w:tcPr>
          <w:p w14:paraId="49905FB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噪声源强</w:t>
            </w:r>
            <w:r>
              <w:rPr>
                <w:rFonts w:ascii="Times New Roman" w:eastAsia="宋体" w:hAnsi="Times New Roman" w:cs="Times New Roman"/>
              </w:rPr>
              <w:t>dB(A)</w:t>
            </w:r>
          </w:p>
        </w:tc>
        <w:tc>
          <w:tcPr>
            <w:tcW w:w="766" w:type="pct"/>
            <w:vAlign w:val="center"/>
          </w:tcPr>
          <w:p w14:paraId="42B430D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备注</w:t>
            </w:r>
          </w:p>
        </w:tc>
      </w:tr>
      <w:tr w:rsidR="00D12939" w14:paraId="2CA5DA6A" w14:textId="77777777">
        <w:trPr>
          <w:trHeight w:val="340"/>
          <w:jc w:val="center"/>
        </w:trPr>
        <w:tc>
          <w:tcPr>
            <w:tcW w:w="533" w:type="pct"/>
            <w:vAlign w:val="center"/>
          </w:tcPr>
          <w:p w14:paraId="62DA68C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1034" w:type="pct"/>
            <w:vMerge w:val="restart"/>
            <w:vAlign w:val="center"/>
          </w:tcPr>
          <w:p w14:paraId="6FF1AD9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填埋作业设备</w:t>
            </w:r>
          </w:p>
        </w:tc>
        <w:tc>
          <w:tcPr>
            <w:tcW w:w="1131" w:type="pct"/>
            <w:vAlign w:val="center"/>
          </w:tcPr>
          <w:p w14:paraId="259CA4BD"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推土机</w:t>
            </w:r>
          </w:p>
        </w:tc>
        <w:tc>
          <w:tcPr>
            <w:tcW w:w="599" w:type="pct"/>
            <w:vAlign w:val="center"/>
          </w:tcPr>
          <w:p w14:paraId="0568B35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937" w:type="pct"/>
            <w:vAlign w:val="center"/>
          </w:tcPr>
          <w:p w14:paraId="1CB3D6F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85</w:t>
            </w:r>
          </w:p>
        </w:tc>
        <w:tc>
          <w:tcPr>
            <w:tcW w:w="766" w:type="pct"/>
            <w:vAlign w:val="center"/>
          </w:tcPr>
          <w:p w14:paraId="3A49649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流动源</w:t>
            </w:r>
          </w:p>
        </w:tc>
      </w:tr>
      <w:tr w:rsidR="00D12939" w14:paraId="69483CFE" w14:textId="77777777">
        <w:trPr>
          <w:trHeight w:val="340"/>
          <w:jc w:val="center"/>
        </w:trPr>
        <w:tc>
          <w:tcPr>
            <w:tcW w:w="533" w:type="pct"/>
            <w:vAlign w:val="center"/>
          </w:tcPr>
          <w:p w14:paraId="71B8E64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w:t>
            </w:r>
          </w:p>
        </w:tc>
        <w:tc>
          <w:tcPr>
            <w:tcW w:w="1034" w:type="pct"/>
            <w:vMerge/>
            <w:vAlign w:val="center"/>
          </w:tcPr>
          <w:p w14:paraId="5D662BF8" w14:textId="77777777" w:rsidR="00D12939" w:rsidRDefault="00D12939">
            <w:pPr>
              <w:pStyle w:val="affffd"/>
              <w:rPr>
                <w:rFonts w:ascii="Times New Roman" w:eastAsia="宋体" w:hAnsi="Times New Roman" w:cs="Times New Roman"/>
              </w:rPr>
            </w:pPr>
          </w:p>
        </w:tc>
        <w:tc>
          <w:tcPr>
            <w:tcW w:w="1131" w:type="pct"/>
            <w:vAlign w:val="center"/>
          </w:tcPr>
          <w:p w14:paraId="33B1B9B6"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自卸卡车</w:t>
            </w:r>
          </w:p>
        </w:tc>
        <w:tc>
          <w:tcPr>
            <w:tcW w:w="599" w:type="pct"/>
            <w:vAlign w:val="center"/>
          </w:tcPr>
          <w:p w14:paraId="442E552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937" w:type="pct"/>
            <w:vAlign w:val="center"/>
          </w:tcPr>
          <w:p w14:paraId="4086AC4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85</w:t>
            </w:r>
          </w:p>
        </w:tc>
        <w:tc>
          <w:tcPr>
            <w:tcW w:w="766" w:type="pct"/>
            <w:vAlign w:val="center"/>
          </w:tcPr>
          <w:p w14:paraId="098C5FE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流动源</w:t>
            </w:r>
          </w:p>
        </w:tc>
      </w:tr>
      <w:tr w:rsidR="00D12939" w14:paraId="585ABD58" w14:textId="77777777">
        <w:trPr>
          <w:trHeight w:val="340"/>
          <w:jc w:val="center"/>
        </w:trPr>
        <w:tc>
          <w:tcPr>
            <w:tcW w:w="533" w:type="pct"/>
            <w:vAlign w:val="center"/>
          </w:tcPr>
          <w:p w14:paraId="1358C3D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3</w:t>
            </w:r>
          </w:p>
        </w:tc>
        <w:tc>
          <w:tcPr>
            <w:tcW w:w="1034" w:type="pct"/>
            <w:vMerge/>
            <w:vAlign w:val="center"/>
          </w:tcPr>
          <w:p w14:paraId="4F5D508A" w14:textId="77777777" w:rsidR="00D12939" w:rsidRDefault="00D12939">
            <w:pPr>
              <w:pStyle w:val="affffd"/>
              <w:rPr>
                <w:rFonts w:ascii="Times New Roman" w:eastAsia="宋体" w:hAnsi="Times New Roman" w:cs="Times New Roman"/>
              </w:rPr>
            </w:pPr>
          </w:p>
        </w:tc>
        <w:tc>
          <w:tcPr>
            <w:tcW w:w="1131" w:type="pct"/>
            <w:vAlign w:val="center"/>
          </w:tcPr>
          <w:p w14:paraId="49E7A4A2"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压实机</w:t>
            </w:r>
          </w:p>
        </w:tc>
        <w:tc>
          <w:tcPr>
            <w:tcW w:w="599" w:type="pct"/>
            <w:vAlign w:val="center"/>
          </w:tcPr>
          <w:p w14:paraId="56A3C74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937" w:type="pct"/>
            <w:vAlign w:val="center"/>
          </w:tcPr>
          <w:p w14:paraId="64209BE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90</w:t>
            </w:r>
          </w:p>
        </w:tc>
        <w:tc>
          <w:tcPr>
            <w:tcW w:w="766" w:type="pct"/>
            <w:vAlign w:val="center"/>
          </w:tcPr>
          <w:p w14:paraId="5209ADB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流动源</w:t>
            </w:r>
          </w:p>
        </w:tc>
      </w:tr>
      <w:tr w:rsidR="00D12939" w14:paraId="1422A3F6" w14:textId="77777777">
        <w:trPr>
          <w:trHeight w:val="340"/>
          <w:jc w:val="center"/>
        </w:trPr>
        <w:tc>
          <w:tcPr>
            <w:tcW w:w="533" w:type="pct"/>
            <w:vAlign w:val="center"/>
          </w:tcPr>
          <w:p w14:paraId="2C1EADB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4</w:t>
            </w:r>
          </w:p>
        </w:tc>
        <w:tc>
          <w:tcPr>
            <w:tcW w:w="1034" w:type="pct"/>
            <w:vMerge/>
            <w:vAlign w:val="center"/>
          </w:tcPr>
          <w:p w14:paraId="2FFB09AB" w14:textId="77777777" w:rsidR="00D12939" w:rsidRDefault="00D12939">
            <w:pPr>
              <w:pStyle w:val="affffd"/>
              <w:rPr>
                <w:rFonts w:ascii="Times New Roman" w:eastAsia="宋体" w:hAnsi="Times New Roman" w:cs="Times New Roman"/>
              </w:rPr>
            </w:pPr>
          </w:p>
        </w:tc>
        <w:tc>
          <w:tcPr>
            <w:tcW w:w="1131" w:type="pct"/>
            <w:vAlign w:val="center"/>
          </w:tcPr>
          <w:p w14:paraId="4CAEA3D6"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转载机</w:t>
            </w:r>
          </w:p>
        </w:tc>
        <w:tc>
          <w:tcPr>
            <w:tcW w:w="599" w:type="pct"/>
            <w:vAlign w:val="center"/>
          </w:tcPr>
          <w:p w14:paraId="62D023D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937" w:type="pct"/>
            <w:vAlign w:val="center"/>
          </w:tcPr>
          <w:p w14:paraId="65FC5D9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80</w:t>
            </w:r>
          </w:p>
        </w:tc>
        <w:tc>
          <w:tcPr>
            <w:tcW w:w="766" w:type="pct"/>
            <w:vAlign w:val="center"/>
          </w:tcPr>
          <w:p w14:paraId="1D9FBD0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流动源</w:t>
            </w:r>
          </w:p>
        </w:tc>
      </w:tr>
      <w:tr w:rsidR="00D12939" w14:paraId="1AB5D20F" w14:textId="77777777">
        <w:trPr>
          <w:trHeight w:val="340"/>
          <w:jc w:val="center"/>
        </w:trPr>
        <w:tc>
          <w:tcPr>
            <w:tcW w:w="533" w:type="pct"/>
            <w:vAlign w:val="center"/>
          </w:tcPr>
          <w:p w14:paraId="0FF8CA9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5</w:t>
            </w:r>
          </w:p>
        </w:tc>
        <w:tc>
          <w:tcPr>
            <w:tcW w:w="1034" w:type="pct"/>
            <w:vMerge/>
            <w:vAlign w:val="center"/>
          </w:tcPr>
          <w:p w14:paraId="5681D65B" w14:textId="77777777" w:rsidR="00D12939" w:rsidRDefault="00D12939">
            <w:pPr>
              <w:pStyle w:val="affffd"/>
              <w:rPr>
                <w:rFonts w:ascii="Times New Roman" w:eastAsia="宋体" w:hAnsi="Times New Roman" w:cs="Times New Roman"/>
              </w:rPr>
            </w:pPr>
          </w:p>
        </w:tc>
        <w:tc>
          <w:tcPr>
            <w:tcW w:w="1131" w:type="pct"/>
            <w:vAlign w:val="center"/>
          </w:tcPr>
          <w:p w14:paraId="4E093B6C"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洒水车</w:t>
            </w:r>
          </w:p>
        </w:tc>
        <w:tc>
          <w:tcPr>
            <w:tcW w:w="599" w:type="pct"/>
            <w:vAlign w:val="center"/>
          </w:tcPr>
          <w:p w14:paraId="53397A5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937" w:type="pct"/>
            <w:vAlign w:val="center"/>
          </w:tcPr>
          <w:p w14:paraId="5F167EB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80</w:t>
            </w:r>
          </w:p>
        </w:tc>
        <w:tc>
          <w:tcPr>
            <w:tcW w:w="766" w:type="pct"/>
            <w:vAlign w:val="center"/>
          </w:tcPr>
          <w:p w14:paraId="7D074382"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流动源</w:t>
            </w:r>
          </w:p>
        </w:tc>
      </w:tr>
      <w:tr w:rsidR="00D12939" w14:paraId="7AA5821F" w14:textId="77777777">
        <w:trPr>
          <w:trHeight w:val="340"/>
          <w:jc w:val="center"/>
        </w:trPr>
        <w:tc>
          <w:tcPr>
            <w:tcW w:w="533" w:type="pct"/>
            <w:vAlign w:val="center"/>
          </w:tcPr>
          <w:p w14:paraId="4C48386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6</w:t>
            </w:r>
          </w:p>
        </w:tc>
        <w:tc>
          <w:tcPr>
            <w:tcW w:w="1034" w:type="pct"/>
            <w:vAlign w:val="center"/>
          </w:tcPr>
          <w:p w14:paraId="09A9A98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管理系统</w:t>
            </w:r>
          </w:p>
        </w:tc>
        <w:tc>
          <w:tcPr>
            <w:tcW w:w="1131" w:type="pct"/>
            <w:vAlign w:val="center"/>
          </w:tcPr>
          <w:p w14:paraId="4CD98A84"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管理用车</w:t>
            </w:r>
          </w:p>
        </w:tc>
        <w:tc>
          <w:tcPr>
            <w:tcW w:w="599" w:type="pct"/>
            <w:vAlign w:val="center"/>
          </w:tcPr>
          <w:p w14:paraId="50A3C81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937" w:type="pct"/>
            <w:vAlign w:val="center"/>
          </w:tcPr>
          <w:p w14:paraId="363EED0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75</w:t>
            </w:r>
          </w:p>
        </w:tc>
        <w:tc>
          <w:tcPr>
            <w:tcW w:w="766" w:type="pct"/>
            <w:vAlign w:val="center"/>
          </w:tcPr>
          <w:p w14:paraId="2718BA08"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流动源</w:t>
            </w:r>
          </w:p>
        </w:tc>
      </w:tr>
      <w:tr w:rsidR="00D12939" w14:paraId="68E58556" w14:textId="77777777">
        <w:trPr>
          <w:trHeight w:val="340"/>
          <w:jc w:val="center"/>
        </w:trPr>
        <w:tc>
          <w:tcPr>
            <w:tcW w:w="533" w:type="pct"/>
            <w:vAlign w:val="center"/>
          </w:tcPr>
          <w:p w14:paraId="3A7DC87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7</w:t>
            </w:r>
          </w:p>
        </w:tc>
        <w:tc>
          <w:tcPr>
            <w:tcW w:w="1034" w:type="pct"/>
            <w:vAlign w:val="center"/>
          </w:tcPr>
          <w:p w14:paraId="0680319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运输系统</w:t>
            </w:r>
          </w:p>
        </w:tc>
        <w:tc>
          <w:tcPr>
            <w:tcW w:w="1131" w:type="pct"/>
            <w:vAlign w:val="center"/>
          </w:tcPr>
          <w:p w14:paraId="7EFBDFD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槽罐车</w:t>
            </w:r>
          </w:p>
        </w:tc>
        <w:tc>
          <w:tcPr>
            <w:tcW w:w="599" w:type="pct"/>
            <w:vAlign w:val="center"/>
          </w:tcPr>
          <w:p w14:paraId="1FC862A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w:t>
            </w:r>
          </w:p>
        </w:tc>
        <w:tc>
          <w:tcPr>
            <w:tcW w:w="937" w:type="pct"/>
            <w:vAlign w:val="center"/>
          </w:tcPr>
          <w:p w14:paraId="657E59A4"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75</w:t>
            </w:r>
          </w:p>
        </w:tc>
        <w:tc>
          <w:tcPr>
            <w:tcW w:w="766" w:type="pct"/>
            <w:vAlign w:val="center"/>
          </w:tcPr>
          <w:p w14:paraId="3B41DDC4"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流动源</w:t>
            </w:r>
          </w:p>
        </w:tc>
      </w:tr>
      <w:tr w:rsidR="00D12939" w14:paraId="655D5FD0" w14:textId="77777777">
        <w:trPr>
          <w:trHeight w:val="340"/>
          <w:jc w:val="center"/>
        </w:trPr>
        <w:tc>
          <w:tcPr>
            <w:tcW w:w="533" w:type="pct"/>
            <w:vAlign w:val="center"/>
          </w:tcPr>
          <w:p w14:paraId="48392BF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8</w:t>
            </w:r>
          </w:p>
        </w:tc>
        <w:tc>
          <w:tcPr>
            <w:tcW w:w="1034" w:type="pct"/>
            <w:vMerge w:val="restart"/>
            <w:vAlign w:val="center"/>
          </w:tcPr>
          <w:p w14:paraId="5458F9B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渗滤液处理系统</w:t>
            </w:r>
          </w:p>
        </w:tc>
        <w:tc>
          <w:tcPr>
            <w:tcW w:w="1131" w:type="pct"/>
            <w:vAlign w:val="center"/>
          </w:tcPr>
          <w:p w14:paraId="747026BC"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hint="eastAsia"/>
              </w:rPr>
              <w:t>污水提升泵</w:t>
            </w:r>
          </w:p>
        </w:tc>
        <w:tc>
          <w:tcPr>
            <w:tcW w:w="599" w:type="pct"/>
            <w:vAlign w:val="center"/>
          </w:tcPr>
          <w:p w14:paraId="0D8AEAE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2</w:t>
            </w:r>
          </w:p>
        </w:tc>
        <w:tc>
          <w:tcPr>
            <w:tcW w:w="937" w:type="pct"/>
            <w:vAlign w:val="center"/>
          </w:tcPr>
          <w:p w14:paraId="2562ED2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70</w:t>
            </w:r>
          </w:p>
        </w:tc>
        <w:tc>
          <w:tcPr>
            <w:tcW w:w="766" w:type="pct"/>
            <w:vAlign w:val="center"/>
          </w:tcPr>
          <w:p w14:paraId="5F3091FC"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固定源</w:t>
            </w:r>
          </w:p>
        </w:tc>
      </w:tr>
      <w:tr w:rsidR="00D12939" w14:paraId="6327A4F0" w14:textId="77777777">
        <w:trPr>
          <w:trHeight w:val="340"/>
          <w:jc w:val="center"/>
        </w:trPr>
        <w:tc>
          <w:tcPr>
            <w:tcW w:w="533" w:type="pct"/>
            <w:vAlign w:val="center"/>
          </w:tcPr>
          <w:p w14:paraId="4A31A4A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9</w:t>
            </w:r>
          </w:p>
        </w:tc>
        <w:tc>
          <w:tcPr>
            <w:tcW w:w="1034" w:type="pct"/>
            <w:vMerge/>
            <w:vAlign w:val="center"/>
          </w:tcPr>
          <w:p w14:paraId="6D865855" w14:textId="77777777" w:rsidR="00D12939" w:rsidRDefault="00D12939">
            <w:pPr>
              <w:pStyle w:val="affffd"/>
              <w:rPr>
                <w:rFonts w:ascii="Times New Roman" w:eastAsia="宋体" w:hAnsi="Times New Roman" w:cs="Times New Roman"/>
              </w:rPr>
            </w:pPr>
          </w:p>
        </w:tc>
        <w:tc>
          <w:tcPr>
            <w:tcW w:w="1131" w:type="pct"/>
            <w:vAlign w:val="center"/>
          </w:tcPr>
          <w:p w14:paraId="55F7A186"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曝气风机</w:t>
            </w:r>
          </w:p>
        </w:tc>
        <w:tc>
          <w:tcPr>
            <w:tcW w:w="599" w:type="pct"/>
            <w:vAlign w:val="center"/>
          </w:tcPr>
          <w:p w14:paraId="17FC7A35"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4</w:t>
            </w:r>
          </w:p>
        </w:tc>
        <w:tc>
          <w:tcPr>
            <w:tcW w:w="937" w:type="pct"/>
            <w:vAlign w:val="center"/>
          </w:tcPr>
          <w:p w14:paraId="4BE905A4" w14:textId="77777777" w:rsidR="00D12939" w:rsidRDefault="004F47F5">
            <w:pPr>
              <w:jc w:val="center"/>
            </w:pPr>
            <w:r>
              <w:rPr>
                <w:rFonts w:ascii="Times New Roman" w:eastAsia="宋体" w:hAnsi="Times New Roman" w:cs="Times New Roman"/>
              </w:rPr>
              <w:t>70</w:t>
            </w:r>
          </w:p>
        </w:tc>
        <w:tc>
          <w:tcPr>
            <w:tcW w:w="766" w:type="pct"/>
            <w:vAlign w:val="center"/>
          </w:tcPr>
          <w:p w14:paraId="458A3BDF"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固定源</w:t>
            </w:r>
          </w:p>
        </w:tc>
      </w:tr>
      <w:tr w:rsidR="00D12939" w14:paraId="2F06F6D7" w14:textId="77777777">
        <w:trPr>
          <w:trHeight w:val="340"/>
          <w:jc w:val="center"/>
        </w:trPr>
        <w:tc>
          <w:tcPr>
            <w:tcW w:w="533" w:type="pct"/>
            <w:vAlign w:val="center"/>
          </w:tcPr>
          <w:p w14:paraId="02EF7D9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10</w:t>
            </w:r>
          </w:p>
        </w:tc>
        <w:tc>
          <w:tcPr>
            <w:tcW w:w="1034" w:type="pct"/>
            <w:vMerge/>
            <w:vAlign w:val="center"/>
          </w:tcPr>
          <w:p w14:paraId="38B264CC" w14:textId="77777777" w:rsidR="00D12939" w:rsidRDefault="00D12939">
            <w:pPr>
              <w:pStyle w:val="affffd"/>
              <w:rPr>
                <w:rFonts w:ascii="Times New Roman" w:eastAsia="宋体" w:hAnsi="Times New Roman" w:cs="Times New Roman"/>
              </w:rPr>
            </w:pPr>
          </w:p>
        </w:tc>
        <w:tc>
          <w:tcPr>
            <w:tcW w:w="1131" w:type="pct"/>
            <w:vAlign w:val="center"/>
          </w:tcPr>
          <w:p w14:paraId="2ED1B683"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膜抽吸泵</w:t>
            </w:r>
          </w:p>
        </w:tc>
        <w:tc>
          <w:tcPr>
            <w:tcW w:w="599" w:type="pct"/>
            <w:vAlign w:val="center"/>
          </w:tcPr>
          <w:p w14:paraId="3E53863F"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4</w:t>
            </w:r>
          </w:p>
        </w:tc>
        <w:tc>
          <w:tcPr>
            <w:tcW w:w="937" w:type="pct"/>
            <w:vAlign w:val="center"/>
          </w:tcPr>
          <w:p w14:paraId="255203BE" w14:textId="77777777" w:rsidR="00D12939" w:rsidRDefault="004F47F5">
            <w:pPr>
              <w:jc w:val="center"/>
            </w:pPr>
            <w:r>
              <w:rPr>
                <w:rFonts w:ascii="Times New Roman" w:eastAsia="宋体" w:hAnsi="Times New Roman" w:cs="Times New Roman"/>
              </w:rPr>
              <w:t>70</w:t>
            </w:r>
          </w:p>
        </w:tc>
        <w:tc>
          <w:tcPr>
            <w:tcW w:w="766" w:type="pct"/>
            <w:vAlign w:val="center"/>
          </w:tcPr>
          <w:p w14:paraId="5666563B"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固定源</w:t>
            </w:r>
          </w:p>
        </w:tc>
      </w:tr>
      <w:tr w:rsidR="00D12939" w14:paraId="4F87A188" w14:textId="77777777">
        <w:trPr>
          <w:trHeight w:val="340"/>
          <w:jc w:val="center"/>
        </w:trPr>
        <w:tc>
          <w:tcPr>
            <w:tcW w:w="533" w:type="pct"/>
            <w:vAlign w:val="center"/>
          </w:tcPr>
          <w:p w14:paraId="3938750A"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11</w:t>
            </w:r>
          </w:p>
        </w:tc>
        <w:tc>
          <w:tcPr>
            <w:tcW w:w="1034" w:type="pct"/>
            <w:vMerge/>
            <w:vAlign w:val="center"/>
          </w:tcPr>
          <w:p w14:paraId="45EEDFCB" w14:textId="77777777" w:rsidR="00D12939" w:rsidRDefault="00D12939">
            <w:pPr>
              <w:pStyle w:val="affffd"/>
              <w:rPr>
                <w:rFonts w:ascii="Times New Roman" w:eastAsia="宋体" w:hAnsi="Times New Roman" w:cs="Times New Roman"/>
              </w:rPr>
            </w:pPr>
          </w:p>
        </w:tc>
        <w:tc>
          <w:tcPr>
            <w:tcW w:w="1131" w:type="pct"/>
            <w:vAlign w:val="center"/>
          </w:tcPr>
          <w:p w14:paraId="780C3C72"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膜吸水泵</w:t>
            </w:r>
          </w:p>
        </w:tc>
        <w:tc>
          <w:tcPr>
            <w:tcW w:w="599" w:type="pct"/>
            <w:vAlign w:val="center"/>
          </w:tcPr>
          <w:p w14:paraId="0877C91E"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2</w:t>
            </w:r>
          </w:p>
        </w:tc>
        <w:tc>
          <w:tcPr>
            <w:tcW w:w="937" w:type="pct"/>
            <w:vAlign w:val="center"/>
          </w:tcPr>
          <w:p w14:paraId="766B465B" w14:textId="77777777" w:rsidR="00D12939" w:rsidRDefault="004F47F5">
            <w:pPr>
              <w:jc w:val="center"/>
            </w:pPr>
            <w:r>
              <w:rPr>
                <w:rFonts w:ascii="Times New Roman" w:eastAsia="宋体" w:hAnsi="Times New Roman" w:cs="Times New Roman"/>
              </w:rPr>
              <w:t>70</w:t>
            </w:r>
          </w:p>
        </w:tc>
        <w:tc>
          <w:tcPr>
            <w:tcW w:w="766" w:type="pct"/>
            <w:vAlign w:val="center"/>
          </w:tcPr>
          <w:p w14:paraId="0C7715AF"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固定源</w:t>
            </w:r>
          </w:p>
        </w:tc>
      </w:tr>
      <w:tr w:rsidR="00D12939" w14:paraId="0C50778F" w14:textId="77777777">
        <w:trPr>
          <w:trHeight w:val="340"/>
          <w:jc w:val="center"/>
        </w:trPr>
        <w:tc>
          <w:tcPr>
            <w:tcW w:w="533" w:type="pct"/>
            <w:vAlign w:val="center"/>
          </w:tcPr>
          <w:p w14:paraId="214CB8C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12</w:t>
            </w:r>
          </w:p>
        </w:tc>
        <w:tc>
          <w:tcPr>
            <w:tcW w:w="1034" w:type="pct"/>
            <w:vMerge/>
            <w:vAlign w:val="center"/>
          </w:tcPr>
          <w:p w14:paraId="175939A8" w14:textId="77777777" w:rsidR="00D12939" w:rsidRDefault="00D12939">
            <w:pPr>
              <w:pStyle w:val="affffd"/>
              <w:rPr>
                <w:rFonts w:ascii="Times New Roman" w:eastAsia="宋体" w:hAnsi="Times New Roman" w:cs="Times New Roman"/>
              </w:rPr>
            </w:pPr>
          </w:p>
        </w:tc>
        <w:tc>
          <w:tcPr>
            <w:tcW w:w="1131" w:type="pct"/>
            <w:vAlign w:val="center"/>
          </w:tcPr>
          <w:p w14:paraId="55059E93"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回流泵</w:t>
            </w:r>
          </w:p>
        </w:tc>
        <w:tc>
          <w:tcPr>
            <w:tcW w:w="599" w:type="pct"/>
            <w:vAlign w:val="center"/>
          </w:tcPr>
          <w:p w14:paraId="53A13E40"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8</w:t>
            </w:r>
          </w:p>
        </w:tc>
        <w:tc>
          <w:tcPr>
            <w:tcW w:w="937" w:type="pct"/>
            <w:vAlign w:val="center"/>
          </w:tcPr>
          <w:p w14:paraId="6BDDF6B6" w14:textId="77777777" w:rsidR="00D12939" w:rsidRDefault="004F47F5">
            <w:pPr>
              <w:jc w:val="center"/>
            </w:pPr>
            <w:r>
              <w:rPr>
                <w:rFonts w:ascii="Times New Roman" w:eastAsia="宋体" w:hAnsi="Times New Roman" w:cs="Times New Roman"/>
              </w:rPr>
              <w:t>70</w:t>
            </w:r>
          </w:p>
        </w:tc>
        <w:tc>
          <w:tcPr>
            <w:tcW w:w="766" w:type="pct"/>
            <w:vAlign w:val="center"/>
          </w:tcPr>
          <w:p w14:paraId="3D4E9FAD"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固定源</w:t>
            </w:r>
          </w:p>
        </w:tc>
      </w:tr>
      <w:tr w:rsidR="00D12939" w14:paraId="4A375174" w14:textId="77777777">
        <w:trPr>
          <w:trHeight w:val="340"/>
          <w:jc w:val="center"/>
        </w:trPr>
        <w:tc>
          <w:tcPr>
            <w:tcW w:w="533" w:type="pct"/>
            <w:vAlign w:val="center"/>
          </w:tcPr>
          <w:p w14:paraId="060755E9"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1</w:t>
            </w:r>
            <w:r>
              <w:rPr>
                <w:rFonts w:ascii="Times New Roman" w:eastAsia="宋体" w:hAnsi="Times New Roman" w:cs="Times New Roman"/>
              </w:rPr>
              <w:t>3</w:t>
            </w:r>
          </w:p>
        </w:tc>
        <w:tc>
          <w:tcPr>
            <w:tcW w:w="1034" w:type="pct"/>
            <w:vMerge/>
            <w:vAlign w:val="center"/>
          </w:tcPr>
          <w:p w14:paraId="62777E85" w14:textId="77777777" w:rsidR="00D12939" w:rsidRDefault="00D12939">
            <w:pPr>
              <w:pStyle w:val="affffd"/>
              <w:rPr>
                <w:rFonts w:ascii="Times New Roman" w:eastAsia="宋体" w:hAnsi="Times New Roman" w:cs="Times New Roman"/>
              </w:rPr>
            </w:pPr>
          </w:p>
        </w:tc>
        <w:tc>
          <w:tcPr>
            <w:tcW w:w="1131" w:type="pct"/>
            <w:vAlign w:val="center"/>
          </w:tcPr>
          <w:p w14:paraId="1D3D9AF8"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污泥泵</w:t>
            </w:r>
          </w:p>
        </w:tc>
        <w:tc>
          <w:tcPr>
            <w:tcW w:w="599" w:type="pct"/>
            <w:vAlign w:val="center"/>
          </w:tcPr>
          <w:p w14:paraId="5F6EF016"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4</w:t>
            </w:r>
          </w:p>
        </w:tc>
        <w:tc>
          <w:tcPr>
            <w:tcW w:w="937" w:type="pct"/>
            <w:vAlign w:val="center"/>
          </w:tcPr>
          <w:p w14:paraId="3DFD6D95" w14:textId="77777777" w:rsidR="00D12939" w:rsidRDefault="004F47F5">
            <w:pPr>
              <w:jc w:val="center"/>
            </w:pPr>
            <w:r>
              <w:rPr>
                <w:rFonts w:ascii="Times New Roman" w:eastAsia="宋体" w:hAnsi="Times New Roman" w:cs="Times New Roman"/>
              </w:rPr>
              <w:t>70</w:t>
            </w:r>
          </w:p>
        </w:tc>
        <w:tc>
          <w:tcPr>
            <w:tcW w:w="766" w:type="pct"/>
            <w:vAlign w:val="center"/>
          </w:tcPr>
          <w:p w14:paraId="3E61D50E" w14:textId="77777777" w:rsidR="00D12939" w:rsidRDefault="004F47F5">
            <w:pPr>
              <w:jc w:val="center"/>
            </w:pPr>
            <w:r>
              <w:rPr>
                <w:rFonts w:ascii="Times New Roman" w:eastAsia="宋体" w:hAnsi="Times New Roman" w:cs="Times New Roman"/>
              </w:rPr>
              <w:t>固定源</w:t>
            </w:r>
          </w:p>
        </w:tc>
      </w:tr>
      <w:tr w:rsidR="00D12939" w14:paraId="45273896" w14:textId="77777777">
        <w:trPr>
          <w:trHeight w:val="340"/>
          <w:jc w:val="center"/>
        </w:trPr>
        <w:tc>
          <w:tcPr>
            <w:tcW w:w="533" w:type="pct"/>
            <w:vAlign w:val="center"/>
          </w:tcPr>
          <w:p w14:paraId="473CA10A"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1</w:t>
            </w:r>
            <w:r>
              <w:rPr>
                <w:rFonts w:ascii="Times New Roman" w:eastAsia="宋体" w:hAnsi="Times New Roman" w:cs="Times New Roman"/>
              </w:rPr>
              <w:t>4</w:t>
            </w:r>
          </w:p>
        </w:tc>
        <w:tc>
          <w:tcPr>
            <w:tcW w:w="1034" w:type="pct"/>
            <w:vMerge/>
            <w:vAlign w:val="center"/>
          </w:tcPr>
          <w:p w14:paraId="7BFAC490" w14:textId="77777777" w:rsidR="00D12939" w:rsidRDefault="00D12939">
            <w:pPr>
              <w:pStyle w:val="affffd"/>
              <w:rPr>
                <w:rFonts w:ascii="Times New Roman" w:eastAsia="宋体" w:hAnsi="Times New Roman" w:cs="Times New Roman"/>
              </w:rPr>
            </w:pPr>
          </w:p>
        </w:tc>
        <w:tc>
          <w:tcPr>
            <w:tcW w:w="1131" w:type="pct"/>
            <w:vAlign w:val="center"/>
          </w:tcPr>
          <w:p w14:paraId="5E53B089"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叠螺压滤机</w:t>
            </w:r>
          </w:p>
        </w:tc>
        <w:tc>
          <w:tcPr>
            <w:tcW w:w="599" w:type="pct"/>
            <w:vAlign w:val="center"/>
          </w:tcPr>
          <w:p w14:paraId="4BA86B15"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1</w:t>
            </w:r>
          </w:p>
        </w:tc>
        <w:tc>
          <w:tcPr>
            <w:tcW w:w="937" w:type="pct"/>
            <w:vAlign w:val="center"/>
          </w:tcPr>
          <w:p w14:paraId="1720F360"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8</w:t>
            </w:r>
            <w:r>
              <w:rPr>
                <w:rFonts w:ascii="Times New Roman" w:eastAsia="宋体" w:hAnsi="Times New Roman" w:cs="Times New Roman"/>
              </w:rPr>
              <w:t>0</w:t>
            </w:r>
          </w:p>
        </w:tc>
        <w:tc>
          <w:tcPr>
            <w:tcW w:w="766" w:type="pct"/>
            <w:vAlign w:val="center"/>
          </w:tcPr>
          <w:p w14:paraId="66256F2F" w14:textId="77777777" w:rsidR="00D12939" w:rsidRDefault="004F47F5">
            <w:pPr>
              <w:jc w:val="center"/>
            </w:pPr>
            <w:r>
              <w:rPr>
                <w:rFonts w:ascii="Times New Roman" w:eastAsia="宋体" w:hAnsi="Times New Roman" w:cs="Times New Roman"/>
              </w:rPr>
              <w:t>固定源</w:t>
            </w:r>
          </w:p>
        </w:tc>
      </w:tr>
      <w:tr w:rsidR="00D12939" w14:paraId="32F8EDC8" w14:textId="77777777">
        <w:trPr>
          <w:trHeight w:val="340"/>
          <w:jc w:val="center"/>
        </w:trPr>
        <w:tc>
          <w:tcPr>
            <w:tcW w:w="533" w:type="pct"/>
            <w:vAlign w:val="center"/>
          </w:tcPr>
          <w:p w14:paraId="0CB2BC85"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1</w:t>
            </w:r>
            <w:r>
              <w:rPr>
                <w:rFonts w:ascii="Times New Roman" w:eastAsia="宋体" w:hAnsi="Times New Roman" w:cs="Times New Roman"/>
              </w:rPr>
              <w:t>5</w:t>
            </w:r>
          </w:p>
        </w:tc>
        <w:tc>
          <w:tcPr>
            <w:tcW w:w="1034" w:type="pct"/>
            <w:vMerge/>
            <w:vAlign w:val="center"/>
          </w:tcPr>
          <w:p w14:paraId="3FF6EE9E" w14:textId="77777777" w:rsidR="00D12939" w:rsidRDefault="00D12939">
            <w:pPr>
              <w:pStyle w:val="affffd"/>
              <w:rPr>
                <w:rFonts w:ascii="Times New Roman" w:eastAsia="宋体" w:hAnsi="Times New Roman" w:cs="Times New Roman"/>
              </w:rPr>
            </w:pPr>
          </w:p>
        </w:tc>
        <w:tc>
          <w:tcPr>
            <w:tcW w:w="1131" w:type="pct"/>
            <w:vAlign w:val="center"/>
          </w:tcPr>
          <w:p w14:paraId="7F2CF4FE"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加药计量泵</w:t>
            </w:r>
          </w:p>
        </w:tc>
        <w:tc>
          <w:tcPr>
            <w:tcW w:w="599" w:type="pct"/>
            <w:vAlign w:val="center"/>
          </w:tcPr>
          <w:p w14:paraId="7ABFAD0E"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1</w:t>
            </w:r>
            <w:r>
              <w:rPr>
                <w:rFonts w:ascii="Times New Roman" w:eastAsia="宋体" w:hAnsi="Times New Roman" w:cs="Times New Roman"/>
              </w:rPr>
              <w:t>3</w:t>
            </w:r>
          </w:p>
        </w:tc>
        <w:tc>
          <w:tcPr>
            <w:tcW w:w="937" w:type="pct"/>
            <w:vAlign w:val="center"/>
          </w:tcPr>
          <w:p w14:paraId="265EEACC"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7</w:t>
            </w:r>
            <w:r>
              <w:rPr>
                <w:rFonts w:ascii="Times New Roman" w:eastAsia="宋体" w:hAnsi="Times New Roman" w:cs="Times New Roman"/>
              </w:rPr>
              <w:t>0</w:t>
            </w:r>
          </w:p>
        </w:tc>
        <w:tc>
          <w:tcPr>
            <w:tcW w:w="766" w:type="pct"/>
            <w:vAlign w:val="center"/>
          </w:tcPr>
          <w:p w14:paraId="22625F90" w14:textId="77777777" w:rsidR="00D12939" w:rsidRDefault="004F47F5">
            <w:pPr>
              <w:jc w:val="center"/>
            </w:pPr>
            <w:r>
              <w:rPr>
                <w:rFonts w:ascii="Times New Roman" w:eastAsia="宋体" w:hAnsi="Times New Roman" w:cs="Times New Roman"/>
              </w:rPr>
              <w:t>固定源</w:t>
            </w:r>
          </w:p>
        </w:tc>
      </w:tr>
      <w:tr w:rsidR="00D12939" w14:paraId="7ED1E957" w14:textId="77777777">
        <w:trPr>
          <w:trHeight w:val="340"/>
          <w:jc w:val="center"/>
        </w:trPr>
        <w:tc>
          <w:tcPr>
            <w:tcW w:w="533" w:type="pct"/>
            <w:vAlign w:val="center"/>
          </w:tcPr>
          <w:p w14:paraId="12C6DCAA"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1</w:t>
            </w:r>
            <w:r>
              <w:rPr>
                <w:rFonts w:ascii="Times New Roman" w:eastAsia="宋体" w:hAnsi="Times New Roman" w:cs="Times New Roman"/>
              </w:rPr>
              <w:t>6</w:t>
            </w:r>
          </w:p>
        </w:tc>
        <w:tc>
          <w:tcPr>
            <w:tcW w:w="1034" w:type="pct"/>
            <w:vAlign w:val="center"/>
          </w:tcPr>
          <w:p w14:paraId="720C126A"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除臭系统</w:t>
            </w:r>
          </w:p>
        </w:tc>
        <w:tc>
          <w:tcPr>
            <w:tcW w:w="1131" w:type="pct"/>
            <w:vAlign w:val="center"/>
          </w:tcPr>
          <w:p w14:paraId="542B503D"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风机</w:t>
            </w:r>
          </w:p>
        </w:tc>
        <w:tc>
          <w:tcPr>
            <w:tcW w:w="599" w:type="pct"/>
            <w:vAlign w:val="center"/>
          </w:tcPr>
          <w:p w14:paraId="1CB20503"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2</w:t>
            </w:r>
          </w:p>
        </w:tc>
        <w:tc>
          <w:tcPr>
            <w:tcW w:w="937" w:type="pct"/>
            <w:vAlign w:val="center"/>
          </w:tcPr>
          <w:p w14:paraId="7476F730"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9</w:t>
            </w:r>
            <w:r>
              <w:rPr>
                <w:rFonts w:ascii="Times New Roman" w:eastAsia="宋体" w:hAnsi="Times New Roman" w:cs="Times New Roman"/>
              </w:rPr>
              <w:t>5</w:t>
            </w:r>
          </w:p>
        </w:tc>
        <w:tc>
          <w:tcPr>
            <w:tcW w:w="766" w:type="pct"/>
            <w:vAlign w:val="center"/>
          </w:tcPr>
          <w:p w14:paraId="12F5E7FF" w14:textId="77777777" w:rsidR="00D12939" w:rsidRDefault="004F47F5">
            <w:pPr>
              <w:jc w:val="center"/>
            </w:pPr>
            <w:r>
              <w:rPr>
                <w:rFonts w:ascii="Times New Roman" w:eastAsia="宋体" w:hAnsi="Times New Roman" w:cs="Times New Roman"/>
              </w:rPr>
              <w:t>固定源</w:t>
            </w:r>
          </w:p>
        </w:tc>
      </w:tr>
    </w:tbl>
    <w:p w14:paraId="55F1A84A"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4.2.3.4</w:t>
      </w:r>
      <w:r>
        <w:rPr>
          <w:rFonts w:ascii="宋体" w:eastAsia="宋体" w:hAnsi="宋体" w:hint="eastAsia"/>
          <w:sz w:val="24"/>
        </w:rPr>
        <w:t>固体废弃物</w:t>
      </w:r>
    </w:p>
    <w:p w14:paraId="32D1F820"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本项目产生的固体废物主要是生活垃圾、污水处理产生的污泥、</w:t>
      </w:r>
      <w:r>
        <w:rPr>
          <w:rFonts w:ascii="Times New Roman" w:eastAsia="宋体" w:hAnsi="Times New Roman" w:cs="Times New Roman" w:hint="eastAsia"/>
          <w:kern w:val="0"/>
          <w:sz w:val="24"/>
          <w:szCs w:val="24"/>
        </w:rPr>
        <w:t>废机油、渗滤液处理站废膜、污水处理药品和除臭剂废包装等。</w:t>
      </w:r>
    </w:p>
    <w:p w14:paraId="3C28A3E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）生活垃圾</w:t>
      </w:r>
    </w:p>
    <w:p w14:paraId="7E251C00"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本项目劳动定员</w:t>
      </w:r>
      <w:r>
        <w:rPr>
          <w:rFonts w:ascii="Times New Roman" w:eastAsia="宋体" w:hAnsi="Times New Roman" w:cs="Times New Roman"/>
          <w:kern w:val="0"/>
          <w:sz w:val="24"/>
          <w:szCs w:val="24"/>
        </w:rPr>
        <w:t>16</w:t>
      </w:r>
      <w:r>
        <w:rPr>
          <w:rFonts w:ascii="Times New Roman" w:eastAsia="宋体" w:hAnsi="Times New Roman" w:cs="Times New Roman"/>
          <w:kern w:val="0"/>
          <w:sz w:val="24"/>
          <w:szCs w:val="24"/>
        </w:rPr>
        <w:t>人，按每人每天产生生活垃圾</w:t>
      </w:r>
      <w:r>
        <w:rPr>
          <w:rFonts w:ascii="Times New Roman" w:eastAsia="宋体" w:hAnsi="Times New Roman" w:cs="Times New Roman"/>
          <w:kern w:val="0"/>
          <w:sz w:val="24"/>
          <w:szCs w:val="24"/>
        </w:rPr>
        <w:t xml:space="preserve">0.5kg </w:t>
      </w:r>
      <w:r>
        <w:rPr>
          <w:rFonts w:ascii="Times New Roman" w:eastAsia="宋体" w:hAnsi="Times New Roman" w:cs="Times New Roman"/>
          <w:kern w:val="0"/>
          <w:sz w:val="24"/>
          <w:szCs w:val="24"/>
        </w:rPr>
        <w:t>计，则垃圾产生量为</w:t>
      </w:r>
      <w:r>
        <w:rPr>
          <w:rFonts w:ascii="Times New Roman" w:eastAsia="宋体" w:hAnsi="Times New Roman" w:cs="Times New Roman"/>
          <w:kern w:val="0"/>
          <w:sz w:val="24"/>
          <w:szCs w:val="24"/>
        </w:rPr>
        <w:t>2.92t/a</w:t>
      </w:r>
      <w:r>
        <w:rPr>
          <w:rFonts w:ascii="Times New Roman" w:eastAsia="宋体" w:hAnsi="Times New Roman" w:cs="Times New Roman" w:hint="eastAsia"/>
          <w:kern w:val="0"/>
          <w:sz w:val="24"/>
          <w:szCs w:val="24"/>
        </w:rPr>
        <w:t>，分类</w:t>
      </w:r>
      <w:r>
        <w:rPr>
          <w:rFonts w:ascii="Times New Roman" w:eastAsia="宋体" w:hAnsi="Times New Roman" w:cs="Times New Roman" w:hint="eastAsia"/>
          <w:kern w:val="0"/>
          <w:sz w:val="24"/>
          <w:szCs w:val="24"/>
        </w:rPr>
        <w:lastRenderedPageBreak/>
        <w:t>收集后直接运至本项目填埋区进行填埋。</w:t>
      </w:r>
    </w:p>
    <w:p w14:paraId="70B01D97"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）污泥</w:t>
      </w:r>
    </w:p>
    <w:p w14:paraId="2F6C11C8"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渗滤液处理系统会产生污泥，污泥经</w:t>
      </w:r>
      <w:r>
        <w:rPr>
          <w:rFonts w:ascii="Times New Roman" w:eastAsia="宋体" w:hAnsi="Times New Roman" w:cs="Times New Roman"/>
          <w:kern w:val="0"/>
          <w:sz w:val="24"/>
          <w:szCs w:val="24"/>
        </w:rPr>
        <w:t>厢式隔膜压滤脱水机进行脱水，脱水后为含水率约</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的泥饼</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运至本项目填埋区卫生填埋</w:t>
      </w:r>
      <w:r>
        <w:rPr>
          <w:rFonts w:ascii="Times New Roman" w:eastAsia="宋体" w:hAnsi="Times New Roman" w:cs="Times New Roman" w:hint="eastAsia"/>
          <w:kern w:val="0"/>
          <w:sz w:val="24"/>
          <w:szCs w:val="24"/>
        </w:rPr>
        <w:t>，每年产生的脱水污泥约为</w:t>
      </w:r>
      <w:r>
        <w:rPr>
          <w:rFonts w:ascii="Times New Roman" w:eastAsia="宋体" w:hAnsi="Times New Roman" w:cs="Times New Roman"/>
          <w:kern w:val="0"/>
          <w:sz w:val="24"/>
          <w:szCs w:val="24"/>
        </w:rPr>
        <w:t>88.97</w:t>
      </w:r>
      <w:r>
        <w:rPr>
          <w:rFonts w:ascii="Times New Roman" w:eastAsia="宋体" w:hAnsi="Times New Roman" w:cs="Times New Roman" w:hint="eastAsia"/>
          <w:kern w:val="0"/>
          <w:sz w:val="24"/>
          <w:szCs w:val="24"/>
        </w:rPr>
        <w:t>t</w:t>
      </w:r>
      <w:r>
        <w:rPr>
          <w:rFonts w:ascii="Times New Roman" w:eastAsia="宋体" w:hAnsi="Times New Roman" w:cs="Times New Roman"/>
          <w:kern w:val="0"/>
          <w:sz w:val="24"/>
          <w:szCs w:val="24"/>
        </w:rPr>
        <w:t>/</w:t>
      </w:r>
      <w:r>
        <w:rPr>
          <w:rFonts w:ascii="Times New Roman" w:eastAsia="宋体" w:hAnsi="Times New Roman" w:cs="Times New Roman" w:hint="eastAsia"/>
          <w:kern w:val="0"/>
          <w:sz w:val="24"/>
          <w:szCs w:val="24"/>
        </w:rPr>
        <w:t>a</w:t>
      </w:r>
      <w:r>
        <w:rPr>
          <w:rFonts w:ascii="Times New Roman" w:eastAsia="宋体" w:hAnsi="Times New Roman" w:cs="Times New Roman"/>
          <w:kern w:val="0"/>
          <w:sz w:val="24"/>
          <w:szCs w:val="24"/>
        </w:rPr>
        <w:t>（含水率约</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w:t>
      </w:r>
      <w:r>
        <w:rPr>
          <w:rFonts w:ascii="Times New Roman" w:eastAsia="宋体" w:hAnsi="Times New Roman" w:cs="Times New Roman" w:hint="eastAsia"/>
          <w:kern w:val="0"/>
          <w:sz w:val="24"/>
          <w:szCs w:val="24"/>
        </w:rPr>
        <w:t>。</w:t>
      </w:r>
    </w:p>
    <w:p w14:paraId="5FF2FD19"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w:t>
      </w:r>
      <w:r>
        <w:rPr>
          <w:rFonts w:ascii="Times New Roman" w:eastAsia="宋体" w:hAnsi="Times New Roman" w:cs="Times New Roman" w:hint="eastAsia"/>
          <w:kern w:val="0"/>
          <w:sz w:val="24"/>
          <w:szCs w:val="24"/>
        </w:rPr>
        <w:t>废机油</w:t>
      </w:r>
    </w:p>
    <w:p w14:paraId="07E480F3"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本项目运营期在垃圾填埋和污水处理等过程中使用较多的机械设备，需要定期进行维修和保养，保持设备较好的工作状态，降低噪声等污染，过程中会产生废机油等，</w:t>
      </w:r>
      <w:r>
        <w:rPr>
          <w:rFonts w:ascii="Times New Roman" w:eastAsia="宋体" w:hAnsi="Times New Roman" w:cs="Times New Roman"/>
          <w:kern w:val="0"/>
          <w:sz w:val="24"/>
          <w:szCs w:val="24"/>
        </w:rPr>
        <w:t>属于</w:t>
      </w:r>
      <w:r>
        <w:rPr>
          <w:rFonts w:ascii="Times New Roman" w:eastAsia="宋体" w:hAnsi="Times New Roman" w:cs="Times New Roman" w:hint="eastAsia"/>
          <w:kern w:val="0"/>
          <w:sz w:val="24"/>
          <w:szCs w:val="24"/>
        </w:rPr>
        <w:t>危险废物（</w:t>
      </w:r>
      <w:r>
        <w:rPr>
          <w:rFonts w:ascii="Times New Roman" w:eastAsia="宋体" w:hAnsi="Times New Roman" w:cs="Times New Roman" w:hint="eastAsia"/>
          <w:kern w:val="0"/>
          <w:sz w:val="24"/>
          <w:szCs w:val="24"/>
        </w:rPr>
        <w:t>H</w:t>
      </w:r>
      <w:r>
        <w:rPr>
          <w:rFonts w:ascii="Times New Roman" w:eastAsia="宋体" w:hAnsi="Times New Roman" w:cs="Times New Roman"/>
          <w:kern w:val="0"/>
          <w:sz w:val="24"/>
          <w:szCs w:val="24"/>
        </w:rPr>
        <w:t>W08 900-214-08</w:t>
      </w:r>
      <w:r>
        <w:rPr>
          <w:rFonts w:ascii="Times New Roman" w:eastAsia="宋体" w:hAnsi="Times New Roman" w:cs="Times New Roman" w:hint="eastAsia"/>
          <w:kern w:val="0"/>
          <w:sz w:val="24"/>
          <w:szCs w:val="24"/>
        </w:rPr>
        <w:t>），产生量约为</w:t>
      </w:r>
      <w:r>
        <w:rPr>
          <w:rFonts w:ascii="Times New Roman" w:eastAsia="宋体" w:hAnsi="Times New Roman" w:cs="Times New Roman"/>
          <w:kern w:val="0"/>
          <w:sz w:val="24"/>
          <w:szCs w:val="24"/>
        </w:rPr>
        <w:t>0.5t/a</w:t>
      </w:r>
      <w:r>
        <w:rPr>
          <w:rFonts w:ascii="Times New Roman" w:eastAsia="宋体" w:hAnsi="Times New Roman" w:cs="Times New Roman"/>
          <w:kern w:val="0"/>
          <w:sz w:val="24"/>
          <w:szCs w:val="24"/>
        </w:rPr>
        <w:t>，收集</w:t>
      </w:r>
      <w:r>
        <w:rPr>
          <w:rFonts w:ascii="Times New Roman" w:eastAsia="宋体" w:hAnsi="Times New Roman" w:cs="Times New Roman" w:hint="eastAsia"/>
          <w:kern w:val="0"/>
          <w:sz w:val="24"/>
          <w:szCs w:val="24"/>
        </w:rPr>
        <w:t>后</w:t>
      </w:r>
      <w:r>
        <w:rPr>
          <w:rFonts w:ascii="Times New Roman" w:eastAsia="宋体" w:hAnsi="Times New Roman" w:cs="Times New Roman"/>
          <w:kern w:val="0"/>
          <w:sz w:val="24"/>
          <w:szCs w:val="24"/>
        </w:rPr>
        <w:t>暂存</w:t>
      </w:r>
      <w:r>
        <w:rPr>
          <w:rFonts w:ascii="Times New Roman" w:eastAsia="宋体" w:hAnsi="Times New Roman" w:cs="Times New Roman" w:hint="eastAsia"/>
          <w:kern w:val="0"/>
          <w:sz w:val="24"/>
          <w:szCs w:val="24"/>
        </w:rPr>
        <w:t>于危废暂存间</w:t>
      </w:r>
      <w:r>
        <w:rPr>
          <w:rFonts w:ascii="Times New Roman" w:eastAsia="宋体" w:hAnsi="Times New Roman" w:cs="Times New Roman"/>
          <w:kern w:val="0"/>
          <w:sz w:val="24"/>
          <w:szCs w:val="24"/>
        </w:rPr>
        <w:t>，定期交</w:t>
      </w:r>
      <w:r>
        <w:rPr>
          <w:rFonts w:ascii="Times New Roman" w:eastAsia="宋体" w:hAnsi="Times New Roman" w:cs="Times New Roman" w:hint="eastAsia"/>
          <w:kern w:val="0"/>
          <w:sz w:val="24"/>
          <w:szCs w:val="24"/>
        </w:rPr>
        <w:t>由有资质单位处置。</w:t>
      </w:r>
    </w:p>
    <w:p w14:paraId="6433AE16" w14:textId="77777777" w:rsidR="00D12939" w:rsidRDefault="004F47F5">
      <w:pPr>
        <w:autoSpaceDE w:val="0"/>
        <w:autoSpaceDN w:val="0"/>
        <w:adjustRightInd w:val="0"/>
        <w:spacing w:line="360" w:lineRule="auto"/>
        <w:ind w:firstLineChars="200" w:firstLine="480"/>
        <w:rPr>
          <w:rFonts w:ascii="宋体" w:eastAsia="宋体" w:cs="宋体"/>
          <w:kern w:val="0"/>
          <w:sz w:val="24"/>
          <w:szCs w:val="24"/>
        </w:rPr>
      </w:pPr>
      <w:r>
        <w:rPr>
          <w:rFonts w:ascii="Times New Roman" w:eastAsia="宋体" w:hAnsi="Times New Roman" w:cs="Times New Roman" w:hint="eastAsia"/>
          <w:kern w:val="0"/>
          <w:sz w:val="24"/>
          <w:szCs w:val="24"/>
        </w:rPr>
        <w:t>（</w:t>
      </w:r>
      <w:r>
        <w:rPr>
          <w:rFonts w:ascii="Times New Roman" w:eastAsia="宋体" w:hAnsi="Times New Roman" w:cs="Times New Roman" w:hint="eastAsia"/>
          <w:kern w:val="0"/>
          <w:sz w:val="24"/>
          <w:szCs w:val="24"/>
        </w:rPr>
        <w:t>4</w:t>
      </w:r>
      <w:r>
        <w:rPr>
          <w:rFonts w:ascii="Times New Roman" w:eastAsia="宋体" w:hAnsi="Times New Roman" w:cs="Times New Roman" w:hint="eastAsia"/>
          <w:kern w:val="0"/>
          <w:sz w:val="24"/>
          <w:szCs w:val="24"/>
        </w:rPr>
        <w:t>）</w:t>
      </w:r>
      <w:r>
        <w:rPr>
          <w:rFonts w:ascii="宋体" w:eastAsia="宋体" w:cs="宋体" w:hint="eastAsia"/>
          <w:kern w:val="0"/>
          <w:sz w:val="24"/>
          <w:szCs w:val="24"/>
        </w:rPr>
        <w:t>污水处理药品和除臭、杀虫剂等废包装瓶（袋）</w:t>
      </w:r>
    </w:p>
    <w:p w14:paraId="2DAA6A98"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项目在污水处理时用到化学药剂和填埋区域除臭杀虫等用到相关药剂的包装属于危废，产生量为</w:t>
      </w:r>
      <w:r>
        <w:rPr>
          <w:rFonts w:ascii="Times New Roman" w:eastAsia="宋体" w:hAnsi="Times New Roman" w:cs="Times New Roman"/>
          <w:kern w:val="0"/>
          <w:sz w:val="24"/>
          <w:szCs w:val="24"/>
        </w:rPr>
        <w:t>2.5t/a</w:t>
      </w:r>
      <w:r>
        <w:rPr>
          <w:rFonts w:ascii="Times New Roman" w:eastAsia="宋体" w:hAnsi="Times New Roman" w:cs="Times New Roman"/>
          <w:kern w:val="0"/>
          <w:sz w:val="24"/>
          <w:szCs w:val="24"/>
        </w:rPr>
        <w:t>，属于危废（</w:t>
      </w:r>
      <w:r>
        <w:rPr>
          <w:rFonts w:ascii="Times New Roman" w:eastAsia="宋体" w:hAnsi="Times New Roman" w:cs="Times New Roman"/>
          <w:kern w:val="0"/>
          <w:sz w:val="24"/>
          <w:szCs w:val="24"/>
        </w:rPr>
        <w:t>HW49 900-041-49</w:t>
      </w:r>
      <w:r>
        <w:rPr>
          <w:rFonts w:ascii="Times New Roman" w:eastAsia="宋体" w:hAnsi="Times New Roman" w:cs="Times New Roman"/>
          <w:kern w:val="0"/>
          <w:sz w:val="24"/>
          <w:szCs w:val="24"/>
        </w:rPr>
        <w:t>），收集后暂存于危废暂存间，定期交由有资质单位处置。</w:t>
      </w:r>
    </w:p>
    <w:p w14:paraId="7DC8129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宋体" w:eastAsia="宋体" w:cs="宋体" w:hint="eastAsia"/>
          <w:kern w:val="0"/>
          <w:sz w:val="24"/>
          <w:szCs w:val="24"/>
        </w:rPr>
        <w:t>（5）渗滤液处理站废膜</w:t>
      </w:r>
    </w:p>
    <w:p w14:paraId="7F7D6492"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本项目渗滤液处理系统的处理工艺采用“预处理</w:t>
      </w:r>
      <w:r>
        <w:rPr>
          <w:rFonts w:ascii="Times New Roman" w:eastAsia="宋体" w:hAnsi="Times New Roman" w:cs="Times New Roman"/>
          <w:sz w:val="24"/>
          <w:szCs w:val="24"/>
        </w:rPr>
        <w:t>-</w:t>
      </w:r>
      <w:r>
        <w:rPr>
          <w:rFonts w:ascii="Times New Roman" w:eastAsia="宋体" w:hAnsi="Times New Roman" w:cs="Times New Roman"/>
          <w:sz w:val="24"/>
          <w:szCs w:val="24"/>
        </w:rPr>
        <w:t>一体化反应池</w:t>
      </w:r>
      <w:r>
        <w:rPr>
          <w:rFonts w:ascii="Times New Roman" w:eastAsia="宋体" w:hAnsi="Times New Roman" w:cs="Times New Roman"/>
          <w:sz w:val="24"/>
          <w:szCs w:val="24"/>
        </w:rPr>
        <w:t>-</w:t>
      </w:r>
      <w:r>
        <w:rPr>
          <w:rFonts w:ascii="Times New Roman" w:eastAsia="宋体" w:hAnsi="Times New Roman" w:cs="Times New Roman"/>
          <w:sz w:val="24"/>
          <w:szCs w:val="24"/>
        </w:rPr>
        <w:t>气浮</w:t>
      </w:r>
      <w:r>
        <w:rPr>
          <w:rFonts w:ascii="Times New Roman" w:eastAsia="宋体" w:hAnsi="Times New Roman" w:cs="Times New Roman"/>
          <w:sz w:val="24"/>
          <w:szCs w:val="24"/>
        </w:rPr>
        <w:t>-</w:t>
      </w:r>
      <w:r>
        <w:rPr>
          <w:rFonts w:ascii="Times New Roman" w:eastAsia="宋体" w:hAnsi="Times New Roman" w:cs="Times New Roman"/>
          <w:sz w:val="24"/>
          <w:szCs w:val="24"/>
        </w:rPr>
        <w:t>斜板沉淀</w:t>
      </w:r>
      <w:r>
        <w:rPr>
          <w:rFonts w:ascii="Times New Roman" w:eastAsia="宋体" w:hAnsi="Times New Roman" w:cs="Times New Roman"/>
          <w:sz w:val="24"/>
          <w:szCs w:val="24"/>
        </w:rPr>
        <w:t>-A</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/O-MBR</w:t>
      </w:r>
      <w:r>
        <w:rPr>
          <w:rFonts w:ascii="Times New Roman" w:eastAsia="宋体" w:hAnsi="Times New Roman" w:cs="Times New Roman"/>
          <w:sz w:val="24"/>
          <w:szCs w:val="24"/>
        </w:rPr>
        <w:t>膜池</w:t>
      </w:r>
      <w:r>
        <w:rPr>
          <w:rFonts w:ascii="Times New Roman" w:eastAsia="宋体" w:hAnsi="Times New Roman" w:cs="Times New Roman"/>
          <w:sz w:val="24"/>
          <w:szCs w:val="24"/>
        </w:rPr>
        <w:t>-</w:t>
      </w:r>
      <w:r>
        <w:rPr>
          <w:rFonts w:ascii="Times New Roman" w:eastAsia="宋体" w:hAnsi="Times New Roman" w:cs="Times New Roman"/>
          <w:sz w:val="24"/>
          <w:szCs w:val="24"/>
        </w:rPr>
        <w:t>纳滤</w:t>
      </w:r>
      <w:r>
        <w:rPr>
          <w:rFonts w:ascii="Times New Roman" w:eastAsia="宋体" w:hAnsi="Times New Roman" w:cs="Times New Roman"/>
          <w:sz w:val="24"/>
          <w:szCs w:val="24"/>
        </w:rPr>
        <w:t>-</w:t>
      </w:r>
      <w:r>
        <w:rPr>
          <w:rFonts w:ascii="Times New Roman" w:eastAsia="宋体" w:hAnsi="Times New Roman" w:cs="Times New Roman"/>
          <w:sz w:val="24"/>
          <w:szCs w:val="24"/>
        </w:rPr>
        <w:t>反渗透</w:t>
      </w:r>
      <w:r>
        <w:rPr>
          <w:rFonts w:ascii="Times New Roman" w:eastAsia="宋体" w:hAnsi="Times New Roman" w:cs="Times New Roman"/>
          <w:sz w:val="24"/>
          <w:szCs w:val="24"/>
        </w:rPr>
        <w:t>”</w:t>
      </w:r>
      <w:r>
        <w:rPr>
          <w:rFonts w:ascii="Times New Roman" w:eastAsia="宋体" w:hAnsi="Times New Roman" w:cs="Times New Roman"/>
          <w:sz w:val="24"/>
          <w:szCs w:val="24"/>
        </w:rPr>
        <w:t>，虽定期进行膜的反冲洗以提高处理效率，但经</w:t>
      </w:r>
      <w:r>
        <w:rPr>
          <w:rFonts w:ascii="Times New Roman" w:eastAsia="宋体" w:hAnsi="Times New Roman" w:cs="Times New Roman" w:hint="eastAsia"/>
          <w:sz w:val="24"/>
          <w:szCs w:val="24"/>
        </w:rPr>
        <w:t>一段时间污水处理后膜会失效，一般</w:t>
      </w:r>
      <w:r>
        <w:rPr>
          <w:rFonts w:ascii="Times New Roman" w:eastAsia="宋体" w:hAnsi="Times New Roman" w:cs="Times New Roman"/>
          <w:sz w:val="24"/>
          <w:szCs w:val="24"/>
        </w:rPr>
        <w:t xml:space="preserve">3~5 </w:t>
      </w:r>
      <w:r>
        <w:rPr>
          <w:rFonts w:ascii="Times New Roman" w:eastAsia="宋体" w:hAnsi="Times New Roman" w:cs="Times New Roman"/>
          <w:sz w:val="24"/>
          <w:szCs w:val="24"/>
        </w:rPr>
        <w:t>年更换一次，产生量为</w:t>
      </w:r>
      <w:r>
        <w:rPr>
          <w:rFonts w:ascii="Times New Roman" w:eastAsia="宋体" w:hAnsi="Times New Roman" w:cs="Times New Roman"/>
          <w:sz w:val="24"/>
          <w:szCs w:val="24"/>
        </w:rPr>
        <w:t>0.5t/</w:t>
      </w:r>
      <w:r>
        <w:rPr>
          <w:rFonts w:ascii="Times New Roman" w:eastAsia="宋体" w:hAnsi="Times New Roman" w:cs="Times New Roman"/>
          <w:sz w:val="24"/>
          <w:szCs w:val="24"/>
        </w:rPr>
        <w:t>次，属于危</w:t>
      </w:r>
      <w:r>
        <w:rPr>
          <w:rFonts w:ascii="Times New Roman" w:eastAsia="宋体" w:hAnsi="Times New Roman" w:cs="Times New Roman" w:hint="eastAsia"/>
          <w:sz w:val="24"/>
          <w:szCs w:val="24"/>
        </w:rPr>
        <w:t>废，</w:t>
      </w:r>
      <w:r>
        <w:rPr>
          <w:rFonts w:ascii="Times New Roman" w:eastAsia="宋体" w:hAnsi="Times New Roman" w:cs="Times New Roman"/>
          <w:kern w:val="0"/>
          <w:sz w:val="24"/>
          <w:szCs w:val="24"/>
        </w:rPr>
        <w:t>收集后暂存于危废暂存间</w:t>
      </w:r>
      <w:r>
        <w:rPr>
          <w:rFonts w:ascii="Times New Roman" w:eastAsia="宋体" w:hAnsi="Times New Roman" w:cs="Times New Roman" w:hint="eastAsia"/>
          <w:sz w:val="24"/>
          <w:szCs w:val="24"/>
        </w:rPr>
        <w:t>，定期交由有资质单位处置。</w:t>
      </w:r>
    </w:p>
    <w:p w14:paraId="088826DC" w14:textId="77777777" w:rsidR="00D12939" w:rsidRDefault="004F47F5">
      <w:pPr>
        <w:autoSpaceDE w:val="0"/>
        <w:autoSpaceDN w:val="0"/>
        <w:adjustRightInd w:val="0"/>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sz w:val="24"/>
          <w:szCs w:val="24"/>
        </w:rPr>
        <w:t>本项目固体废物产生量及处置措施见表</w:t>
      </w:r>
      <w:r>
        <w:rPr>
          <w:rFonts w:ascii="Times New Roman" w:eastAsia="宋体" w:hAnsi="Times New Roman" w:cs="Times New Roman"/>
          <w:sz w:val="24"/>
          <w:szCs w:val="24"/>
        </w:rPr>
        <w:t>4.2-15</w:t>
      </w:r>
      <w:r>
        <w:rPr>
          <w:rFonts w:ascii="Times New Roman" w:eastAsia="宋体" w:hAnsi="Times New Roman" w:cs="Times New Roman"/>
          <w:sz w:val="24"/>
          <w:szCs w:val="24"/>
        </w:rPr>
        <w:t>。</w:t>
      </w:r>
    </w:p>
    <w:p w14:paraId="6A477619" w14:textId="77777777" w:rsidR="00D12939" w:rsidRDefault="004F47F5">
      <w:pPr>
        <w:pStyle w:val="a5"/>
        <w:ind w:firstLine="480"/>
        <w:rPr>
          <w:rFonts w:ascii="黑体" w:eastAsia="黑体" w:hAnsi="黑体"/>
          <w:sz w:val="24"/>
          <w:szCs w:val="21"/>
        </w:rPr>
      </w:pPr>
      <w:r>
        <w:rPr>
          <w:rFonts w:ascii="黑体" w:eastAsia="黑体" w:hAnsi="黑体"/>
          <w:sz w:val="24"/>
          <w:szCs w:val="21"/>
        </w:rPr>
        <w:t>表4.2-15       本项目固体废弃物产生一览表</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108"/>
        <w:gridCol w:w="699"/>
        <w:gridCol w:w="1252"/>
        <w:gridCol w:w="1767"/>
        <w:gridCol w:w="709"/>
        <w:gridCol w:w="1176"/>
        <w:gridCol w:w="846"/>
        <w:gridCol w:w="1663"/>
      </w:tblGrid>
      <w:tr w:rsidR="00D12939" w14:paraId="1B2E4A25" w14:textId="77777777">
        <w:tc>
          <w:tcPr>
            <w:tcW w:w="556" w:type="dxa"/>
            <w:vAlign w:val="center"/>
          </w:tcPr>
          <w:p w14:paraId="528A956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108" w:type="dxa"/>
            <w:vAlign w:val="center"/>
          </w:tcPr>
          <w:p w14:paraId="2992F8C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废物名称</w:t>
            </w:r>
          </w:p>
        </w:tc>
        <w:tc>
          <w:tcPr>
            <w:tcW w:w="699" w:type="dxa"/>
            <w:vAlign w:val="center"/>
          </w:tcPr>
          <w:p w14:paraId="065E81A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属性</w:t>
            </w:r>
          </w:p>
        </w:tc>
        <w:tc>
          <w:tcPr>
            <w:tcW w:w="1252" w:type="dxa"/>
            <w:vAlign w:val="center"/>
          </w:tcPr>
          <w:p w14:paraId="72A170B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危废代码</w:t>
            </w:r>
          </w:p>
        </w:tc>
        <w:tc>
          <w:tcPr>
            <w:tcW w:w="1767" w:type="dxa"/>
            <w:vAlign w:val="center"/>
          </w:tcPr>
          <w:p w14:paraId="366EC08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产生工序</w:t>
            </w:r>
          </w:p>
        </w:tc>
        <w:tc>
          <w:tcPr>
            <w:tcW w:w="709" w:type="dxa"/>
            <w:vAlign w:val="center"/>
          </w:tcPr>
          <w:p w14:paraId="51DDBC8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形态</w:t>
            </w:r>
          </w:p>
        </w:tc>
        <w:tc>
          <w:tcPr>
            <w:tcW w:w="1176" w:type="dxa"/>
            <w:vAlign w:val="center"/>
          </w:tcPr>
          <w:p w14:paraId="4297A3E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主要成分</w:t>
            </w:r>
          </w:p>
        </w:tc>
        <w:tc>
          <w:tcPr>
            <w:tcW w:w="846" w:type="dxa"/>
            <w:vAlign w:val="center"/>
          </w:tcPr>
          <w:p w14:paraId="4E77824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产生量（</w:t>
            </w:r>
            <w:r>
              <w:rPr>
                <w:rFonts w:ascii="Times New Roman" w:eastAsia="宋体" w:hAnsi="Times New Roman" w:cs="Times New Roman"/>
                <w:szCs w:val="21"/>
              </w:rPr>
              <w:t>t/a</w:t>
            </w:r>
            <w:r>
              <w:rPr>
                <w:rFonts w:ascii="Times New Roman" w:eastAsia="宋体" w:hAnsi="Times New Roman" w:cs="Times New Roman"/>
                <w:szCs w:val="21"/>
              </w:rPr>
              <w:t>）</w:t>
            </w:r>
          </w:p>
        </w:tc>
        <w:tc>
          <w:tcPr>
            <w:tcW w:w="1663" w:type="dxa"/>
            <w:vAlign w:val="center"/>
          </w:tcPr>
          <w:p w14:paraId="59CCA6F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利用处置方式</w:t>
            </w:r>
          </w:p>
        </w:tc>
      </w:tr>
      <w:tr w:rsidR="00D12939" w14:paraId="197CFA30" w14:textId="77777777">
        <w:tc>
          <w:tcPr>
            <w:tcW w:w="556" w:type="dxa"/>
            <w:vAlign w:val="center"/>
          </w:tcPr>
          <w:p w14:paraId="59DF1CF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1108" w:type="dxa"/>
            <w:vAlign w:val="center"/>
          </w:tcPr>
          <w:p w14:paraId="5F664FE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生活垃圾</w:t>
            </w:r>
          </w:p>
        </w:tc>
        <w:tc>
          <w:tcPr>
            <w:tcW w:w="699" w:type="dxa"/>
            <w:vMerge w:val="restart"/>
            <w:vAlign w:val="center"/>
          </w:tcPr>
          <w:p w14:paraId="7313F82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一般固废</w:t>
            </w:r>
          </w:p>
        </w:tc>
        <w:tc>
          <w:tcPr>
            <w:tcW w:w="1252" w:type="dxa"/>
            <w:vAlign w:val="center"/>
          </w:tcPr>
          <w:p w14:paraId="6024DD7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767" w:type="dxa"/>
            <w:vAlign w:val="center"/>
          </w:tcPr>
          <w:p w14:paraId="0150251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管理区</w:t>
            </w:r>
          </w:p>
        </w:tc>
        <w:tc>
          <w:tcPr>
            <w:tcW w:w="709" w:type="dxa"/>
            <w:vAlign w:val="center"/>
          </w:tcPr>
          <w:p w14:paraId="7AAB086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176" w:type="dxa"/>
            <w:vAlign w:val="center"/>
          </w:tcPr>
          <w:p w14:paraId="0E6DD0E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纸张、瓜果皮等</w:t>
            </w:r>
          </w:p>
        </w:tc>
        <w:tc>
          <w:tcPr>
            <w:tcW w:w="846" w:type="dxa"/>
            <w:vAlign w:val="center"/>
          </w:tcPr>
          <w:p w14:paraId="25F3F49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2.92</w:t>
            </w:r>
          </w:p>
        </w:tc>
        <w:tc>
          <w:tcPr>
            <w:tcW w:w="1663" w:type="dxa"/>
            <w:vAlign w:val="center"/>
          </w:tcPr>
          <w:p w14:paraId="1AFA904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收集后运至填埋区卫生填埋</w:t>
            </w:r>
          </w:p>
        </w:tc>
      </w:tr>
      <w:tr w:rsidR="00D12939" w14:paraId="019640F4" w14:textId="77777777">
        <w:tc>
          <w:tcPr>
            <w:tcW w:w="556" w:type="dxa"/>
            <w:vAlign w:val="center"/>
          </w:tcPr>
          <w:p w14:paraId="6A96BE7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1108" w:type="dxa"/>
            <w:vAlign w:val="center"/>
          </w:tcPr>
          <w:p w14:paraId="3416539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脱水污泥</w:t>
            </w:r>
          </w:p>
        </w:tc>
        <w:tc>
          <w:tcPr>
            <w:tcW w:w="699" w:type="dxa"/>
            <w:vMerge/>
            <w:vAlign w:val="center"/>
          </w:tcPr>
          <w:p w14:paraId="5792B38E" w14:textId="77777777" w:rsidR="00D12939" w:rsidRDefault="00D12939">
            <w:pPr>
              <w:jc w:val="center"/>
              <w:rPr>
                <w:rFonts w:ascii="Times New Roman" w:eastAsia="宋体" w:hAnsi="Times New Roman" w:cs="Times New Roman"/>
                <w:szCs w:val="21"/>
              </w:rPr>
            </w:pPr>
          </w:p>
        </w:tc>
        <w:tc>
          <w:tcPr>
            <w:tcW w:w="1252" w:type="dxa"/>
            <w:vAlign w:val="center"/>
          </w:tcPr>
          <w:p w14:paraId="31FF42A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1767" w:type="dxa"/>
            <w:vAlign w:val="center"/>
          </w:tcPr>
          <w:p w14:paraId="28ACC20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渗滤液处理站</w:t>
            </w:r>
          </w:p>
        </w:tc>
        <w:tc>
          <w:tcPr>
            <w:tcW w:w="709" w:type="dxa"/>
            <w:vAlign w:val="center"/>
          </w:tcPr>
          <w:p w14:paraId="069B893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176" w:type="dxa"/>
            <w:vAlign w:val="center"/>
          </w:tcPr>
          <w:p w14:paraId="17EAD4B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污泥</w:t>
            </w:r>
          </w:p>
        </w:tc>
        <w:tc>
          <w:tcPr>
            <w:tcW w:w="846" w:type="dxa"/>
            <w:vAlign w:val="center"/>
          </w:tcPr>
          <w:p w14:paraId="26EE9DD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88.97</w:t>
            </w:r>
          </w:p>
        </w:tc>
        <w:tc>
          <w:tcPr>
            <w:tcW w:w="1663" w:type="dxa"/>
            <w:vAlign w:val="center"/>
          </w:tcPr>
          <w:p w14:paraId="2B29E72C" w14:textId="77777777" w:rsidR="00D12939" w:rsidRDefault="004F47F5">
            <w:pPr>
              <w:rPr>
                <w:rFonts w:ascii="Times New Roman" w:eastAsia="宋体" w:hAnsi="Times New Roman" w:cs="Times New Roman"/>
                <w:szCs w:val="21"/>
              </w:rPr>
            </w:pPr>
            <w:r>
              <w:rPr>
                <w:rFonts w:ascii="Times New Roman" w:eastAsia="宋体" w:hAnsi="Times New Roman" w:cs="Times New Roman"/>
                <w:szCs w:val="21"/>
              </w:rPr>
              <w:t>运至填埋区卫生填埋</w:t>
            </w:r>
          </w:p>
        </w:tc>
      </w:tr>
      <w:tr w:rsidR="00D12939" w14:paraId="44B0F59B" w14:textId="77777777">
        <w:tc>
          <w:tcPr>
            <w:tcW w:w="556" w:type="dxa"/>
            <w:vAlign w:val="center"/>
          </w:tcPr>
          <w:p w14:paraId="7C468C6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1108" w:type="dxa"/>
            <w:vAlign w:val="center"/>
          </w:tcPr>
          <w:p w14:paraId="3986563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废机油</w:t>
            </w:r>
          </w:p>
        </w:tc>
        <w:tc>
          <w:tcPr>
            <w:tcW w:w="699" w:type="dxa"/>
            <w:vMerge w:val="restart"/>
            <w:vAlign w:val="center"/>
          </w:tcPr>
          <w:p w14:paraId="71A663E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危险废物</w:t>
            </w:r>
          </w:p>
        </w:tc>
        <w:tc>
          <w:tcPr>
            <w:tcW w:w="1252" w:type="dxa"/>
            <w:vAlign w:val="center"/>
          </w:tcPr>
          <w:p w14:paraId="175392A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900-214-08</w:t>
            </w:r>
          </w:p>
        </w:tc>
        <w:tc>
          <w:tcPr>
            <w:tcW w:w="1767" w:type="dxa"/>
            <w:vAlign w:val="center"/>
          </w:tcPr>
          <w:p w14:paraId="7C2DBC5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机械设备保养维修</w:t>
            </w:r>
          </w:p>
        </w:tc>
        <w:tc>
          <w:tcPr>
            <w:tcW w:w="709" w:type="dxa"/>
            <w:vAlign w:val="center"/>
          </w:tcPr>
          <w:p w14:paraId="019F9E9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液态</w:t>
            </w:r>
          </w:p>
        </w:tc>
        <w:tc>
          <w:tcPr>
            <w:tcW w:w="1176" w:type="dxa"/>
            <w:vAlign w:val="center"/>
          </w:tcPr>
          <w:p w14:paraId="6392DA7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矿物油</w:t>
            </w:r>
          </w:p>
        </w:tc>
        <w:tc>
          <w:tcPr>
            <w:tcW w:w="846" w:type="dxa"/>
            <w:vAlign w:val="center"/>
          </w:tcPr>
          <w:p w14:paraId="13D322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0.5</w:t>
            </w:r>
          </w:p>
        </w:tc>
        <w:tc>
          <w:tcPr>
            <w:tcW w:w="1663" w:type="dxa"/>
            <w:vMerge w:val="restart"/>
            <w:vAlign w:val="center"/>
          </w:tcPr>
          <w:p w14:paraId="25F1B4C7" w14:textId="77777777" w:rsidR="00D12939" w:rsidRDefault="004F47F5">
            <w:pPr>
              <w:rPr>
                <w:rFonts w:ascii="Times New Roman" w:eastAsia="宋体" w:hAnsi="Times New Roman" w:cs="Times New Roman"/>
                <w:szCs w:val="21"/>
              </w:rPr>
            </w:pPr>
            <w:r>
              <w:rPr>
                <w:rFonts w:ascii="Times New Roman" w:eastAsia="宋体" w:hAnsi="Times New Roman" w:cs="Times New Roman"/>
                <w:szCs w:val="21"/>
              </w:rPr>
              <w:t>分类收集后暂存危废暂存间，定期交由有资质单位处置</w:t>
            </w:r>
          </w:p>
        </w:tc>
      </w:tr>
      <w:tr w:rsidR="00D12939" w14:paraId="4C0E6ACF" w14:textId="77777777">
        <w:tc>
          <w:tcPr>
            <w:tcW w:w="556" w:type="dxa"/>
            <w:vAlign w:val="center"/>
          </w:tcPr>
          <w:p w14:paraId="53CB27C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1108" w:type="dxa"/>
            <w:vAlign w:val="center"/>
          </w:tcPr>
          <w:p w14:paraId="33C2E44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废包装</w:t>
            </w:r>
          </w:p>
        </w:tc>
        <w:tc>
          <w:tcPr>
            <w:tcW w:w="699" w:type="dxa"/>
            <w:vMerge/>
            <w:vAlign w:val="center"/>
          </w:tcPr>
          <w:p w14:paraId="56BC347C" w14:textId="77777777" w:rsidR="00D12939" w:rsidRDefault="00D12939">
            <w:pPr>
              <w:jc w:val="center"/>
              <w:rPr>
                <w:rFonts w:ascii="Times New Roman" w:eastAsia="宋体" w:hAnsi="Times New Roman" w:cs="Times New Roman"/>
                <w:szCs w:val="21"/>
              </w:rPr>
            </w:pPr>
          </w:p>
        </w:tc>
        <w:tc>
          <w:tcPr>
            <w:tcW w:w="1252" w:type="dxa"/>
            <w:vAlign w:val="center"/>
          </w:tcPr>
          <w:p w14:paraId="0D3657D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900-041-49</w:t>
            </w:r>
          </w:p>
        </w:tc>
        <w:tc>
          <w:tcPr>
            <w:tcW w:w="1767" w:type="dxa"/>
            <w:vAlign w:val="center"/>
          </w:tcPr>
          <w:p w14:paraId="78D4579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污水处理药品和除臭、杀虫剂等</w:t>
            </w:r>
          </w:p>
        </w:tc>
        <w:tc>
          <w:tcPr>
            <w:tcW w:w="709" w:type="dxa"/>
            <w:vAlign w:val="center"/>
          </w:tcPr>
          <w:p w14:paraId="053184E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176" w:type="dxa"/>
            <w:vAlign w:val="center"/>
          </w:tcPr>
          <w:p w14:paraId="57C3DF7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塑料瓶（袋）</w:t>
            </w:r>
          </w:p>
        </w:tc>
        <w:tc>
          <w:tcPr>
            <w:tcW w:w="846" w:type="dxa"/>
            <w:vAlign w:val="center"/>
          </w:tcPr>
          <w:p w14:paraId="1061B54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2.5</w:t>
            </w:r>
          </w:p>
        </w:tc>
        <w:tc>
          <w:tcPr>
            <w:tcW w:w="1663" w:type="dxa"/>
            <w:vMerge/>
            <w:vAlign w:val="center"/>
          </w:tcPr>
          <w:p w14:paraId="0F730EE0" w14:textId="77777777" w:rsidR="00D12939" w:rsidRDefault="00D12939">
            <w:pPr>
              <w:jc w:val="center"/>
              <w:rPr>
                <w:rFonts w:ascii="Times New Roman" w:eastAsia="宋体" w:hAnsi="Times New Roman" w:cs="Times New Roman"/>
                <w:szCs w:val="21"/>
              </w:rPr>
            </w:pPr>
          </w:p>
        </w:tc>
      </w:tr>
      <w:tr w:rsidR="00D12939" w14:paraId="0F014AB7" w14:textId="77777777">
        <w:trPr>
          <w:trHeight w:val="96"/>
        </w:trPr>
        <w:tc>
          <w:tcPr>
            <w:tcW w:w="556" w:type="dxa"/>
            <w:vAlign w:val="center"/>
          </w:tcPr>
          <w:p w14:paraId="6024735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1108" w:type="dxa"/>
            <w:vAlign w:val="center"/>
          </w:tcPr>
          <w:p w14:paraId="7168EEB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废膜</w:t>
            </w:r>
          </w:p>
        </w:tc>
        <w:tc>
          <w:tcPr>
            <w:tcW w:w="699" w:type="dxa"/>
            <w:vMerge/>
            <w:vAlign w:val="center"/>
          </w:tcPr>
          <w:p w14:paraId="619C0D0C" w14:textId="77777777" w:rsidR="00D12939" w:rsidRDefault="00D12939">
            <w:pPr>
              <w:jc w:val="center"/>
              <w:rPr>
                <w:rFonts w:ascii="Times New Roman" w:eastAsia="宋体" w:hAnsi="Times New Roman" w:cs="Times New Roman"/>
                <w:szCs w:val="21"/>
              </w:rPr>
            </w:pPr>
          </w:p>
        </w:tc>
        <w:tc>
          <w:tcPr>
            <w:tcW w:w="1252" w:type="dxa"/>
            <w:vAlign w:val="center"/>
          </w:tcPr>
          <w:p w14:paraId="3AAD625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900-041-49</w:t>
            </w:r>
          </w:p>
        </w:tc>
        <w:tc>
          <w:tcPr>
            <w:tcW w:w="1767" w:type="dxa"/>
            <w:vAlign w:val="center"/>
          </w:tcPr>
          <w:p w14:paraId="28A2B3C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渗滤液处理站</w:t>
            </w:r>
          </w:p>
        </w:tc>
        <w:tc>
          <w:tcPr>
            <w:tcW w:w="709" w:type="dxa"/>
            <w:vAlign w:val="center"/>
          </w:tcPr>
          <w:p w14:paraId="04D7525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固态</w:t>
            </w:r>
          </w:p>
        </w:tc>
        <w:tc>
          <w:tcPr>
            <w:tcW w:w="1176" w:type="dxa"/>
            <w:vAlign w:val="center"/>
          </w:tcPr>
          <w:p w14:paraId="537E181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滤膜</w:t>
            </w:r>
          </w:p>
        </w:tc>
        <w:tc>
          <w:tcPr>
            <w:tcW w:w="846" w:type="dxa"/>
            <w:vAlign w:val="center"/>
          </w:tcPr>
          <w:p w14:paraId="276FE1D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0.167</w:t>
            </w:r>
          </w:p>
        </w:tc>
        <w:tc>
          <w:tcPr>
            <w:tcW w:w="1663" w:type="dxa"/>
            <w:vMerge/>
            <w:vAlign w:val="center"/>
          </w:tcPr>
          <w:p w14:paraId="0A37854B" w14:textId="77777777" w:rsidR="00D12939" w:rsidRDefault="00D12939">
            <w:pPr>
              <w:jc w:val="center"/>
              <w:rPr>
                <w:rFonts w:ascii="Times New Roman" w:eastAsia="宋体" w:hAnsi="Times New Roman" w:cs="Times New Roman"/>
                <w:szCs w:val="21"/>
              </w:rPr>
            </w:pPr>
          </w:p>
        </w:tc>
      </w:tr>
    </w:tbl>
    <w:p w14:paraId="3F9C185C" w14:textId="77777777" w:rsidR="00D12939" w:rsidRDefault="004F47F5">
      <w:pPr>
        <w:pStyle w:val="2"/>
        <w:spacing w:line="360" w:lineRule="auto"/>
        <w:ind w:firstLineChars="165" w:firstLine="462"/>
        <w:rPr>
          <w:sz w:val="28"/>
        </w:rPr>
      </w:pPr>
      <w:bookmarkStart w:id="347" w:name="_Toc121411734"/>
      <w:r>
        <w:rPr>
          <w:sz w:val="28"/>
        </w:rPr>
        <w:t>4.3</w:t>
      </w:r>
      <w:r>
        <w:rPr>
          <w:rFonts w:hint="eastAsia"/>
          <w:sz w:val="28"/>
        </w:rPr>
        <w:t>封场期</w:t>
      </w:r>
      <w:bookmarkEnd w:id="347"/>
    </w:p>
    <w:p w14:paraId="625F5F01"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根据《生活垃圾卫生填埋场封场技术规范》（</w:t>
      </w:r>
      <w:r>
        <w:rPr>
          <w:rFonts w:ascii="Times New Roman" w:eastAsia="宋体" w:hAnsi="Times New Roman" w:cs="Times New Roman"/>
          <w:sz w:val="24"/>
        </w:rPr>
        <w:t>GB51220-2017</w:t>
      </w:r>
      <w:r>
        <w:rPr>
          <w:rFonts w:ascii="Times New Roman" w:eastAsia="宋体" w:hAnsi="Times New Roman" w:cs="Times New Roman"/>
          <w:sz w:val="24"/>
        </w:rPr>
        <w:t>）要求，生活垃圾填埋区达到</w:t>
      </w:r>
      <w:r>
        <w:rPr>
          <w:rFonts w:ascii="Times New Roman" w:eastAsia="宋体" w:hAnsi="Times New Roman" w:cs="Times New Roman"/>
          <w:sz w:val="24"/>
        </w:rPr>
        <w:lastRenderedPageBreak/>
        <w:t>设计标高后将实施封闭。达到设计封场条件要求时，经县级环保、环卫行政主管部门鉴定、核准后关闭，关闭后进行妥善封场。</w:t>
      </w:r>
    </w:p>
    <w:p w14:paraId="7FCCA48B"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封场覆盖结构由垃圾堆体表面至顶表面顺序为：排气层，防渗层，排水层，植被层。封场结构推荐采用如下结构层：</w:t>
      </w:r>
    </w:p>
    <w:p w14:paraId="68D15A03"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顶部防渗结构（由上至下）：</w:t>
      </w:r>
    </w:p>
    <w:p w14:paraId="4277061F"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营养植被层</w:t>
      </w:r>
      <w:r>
        <w:rPr>
          <w:rFonts w:ascii="Times New Roman" w:eastAsia="宋体" w:hAnsi="Times New Roman" w:cs="Times New Roman"/>
          <w:sz w:val="24"/>
        </w:rPr>
        <w:t xml:space="preserve">——500mm </w:t>
      </w:r>
      <w:r>
        <w:rPr>
          <w:rFonts w:ascii="Times New Roman" w:eastAsia="宋体" w:hAnsi="Times New Roman" w:cs="Times New Roman"/>
          <w:sz w:val="24"/>
        </w:rPr>
        <w:t>厚营养土；</w:t>
      </w:r>
    </w:p>
    <w:p w14:paraId="6B32B5B7"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植被支持土层</w:t>
      </w:r>
      <w:r>
        <w:rPr>
          <w:rFonts w:ascii="Times New Roman" w:eastAsia="宋体" w:hAnsi="Times New Roman" w:cs="Times New Roman"/>
          <w:sz w:val="24"/>
        </w:rPr>
        <w:t xml:space="preserve">——500mm </w:t>
      </w:r>
      <w:r>
        <w:rPr>
          <w:rFonts w:ascii="Times New Roman" w:eastAsia="宋体" w:hAnsi="Times New Roman" w:cs="Times New Roman"/>
          <w:sz w:val="24"/>
        </w:rPr>
        <w:t>厚覆盖支持土；</w:t>
      </w:r>
    </w:p>
    <w:p w14:paraId="1372213F"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排水层兼膜上保护层</w:t>
      </w:r>
      <w:r>
        <w:rPr>
          <w:rFonts w:ascii="Times New Roman" w:eastAsia="宋体" w:hAnsi="Times New Roman" w:cs="Times New Roman"/>
          <w:sz w:val="24"/>
        </w:rPr>
        <w:t xml:space="preserve">——6.0mm </w:t>
      </w:r>
      <w:r>
        <w:rPr>
          <w:rFonts w:ascii="Times New Roman" w:eastAsia="宋体" w:hAnsi="Times New Roman" w:cs="Times New Roman"/>
          <w:sz w:val="24"/>
        </w:rPr>
        <w:t>土工复合排水网；</w:t>
      </w:r>
    </w:p>
    <w:p w14:paraId="1C7239CB"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防渗层</w:t>
      </w:r>
      <w:r>
        <w:rPr>
          <w:rFonts w:ascii="Times New Roman" w:eastAsia="宋体" w:hAnsi="Times New Roman" w:cs="Times New Roman"/>
          <w:sz w:val="24"/>
        </w:rPr>
        <w:t xml:space="preserve">——1.0mm </w:t>
      </w:r>
      <w:r>
        <w:rPr>
          <w:rFonts w:ascii="Times New Roman" w:eastAsia="宋体" w:hAnsi="Times New Roman" w:cs="Times New Roman"/>
          <w:sz w:val="24"/>
        </w:rPr>
        <w:t>光面</w:t>
      </w:r>
      <w:r>
        <w:rPr>
          <w:rFonts w:ascii="Times New Roman" w:eastAsia="宋体" w:hAnsi="Times New Roman" w:cs="Times New Roman"/>
          <w:sz w:val="24"/>
        </w:rPr>
        <w:t xml:space="preserve">HDPE </w:t>
      </w:r>
      <w:r>
        <w:rPr>
          <w:rFonts w:ascii="Times New Roman" w:eastAsia="宋体" w:hAnsi="Times New Roman" w:cs="Times New Roman"/>
          <w:sz w:val="24"/>
        </w:rPr>
        <w:t>土工膜；</w:t>
      </w:r>
    </w:p>
    <w:p w14:paraId="651FD44B"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膜下保护层兼辅助防渗层</w:t>
      </w:r>
      <w:r>
        <w:rPr>
          <w:rFonts w:ascii="Times New Roman" w:eastAsia="宋体" w:hAnsi="Times New Roman" w:cs="Times New Roman"/>
          <w:sz w:val="24"/>
        </w:rPr>
        <w:t>——4800g/m</w:t>
      </w:r>
      <w:r w:rsidRPr="001A4637">
        <w:rPr>
          <w:rFonts w:ascii="Times New Roman" w:eastAsia="宋体" w:hAnsi="Times New Roman" w:cs="Times New Roman"/>
          <w:sz w:val="24"/>
          <w:vertAlign w:val="superscript"/>
        </w:rPr>
        <w:t>2</w:t>
      </w:r>
      <w:r>
        <w:rPr>
          <w:rFonts w:ascii="Times New Roman" w:eastAsia="宋体" w:hAnsi="Times New Roman" w:cs="Times New Roman"/>
          <w:sz w:val="24"/>
        </w:rPr>
        <w:t xml:space="preserve">GCL </w:t>
      </w:r>
      <w:r>
        <w:rPr>
          <w:rFonts w:ascii="Times New Roman" w:eastAsia="宋体" w:hAnsi="Times New Roman" w:cs="Times New Roman"/>
          <w:sz w:val="24"/>
        </w:rPr>
        <w:t>钠基膨润土垫；</w:t>
      </w:r>
    </w:p>
    <w:p w14:paraId="11204041"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排气层</w:t>
      </w:r>
      <w:r>
        <w:rPr>
          <w:rFonts w:ascii="Times New Roman" w:eastAsia="宋体" w:hAnsi="Times New Roman" w:cs="Times New Roman"/>
          <w:sz w:val="24"/>
        </w:rPr>
        <w:t xml:space="preserve">——30cm </w:t>
      </w:r>
      <w:r>
        <w:rPr>
          <w:rFonts w:ascii="Times New Roman" w:eastAsia="宋体" w:hAnsi="Times New Roman" w:cs="Times New Roman"/>
          <w:sz w:val="24"/>
        </w:rPr>
        <w:t>厚砾石（或碎石）；</w:t>
      </w:r>
    </w:p>
    <w:p w14:paraId="1D4DAC85"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整形后垃圾堆体。</w:t>
      </w:r>
    </w:p>
    <w:p w14:paraId="47E038EB"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rPr>
        <w:t>边坡防渗结构（由上至下）：</w:t>
      </w:r>
    </w:p>
    <w:p w14:paraId="7FF45799"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营养植被层</w:t>
      </w:r>
      <w:r>
        <w:rPr>
          <w:rFonts w:ascii="Times New Roman" w:eastAsia="宋体" w:hAnsi="Times New Roman" w:cs="Times New Roman"/>
          <w:sz w:val="24"/>
        </w:rPr>
        <w:t xml:space="preserve">——500mm </w:t>
      </w:r>
      <w:r>
        <w:rPr>
          <w:rFonts w:ascii="Times New Roman" w:eastAsia="宋体" w:hAnsi="Times New Roman" w:cs="Times New Roman"/>
          <w:sz w:val="24"/>
        </w:rPr>
        <w:t>厚营养土；</w:t>
      </w:r>
    </w:p>
    <w:p w14:paraId="5BD18CAE"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植被支持土层</w:t>
      </w:r>
      <w:r>
        <w:rPr>
          <w:rFonts w:ascii="Times New Roman" w:eastAsia="宋体" w:hAnsi="Times New Roman" w:cs="Times New Roman"/>
          <w:sz w:val="24"/>
        </w:rPr>
        <w:t xml:space="preserve">——500mm </w:t>
      </w:r>
      <w:r>
        <w:rPr>
          <w:rFonts w:ascii="Times New Roman" w:eastAsia="宋体" w:hAnsi="Times New Roman" w:cs="Times New Roman"/>
          <w:sz w:val="24"/>
        </w:rPr>
        <w:t>厚覆盖支持土；</w:t>
      </w:r>
    </w:p>
    <w:p w14:paraId="110ED20B"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排水层兼膜上保护层</w:t>
      </w:r>
      <w:r>
        <w:rPr>
          <w:rFonts w:ascii="Times New Roman" w:eastAsia="宋体" w:hAnsi="Times New Roman" w:cs="Times New Roman"/>
          <w:sz w:val="24"/>
        </w:rPr>
        <w:t xml:space="preserve">——6.0mm </w:t>
      </w:r>
      <w:r>
        <w:rPr>
          <w:rFonts w:ascii="Times New Roman" w:eastAsia="宋体" w:hAnsi="Times New Roman" w:cs="Times New Roman"/>
          <w:sz w:val="24"/>
        </w:rPr>
        <w:t>土工复合排水网；</w:t>
      </w:r>
    </w:p>
    <w:p w14:paraId="009CB9E1"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防渗层</w:t>
      </w:r>
      <w:r>
        <w:rPr>
          <w:rFonts w:ascii="Times New Roman" w:eastAsia="宋体" w:hAnsi="Times New Roman" w:cs="Times New Roman"/>
          <w:sz w:val="24"/>
        </w:rPr>
        <w:t xml:space="preserve">——1.0mm </w:t>
      </w:r>
      <w:r>
        <w:rPr>
          <w:rFonts w:ascii="Times New Roman" w:eastAsia="宋体" w:hAnsi="Times New Roman" w:cs="Times New Roman"/>
          <w:sz w:val="24"/>
        </w:rPr>
        <w:t>双糙面</w:t>
      </w:r>
      <w:r>
        <w:rPr>
          <w:rFonts w:ascii="Times New Roman" w:eastAsia="宋体" w:hAnsi="Times New Roman" w:cs="Times New Roman"/>
          <w:sz w:val="24"/>
        </w:rPr>
        <w:t xml:space="preserve">HDPE </w:t>
      </w:r>
      <w:r>
        <w:rPr>
          <w:rFonts w:ascii="Times New Roman" w:eastAsia="宋体" w:hAnsi="Times New Roman" w:cs="Times New Roman"/>
          <w:sz w:val="24"/>
        </w:rPr>
        <w:t>土工膜；</w:t>
      </w:r>
    </w:p>
    <w:p w14:paraId="1793A3F7"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膜下保护层兼辅助防渗层</w:t>
      </w:r>
      <w:r>
        <w:rPr>
          <w:rFonts w:ascii="Times New Roman" w:eastAsia="宋体" w:hAnsi="Times New Roman" w:cs="Times New Roman"/>
          <w:sz w:val="24"/>
        </w:rPr>
        <w:t>——4800g/m</w:t>
      </w:r>
      <w:r w:rsidRPr="001A4637">
        <w:rPr>
          <w:rFonts w:ascii="Times New Roman" w:eastAsia="宋体" w:hAnsi="Times New Roman" w:cs="Times New Roman"/>
          <w:sz w:val="24"/>
          <w:vertAlign w:val="superscript"/>
        </w:rPr>
        <w:t>2</w:t>
      </w:r>
      <w:r>
        <w:rPr>
          <w:rFonts w:ascii="Times New Roman" w:eastAsia="宋体" w:hAnsi="Times New Roman" w:cs="Times New Roman"/>
          <w:sz w:val="24"/>
        </w:rPr>
        <w:t xml:space="preserve">GCL </w:t>
      </w:r>
      <w:r>
        <w:rPr>
          <w:rFonts w:ascii="Times New Roman" w:eastAsia="宋体" w:hAnsi="Times New Roman" w:cs="Times New Roman"/>
          <w:sz w:val="24"/>
        </w:rPr>
        <w:t>钠基膨润土垫；</w:t>
      </w:r>
    </w:p>
    <w:p w14:paraId="1605E931"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排气层</w:t>
      </w:r>
      <w:r>
        <w:rPr>
          <w:rFonts w:ascii="Times New Roman" w:eastAsia="宋体" w:hAnsi="Times New Roman" w:cs="Times New Roman"/>
          <w:sz w:val="24"/>
        </w:rPr>
        <w:t xml:space="preserve">——6.0mm </w:t>
      </w:r>
      <w:r>
        <w:rPr>
          <w:rFonts w:ascii="Times New Roman" w:eastAsia="宋体" w:hAnsi="Times New Roman" w:cs="Times New Roman"/>
          <w:sz w:val="24"/>
        </w:rPr>
        <w:t>土工复合排气网；</w:t>
      </w:r>
    </w:p>
    <w:p w14:paraId="7BCFAD17"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整形后垃圾堆体。</w:t>
      </w:r>
    </w:p>
    <w:p w14:paraId="69303AF5"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经封场监测处于安全期的场地，可以用来做绿化用地、花卉苗圃、人造景园等。但由于垃圾降解使堆体产生不均匀沉降，在封场初期</w:t>
      </w:r>
      <w:r>
        <w:rPr>
          <w:rFonts w:ascii="Times New Roman" w:eastAsia="宋体" w:hAnsi="Times New Roman" w:cs="Times New Roman"/>
          <w:sz w:val="24"/>
        </w:rPr>
        <w:t>5~7</w:t>
      </w:r>
      <w:r>
        <w:rPr>
          <w:rFonts w:ascii="Times New Roman" w:eastAsia="宋体" w:hAnsi="Times New Roman" w:cs="Times New Roman"/>
          <w:sz w:val="24"/>
        </w:rPr>
        <w:t>年内，由于垃圾堆体是很不稳定的，不能在堆体上修建大中型建、构筑物。</w:t>
      </w:r>
    </w:p>
    <w:p w14:paraId="7A52CB4D" w14:textId="77777777" w:rsidR="00D12939" w:rsidRDefault="004F47F5">
      <w:pPr>
        <w:spacing w:line="360" w:lineRule="auto"/>
        <w:ind w:firstLine="462"/>
        <w:rPr>
          <w:rFonts w:ascii="Times New Roman" w:eastAsia="宋体" w:hAnsi="Times New Roman" w:cs="Times New Roman"/>
          <w:sz w:val="24"/>
        </w:rPr>
      </w:pPr>
      <w:r>
        <w:rPr>
          <w:rFonts w:ascii="Times New Roman" w:eastAsia="宋体" w:hAnsi="Times New Roman" w:cs="Times New Roman"/>
          <w:sz w:val="24"/>
        </w:rPr>
        <w:t>预计本填埋场将在</w:t>
      </w:r>
      <w:r>
        <w:rPr>
          <w:rFonts w:ascii="Times New Roman" w:eastAsia="宋体" w:hAnsi="Times New Roman" w:cs="Times New Roman"/>
          <w:sz w:val="24"/>
        </w:rPr>
        <w:t>2036</w:t>
      </w:r>
      <w:r>
        <w:rPr>
          <w:rFonts w:ascii="Times New Roman" w:eastAsia="宋体" w:hAnsi="Times New Roman" w:cs="Times New Roman"/>
          <w:sz w:val="24"/>
        </w:rPr>
        <w:t>年以后进行封场，在本填埋场关闭或封场前，必须编制关闭或封场计划，报请所在相关环境保护行政主管部门核准，并采取污染防治措施。</w:t>
      </w:r>
    </w:p>
    <w:p w14:paraId="554E444E"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sz w:val="24"/>
        </w:rPr>
        <w:t>①</w:t>
      </w:r>
      <w:r>
        <w:rPr>
          <w:rFonts w:ascii="Times New Roman" w:eastAsia="宋体" w:hAnsi="Times New Roman" w:cs="Times New Roman"/>
          <w:sz w:val="24"/>
        </w:rPr>
        <w:t xml:space="preserve"> </w:t>
      </w:r>
      <w:r>
        <w:rPr>
          <w:rFonts w:ascii="Times New Roman" w:eastAsia="宋体" w:hAnsi="Times New Roman" w:cs="Times New Roman"/>
          <w:sz w:val="24"/>
        </w:rPr>
        <w:t>封场后，仍需继续维护管理，直到稳定为止。以防止覆土层下沉、开裂。</w:t>
      </w:r>
    </w:p>
    <w:p w14:paraId="369F3D94" w14:textId="77777777" w:rsidR="00D12939" w:rsidRDefault="004F47F5">
      <w:pPr>
        <w:spacing w:line="360" w:lineRule="auto"/>
        <w:ind w:firstLine="462"/>
        <w:rPr>
          <w:rFonts w:ascii="Times New Roman" w:eastAsia="宋体" w:hAnsi="Times New Roman" w:cs="Times New Roman"/>
          <w:sz w:val="24"/>
        </w:rPr>
      </w:pPr>
      <w:r>
        <w:rPr>
          <w:rFonts w:ascii="宋体" w:eastAsia="宋体" w:hAnsi="宋体" w:cs="宋体" w:hint="eastAsia"/>
          <w:sz w:val="24"/>
        </w:rPr>
        <w:t>②</w:t>
      </w:r>
      <w:r>
        <w:rPr>
          <w:rFonts w:ascii="Times New Roman" w:eastAsia="宋体" w:hAnsi="Times New Roman" w:cs="Times New Roman"/>
          <w:sz w:val="24"/>
        </w:rPr>
        <w:t xml:space="preserve"> </w:t>
      </w:r>
      <w:r>
        <w:rPr>
          <w:rFonts w:ascii="Times New Roman" w:eastAsia="宋体" w:hAnsi="Times New Roman" w:cs="Times New Roman"/>
          <w:sz w:val="24"/>
        </w:rPr>
        <w:t>封场后，应设置标志物，注明关闭或封场时间，以及使用该土地时应注意的事项。</w:t>
      </w:r>
    </w:p>
    <w:p w14:paraId="160A170F" w14:textId="77777777" w:rsidR="00D12939" w:rsidRDefault="004F47F5">
      <w:pPr>
        <w:pStyle w:val="2"/>
        <w:spacing w:line="360" w:lineRule="auto"/>
        <w:ind w:firstLineChars="165" w:firstLine="462"/>
        <w:rPr>
          <w:sz w:val="28"/>
        </w:rPr>
      </w:pPr>
      <w:bookmarkStart w:id="348" w:name="_Toc121411735"/>
      <w:r>
        <w:rPr>
          <w:sz w:val="28"/>
        </w:rPr>
        <w:lastRenderedPageBreak/>
        <w:t>4.4</w:t>
      </w:r>
      <w:r>
        <w:rPr>
          <w:rFonts w:hint="eastAsia"/>
          <w:sz w:val="28"/>
        </w:rPr>
        <w:t>非正常工况</w:t>
      </w:r>
      <w:bookmarkEnd w:id="348"/>
      <w:r>
        <w:rPr>
          <w:rFonts w:hint="eastAsia"/>
          <w:sz w:val="28"/>
        </w:rPr>
        <w:t xml:space="preserve"> </w:t>
      </w:r>
    </w:p>
    <w:p w14:paraId="1C234815"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49" w:name="_Toc121411736"/>
      <w:r>
        <w:rPr>
          <w:rFonts w:ascii="Times New Roman" w:eastAsia="黑体" w:hAnsi="Times New Roman" w:cs="Times New Roman"/>
          <w:b w:val="0"/>
          <w:sz w:val="24"/>
        </w:rPr>
        <w:t xml:space="preserve">4.4.1 </w:t>
      </w:r>
      <w:r>
        <w:rPr>
          <w:rFonts w:ascii="宋体" w:eastAsia="宋体" w:cs="宋体" w:hint="eastAsia"/>
          <w:kern w:val="0"/>
          <w:sz w:val="24"/>
          <w:szCs w:val="24"/>
        </w:rPr>
        <w:t>非正常工况废气排放分析</w:t>
      </w:r>
      <w:bookmarkEnd w:id="349"/>
    </w:p>
    <w:p w14:paraId="109118DC" w14:textId="711031C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本项目废气污染物非正常排放相关的事件主要考虑</w:t>
      </w:r>
      <w:r w:rsidR="001A4637" w:rsidRPr="001A4637">
        <w:rPr>
          <w:rFonts w:ascii="Times New Roman" w:eastAsia="宋体" w:hAnsi="Times New Roman" w:cs="Times New Roman" w:hint="eastAsia"/>
          <w:color w:val="FF0000"/>
          <w:kern w:val="0"/>
          <w:sz w:val="24"/>
          <w:szCs w:val="24"/>
        </w:rPr>
        <w:t>渗滤液调节池和渗滤液处理车间</w:t>
      </w:r>
      <w:r w:rsidR="001A4637">
        <w:rPr>
          <w:rFonts w:ascii="Times New Roman" w:eastAsia="宋体" w:hAnsi="Times New Roman" w:cs="Times New Roman" w:hint="eastAsia"/>
          <w:color w:val="FF0000"/>
          <w:kern w:val="0"/>
          <w:sz w:val="24"/>
          <w:szCs w:val="24"/>
        </w:rPr>
        <w:t>恶臭废气</w:t>
      </w:r>
      <w:r>
        <w:rPr>
          <w:rFonts w:ascii="Times New Roman" w:eastAsia="宋体" w:hAnsi="Times New Roman" w:cs="Times New Roman" w:hint="eastAsia"/>
          <w:kern w:val="0"/>
          <w:sz w:val="24"/>
          <w:szCs w:val="24"/>
        </w:rPr>
        <w:t>处理装置出现故障，未达到设计处理的效率。假设出现以上所述故障情况，总处理效率下降至</w:t>
      </w:r>
      <w:r>
        <w:rPr>
          <w:rFonts w:ascii="Times New Roman" w:eastAsia="宋体" w:hAnsi="Times New Roman" w:cs="Times New Roman"/>
          <w:kern w:val="0"/>
          <w:sz w:val="24"/>
          <w:szCs w:val="24"/>
        </w:rPr>
        <w:t>0%</w:t>
      </w:r>
      <w:r>
        <w:rPr>
          <w:rFonts w:ascii="Times New Roman" w:eastAsia="宋体" w:hAnsi="Times New Roman" w:cs="Times New Roman" w:hint="eastAsia"/>
          <w:kern w:val="0"/>
          <w:sz w:val="24"/>
          <w:szCs w:val="24"/>
        </w:rPr>
        <w:t>，事故时间估算约</w:t>
      </w:r>
      <w:r>
        <w:rPr>
          <w:rFonts w:ascii="Times New Roman" w:eastAsia="宋体" w:hAnsi="Times New Roman" w:cs="Times New Roman"/>
          <w:kern w:val="0"/>
          <w:sz w:val="24"/>
          <w:szCs w:val="24"/>
        </w:rPr>
        <w:t>30</w:t>
      </w:r>
      <w:r>
        <w:rPr>
          <w:rFonts w:ascii="Times New Roman" w:eastAsia="宋体" w:hAnsi="Times New Roman" w:cs="Times New Roman" w:hint="eastAsia"/>
          <w:kern w:val="0"/>
          <w:sz w:val="24"/>
          <w:szCs w:val="24"/>
        </w:rPr>
        <w:t>分钟。</w:t>
      </w:r>
    </w:p>
    <w:p w14:paraId="4CD5796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废气非正常排放情况见表</w:t>
      </w:r>
      <w:r>
        <w:rPr>
          <w:rFonts w:ascii="Times New Roman" w:eastAsia="宋体" w:hAnsi="Times New Roman" w:cs="Times New Roman"/>
          <w:kern w:val="0"/>
          <w:sz w:val="24"/>
          <w:szCs w:val="24"/>
        </w:rPr>
        <w:t>2.6-16</w:t>
      </w:r>
      <w:r>
        <w:rPr>
          <w:rFonts w:ascii="Times New Roman" w:eastAsia="宋体" w:hAnsi="Times New Roman" w:cs="Times New Roman"/>
          <w:kern w:val="0"/>
          <w:sz w:val="24"/>
          <w:szCs w:val="24"/>
        </w:rPr>
        <w:t>。</w:t>
      </w:r>
    </w:p>
    <w:p w14:paraId="349FA968" w14:textId="77777777" w:rsidR="00D12939" w:rsidRDefault="004F47F5">
      <w:pPr>
        <w:pStyle w:val="a5"/>
        <w:ind w:firstLine="480"/>
        <w:rPr>
          <w:rFonts w:ascii="黑体" w:eastAsia="黑体" w:hAnsi="黑体"/>
          <w:sz w:val="24"/>
          <w:szCs w:val="21"/>
        </w:rPr>
      </w:pPr>
      <w:r>
        <w:rPr>
          <w:rFonts w:ascii="黑体" w:eastAsia="黑体" w:hAnsi="黑体" w:hint="eastAsia"/>
          <w:sz w:val="24"/>
          <w:szCs w:val="21"/>
        </w:rPr>
        <w:t>表</w:t>
      </w:r>
      <w:r>
        <w:rPr>
          <w:rFonts w:ascii="黑体" w:eastAsia="黑体" w:hAnsi="黑体"/>
          <w:sz w:val="24"/>
          <w:szCs w:val="21"/>
        </w:rPr>
        <w:t xml:space="preserve">4.4-1  </w:t>
      </w:r>
      <w:r>
        <w:rPr>
          <w:rFonts w:ascii="黑体" w:eastAsia="黑体" w:hAnsi="黑体" w:hint="eastAsia"/>
          <w:sz w:val="24"/>
          <w:szCs w:val="21"/>
        </w:rPr>
        <w:t>废气非正常排放核算</w:t>
      </w:r>
      <w:r>
        <w:rPr>
          <w:rFonts w:ascii="黑体" w:eastAsia="黑体" w:hAnsi="黑体"/>
          <w:sz w:val="24"/>
          <w:szCs w:val="21"/>
        </w:rPr>
        <w:t>表</w:t>
      </w:r>
    </w:p>
    <w:tbl>
      <w:tblPr>
        <w:tblStyle w:val="afff8"/>
        <w:tblW w:w="0" w:type="auto"/>
        <w:tblLook w:val="04A0" w:firstRow="1" w:lastRow="0" w:firstColumn="1" w:lastColumn="0" w:noHBand="0" w:noVBand="1"/>
      </w:tblPr>
      <w:tblGrid>
        <w:gridCol w:w="988"/>
        <w:gridCol w:w="1446"/>
        <w:gridCol w:w="1217"/>
        <w:gridCol w:w="1217"/>
        <w:gridCol w:w="1217"/>
        <w:gridCol w:w="1217"/>
        <w:gridCol w:w="915"/>
        <w:gridCol w:w="1519"/>
      </w:tblGrid>
      <w:tr w:rsidR="00D12939" w14:paraId="3E109ADF" w14:textId="77777777">
        <w:tc>
          <w:tcPr>
            <w:tcW w:w="988" w:type="dxa"/>
            <w:vAlign w:val="center"/>
          </w:tcPr>
          <w:p w14:paraId="6C32C2B6"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污染源</w:t>
            </w:r>
          </w:p>
        </w:tc>
        <w:tc>
          <w:tcPr>
            <w:tcW w:w="1446" w:type="dxa"/>
            <w:vAlign w:val="center"/>
          </w:tcPr>
          <w:p w14:paraId="7264A857"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非正常排放原因</w:t>
            </w:r>
          </w:p>
        </w:tc>
        <w:tc>
          <w:tcPr>
            <w:tcW w:w="1217" w:type="dxa"/>
            <w:vAlign w:val="center"/>
          </w:tcPr>
          <w:p w14:paraId="1A9B04EC"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污染物</w:t>
            </w:r>
          </w:p>
        </w:tc>
        <w:tc>
          <w:tcPr>
            <w:tcW w:w="1217" w:type="dxa"/>
            <w:vAlign w:val="center"/>
          </w:tcPr>
          <w:p w14:paraId="48189A31"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非正常</w:t>
            </w:r>
          </w:p>
          <w:p w14:paraId="72E01613"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排放浓度</w:t>
            </w:r>
          </w:p>
          <w:p w14:paraId="19BBD3A9"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w:t>
            </w:r>
            <w:r>
              <w:rPr>
                <w:rFonts w:ascii="Times New Roman" w:eastAsia="宋体" w:hAnsi="Times New Roman" w:cs="Times New Roman"/>
                <w:kern w:val="0"/>
                <w:szCs w:val="20"/>
              </w:rPr>
              <w:t>mg/m</w:t>
            </w:r>
            <w:r>
              <w:rPr>
                <w:rFonts w:ascii="Times New Roman" w:eastAsia="宋体" w:hAnsi="Times New Roman" w:cs="Times New Roman"/>
                <w:kern w:val="0"/>
                <w:szCs w:val="20"/>
                <w:vertAlign w:val="superscript"/>
              </w:rPr>
              <w:t>3</w:t>
            </w:r>
            <w:r>
              <w:rPr>
                <w:rFonts w:ascii="Times New Roman" w:eastAsia="宋体" w:hAnsi="Times New Roman" w:cs="Times New Roman"/>
                <w:kern w:val="0"/>
                <w:szCs w:val="20"/>
              </w:rPr>
              <w:t>）</w:t>
            </w:r>
          </w:p>
        </w:tc>
        <w:tc>
          <w:tcPr>
            <w:tcW w:w="1217" w:type="dxa"/>
            <w:vAlign w:val="center"/>
          </w:tcPr>
          <w:p w14:paraId="55B3BE81"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非正常</w:t>
            </w:r>
          </w:p>
          <w:p w14:paraId="6BA038F9"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排放速率（</w:t>
            </w:r>
            <w:r>
              <w:rPr>
                <w:rFonts w:ascii="Times New Roman" w:eastAsia="宋体" w:hAnsi="Times New Roman" w:cs="Times New Roman"/>
                <w:kern w:val="0"/>
                <w:szCs w:val="20"/>
              </w:rPr>
              <w:t>kg/h</w:t>
            </w:r>
            <w:r>
              <w:rPr>
                <w:rFonts w:ascii="Times New Roman" w:eastAsia="宋体" w:hAnsi="Times New Roman" w:cs="Times New Roman"/>
                <w:kern w:val="0"/>
                <w:szCs w:val="20"/>
              </w:rPr>
              <w:t>）</w:t>
            </w:r>
          </w:p>
        </w:tc>
        <w:tc>
          <w:tcPr>
            <w:tcW w:w="1217" w:type="dxa"/>
            <w:vAlign w:val="center"/>
          </w:tcPr>
          <w:p w14:paraId="7CB687B0"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单次持</w:t>
            </w:r>
          </w:p>
          <w:p w14:paraId="0180660C"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续时间</w:t>
            </w:r>
            <w:r>
              <w:rPr>
                <w:rFonts w:ascii="Times New Roman" w:eastAsia="宋体" w:hAnsi="Times New Roman" w:cs="Times New Roman"/>
                <w:kern w:val="0"/>
                <w:szCs w:val="20"/>
              </w:rPr>
              <w:t>/h</w:t>
            </w:r>
          </w:p>
        </w:tc>
        <w:tc>
          <w:tcPr>
            <w:tcW w:w="915" w:type="dxa"/>
            <w:vAlign w:val="center"/>
          </w:tcPr>
          <w:p w14:paraId="35D79E9F"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年发生频次</w:t>
            </w:r>
            <w:r>
              <w:rPr>
                <w:rFonts w:ascii="Times New Roman" w:eastAsia="宋体" w:hAnsi="Times New Roman" w:cs="Times New Roman"/>
                <w:kern w:val="0"/>
                <w:szCs w:val="20"/>
              </w:rPr>
              <w:t>/</w:t>
            </w:r>
            <w:r>
              <w:rPr>
                <w:rFonts w:ascii="Times New Roman" w:eastAsia="宋体" w:hAnsi="Times New Roman" w:cs="Times New Roman"/>
                <w:kern w:val="0"/>
                <w:szCs w:val="20"/>
              </w:rPr>
              <w:t>次</w:t>
            </w:r>
          </w:p>
        </w:tc>
        <w:tc>
          <w:tcPr>
            <w:tcW w:w="1519" w:type="dxa"/>
            <w:vAlign w:val="center"/>
          </w:tcPr>
          <w:p w14:paraId="2BECFF73" w14:textId="77777777" w:rsidR="00D12939" w:rsidRDefault="004F47F5">
            <w:pPr>
              <w:jc w:val="center"/>
              <w:rPr>
                <w:rFonts w:ascii="Times New Roman" w:eastAsia="宋体" w:hAnsi="Times New Roman" w:cs="Times New Roman"/>
                <w:kern w:val="0"/>
                <w:szCs w:val="20"/>
              </w:rPr>
            </w:pPr>
            <w:r>
              <w:rPr>
                <w:rFonts w:ascii="Times New Roman" w:eastAsia="宋体" w:hAnsi="Times New Roman" w:cs="Times New Roman"/>
                <w:kern w:val="0"/>
                <w:szCs w:val="20"/>
              </w:rPr>
              <w:t>应对措施</w:t>
            </w:r>
          </w:p>
        </w:tc>
      </w:tr>
      <w:tr w:rsidR="001A4637" w14:paraId="52E6EB2E" w14:textId="77777777" w:rsidTr="008830BB">
        <w:tc>
          <w:tcPr>
            <w:tcW w:w="988" w:type="dxa"/>
            <w:vMerge w:val="restart"/>
            <w:vAlign w:val="center"/>
          </w:tcPr>
          <w:p w14:paraId="1E122A6A" w14:textId="77777777" w:rsidR="001A4637" w:rsidRDefault="001A4637" w:rsidP="001A4637">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除臭系统</w:t>
            </w:r>
          </w:p>
        </w:tc>
        <w:tc>
          <w:tcPr>
            <w:tcW w:w="1446" w:type="dxa"/>
            <w:vMerge w:val="restart"/>
            <w:vAlign w:val="center"/>
          </w:tcPr>
          <w:p w14:paraId="39F1F056" w14:textId="77777777" w:rsidR="001A4637" w:rsidRDefault="001A4637" w:rsidP="001A4637">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废气处理装置出现故障</w:t>
            </w:r>
          </w:p>
        </w:tc>
        <w:tc>
          <w:tcPr>
            <w:tcW w:w="1217" w:type="dxa"/>
            <w:vAlign w:val="center"/>
          </w:tcPr>
          <w:p w14:paraId="119DE631" w14:textId="77777777" w:rsidR="001A4637" w:rsidRDefault="001A4637" w:rsidP="001A4637">
            <w:pPr>
              <w:pStyle w:val="affffd"/>
              <w:spacing w:line="240" w:lineRule="auto"/>
              <w:rPr>
                <w:rFonts w:ascii="Times New Roman" w:eastAsia="宋体" w:hAnsi="Times New Roman" w:cs="Times New Roman"/>
                <w:kern w:val="0"/>
                <w:sz w:val="20"/>
              </w:rPr>
            </w:pPr>
            <w:r>
              <w:rPr>
                <w:rFonts w:ascii="Times New Roman" w:eastAsia="宋体" w:hAnsi="Times New Roman" w:cs="Times New Roman"/>
                <w:kern w:val="0"/>
                <w:sz w:val="20"/>
              </w:rPr>
              <w:t>H</w:t>
            </w:r>
            <w:r>
              <w:rPr>
                <w:rFonts w:ascii="Times New Roman" w:eastAsia="宋体" w:hAnsi="Times New Roman" w:cs="Times New Roman"/>
                <w:kern w:val="0"/>
                <w:sz w:val="20"/>
                <w:vertAlign w:val="subscript"/>
              </w:rPr>
              <w:t>2</w:t>
            </w:r>
            <w:r>
              <w:rPr>
                <w:rFonts w:ascii="Times New Roman" w:eastAsia="宋体" w:hAnsi="Times New Roman" w:cs="Times New Roman"/>
                <w:kern w:val="0"/>
                <w:sz w:val="20"/>
              </w:rPr>
              <w:t>S</w:t>
            </w:r>
          </w:p>
        </w:tc>
        <w:tc>
          <w:tcPr>
            <w:tcW w:w="1217" w:type="dxa"/>
            <w:vAlign w:val="center"/>
          </w:tcPr>
          <w:p w14:paraId="71949C32" w14:textId="7602446E" w:rsidR="001A4637" w:rsidRPr="001A4637" w:rsidRDefault="008830BB" w:rsidP="001A4637">
            <w:pPr>
              <w:jc w:val="center"/>
              <w:rPr>
                <w:rFonts w:ascii="Times New Roman" w:eastAsia="宋体" w:hAnsi="Times New Roman" w:cs="Times New Roman"/>
                <w:color w:val="FF0000"/>
                <w:kern w:val="0"/>
                <w:szCs w:val="21"/>
              </w:rPr>
            </w:pPr>
            <w:r>
              <w:rPr>
                <w:rFonts w:ascii="Times New Roman" w:eastAsia="宋体" w:hAnsi="Times New Roman" w:cs="Times New Roman"/>
                <w:color w:val="FF0000"/>
                <w:kern w:val="0"/>
                <w:szCs w:val="21"/>
              </w:rPr>
              <w:t>0.6</w:t>
            </w:r>
          </w:p>
        </w:tc>
        <w:tc>
          <w:tcPr>
            <w:tcW w:w="1217" w:type="dxa"/>
            <w:vAlign w:val="bottom"/>
          </w:tcPr>
          <w:p w14:paraId="6D39256B" w14:textId="3177B535" w:rsidR="001A4637" w:rsidRPr="001A4637" w:rsidRDefault="008830BB" w:rsidP="001A4637">
            <w:pPr>
              <w:jc w:val="center"/>
              <w:rPr>
                <w:rFonts w:ascii="Times New Roman" w:eastAsia="宋体" w:hAnsi="Times New Roman" w:cs="Times New Roman"/>
                <w:color w:val="FF0000"/>
                <w:kern w:val="0"/>
                <w:szCs w:val="21"/>
              </w:rPr>
            </w:pPr>
            <w:r>
              <w:rPr>
                <w:rFonts w:ascii="Times New Roman" w:eastAsia="宋体" w:hAnsi="Times New Roman" w:cs="Times New Roman" w:hint="eastAsia"/>
                <w:color w:val="FF0000"/>
                <w:kern w:val="0"/>
                <w:szCs w:val="21"/>
              </w:rPr>
              <w:t>0</w:t>
            </w:r>
            <w:r>
              <w:rPr>
                <w:rFonts w:ascii="Times New Roman" w:eastAsia="宋体" w:hAnsi="Times New Roman" w:cs="Times New Roman"/>
                <w:color w:val="FF0000"/>
                <w:kern w:val="0"/>
                <w:szCs w:val="21"/>
              </w:rPr>
              <w:t>.006</w:t>
            </w:r>
          </w:p>
        </w:tc>
        <w:tc>
          <w:tcPr>
            <w:tcW w:w="1217" w:type="dxa"/>
            <w:vMerge w:val="restart"/>
            <w:vAlign w:val="center"/>
          </w:tcPr>
          <w:p w14:paraId="445D726E" w14:textId="77777777" w:rsidR="001A4637" w:rsidRDefault="001A4637" w:rsidP="001A4637">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0</w:t>
            </w:r>
            <w:r>
              <w:rPr>
                <w:rFonts w:ascii="Times New Roman" w:eastAsia="宋体" w:hAnsi="Times New Roman" w:cs="Times New Roman"/>
                <w:kern w:val="0"/>
                <w:szCs w:val="21"/>
              </w:rPr>
              <w:t>.5</w:t>
            </w:r>
            <w:r>
              <w:rPr>
                <w:rFonts w:ascii="Times New Roman" w:eastAsia="宋体" w:hAnsi="Times New Roman" w:cs="Times New Roman" w:hint="eastAsia"/>
                <w:kern w:val="0"/>
                <w:szCs w:val="21"/>
              </w:rPr>
              <w:t>h</w:t>
            </w:r>
          </w:p>
        </w:tc>
        <w:tc>
          <w:tcPr>
            <w:tcW w:w="915" w:type="dxa"/>
            <w:vMerge w:val="restart"/>
            <w:vAlign w:val="center"/>
          </w:tcPr>
          <w:p w14:paraId="4FFBC9D7" w14:textId="77777777" w:rsidR="001A4637" w:rsidRDefault="001A4637" w:rsidP="001A4637">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0</w:t>
            </w:r>
            <w:r>
              <w:rPr>
                <w:rFonts w:ascii="Times New Roman" w:eastAsia="宋体" w:hAnsi="Times New Roman" w:cs="Times New Roman"/>
                <w:kern w:val="0"/>
                <w:szCs w:val="21"/>
              </w:rPr>
              <w:t>.1</w:t>
            </w:r>
          </w:p>
        </w:tc>
        <w:tc>
          <w:tcPr>
            <w:tcW w:w="1519" w:type="dxa"/>
            <w:vMerge w:val="restart"/>
            <w:vAlign w:val="center"/>
          </w:tcPr>
          <w:p w14:paraId="097B1BD2" w14:textId="77777777" w:rsidR="001A4637" w:rsidRDefault="001A4637" w:rsidP="001A4637">
            <w:pPr>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检查原因并及时予以解决</w:t>
            </w:r>
          </w:p>
        </w:tc>
      </w:tr>
      <w:tr w:rsidR="001A4637" w14:paraId="270213DA" w14:textId="77777777" w:rsidTr="008830BB">
        <w:tc>
          <w:tcPr>
            <w:tcW w:w="988" w:type="dxa"/>
            <w:vMerge/>
            <w:vAlign w:val="center"/>
          </w:tcPr>
          <w:p w14:paraId="7FD91DC5" w14:textId="77777777" w:rsidR="001A4637" w:rsidRDefault="001A4637" w:rsidP="001A4637">
            <w:pPr>
              <w:jc w:val="center"/>
              <w:rPr>
                <w:rFonts w:ascii="Times New Roman" w:eastAsia="宋体" w:hAnsi="Times New Roman" w:cs="Times New Roman"/>
                <w:kern w:val="0"/>
                <w:szCs w:val="21"/>
              </w:rPr>
            </w:pPr>
          </w:p>
        </w:tc>
        <w:tc>
          <w:tcPr>
            <w:tcW w:w="1446" w:type="dxa"/>
            <w:vMerge/>
            <w:vAlign w:val="center"/>
          </w:tcPr>
          <w:p w14:paraId="47581B82" w14:textId="77777777" w:rsidR="001A4637" w:rsidRDefault="001A4637" w:rsidP="001A4637">
            <w:pPr>
              <w:jc w:val="center"/>
              <w:rPr>
                <w:rFonts w:ascii="Times New Roman" w:eastAsia="宋体" w:hAnsi="Times New Roman" w:cs="Times New Roman"/>
                <w:kern w:val="0"/>
                <w:szCs w:val="21"/>
              </w:rPr>
            </w:pPr>
          </w:p>
        </w:tc>
        <w:tc>
          <w:tcPr>
            <w:tcW w:w="1217" w:type="dxa"/>
            <w:vAlign w:val="center"/>
          </w:tcPr>
          <w:p w14:paraId="1A241755" w14:textId="77777777" w:rsidR="001A4637" w:rsidRDefault="001A4637" w:rsidP="001A4637">
            <w:pPr>
              <w:pStyle w:val="affffd"/>
              <w:spacing w:line="240" w:lineRule="auto"/>
              <w:rPr>
                <w:rFonts w:ascii="Times New Roman" w:eastAsia="宋体" w:hAnsi="Times New Roman" w:cs="Times New Roman"/>
                <w:kern w:val="0"/>
                <w:sz w:val="20"/>
              </w:rPr>
            </w:pPr>
            <w:r>
              <w:rPr>
                <w:rFonts w:ascii="Times New Roman" w:eastAsia="宋体" w:hAnsi="Times New Roman" w:cs="Times New Roman"/>
                <w:kern w:val="0"/>
                <w:sz w:val="20"/>
              </w:rPr>
              <w:t>NH</w:t>
            </w:r>
            <w:r>
              <w:rPr>
                <w:rFonts w:ascii="Times New Roman" w:eastAsia="宋体" w:hAnsi="Times New Roman" w:cs="Times New Roman"/>
                <w:kern w:val="0"/>
                <w:sz w:val="20"/>
                <w:vertAlign w:val="subscript"/>
              </w:rPr>
              <w:t>3</w:t>
            </w:r>
          </w:p>
        </w:tc>
        <w:tc>
          <w:tcPr>
            <w:tcW w:w="1217" w:type="dxa"/>
            <w:vAlign w:val="center"/>
          </w:tcPr>
          <w:p w14:paraId="759FC7D4" w14:textId="314CD7E4" w:rsidR="001A4637" w:rsidRPr="001A4637" w:rsidRDefault="008830BB" w:rsidP="001A4637">
            <w:pPr>
              <w:jc w:val="center"/>
              <w:rPr>
                <w:rFonts w:ascii="Times New Roman" w:eastAsia="宋体" w:hAnsi="Times New Roman" w:cs="Times New Roman"/>
                <w:color w:val="FF0000"/>
                <w:kern w:val="0"/>
                <w:szCs w:val="21"/>
              </w:rPr>
            </w:pPr>
            <w:r>
              <w:rPr>
                <w:rFonts w:ascii="Times New Roman" w:eastAsia="宋体" w:hAnsi="Times New Roman" w:cs="Times New Roman"/>
                <w:color w:val="FF0000"/>
                <w:kern w:val="0"/>
                <w:szCs w:val="21"/>
              </w:rPr>
              <w:t>40.48</w:t>
            </w:r>
          </w:p>
        </w:tc>
        <w:tc>
          <w:tcPr>
            <w:tcW w:w="1217" w:type="dxa"/>
            <w:vAlign w:val="bottom"/>
          </w:tcPr>
          <w:p w14:paraId="0DC219D0" w14:textId="05C96460" w:rsidR="001A4637" w:rsidRPr="001A4637" w:rsidRDefault="008830BB" w:rsidP="001A4637">
            <w:pPr>
              <w:jc w:val="center"/>
              <w:rPr>
                <w:rFonts w:ascii="Times New Roman" w:eastAsia="宋体" w:hAnsi="Times New Roman" w:cs="Times New Roman"/>
                <w:color w:val="FF0000"/>
                <w:kern w:val="0"/>
                <w:szCs w:val="21"/>
              </w:rPr>
            </w:pPr>
            <w:r>
              <w:rPr>
                <w:rFonts w:ascii="Times New Roman" w:eastAsia="宋体" w:hAnsi="Times New Roman" w:cs="Times New Roman" w:hint="eastAsia"/>
                <w:color w:val="FF0000"/>
                <w:kern w:val="0"/>
                <w:szCs w:val="21"/>
              </w:rPr>
              <w:t>0</w:t>
            </w:r>
            <w:r>
              <w:rPr>
                <w:rFonts w:ascii="Times New Roman" w:eastAsia="宋体" w:hAnsi="Times New Roman" w:cs="Times New Roman"/>
                <w:color w:val="FF0000"/>
                <w:kern w:val="0"/>
                <w:szCs w:val="21"/>
              </w:rPr>
              <w:t>.405</w:t>
            </w:r>
          </w:p>
        </w:tc>
        <w:tc>
          <w:tcPr>
            <w:tcW w:w="1217" w:type="dxa"/>
            <w:vMerge/>
            <w:vAlign w:val="center"/>
          </w:tcPr>
          <w:p w14:paraId="6A64F589" w14:textId="77777777" w:rsidR="001A4637" w:rsidRDefault="001A4637" w:rsidP="001A4637">
            <w:pPr>
              <w:jc w:val="center"/>
              <w:rPr>
                <w:rFonts w:ascii="Times New Roman" w:eastAsia="宋体" w:hAnsi="Times New Roman" w:cs="Times New Roman"/>
                <w:kern w:val="0"/>
                <w:szCs w:val="21"/>
              </w:rPr>
            </w:pPr>
          </w:p>
        </w:tc>
        <w:tc>
          <w:tcPr>
            <w:tcW w:w="915" w:type="dxa"/>
            <w:vMerge/>
            <w:vAlign w:val="center"/>
          </w:tcPr>
          <w:p w14:paraId="3E2C72B8" w14:textId="77777777" w:rsidR="001A4637" w:rsidRDefault="001A4637" w:rsidP="001A4637">
            <w:pPr>
              <w:jc w:val="center"/>
              <w:rPr>
                <w:rFonts w:ascii="Times New Roman" w:eastAsia="宋体" w:hAnsi="Times New Roman" w:cs="Times New Roman"/>
                <w:kern w:val="0"/>
                <w:szCs w:val="21"/>
              </w:rPr>
            </w:pPr>
          </w:p>
        </w:tc>
        <w:tc>
          <w:tcPr>
            <w:tcW w:w="1519" w:type="dxa"/>
            <w:vMerge/>
            <w:vAlign w:val="center"/>
          </w:tcPr>
          <w:p w14:paraId="4A39D08A" w14:textId="77777777" w:rsidR="001A4637" w:rsidRDefault="001A4637" w:rsidP="001A4637">
            <w:pPr>
              <w:jc w:val="center"/>
              <w:rPr>
                <w:rFonts w:ascii="Times New Roman" w:eastAsia="宋体" w:hAnsi="Times New Roman" w:cs="Times New Roman"/>
                <w:kern w:val="0"/>
                <w:szCs w:val="21"/>
              </w:rPr>
            </w:pPr>
          </w:p>
        </w:tc>
      </w:tr>
    </w:tbl>
    <w:p w14:paraId="15C0643F"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50" w:name="_Toc121411737"/>
      <w:r>
        <w:rPr>
          <w:rFonts w:ascii="Times New Roman" w:eastAsia="黑体" w:hAnsi="Times New Roman" w:cs="Times New Roman"/>
          <w:b w:val="0"/>
          <w:sz w:val="24"/>
        </w:rPr>
        <w:t xml:space="preserve">4.4.2 </w:t>
      </w:r>
      <w:r>
        <w:rPr>
          <w:rFonts w:ascii="宋体" w:eastAsia="宋体" w:cs="宋体" w:hint="eastAsia"/>
          <w:kern w:val="0"/>
          <w:sz w:val="24"/>
          <w:szCs w:val="24"/>
        </w:rPr>
        <w:t>非正常工况废水排放分析</w:t>
      </w:r>
      <w:bookmarkEnd w:id="350"/>
    </w:p>
    <w:p w14:paraId="0BB3A05C" w14:textId="77777777" w:rsidR="002A4A5F" w:rsidRDefault="002A4A5F" w:rsidP="002A4A5F">
      <w:pPr>
        <w:autoSpaceDE w:val="0"/>
        <w:autoSpaceDN w:val="0"/>
        <w:adjustRightInd w:val="0"/>
        <w:spacing w:line="360" w:lineRule="auto"/>
        <w:ind w:firstLineChars="200" w:firstLine="480"/>
        <w:rPr>
          <w:rFonts w:ascii="Times New Roman" w:eastAsia="宋体" w:hAnsi="Times New Roman" w:cs="Times New Roman"/>
          <w:kern w:val="0"/>
          <w:sz w:val="24"/>
          <w:szCs w:val="24"/>
        </w:rPr>
      </w:pPr>
      <w:bookmarkStart w:id="351" w:name="_Toc121411738"/>
      <w:r>
        <w:rPr>
          <w:rFonts w:ascii="Times New Roman" w:eastAsia="宋体" w:hAnsi="Times New Roman" w:cs="Times New Roman" w:hint="eastAsia"/>
          <w:kern w:val="0"/>
          <w:sz w:val="24"/>
          <w:szCs w:val="24"/>
        </w:rPr>
        <w:t>本项目非正常工况考虑：</w:t>
      </w:r>
    </w:p>
    <w:p w14:paraId="108542A3" w14:textId="77777777" w:rsidR="002A4A5F" w:rsidRDefault="002A4A5F" w:rsidP="002A4A5F">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A</w:t>
      </w:r>
      <w:r>
        <w:rPr>
          <w:rFonts w:ascii="Times New Roman" w:eastAsia="宋体" w:hAnsi="Times New Roman" w:cs="Times New Roman" w:hint="eastAsia"/>
          <w:kern w:val="0"/>
          <w:sz w:val="24"/>
          <w:szCs w:val="24"/>
        </w:rPr>
        <w:t>：渗滤液调节池</w:t>
      </w:r>
      <w:r>
        <w:rPr>
          <w:rFonts w:ascii="Times New Roman" w:eastAsia="宋体" w:hAnsi="Times New Roman" w:cs="Times New Roman"/>
          <w:kern w:val="0"/>
          <w:sz w:val="24"/>
          <w:szCs w:val="24"/>
        </w:rPr>
        <w:t>底部发生破损</w:t>
      </w:r>
      <w:r>
        <w:rPr>
          <w:rFonts w:ascii="Times New Roman" w:eastAsia="宋体" w:hAnsi="Times New Roman" w:cs="Times New Roman" w:hint="eastAsia"/>
          <w:kern w:val="0"/>
          <w:sz w:val="24"/>
          <w:szCs w:val="24"/>
        </w:rPr>
        <w:t>，渗滤液渗漏</w:t>
      </w:r>
      <w:r>
        <w:rPr>
          <w:rFonts w:ascii="Times New Roman" w:eastAsia="宋体" w:hAnsi="Times New Roman" w:cs="Times New Roman"/>
          <w:kern w:val="0"/>
          <w:sz w:val="24"/>
          <w:szCs w:val="24"/>
        </w:rPr>
        <w:t>并不能及时处理</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根据《给水排水构筑物工程施工及验收规范》（</w:t>
      </w:r>
      <w:r>
        <w:rPr>
          <w:rFonts w:ascii="Times New Roman" w:eastAsia="宋体" w:hAnsi="Times New Roman" w:cs="Times New Roman"/>
          <w:kern w:val="0"/>
          <w:sz w:val="24"/>
          <w:szCs w:val="24"/>
        </w:rPr>
        <w:t>GB50141-2008</w:t>
      </w:r>
      <w:r>
        <w:rPr>
          <w:rFonts w:ascii="Times New Roman" w:eastAsia="宋体" w:hAnsi="Times New Roman" w:cs="Times New Roman"/>
          <w:kern w:val="0"/>
          <w:sz w:val="24"/>
          <w:szCs w:val="24"/>
        </w:rPr>
        <w:t>）中规定钢筋混凝土水池</w:t>
      </w:r>
      <w:r>
        <w:rPr>
          <w:rFonts w:ascii="Times New Roman" w:eastAsia="宋体" w:hAnsi="Times New Roman" w:cs="Times New Roman" w:hint="eastAsia"/>
          <w:kern w:val="0"/>
          <w:sz w:val="24"/>
          <w:szCs w:val="24"/>
        </w:rPr>
        <w:t>结构水池满水试验时，</w:t>
      </w:r>
      <w:r>
        <w:rPr>
          <w:rFonts w:ascii="Times New Roman" w:eastAsia="宋体" w:hAnsi="Times New Roman" w:cs="Times New Roman"/>
          <w:kern w:val="0"/>
          <w:sz w:val="24"/>
          <w:szCs w:val="24"/>
        </w:rPr>
        <w:t>渗水量不得超过</w:t>
      </w:r>
      <w:r>
        <w:rPr>
          <w:rFonts w:ascii="Times New Roman" w:eastAsia="宋体" w:hAnsi="Times New Roman" w:cs="Times New Roman"/>
          <w:kern w:val="0"/>
          <w:sz w:val="24"/>
          <w:szCs w:val="24"/>
        </w:rPr>
        <w:t>2L/(m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 xml:space="preserve"> ·d)</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泄漏面积为池底面积和常水位池壁板面积之和。</w:t>
      </w:r>
      <w:r>
        <w:rPr>
          <w:rFonts w:ascii="Times New Roman" w:eastAsia="宋体" w:hAnsi="Times New Roman" w:cs="Times New Roman" w:hint="eastAsia"/>
          <w:kern w:val="0"/>
          <w:sz w:val="24"/>
          <w:szCs w:val="24"/>
        </w:rPr>
        <w:t>因此</w:t>
      </w:r>
      <w:r>
        <w:rPr>
          <w:rFonts w:ascii="Times New Roman" w:eastAsia="宋体" w:hAnsi="Times New Roman" w:cs="Times New Roman"/>
          <w:kern w:val="0"/>
          <w:sz w:val="24"/>
          <w:szCs w:val="24"/>
        </w:rPr>
        <w:t>非正常状况下的泄漏取</w:t>
      </w:r>
      <w:r>
        <w:rPr>
          <w:rFonts w:ascii="Times New Roman" w:eastAsia="宋体" w:hAnsi="Times New Roman" w:cs="Times New Roman"/>
          <w:kern w:val="0"/>
          <w:sz w:val="24"/>
          <w:szCs w:val="24"/>
        </w:rPr>
        <w:t>3L/m</w:t>
      </w:r>
      <w:r>
        <w:rPr>
          <w:rFonts w:ascii="Times New Roman" w:eastAsia="宋体" w:hAnsi="Times New Roman" w:cs="Times New Roman"/>
          <w:kern w:val="0"/>
          <w:sz w:val="24"/>
          <w:szCs w:val="24"/>
          <w:vertAlign w:val="superscript"/>
        </w:rPr>
        <w:t>2</w:t>
      </w:r>
      <w:r>
        <w:rPr>
          <w:rFonts w:ascii="Times New Roman" w:eastAsia="宋体" w:hAnsi="Times New Roman" w:cs="Times New Roman"/>
          <w:kern w:val="0"/>
          <w:sz w:val="24"/>
          <w:szCs w:val="24"/>
        </w:rPr>
        <w:t xml:space="preserve">·d </w:t>
      </w:r>
      <w:r>
        <w:rPr>
          <w:rFonts w:ascii="Times New Roman" w:eastAsia="宋体" w:hAnsi="Times New Roman" w:cs="Times New Roman"/>
          <w:kern w:val="0"/>
          <w:sz w:val="24"/>
          <w:szCs w:val="24"/>
        </w:rPr>
        <w:t>进行预测。结合调节池尺寸计算渗漏量为</w:t>
      </w:r>
      <w:r>
        <w:rPr>
          <w:rFonts w:ascii="Times New Roman" w:eastAsia="宋体" w:hAnsi="Times New Roman" w:cs="Times New Roman"/>
          <w:kern w:val="0"/>
          <w:sz w:val="24"/>
          <w:szCs w:val="24"/>
        </w:rPr>
        <w:t>2.28m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。假设渗漏发生</w:t>
      </w:r>
      <w:r>
        <w:rPr>
          <w:rFonts w:ascii="Times New Roman" w:eastAsia="宋体" w:hAnsi="Times New Roman" w:cs="Times New Roman"/>
          <w:kern w:val="0"/>
          <w:sz w:val="24"/>
          <w:szCs w:val="24"/>
        </w:rPr>
        <w:t>30</w:t>
      </w:r>
      <w:r>
        <w:rPr>
          <w:rFonts w:ascii="Times New Roman" w:eastAsia="宋体" w:hAnsi="Times New Roman" w:cs="Times New Roman"/>
          <w:kern w:val="0"/>
          <w:sz w:val="24"/>
          <w:szCs w:val="24"/>
        </w:rPr>
        <w:t>天后下游监测井发现异常，采取有效措施停止渗漏。污染浓度：</w:t>
      </w:r>
      <w:r>
        <w:rPr>
          <w:rFonts w:ascii="Times New Roman" w:eastAsia="宋体" w:hAnsi="Times New Roman" w:cs="Times New Roman"/>
          <w:kern w:val="0"/>
          <w:sz w:val="24"/>
          <w:szCs w:val="24"/>
        </w:rPr>
        <w:t xml:space="preserve">COD </w:t>
      </w:r>
      <w:r>
        <w:rPr>
          <w:rFonts w:ascii="Times New Roman" w:eastAsia="宋体" w:hAnsi="Times New Roman" w:cs="Times New Roman"/>
          <w:kern w:val="0"/>
          <w:sz w:val="24"/>
          <w:szCs w:val="24"/>
        </w:rPr>
        <w:t>最大为</w:t>
      </w:r>
      <w:r>
        <w:rPr>
          <w:rFonts w:ascii="Times New Roman" w:eastAsia="宋体" w:hAnsi="Times New Roman" w:cs="Times New Roman"/>
          <w:kern w:val="0"/>
          <w:sz w:val="24"/>
          <w:szCs w:val="24"/>
        </w:rPr>
        <w:t>20000mg/L</w:t>
      </w:r>
      <w:r>
        <w:rPr>
          <w:rFonts w:ascii="Times New Roman" w:eastAsia="宋体" w:hAnsi="Times New Roman" w:cs="Times New Roman"/>
          <w:kern w:val="0"/>
          <w:sz w:val="24"/>
          <w:szCs w:val="24"/>
        </w:rPr>
        <w:t>、氨氮最大为</w:t>
      </w:r>
      <w:r>
        <w:rPr>
          <w:rFonts w:ascii="Times New Roman" w:eastAsia="宋体" w:hAnsi="Times New Roman" w:cs="Times New Roman"/>
          <w:kern w:val="0"/>
          <w:sz w:val="24"/>
          <w:szCs w:val="24"/>
        </w:rPr>
        <w:t>1200mg/L</w:t>
      </w:r>
      <w:r>
        <w:rPr>
          <w:rFonts w:ascii="Times New Roman" w:eastAsia="宋体" w:hAnsi="Times New Roman" w:cs="Times New Roman"/>
          <w:kern w:val="0"/>
          <w:sz w:val="24"/>
          <w:szCs w:val="24"/>
        </w:rPr>
        <w:t>。</w:t>
      </w:r>
    </w:p>
    <w:p w14:paraId="02FC61CE" w14:textId="56803BDC" w:rsidR="002A4A5F" w:rsidRPr="002A4A5F" w:rsidRDefault="002A4A5F" w:rsidP="002A4A5F">
      <w:pPr>
        <w:autoSpaceDE w:val="0"/>
        <w:autoSpaceDN w:val="0"/>
        <w:adjustRightInd w:val="0"/>
        <w:spacing w:line="360" w:lineRule="auto"/>
        <w:ind w:firstLineChars="200" w:firstLine="480"/>
        <w:rPr>
          <w:rFonts w:ascii="Times New Roman" w:eastAsia="宋体" w:hAnsi="Times New Roman" w:cs="Times New Roman"/>
          <w:color w:val="FF0000"/>
          <w:spacing w:val="4"/>
          <w:sz w:val="24"/>
          <w:szCs w:val="24"/>
        </w:rPr>
      </w:pPr>
      <w:r w:rsidRPr="002A4A5F">
        <w:rPr>
          <w:rFonts w:ascii="Times New Roman" w:eastAsia="宋体" w:hAnsi="Times New Roman" w:cs="Times New Roman"/>
          <w:color w:val="FF0000"/>
          <w:sz w:val="24"/>
          <w:szCs w:val="24"/>
        </w:rPr>
        <w:t>B</w:t>
      </w:r>
      <w:r w:rsidRPr="002A4A5F">
        <w:rPr>
          <w:rFonts w:ascii="Times New Roman" w:eastAsia="宋体" w:hAnsi="Times New Roman" w:cs="Times New Roman"/>
          <w:color w:val="FF0000"/>
          <w:sz w:val="24"/>
          <w:szCs w:val="24"/>
        </w:rPr>
        <w:t>：库区防渗层失效情形，</w:t>
      </w:r>
      <w:r w:rsidRPr="002A4A5F">
        <w:rPr>
          <w:rFonts w:ascii="Times New Roman" w:eastAsia="宋体" w:hAnsi="Times New Roman" w:cs="Times New Roman"/>
          <w:color w:val="FF0000"/>
          <w:spacing w:val="4"/>
          <w:kern w:val="0"/>
          <w:sz w:val="24"/>
          <w:szCs w:val="24"/>
        </w:rPr>
        <w:t>对于填埋库区防渗层破损情况，渗滤液渗漏主要表现为防渗层破损形成面源下渗。根据前文，全库区渗滤液产生量为</w:t>
      </w:r>
      <w:r w:rsidRPr="002A4A5F">
        <w:rPr>
          <w:rFonts w:ascii="Times New Roman" w:eastAsia="宋体" w:hAnsi="Times New Roman" w:cs="Times New Roman"/>
          <w:color w:val="FF0000"/>
          <w:spacing w:val="4"/>
          <w:kern w:val="0"/>
          <w:sz w:val="24"/>
          <w:szCs w:val="24"/>
        </w:rPr>
        <w:t>40.56m</w:t>
      </w:r>
      <w:r w:rsidRPr="002A4A5F">
        <w:rPr>
          <w:rFonts w:ascii="Times New Roman" w:eastAsia="宋体" w:hAnsi="Times New Roman" w:cs="Times New Roman"/>
          <w:color w:val="FF0000"/>
          <w:spacing w:val="4"/>
          <w:kern w:val="0"/>
          <w:sz w:val="24"/>
          <w:szCs w:val="24"/>
          <w:vertAlign w:val="superscript"/>
        </w:rPr>
        <w:t>3</w:t>
      </w:r>
      <w:r w:rsidRPr="002A4A5F">
        <w:rPr>
          <w:rFonts w:ascii="Times New Roman" w:eastAsia="宋体" w:hAnsi="Times New Roman" w:cs="Times New Roman"/>
          <w:color w:val="FF0000"/>
          <w:spacing w:val="4"/>
          <w:kern w:val="0"/>
          <w:sz w:val="24"/>
          <w:szCs w:val="24"/>
        </w:rPr>
        <w:t>/d</w:t>
      </w:r>
      <w:r w:rsidRPr="002A4A5F">
        <w:rPr>
          <w:rFonts w:ascii="Times New Roman" w:eastAsia="宋体" w:hAnsi="Times New Roman" w:cs="Times New Roman"/>
          <w:color w:val="FF0000"/>
          <w:spacing w:val="4"/>
          <w:kern w:val="0"/>
          <w:sz w:val="24"/>
          <w:szCs w:val="24"/>
        </w:rPr>
        <w:t>，防渗层破损后，大部分渗滤液经导排系统导出，少量渗漏进入地下水含水层，假定渗漏量占渗滤液产生量的</w:t>
      </w:r>
      <w:r w:rsidRPr="002A4A5F">
        <w:rPr>
          <w:rFonts w:ascii="Times New Roman" w:eastAsia="宋体" w:hAnsi="Times New Roman" w:cs="Times New Roman"/>
          <w:color w:val="FF0000"/>
          <w:spacing w:val="4"/>
          <w:kern w:val="0"/>
          <w:sz w:val="24"/>
          <w:szCs w:val="24"/>
        </w:rPr>
        <w:t>1%</w:t>
      </w:r>
      <w:r w:rsidRPr="002A4A5F">
        <w:rPr>
          <w:rFonts w:ascii="Times New Roman" w:eastAsia="宋体" w:hAnsi="Times New Roman" w:cs="Times New Roman"/>
          <w:color w:val="FF0000"/>
          <w:spacing w:val="4"/>
          <w:kern w:val="0"/>
          <w:sz w:val="24"/>
          <w:szCs w:val="24"/>
        </w:rPr>
        <w:t>，则防渗层受损下渗的渗滤液量为</w:t>
      </w:r>
      <w:r w:rsidRPr="002A4A5F">
        <w:rPr>
          <w:rFonts w:ascii="Times New Roman" w:eastAsia="宋体" w:hAnsi="Times New Roman" w:cs="Times New Roman"/>
          <w:color w:val="FF0000"/>
          <w:spacing w:val="4"/>
          <w:kern w:val="0"/>
          <w:sz w:val="24"/>
          <w:szCs w:val="24"/>
        </w:rPr>
        <w:t>0.4056m</w:t>
      </w:r>
      <w:r w:rsidRPr="002A4A5F">
        <w:rPr>
          <w:rFonts w:ascii="Times New Roman" w:eastAsia="宋体" w:hAnsi="Times New Roman" w:cs="Times New Roman"/>
          <w:color w:val="FF0000"/>
          <w:spacing w:val="4"/>
          <w:kern w:val="0"/>
          <w:sz w:val="24"/>
          <w:szCs w:val="24"/>
          <w:vertAlign w:val="superscript"/>
        </w:rPr>
        <w:t>3</w:t>
      </w:r>
      <w:r w:rsidRPr="002A4A5F">
        <w:rPr>
          <w:rFonts w:ascii="Times New Roman" w:eastAsia="宋体" w:hAnsi="Times New Roman" w:cs="Times New Roman"/>
          <w:color w:val="FF0000"/>
          <w:spacing w:val="4"/>
          <w:kern w:val="0"/>
          <w:sz w:val="24"/>
          <w:szCs w:val="24"/>
        </w:rPr>
        <w:t>/d</w:t>
      </w:r>
      <w:r w:rsidRPr="002A4A5F">
        <w:rPr>
          <w:rFonts w:ascii="Times New Roman" w:eastAsia="宋体" w:hAnsi="Times New Roman" w:cs="Times New Roman"/>
          <w:color w:val="FF0000"/>
          <w:spacing w:val="4"/>
          <w:kern w:val="0"/>
          <w:sz w:val="24"/>
          <w:szCs w:val="24"/>
        </w:rPr>
        <w:t>，</w:t>
      </w:r>
      <w:r w:rsidRPr="002A4A5F">
        <w:rPr>
          <w:rFonts w:ascii="Times New Roman" w:eastAsia="宋体" w:hAnsi="Times New Roman" w:cs="Times New Roman"/>
          <w:color w:val="FF0000"/>
          <w:spacing w:val="4"/>
          <w:kern w:val="0"/>
          <w:sz w:val="24"/>
          <w:szCs w:val="24"/>
        </w:rPr>
        <w:t>COD</w:t>
      </w:r>
      <w:r w:rsidRPr="002A4A5F">
        <w:rPr>
          <w:rFonts w:ascii="Times New Roman" w:eastAsia="宋体" w:hAnsi="Times New Roman" w:cs="Times New Roman"/>
          <w:color w:val="FF0000"/>
          <w:spacing w:val="4"/>
          <w:kern w:val="0"/>
          <w:sz w:val="24"/>
          <w:szCs w:val="24"/>
        </w:rPr>
        <w:t>产生浓度为</w:t>
      </w:r>
      <w:r w:rsidRPr="002A4A5F">
        <w:rPr>
          <w:rFonts w:ascii="Times New Roman" w:eastAsia="宋体" w:hAnsi="Times New Roman" w:cs="Times New Roman"/>
          <w:color w:val="FF0000"/>
          <w:spacing w:val="4"/>
          <w:kern w:val="0"/>
          <w:sz w:val="24"/>
          <w:szCs w:val="24"/>
        </w:rPr>
        <w:t>20000mg/L</w:t>
      </w:r>
      <w:r w:rsidRPr="002A4A5F">
        <w:rPr>
          <w:rFonts w:ascii="Times New Roman" w:eastAsia="宋体" w:hAnsi="Times New Roman" w:cs="Times New Roman"/>
          <w:color w:val="FF0000"/>
          <w:spacing w:val="4"/>
          <w:kern w:val="0"/>
          <w:sz w:val="24"/>
          <w:szCs w:val="24"/>
        </w:rPr>
        <w:t>，氨氮产生为</w:t>
      </w:r>
      <w:r w:rsidRPr="002A4A5F">
        <w:rPr>
          <w:rFonts w:ascii="Times New Roman" w:eastAsia="宋体" w:hAnsi="Times New Roman" w:cs="Times New Roman"/>
          <w:color w:val="FF0000"/>
          <w:spacing w:val="4"/>
          <w:kern w:val="0"/>
          <w:sz w:val="24"/>
          <w:szCs w:val="24"/>
        </w:rPr>
        <w:t>1200mg/L</w:t>
      </w:r>
      <w:r w:rsidRPr="002A4A5F">
        <w:rPr>
          <w:rFonts w:ascii="Times New Roman" w:eastAsia="宋体" w:hAnsi="Times New Roman" w:cs="Times New Roman"/>
          <w:color w:val="FF0000"/>
          <w:spacing w:val="4"/>
          <w:kern w:val="0"/>
          <w:sz w:val="24"/>
          <w:szCs w:val="24"/>
        </w:rPr>
        <w:t>，则</w:t>
      </w:r>
      <w:r w:rsidRPr="002A4A5F">
        <w:rPr>
          <w:rFonts w:ascii="Times New Roman" w:eastAsia="宋体" w:hAnsi="Times New Roman" w:cs="Times New Roman"/>
          <w:color w:val="FF0000"/>
          <w:spacing w:val="4"/>
          <w:kern w:val="0"/>
          <w:sz w:val="24"/>
          <w:szCs w:val="24"/>
        </w:rPr>
        <w:t>COD</w:t>
      </w:r>
      <w:r w:rsidRPr="002A4A5F">
        <w:rPr>
          <w:rFonts w:ascii="Times New Roman" w:eastAsia="宋体" w:hAnsi="Times New Roman" w:cs="Times New Roman"/>
          <w:color w:val="FF0000"/>
          <w:spacing w:val="4"/>
          <w:kern w:val="0"/>
          <w:sz w:val="24"/>
          <w:szCs w:val="24"/>
        </w:rPr>
        <w:t>渗漏量为</w:t>
      </w:r>
      <w:r w:rsidRPr="002A4A5F">
        <w:rPr>
          <w:rFonts w:ascii="Times New Roman" w:eastAsia="宋体" w:hAnsi="Times New Roman" w:cs="Times New Roman"/>
          <w:color w:val="FF0000"/>
          <w:spacing w:val="4"/>
          <w:kern w:val="0"/>
          <w:sz w:val="24"/>
          <w:szCs w:val="24"/>
        </w:rPr>
        <w:t>8.112kg/d</w:t>
      </w:r>
      <w:r w:rsidRPr="002A4A5F">
        <w:rPr>
          <w:rFonts w:ascii="Times New Roman" w:eastAsia="宋体" w:hAnsi="Times New Roman" w:cs="Times New Roman"/>
          <w:color w:val="FF0000"/>
          <w:spacing w:val="4"/>
          <w:kern w:val="0"/>
          <w:sz w:val="24"/>
          <w:szCs w:val="24"/>
        </w:rPr>
        <w:t>，氨氮渗漏量为</w:t>
      </w:r>
      <w:r w:rsidRPr="002A4A5F">
        <w:rPr>
          <w:rFonts w:ascii="Times New Roman" w:eastAsia="宋体" w:hAnsi="Times New Roman" w:cs="Times New Roman"/>
          <w:color w:val="FF0000"/>
          <w:spacing w:val="4"/>
          <w:kern w:val="0"/>
          <w:sz w:val="24"/>
          <w:szCs w:val="24"/>
        </w:rPr>
        <w:t>0.487kg/d</w:t>
      </w:r>
      <w:r w:rsidRPr="002A4A5F">
        <w:rPr>
          <w:rFonts w:ascii="Times New Roman" w:eastAsia="宋体" w:hAnsi="Times New Roman" w:cs="Times New Roman"/>
          <w:color w:val="FF0000"/>
          <w:spacing w:val="4"/>
          <w:kern w:val="0"/>
          <w:sz w:val="24"/>
          <w:szCs w:val="24"/>
        </w:rPr>
        <w:t>。</w:t>
      </w:r>
    </w:p>
    <w:p w14:paraId="37C0CAB0" w14:textId="40EA9900" w:rsidR="00D12939" w:rsidRDefault="004F47F5" w:rsidP="002A4A5F">
      <w:pPr>
        <w:pStyle w:val="2"/>
        <w:spacing w:line="360" w:lineRule="auto"/>
        <w:ind w:firstLineChars="165" w:firstLine="462"/>
        <w:rPr>
          <w:sz w:val="28"/>
        </w:rPr>
      </w:pPr>
      <w:r>
        <w:rPr>
          <w:sz w:val="28"/>
        </w:rPr>
        <w:t>4.5</w:t>
      </w:r>
      <w:r>
        <w:rPr>
          <w:rFonts w:hint="eastAsia"/>
          <w:sz w:val="28"/>
        </w:rPr>
        <w:t>污染物排放量汇总</w:t>
      </w:r>
      <w:bookmarkEnd w:id="351"/>
      <w:r>
        <w:rPr>
          <w:rFonts w:hint="eastAsia"/>
          <w:sz w:val="28"/>
        </w:rPr>
        <w:t xml:space="preserve"> </w:t>
      </w:r>
    </w:p>
    <w:p w14:paraId="7A2CA2AB" w14:textId="77777777" w:rsidR="00D12939" w:rsidRDefault="004F47F5">
      <w:pPr>
        <w:widowControl/>
        <w:ind w:firstLineChars="200" w:firstLine="480"/>
        <w:rPr>
          <w:rFonts w:ascii="宋体" w:eastAsia="宋体" w:hAnsi="宋体" w:cs="宋体"/>
          <w:sz w:val="24"/>
        </w:rPr>
      </w:pPr>
      <w:r>
        <w:rPr>
          <w:rFonts w:ascii="宋体" w:eastAsia="宋体" w:hAnsi="宋体" w:cs="宋体"/>
          <w:sz w:val="24"/>
        </w:rPr>
        <w:t>营运期主要污染物排放情况汇总见表4.5-1。</w:t>
      </w:r>
    </w:p>
    <w:p w14:paraId="1D696712" w14:textId="77777777" w:rsidR="00D12939" w:rsidRDefault="004F47F5">
      <w:pPr>
        <w:pStyle w:val="a5"/>
        <w:ind w:firstLine="480"/>
        <w:rPr>
          <w:rFonts w:ascii="黑体" w:eastAsia="黑体" w:hAnsi="黑体"/>
          <w:sz w:val="24"/>
          <w:szCs w:val="21"/>
        </w:rPr>
      </w:pPr>
      <w:r>
        <w:rPr>
          <w:rFonts w:ascii="黑体" w:eastAsia="黑体" w:hAnsi="黑体" w:hint="eastAsia"/>
          <w:sz w:val="24"/>
          <w:szCs w:val="21"/>
        </w:rPr>
        <w:t>表4</w:t>
      </w:r>
      <w:r>
        <w:rPr>
          <w:rFonts w:ascii="黑体" w:eastAsia="黑体" w:hAnsi="黑体"/>
          <w:sz w:val="24"/>
          <w:szCs w:val="21"/>
        </w:rPr>
        <w:t>.5-1  主要污染物排放汇总表</w:t>
      </w:r>
    </w:p>
    <w:tbl>
      <w:tblPr>
        <w:tblW w:w="1003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729"/>
        <w:gridCol w:w="1716"/>
        <w:gridCol w:w="759"/>
        <w:gridCol w:w="2089"/>
        <w:gridCol w:w="263"/>
        <w:gridCol w:w="1871"/>
        <w:gridCol w:w="803"/>
        <w:gridCol w:w="1800"/>
      </w:tblGrid>
      <w:tr w:rsidR="00D12939" w14:paraId="0F33B57F" w14:textId="77777777" w:rsidTr="000C34D0">
        <w:trPr>
          <w:cantSplit/>
          <w:trHeight w:val="321"/>
          <w:jc w:val="center"/>
        </w:trPr>
        <w:tc>
          <w:tcPr>
            <w:tcW w:w="729" w:type="dxa"/>
            <w:tcBorders>
              <w:tl2br w:val="single" w:sz="4" w:space="0" w:color="auto"/>
            </w:tcBorders>
            <w:vAlign w:val="center"/>
          </w:tcPr>
          <w:p w14:paraId="6FA3D53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内容</w:t>
            </w:r>
          </w:p>
          <w:p w14:paraId="7B3750E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类型</w:t>
            </w:r>
          </w:p>
        </w:tc>
        <w:tc>
          <w:tcPr>
            <w:tcW w:w="1716" w:type="dxa"/>
            <w:vAlign w:val="center"/>
          </w:tcPr>
          <w:p w14:paraId="1426C70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排放源</w:t>
            </w:r>
          </w:p>
        </w:tc>
        <w:tc>
          <w:tcPr>
            <w:tcW w:w="759" w:type="dxa"/>
            <w:vAlign w:val="center"/>
          </w:tcPr>
          <w:p w14:paraId="2EAEBBD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污染物</w:t>
            </w:r>
          </w:p>
          <w:p w14:paraId="00695F4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名称</w:t>
            </w:r>
          </w:p>
        </w:tc>
        <w:tc>
          <w:tcPr>
            <w:tcW w:w="2089" w:type="dxa"/>
            <w:vAlign w:val="center"/>
          </w:tcPr>
          <w:p w14:paraId="657912C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产生浓度</w:t>
            </w:r>
            <w:r>
              <w:rPr>
                <w:rFonts w:ascii="Times New Roman" w:eastAsia="宋体" w:hAnsi="Times New Roman" w:cs="Times New Roman"/>
              </w:rPr>
              <w:t>/</w:t>
            </w:r>
          </w:p>
          <w:p w14:paraId="70D1B93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产生量</w:t>
            </w:r>
          </w:p>
        </w:tc>
        <w:tc>
          <w:tcPr>
            <w:tcW w:w="2134" w:type="dxa"/>
            <w:gridSpan w:val="2"/>
            <w:vAlign w:val="center"/>
          </w:tcPr>
          <w:p w14:paraId="38BBCDF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排放浓度</w:t>
            </w:r>
            <w:r>
              <w:rPr>
                <w:rFonts w:ascii="Times New Roman" w:eastAsia="宋体" w:hAnsi="Times New Roman" w:cs="Times New Roman"/>
              </w:rPr>
              <w:t>/</w:t>
            </w:r>
          </w:p>
          <w:p w14:paraId="17DA871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排放量</w:t>
            </w:r>
          </w:p>
        </w:tc>
        <w:tc>
          <w:tcPr>
            <w:tcW w:w="803" w:type="dxa"/>
            <w:vAlign w:val="center"/>
          </w:tcPr>
          <w:p w14:paraId="357CE32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排放</w:t>
            </w:r>
          </w:p>
          <w:p w14:paraId="1322532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方式</w:t>
            </w:r>
          </w:p>
        </w:tc>
        <w:tc>
          <w:tcPr>
            <w:tcW w:w="1800" w:type="dxa"/>
            <w:vAlign w:val="center"/>
          </w:tcPr>
          <w:p w14:paraId="26DD347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治理措施</w:t>
            </w:r>
          </w:p>
        </w:tc>
      </w:tr>
      <w:tr w:rsidR="00D12939" w14:paraId="7AC327CD" w14:textId="77777777" w:rsidTr="000C34D0">
        <w:trPr>
          <w:cantSplit/>
          <w:trHeight w:val="321"/>
          <w:jc w:val="center"/>
        </w:trPr>
        <w:tc>
          <w:tcPr>
            <w:tcW w:w="729" w:type="dxa"/>
            <w:vMerge w:val="restart"/>
            <w:vAlign w:val="center"/>
          </w:tcPr>
          <w:p w14:paraId="4DC675F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大</w:t>
            </w:r>
          </w:p>
          <w:p w14:paraId="51A7903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气</w:t>
            </w:r>
          </w:p>
          <w:p w14:paraId="24547CE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污</w:t>
            </w:r>
          </w:p>
          <w:p w14:paraId="5847709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染</w:t>
            </w:r>
          </w:p>
          <w:p w14:paraId="47B8560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lastRenderedPageBreak/>
              <w:t>物</w:t>
            </w:r>
          </w:p>
        </w:tc>
        <w:tc>
          <w:tcPr>
            <w:tcW w:w="1716" w:type="dxa"/>
            <w:vMerge w:val="restart"/>
            <w:vAlign w:val="center"/>
          </w:tcPr>
          <w:p w14:paraId="05C95BA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lastRenderedPageBreak/>
              <w:t>填埋气体（非点燃状态）</w:t>
            </w:r>
          </w:p>
        </w:tc>
        <w:tc>
          <w:tcPr>
            <w:tcW w:w="759" w:type="dxa"/>
            <w:vAlign w:val="center"/>
          </w:tcPr>
          <w:p w14:paraId="18CEF5D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废气量</w:t>
            </w:r>
          </w:p>
        </w:tc>
        <w:tc>
          <w:tcPr>
            <w:tcW w:w="2089" w:type="dxa"/>
            <w:vAlign w:val="center"/>
          </w:tcPr>
          <w:p w14:paraId="56B9BB2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22.75</w:t>
            </w:r>
            <w:r>
              <w:rPr>
                <w:rFonts w:ascii="Times New Roman" w:eastAsia="宋体" w:hAnsi="Times New Roman" w:cs="Times New Roman" w:hint="eastAsia"/>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2134" w:type="dxa"/>
            <w:gridSpan w:val="2"/>
            <w:vAlign w:val="center"/>
          </w:tcPr>
          <w:p w14:paraId="2E4CB72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22.75</w:t>
            </w:r>
            <w:r>
              <w:rPr>
                <w:rFonts w:ascii="Times New Roman" w:eastAsia="宋体" w:hAnsi="Times New Roman" w:cs="Times New Roman" w:hint="eastAsia"/>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803" w:type="dxa"/>
            <w:vMerge w:val="restart"/>
            <w:vAlign w:val="center"/>
          </w:tcPr>
          <w:p w14:paraId="501B4F0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无组织</w:t>
            </w:r>
          </w:p>
        </w:tc>
        <w:tc>
          <w:tcPr>
            <w:tcW w:w="1800" w:type="dxa"/>
            <w:vMerge w:val="restart"/>
            <w:vAlign w:val="center"/>
          </w:tcPr>
          <w:p w14:paraId="42B37CA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通过导气</w:t>
            </w:r>
            <w:r>
              <w:rPr>
                <w:rFonts w:ascii="Times New Roman" w:eastAsia="宋体" w:hAnsi="Times New Roman" w:cs="Times New Roman" w:hint="eastAsia"/>
              </w:rPr>
              <w:t>石笼</w:t>
            </w:r>
            <w:r>
              <w:rPr>
                <w:rFonts w:ascii="Times New Roman" w:eastAsia="宋体" w:hAnsi="Times New Roman" w:cs="Times New Roman"/>
              </w:rPr>
              <w:t>直接排放</w:t>
            </w:r>
          </w:p>
        </w:tc>
      </w:tr>
      <w:tr w:rsidR="00D12939" w14:paraId="29374FF5" w14:textId="77777777" w:rsidTr="000C34D0">
        <w:trPr>
          <w:cantSplit/>
          <w:trHeight w:val="321"/>
          <w:jc w:val="center"/>
        </w:trPr>
        <w:tc>
          <w:tcPr>
            <w:tcW w:w="729" w:type="dxa"/>
            <w:vMerge/>
            <w:vAlign w:val="center"/>
          </w:tcPr>
          <w:p w14:paraId="2BDAE8B2"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081DCD02" w14:textId="77777777" w:rsidR="00D12939" w:rsidRDefault="00D12939">
            <w:pPr>
              <w:pStyle w:val="affffd"/>
              <w:spacing w:line="240" w:lineRule="auto"/>
              <w:rPr>
                <w:rFonts w:ascii="Times New Roman" w:eastAsia="宋体" w:hAnsi="Times New Roman" w:cs="Times New Roman"/>
              </w:rPr>
            </w:pPr>
          </w:p>
        </w:tc>
        <w:tc>
          <w:tcPr>
            <w:tcW w:w="759" w:type="dxa"/>
            <w:vAlign w:val="center"/>
          </w:tcPr>
          <w:p w14:paraId="7A4E7F1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甲烷</w:t>
            </w:r>
          </w:p>
        </w:tc>
        <w:tc>
          <w:tcPr>
            <w:tcW w:w="2089" w:type="dxa"/>
            <w:vAlign w:val="center"/>
          </w:tcPr>
          <w:p w14:paraId="306FA75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81.55t/a</w:t>
            </w:r>
          </w:p>
        </w:tc>
        <w:tc>
          <w:tcPr>
            <w:tcW w:w="2134" w:type="dxa"/>
            <w:gridSpan w:val="2"/>
            <w:vAlign w:val="center"/>
          </w:tcPr>
          <w:p w14:paraId="4673C82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81.55t/a</w:t>
            </w:r>
          </w:p>
        </w:tc>
        <w:tc>
          <w:tcPr>
            <w:tcW w:w="803" w:type="dxa"/>
            <w:vMerge/>
            <w:vAlign w:val="center"/>
          </w:tcPr>
          <w:p w14:paraId="62D1D981"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27920E32" w14:textId="77777777" w:rsidR="00D12939" w:rsidRDefault="00D12939">
            <w:pPr>
              <w:pStyle w:val="affffd"/>
              <w:spacing w:line="240" w:lineRule="auto"/>
              <w:rPr>
                <w:rFonts w:ascii="Times New Roman" w:eastAsia="宋体" w:hAnsi="Times New Roman" w:cs="Times New Roman"/>
              </w:rPr>
            </w:pPr>
          </w:p>
        </w:tc>
      </w:tr>
      <w:tr w:rsidR="00D12939" w14:paraId="5C79FDB2" w14:textId="77777777" w:rsidTr="000C34D0">
        <w:trPr>
          <w:cantSplit/>
          <w:trHeight w:val="321"/>
          <w:jc w:val="center"/>
        </w:trPr>
        <w:tc>
          <w:tcPr>
            <w:tcW w:w="729" w:type="dxa"/>
            <w:vMerge/>
            <w:vAlign w:val="center"/>
          </w:tcPr>
          <w:p w14:paraId="4A0341E5"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7A03CA80" w14:textId="77777777" w:rsidR="00D12939" w:rsidRDefault="00D12939">
            <w:pPr>
              <w:pStyle w:val="affffd"/>
              <w:spacing w:line="240" w:lineRule="auto"/>
              <w:rPr>
                <w:rFonts w:ascii="Times New Roman" w:eastAsia="宋体" w:hAnsi="Times New Roman" w:cs="Times New Roman"/>
              </w:rPr>
            </w:pPr>
          </w:p>
        </w:tc>
        <w:tc>
          <w:tcPr>
            <w:tcW w:w="759" w:type="dxa"/>
            <w:vAlign w:val="center"/>
          </w:tcPr>
          <w:p w14:paraId="7E7C884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2089" w:type="dxa"/>
            <w:vAlign w:val="center"/>
          </w:tcPr>
          <w:p w14:paraId="0A8629A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0.053t/a</w:t>
            </w:r>
          </w:p>
        </w:tc>
        <w:tc>
          <w:tcPr>
            <w:tcW w:w="2134" w:type="dxa"/>
            <w:gridSpan w:val="2"/>
            <w:vAlign w:val="center"/>
          </w:tcPr>
          <w:p w14:paraId="57F79A6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0.053t/a</w:t>
            </w:r>
          </w:p>
        </w:tc>
        <w:tc>
          <w:tcPr>
            <w:tcW w:w="803" w:type="dxa"/>
            <w:vMerge/>
            <w:vAlign w:val="center"/>
          </w:tcPr>
          <w:p w14:paraId="50EAE22B"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5DF35E6A" w14:textId="77777777" w:rsidR="00D12939" w:rsidRDefault="00D12939">
            <w:pPr>
              <w:pStyle w:val="affffd"/>
              <w:spacing w:line="240" w:lineRule="auto"/>
              <w:rPr>
                <w:rFonts w:ascii="Times New Roman" w:eastAsia="宋体" w:hAnsi="Times New Roman" w:cs="Times New Roman"/>
              </w:rPr>
            </w:pPr>
          </w:p>
        </w:tc>
      </w:tr>
      <w:tr w:rsidR="00D12939" w14:paraId="10584480" w14:textId="77777777" w:rsidTr="000C34D0">
        <w:trPr>
          <w:cantSplit/>
          <w:trHeight w:val="321"/>
          <w:jc w:val="center"/>
        </w:trPr>
        <w:tc>
          <w:tcPr>
            <w:tcW w:w="729" w:type="dxa"/>
            <w:vMerge/>
            <w:vAlign w:val="center"/>
          </w:tcPr>
          <w:p w14:paraId="4F0672CD"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456EF3D8" w14:textId="77777777" w:rsidR="00D12939" w:rsidRDefault="00D12939">
            <w:pPr>
              <w:pStyle w:val="affffd"/>
              <w:spacing w:line="240" w:lineRule="auto"/>
              <w:rPr>
                <w:rFonts w:ascii="Times New Roman" w:eastAsia="宋体" w:hAnsi="Times New Roman" w:cs="Times New Roman"/>
              </w:rPr>
            </w:pPr>
          </w:p>
        </w:tc>
        <w:tc>
          <w:tcPr>
            <w:tcW w:w="759" w:type="dxa"/>
            <w:vAlign w:val="center"/>
          </w:tcPr>
          <w:p w14:paraId="4C8D895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2089" w:type="dxa"/>
            <w:vAlign w:val="center"/>
          </w:tcPr>
          <w:p w14:paraId="6CDAFA0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0.88t/a</w:t>
            </w:r>
          </w:p>
        </w:tc>
        <w:tc>
          <w:tcPr>
            <w:tcW w:w="2134" w:type="dxa"/>
            <w:gridSpan w:val="2"/>
            <w:vAlign w:val="center"/>
          </w:tcPr>
          <w:p w14:paraId="27B7424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0.88t/a</w:t>
            </w:r>
          </w:p>
        </w:tc>
        <w:tc>
          <w:tcPr>
            <w:tcW w:w="803" w:type="dxa"/>
            <w:vMerge/>
            <w:vAlign w:val="center"/>
          </w:tcPr>
          <w:p w14:paraId="3C756B64"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7FA5A282" w14:textId="77777777" w:rsidR="00D12939" w:rsidRDefault="00D12939">
            <w:pPr>
              <w:pStyle w:val="affffd"/>
              <w:spacing w:line="240" w:lineRule="auto"/>
              <w:rPr>
                <w:rFonts w:ascii="Times New Roman" w:eastAsia="宋体" w:hAnsi="Times New Roman" w:cs="Times New Roman"/>
              </w:rPr>
            </w:pPr>
          </w:p>
        </w:tc>
      </w:tr>
      <w:tr w:rsidR="00D12939" w14:paraId="129BD476" w14:textId="77777777" w:rsidTr="000C34D0">
        <w:trPr>
          <w:cantSplit/>
          <w:trHeight w:val="321"/>
          <w:jc w:val="center"/>
        </w:trPr>
        <w:tc>
          <w:tcPr>
            <w:tcW w:w="729" w:type="dxa"/>
            <w:vMerge/>
            <w:vAlign w:val="center"/>
          </w:tcPr>
          <w:p w14:paraId="25488BF0" w14:textId="77777777" w:rsidR="00D12939" w:rsidRDefault="00D12939">
            <w:pPr>
              <w:pStyle w:val="affffd"/>
              <w:spacing w:line="240" w:lineRule="auto"/>
              <w:rPr>
                <w:rFonts w:ascii="Times New Roman" w:eastAsia="宋体" w:hAnsi="Times New Roman" w:cs="Times New Roman"/>
              </w:rPr>
            </w:pPr>
          </w:p>
        </w:tc>
        <w:tc>
          <w:tcPr>
            <w:tcW w:w="1716" w:type="dxa"/>
            <w:vMerge w:val="restart"/>
            <w:vAlign w:val="center"/>
          </w:tcPr>
          <w:p w14:paraId="6B2D3AD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填埋气体（点燃状态）</w:t>
            </w:r>
          </w:p>
        </w:tc>
        <w:tc>
          <w:tcPr>
            <w:tcW w:w="759" w:type="dxa"/>
            <w:vAlign w:val="center"/>
          </w:tcPr>
          <w:p w14:paraId="413672D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燃烧废气量</w:t>
            </w:r>
          </w:p>
        </w:tc>
        <w:tc>
          <w:tcPr>
            <w:tcW w:w="2089" w:type="dxa"/>
            <w:vAlign w:val="center"/>
          </w:tcPr>
          <w:p w14:paraId="60DF7E63" w14:textId="77777777" w:rsidR="00D12939" w:rsidRDefault="004F47F5">
            <w:pPr>
              <w:pStyle w:val="affffd"/>
              <w:spacing w:line="240" w:lineRule="auto"/>
              <w:rPr>
                <w:rFonts w:ascii="Times New Roman" w:eastAsia="宋体" w:hAnsi="Times New Roman" w:cs="Times New Roman"/>
                <w:highlight w:val="yellow"/>
              </w:rPr>
            </w:pPr>
            <w:r>
              <w:rPr>
                <w:rFonts w:ascii="Times New Roman" w:eastAsia="宋体" w:hAnsi="Times New Roman" w:cs="Times New Roman" w:hint="eastAsia"/>
              </w:rPr>
              <w:t>3</w:t>
            </w:r>
            <w:r>
              <w:rPr>
                <w:rFonts w:ascii="Times New Roman" w:eastAsia="宋体" w:hAnsi="Times New Roman" w:cs="Times New Roman"/>
              </w:rPr>
              <w:t>09.4</w:t>
            </w:r>
            <w:r>
              <w:rPr>
                <w:rFonts w:ascii="Times New Roman" w:eastAsia="宋体" w:hAnsi="Times New Roman" w:cs="Times New Roman" w:hint="eastAsia"/>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2134" w:type="dxa"/>
            <w:gridSpan w:val="2"/>
            <w:vAlign w:val="center"/>
          </w:tcPr>
          <w:p w14:paraId="79007A39" w14:textId="77777777" w:rsidR="00D12939" w:rsidRDefault="004F47F5">
            <w:pPr>
              <w:pStyle w:val="affffd"/>
              <w:spacing w:line="240" w:lineRule="auto"/>
              <w:rPr>
                <w:rFonts w:ascii="Times New Roman" w:eastAsia="宋体" w:hAnsi="Times New Roman" w:cs="Times New Roman"/>
                <w:highlight w:val="yellow"/>
              </w:rPr>
            </w:pPr>
            <w:r>
              <w:rPr>
                <w:rFonts w:ascii="Times New Roman" w:eastAsia="宋体" w:hAnsi="Times New Roman" w:cs="Times New Roman" w:hint="eastAsia"/>
              </w:rPr>
              <w:t>3</w:t>
            </w:r>
            <w:r>
              <w:rPr>
                <w:rFonts w:ascii="Times New Roman" w:eastAsia="宋体" w:hAnsi="Times New Roman" w:cs="Times New Roman"/>
              </w:rPr>
              <w:t>09.4</w:t>
            </w:r>
            <w:r>
              <w:rPr>
                <w:rFonts w:ascii="Times New Roman" w:eastAsia="宋体" w:hAnsi="Times New Roman" w:cs="Times New Roman" w:hint="eastAsia"/>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803" w:type="dxa"/>
            <w:vMerge w:val="restart"/>
            <w:vAlign w:val="center"/>
          </w:tcPr>
          <w:p w14:paraId="225DC9E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有组织</w:t>
            </w:r>
          </w:p>
        </w:tc>
        <w:tc>
          <w:tcPr>
            <w:tcW w:w="1800" w:type="dxa"/>
            <w:vMerge w:val="restart"/>
            <w:vAlign w:val="center"/>
          </w:tcPr>
          <w:p w14:paraId="0316893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火炬燃烧</w:t>
            </w:r>
          </w:p>
        </w:tc>
      </w:tr>
      <w:tr w:rsidR="00D12939" w14:paraId="685E40A4" w14:textId="77777777" w:rsidTr="000C34D0">
        <w:trPr>
          <w:cantSplit/>
          <w:trHeight w:val="321"/>
          <w:jc w:val="center"/>
        </w:trPr>
        <w:tc>
          <w:tcPr>
            <w:tcW w:w="729" w:type="dxa"/>
            <w:vMerge/>
            <w:vAlign w:val="center"/>
          </w:tcPr>
          <w:p w14:paraId="7F326A8A"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4C2E1F67" w14:textId="77777777" w:rsidR="00D12939" w:rsidRDefault="00D12939">
            <w:pPr>
              <w:pStyle w:val="affffd"/>
              <w:spacing w:line="240" w:lineRule="auto"/>
              <w:rPr>
                <w:rFonts w:ascii="Times New Roman" w:eastAsia="宋体" w:hAnsi="Times New Roman" w:cs="Times New Roman"/>
              </w:rPr>
            </w:pPr>
          </w:p>
        </w:tc>
        <w:tc>
          <w:tcPr>
            <w:tcW w:w="759" w:type="dxa"/>
            <w:vAlign w:val="center"/>
          </w:tcPr>
          <w:p w14:paraId="2077823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2089" w:type="dxa"/>
            <w:vAlign w:val="center"/>
          </w:tcPr>
          <w:p w14:paraId="23CB62F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0.88t/a</w:t>
            </w:r>
          </w:p>
        </w:tc>
        <w:tc>
          <w:tcPr>
            <w:tcW w:w="2134" w:type="dxa"/>
            <w:gridSpan w:val="2"/>
            <w:vAlign w:val="center"/>
          </w:tcPr>
          <w:p w14:paraId="4CA0F95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0.88t/a</w:t>
            </w:r>
          </w:p>
        </w:tc>
        <w:tc>
          <w:tcPr>
            <w:tcW w:w="803" w:type="dxa"/>
            <w:vMerge/>
            <w:vAlign w:val="center"/>
          </w:tcPr>
          <w:p w14:paraId="568A8DB8"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1C6BA323" w14:textId="77777777" w:rsidR="00D12939" w:rsidRDefault="00D12939">
            <w:pPr>
              <w:pStyle w:val="affffd"/>
              <w:spacing w:line="240" w:lineRule="auto"/>
              <w:rPr>
                <w:rFonts w:ascii="Times New Roman" w:eastAsia="宋体" w:hAnsi="Times New Roman" w:cs="Times New Roman"/>
              </w:rPr>
            </w:pPr>
          </w:p>
        </w:tc>
      </w:tr>
      <w:tr w:rsidR="00D12939" w14:paraId="0184413F" w14:textId="77777777" w:rsidTr="000C34D0">
        <w:trPr>
          <w:cantSplit/>
          <w:trHeight w:val="321"/>
          <w:jc w:val="center"/>
        </w:trPr>
        <w:tc>
          <w:tcPr>
            <w:tcW w:w="729" w:type="dxa"/>
            <w:vMerge/>
            <w:vAlign w:val="center"/>
          </w:tcPr>
          <w:p w14:paraId="02E2C5FF"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50D28920" w14:textId="77777777" w:rsidR="00D12939" w:rsidRDefault="00D12939">
            <w:pPr>
              <w:pStyle w:val="affffd"/>
              <w:spacing w:line="240" w:lineRule="auto"/>
              <w:rPr>
                <w:rFonts w:ascii="Times New Roman" w:eastAsia="宋体" w:hAnsi="Times New Roman" w:cs="Times New Roman"/>
              </w:rPr>
            </w:pPr>
          </w:p>
        </w:tc>
        <w:tc>
          <w:tcPr>
            <w:tcW w:w="759" w:type="dxa"/>
            <w:vAlign w:val="center"/>
          </w:tcPr>
          <w:p w14:paraId="37E3610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SO</w:t>
            </w:r>
            <w:r>
              <w:rPr>
                <w:rFonts w:ascii="Times New Roman" w:eastAsia="宋体" w:hAnsi="Times New Roman" w:cs="Times New Roman"/>
                <w:vertAlign w:val="subscript"/>
              </w:rPr>
              <w:t>2</w:t>
            </w:r>
          </w:p>
        </w:tc>
        <w:tc>
          <w:tcPr>
            <w:tcW w:w="2089" w:type="dxa"/>
            <w:vAlign w:val="center"/>
          </w:tcPr>
          <w:p w14:paraId="290E103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w:t>
            </w:r>
          </w:p>
        </w:tc>
        <w:tc>
          <w:tcPr>
            <w:tcW w:w="2134" w:type="dxa"/>
            <w:gridSpan w:val="2"/>
            <w:vAlign w:val="center"/>
          </w:tcPr>
          <w:p w14:paraId="1B905962" w14:textId="77777777" w:rsidR="00D12939" w:rsidRDefault="004F47F5">
            <w:pPr>
              <w:pStyle w:val="affffd"/>
              <w:spacing w:line="240" w:lineRule="auto"/>
              <w:rPr>
                <w:rFonts w:ascii="Times New Roman" w:eastAsia="宋体" w:hAnsi="Times New Roman" w:cs="Times New Roman"/>
                <w:highlight w:val="yellow"/>
              </w:rPr>
            </w:pPr>
            <w:r>
              <w:rPr>
                <w:rFonts w:ascii="Times New Roman" w:eastAsia="宋体" w:hAnsi="Times New Roman" w:cs="Times New Roman"/>
              </w:rPr>
              <w:t>25.48mg/</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w:t>
            </w:r>
            <w:r>
              <w:rPr>
                <w:rFonts w:ascii="Times New Roman" w:eastAsia="宋体" w:hAnsi="Times New Roman" w:cs="Times New Roman"/>
              </w:rPr>
              <w:t>0.079</w:t>
            </w:r>
            <w:r>
              <w:rPr>
                <w:rFonts w:ascii="Times New Roman" w:eastAsia="宋体" w:hAnsi="Times New Roman" w:cs="Times New Roman" w:hint="eastAsia"/>
              </w:rPr>
              <w:t>t</w:t>
            </w:r>
            <w:r>
              <w:rPr>
                <w:rFonts w:ascii="Times New Roman" w:eastAsia="宋体" w:hAnsi="Times New Roman" w:cs="Times New Roman"/>
              </w:rPr>
              <w:t>/a</w:t>
            </w:r>
          </w:p>
        </w:tc>
        <w:tc>
          <w:tcPr>
            <w:tcW w:w="803" w:type="dxa"/>
            <w:vMerge/>
            <w:vAlign w:val="center"/>
          </w:tcPr>
          <w:p w14:paraId="0BC1CAD0"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248E489C" w14:textId="77777777" w:rsidR="00D12939" w:rsidRDefault="00D12939">
            <w:pPr>
              <w:pStyle w:val="affffd"/>
              <w:spacing w:line="240" w:lineRule="auto"/>
              <w:rPr>
                <w:rFonts w:ascii="Times New Roman" w:eastAsia="宋体" w:hAnsi="Times New Roman" w:cs="Times New Roman"/>
              </w:rPr>
            </w:pPr>
          </w:p>
        </w:tc>
      </w:tr>
      <w:tr w:rsidR="00D12939" w14:paraId="243C194E" w14:textId="77777777" w:rsidTr="000C34D0">
        <w:trPr>
          <w:cantSplit/>
          <w:trHeight w:val="321"/>
          <w:jc w:val="center"/>
        </w:trPr>
        <w:tc>
          <w:tcPr>
            <w:tcW w:w="729" w:type="dxa"/>
            <w:vMerge/>
            <w:vAlign w:val="center"/>
          </w:tcPr>
          <w:p w14:paraId="49C7C6AF"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101DF547" w14:textId="77777777" w:rsidR="00D12939" w:rsidRDefault="00D12939">
            <w:pPr>
              <w:pStyle w:val="affffd"/>
              <w:spacing w:line="240" w:lineRule="auto"/>
              <w:rPr>
                <w:rFonts w:ascii="Times New Roman" w:eastAsia="宋体" w:hAnsi="Times New Roman" w:cs="Times New Roman"/>
              </w:rPr>
            </w:pPr>
          </w:p>
        </w:tc>
        <w:tc>
          <w:tcPr>
            <w:tcW w:w="759" w:type="dxa"/>
            <w:vAlign w:val="center"/>
          </w:tcPr>
          <w:p w14:paraId="68577198"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NOx</w:t>
            </w:r>
          </w:p>
        </w:tc>
        <w:tc>
          <w:tcPr>
            <w:tcW w:w="2089" w:type="dxa"/>
            <w:vAlign w:val="center"/>
          </w:tcPr>
          <w:p w14:paraId="7DADB50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w:t>
            </w:r>
          </w:p>
        </w:tc>
        <w:tc>
          <w:tcPr>
            <w:tcW w:w="2134" w:type="dxa"/>
            <w:gridSpan w:val="2"/>
            <w:vAlign w:val="center"/>
          </w:tcPr>
          <w:p w14:paraId="0C069B19" w14:textId="77777777" w:rsidR="00D12939" w:rsidRDefault="004F47F5">
            <w:pPr>
              <w:pStyle w:val="affffd"/>
              <w:spacing w:line="240" w:lineRule="auto"/>
              <w:rPr>
                <w:rFonts w:ascii="Times New Roman" w:eastAsia="宋体" w:hAnsi="Times New Roman" w:cs="Times New Roman"/>
                <w:highlight w:val="yellow"/>
              </w:rPr>
            </w:pPr>
            <w:r>
              <w:rPr>
                <w:rFonts w:ascii="Times New Roman" w:eastAsia="宋体" w:hAnsi="Times New Roman" w:cs="Times New Roman"/>
              </w:rPr>
              <w:t>137mg/</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w:t>
            </w:r>
            <w:r>
              <w:rPr>
                <w:rFonts w:ascii="Times New Roman" w:eastAsia="宋体" w:hAnsi="Times New Roman" w:cs="Times New Roman"/>
              </w:rPr>
              <w:t>0.42</w:t>
            </w:r>
            <w:r>
              <w:rPr>
                <w:rFonts w:ascii="Times New Roman" w:eastAsia="宋体" w:hAnsi="Times New Roman" w:cs="Times New Roman" w:hint="eastAsia"/>
              </w:rPr>
              <w:t>t</w:t>
            </w:r>
            <w:r>
              <w:rPr>
                <w:rFonts w:ascii="Times New Roman" w:eastAsia="宋体" w:hAnsi="Times New Roman" w:cs="Times New Roman"/>
              </w:rPr>
              <w:t>/a</w:t>
            </w:r>
          </w:p>
        </w:tc>
        <w:tc>
          <w:tcPr>
            <w:tcW w:w="803" w:type="dxa"/>
            <w:vMerge/>
            <w:vAlign w:val="center"/>
          </w:tcPr>
          <w:p w14:paraId="7478C18E"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57A65C9F" w14:textId="77777777" w:rsidR="00D12939" w:rsidRDefault="00D12939">
            <w:pPr>
              <w:pStyle w:val="affffd"/>
              <w:spacing w:line="240" w:lineRule="auto"/>
              <w:rPr>
                <w:rFonts w:ascii="Times New Roman" w:eastAsia="宋体" w:hAnsi="Times New Roman" w:cs="Times New Roman"/>
              </w:rPr>
            </w:pPr>
          </w:p>
        </w:tc>
      </w:tr>
      <w:tr w:rsidR="00D12939" w14:paraId="188A16F5" w14:textId="77777777" w:rsidTr="000C34D0">
        <w:trPr>
          <w:cantSplit/>
          <w:trHeight w:val="321"/>
          <w:jc w:val="center"/>
        </w:trPr>
        <w:tc>
          <w:tcPr>
            <w:tcW w:w="729" w:type="dxa"/>
            <w:vMerge/>
            <w:vAlign w:val="center"/>
          </w:tcPr>
          <w:p w14:paraId="30A37B23"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0AB7B13B" w14:textId="77777777" w:rsidR="00D12939" w:rsidRDefault="00D12939">
            <w:pPr>
              <w:pStyle w:val="affffd"/>
              <w:spacing w:line="240" w:lineRule="auto"/>
              <w:rPr>
                <w:rFonts w:ascii="Times New Roman" w:eastAsia="宋体" w:hAnsi="Times New Roman" w:cs="Times New Roman"/>
              </w:rPr>
            </w:pPr>
          </w:p>
        </w:tc>
        <w:tc>
          <w:tcPr>
            <w:tcW w:w="759" w:type="dxa"/>
            <w:vAlign w:val="center"/>
          </w:tcPr>
          <w:p w14:paraId="4416CAC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2089" w:type="dxa"/>
            <w:vAlign w:val="center"/>
          </w:tcPr>
          <w:p w14:paraId="396ECDF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0.012t/a</w:t>
            </w:r>
          </w:p>
        </w:tc>
        <w:tc>
          <w:tcPr>
            <w:tcW w:w="2134" w:type="dxa"/>
            <w:gridSpan w:val="2"/>
            <w:vAlign w:val="center"/>
          </w:tcPr>
          <w:p w14:paraId="6ADFB4F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0.012t/a</w:t>
            </w:r>
          </w:p>
        </w:tc>
        <w:tc>
          <w:tcPr>
            <w:tcW w:w="803" w:type="dxa"/>
            <w:vAlign w:val="center"/>
          </w:tcPr>
          <w:p w14:paraId="232DA7A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无组织</w:t>
            </w:r>
          </w:p>
        </w:tc>
        <w:tc>
          <w:tcPr>
            <w:tcW w:w="1800" w:type="dxa"/>
            <w:vMerge/>
            <w:vAlign w:val="center"/>
          </w:tcPr>
          <w:p w14:paraId="2986196C" w14:textId="77777777" w:rsidR="00D12939" w:rsidRDefault="00D12939">
            <w:pPr>
              <w:pStyle w:val="affffd"/>
              <w:spacing w:line="240" w:lineRule="auto"/>
              <w:rPr>
                <w:rFonts w:ascii="Times New Roman" w:eastAsia="宋体" w:hAnsi="Times New Roman" w:cs="Times New Roman"/>
              </w:rPr>
            </w:pPr>
          </w:p>
        </w:tc>
      </w:tr>
      <w:tr w:rsidR="00D12939" w14:paraId="240A46F3" w14:textId="77777777" w:rsidTr="000C34D0">
        <w:trPr>
          <w:cantSplit/>
          <w:trHeight w:val="552"/>
          <w:jc w:val="center"/>
        </w:trPr>
        <w:tc>
          <w:tcPr>
            <w:tcW w:w="729" w:type="dxa"/>
            <w:vMerge/>
            <w:vAlign w:val="center"/>
          </w:tcPr>
          <w:p w14:paraId="049F7CDD" w14:textId="77777777" w:rsidR="00D12939" w:rsidRDefault="00D12939">
            <w:pPr>
              <w:pStyle w:val="affffd"/>
              <w:spacing w:line="240" w:lineRule="auto"/>
              <w:rPr>
                <w:rFonts w:ascii="Times New Roman" w:eastAsia="宋体" w:hAnsi="Times New Roman" w:cs="Times New Roman"/>
              </w:rPr>
            </w:pPr>
          </w:p>
        </w:tc>
        <w:tc>
          <w:tcPr>
            <w:tcW w:w="1716" w:type="dxa"/>
            <w:vMerge w:val="restart"/>
            <w:vAlign w:val="center"/>
          </w:tcPr>
          <w:p w14:paraId="7585E52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除臭系统</w:t>
            </w:r>
          </w:p>
        </w:tc>
        <w:tc>
          <w:tcPr>
            <w:tcW w:w="759" w:type="dxa"/>
            <w:tcBorders>
              <w:bottom w:val="single" w:sz="4" w:space="0" w:color="auto"/>
            </w:tcBorders>
            <w:vAlign w:val="center"/>
          </w:tcPr>
          <w:p w14:paraId="2CB5E6B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2089" w:type="dxa"/>
            <w:tcBorders>
              <w:bottom w:val="single" w:sz="4" w:space="0" w:color="auto"/>
            </w:tcBorders>
            <w:vAlign w:val="center"/>
          </w:tcPr>
          <w:p w14:paraId="5960953B" w14:textId="7F753544" w:rsidR="00D12939" w:rsidRDefault="000C34D0" w:rsidP="000C34D0">
            <w:pPr>
              <w:pStyle w:val="affffd"/>
              <w:spacing w:line="240" w:lineRule="auto"/>
              <w:rPr>
                <w:rFonts w:ascii="Times New Roman" w:eastAsia="宋体" w:hAnsi="Times New Roman" w:cs="Times New Roman"/>
                <w:highlight w:val="yellow"/>
              </w:rPr>
            </w:pPr>
            <w:r>
              <w:rPr>
                <w:rFonts w:ascii="Times New Roman" w:eastAsia="宋体" w:hAnsi="Times New Roman" w:cs="Times New Roman"/>
              </w:rPr>
              <w:t>40.468</w:t>
            </w:r>
            <w:r w:rsidR="004F47F5">
              <w:rPr>
                <w:rFonts w:ascii="Times New Roman" w:eastAsia="宋体" w:hAnsi="Times New Roman" w:cs="Times New Roman"/>
              </w:rPr>
              <w:t>mg/</w:t>
            </w:r>
            <w:r w:rsidR="004F47F5">
              <w:rPr>
                <w:rFonts w:ascii="Times New Roman" w:eastAsia="宋体" w:hAnsi="Times New Roman" w:cs="Times New Roman" w:hint="eastAsia"/>
              </w:rPr>
              <w:t>m</w:t>
            </w:r>
            <w:r w:rsidR="004F47F5">
              <w:rPr>
                <w:rFonts w:ascii="Times New Roman" w:eastAsia="宋体" w:hAnsi="Times New Roman" w:cs="Times New Roman"/>
                <w:vertAlign w:val="superscript"/>
              </w:rPr>
              <w:t>3</w:t>
            </w:r>
            <w:r w:rsidR="004F47F5">
              <w:rPr>
                <w:rFonts w:ascii="Times New Roman" w:eastAsia="宋体" w:hAnsi="Times New Roman" w:cs="Times New Roman" w:hint="eastAsia"/>
              </w:rPr>
              <w:t>,</w:t>
            </w:r>
            <w:r>
              <w:rPr>
                <w:rFonts w:ascii="Times New Roman" w:eastAsia="宋体" w:hAnsi="Times New Roman" w:cs="Times New Roman"/>
              </w:rPr>
              <w:t>3.545</w:t>
            </w:r>
            <w:r w:rsidR="004F47F5">
              <w:rPr>
                <w:rFonts w:ascii="Times New Roman" w:eastAsia="宋体" w:hAnsi="Times New Roman" w:cs="Times New Roman" w:hint="eastAsia"/>
              </w:rPr>
              <w:t>t</w:t>
            </w:r>
            <w:r w:rsidR="004F47F5">
              <w:rPr>
                <w:rFonts w:ascii="Times New Roman" w:eastAsia="宋体" w:hAnsi="Times New Roman" w:cs="Times New Roman"/>
              </w:rPr>
              <w:t>/a</w:t>
            </w:r>
          </w:p>
        </w:tc>
        <w:tc>
          <w:tcPr>
            <w:tcW w:w="2134" w:type="dxa"/>
            <w:gridSpan w:val="2"/>
            <w:tcBorders>
              <w:bottom w:val="single" w:sz="4" w:space="0" w:color="auto"/>
            </w:tcBorders>
            <w:vAlign w:val="center"/>
          </w:tcPr>
          <w:p w14:paraId="6949CC5A" w14:textId="3CF7F384" w:rsidR="00D12939" w:rsidRDefault="000C34D0" w:rsidP="000C34D0">
            <w:pPr>
              <w:pStyle w:val="affffd"/>
              <w:spacing w:line="240" w:lineRule="auto"/>
              <w:rPr>
                <w:rFonts w:ascii="Times New Roman" w:eastAsia="宋体" w:hAnsi="Times New Roman" w:cs="Times New Roman"/>
                <w:highlight w:val="yellow"/>
              </w:rPr>
            </w:pPr>
            <w:r>
              <w:rPr>
                <w:rFonts w:ascii="Times New Roman" w:eastAsia="宋体" w:hAnsi="Times New Roman" w:cs="Times New Roman"/>
              </w:rPr>
              <w:t>2.204</w:t>
            </w:r>
            <w:r w:rsidR="004F47F5">
              <w:rPr>
                <w:rFonts w:ascii="Times New Roman" w:eastAsia="宋体" w:hAnsi="Times New Roman" w:cs="Times New Roman"/>
              </w:rPr>
              <w:t>mg/</w:t>
            </w:r>
            <w:r w:rsidR="004F47F5">
              <w:rPr>
                <w:rFonts w:ascii="Times New Roman" w:eastAsia="宋体" w:hAnsi="Times New Roman" w:cs="Times New Roman" w:hint="eastAsia"/>
              </w:rPr>
              <w:t>m</w:t>
            </w:r>
            <w:r w:rsidR="004F47F5">
              <w:rPr>
                <w:rFonts w:ascii="Times New Roman" w:eastAsia="宋体" w:hAnsi="Times New Roman" w:cs="Times New Roman"/>
                <w:vertAlign w:val="superscript"/>
              </w:rPr>
              <w:t>3</w:t>
            </w:r>
            <w:r w:rsidR="004F47F5">
              <w:rPr>
                <w:rFonts w:ascii="Times New Roman" w:eastAsia="宋体" w:hAnsi="Times New Roman" w:cs="Times New Roman" w:hint="eastAsia"/>
              </w:rPr>
              <w:t>,</w:t>
            </w:r>
            <w:r w:rsidR="004F47F5">
              <w:rPr>
                <w:rFonts w:ascii="Times New Roman" w:eastAsia="宋体" w:hAnsi="Times New Roman" w:cs="Times New Roman"/>
              </w:rPr>
              <w:t>0.1</w:t>
            </w:r>
            <w:r>
              <w:rPr>
                <w:rFonts w:ascii="Times New Roman" w:eastAsia="宋体" w:hAnsi="Times New Roman" w:cs="Times New Roman"/>
              </w:rPr>
              <w:t>77</w:t>
            </w:r>
            <w:r w:rsidR="004F47F5">
              <w:rPr>
                <w:rFonts w:ascii="Times New Roman" w:eastAsia="宋体" w:hAnsi="Times New Roman" w:cs="Times New Roman" w:hint="eastAsia"/>
              </w:rPr>
              <w:t>t</w:t>
            </w:r>
            <w:r w:rsidR="004F47F5">
              <w:rPr>
                <w:rFonts w:ascii="Times New Roman" w:eastAsia="宋体" w:hAnsi="Times New Roman" w:cs="Times New Roman"/>
              </w:rPr>
              <w:t>/a</w:t>
            </w:r>
          </w:p>
        </w:tc>
        <w:tc>
          <w:tcPr>
            <w:tcW w:w="803" w:type="dxa"/>
            <w:vMerge w:val="restart"/>
            <w:vAlign w:val="center"/>
          </w:tcPr>
          <w:p w14:paraId="4F31835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有组织</w:t>
            </w:r>
          </w:p>
        </w:tc>
        <w:tc>
          <w:tcPr>
            <w:tcW w:w="1800" w:type="dxa"/>
            <w:vMerge w:val="restart"/>
            <w:vAlign w:val="center"/>
          </w:tcPr>
          <w:p w14:paraId="3987A67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收集后进入离子除臭系统，处理达标后通过</w:t>
            </w:r>
            <w:r>
              <w:rPr>
                <w:rFonts w:ascii="Times New Roman" w:eastAsia="宋体" w:hAnsi="Times New Roman" w:cs="Times New Roman" w:hint="eastAsia"/>
              </w:rPr>
              <w:t>1</w:t>
            </w:r>
            <w:r>
              <w:rPr>
                <w:rFonts w:ascii="Times New Roman" w:eastAsia="宋体" w:hAnsi="Times New Roman" w:cs="Times New Roman"/>
              </w:rPr>
              <w:t>5</w:t>
            </w:r>
            <w:r>
              <w:rPr>
                <w:rFonts w:ascii="Times New Roman" w:eastAsia="宋体" w:hAnsi="Times New Roman" w:cs="Times New Roman" w:hint="eastAsia"/>
              </w:rPr>
              <w:t>m</w:t>
            </w:r>
            <w:r>
              <w:rPr>
                <w:rFonts w:ascii="Times New Roman" w:eastAsia="宋体" w:hAnsi="Times New Roman" w:cs="Times New Roman" w:hint="eastAsia"/>
              </w:rPr>
              <w:t>排气筒外排</w:t>
            </w:r>
          </w:p>
        </w:tc>
      </w:tr>
      <w:tr w:rsidR="00D12939" w14:paraId="767ECB5D" w14:textId="77777777" w:rsidTr="000C34D0">
        <w:trPr>
          <w:cantSplit/>
          <w:trHeight w:val="552"/>
          <w:jc w:val="center"/>
        </w:trPr>
        <w:tc>
          <w:tcPr>
            <w:tcW w:w="729" w:type="dxa"/>
            <w:vMerge/>
            <w:vAlign w:val="center"/>
          </w:tcPr>
          <w:p w14:paraId="3950ADB2"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67246233" w14:textId="77777777" w:rsidR="00D12939" w:rsidRDefault="00D12939">
            <w:pPr>
              <w:pStyle w:val="affffd"/>
              <w:spacing w:line="240" w:lineRule="auto"/>
              <w:rPr>
                <w:rFonts w:ascii="Times New Roman" w:eastAsia="宋体" w:hAnsi="Times New Roman" w:cs="Times New Roman"/>
              </w:rPr>
            </w:pPr>
          </w:p>
        </w:tc>
        <w:tc>
          <w:tcPr>
            <w:tcW w:w="759" w:type="dxa"/>
            <w:tcBorders>
              <w:bottom w:val="single" w:sz="4" w:space="0" w:color="auto"/>
            </w:tcBorders>
            <w:vAlign w:val="center"/>
          </w:tcPr>
          <w:p w14:paraId="79D824E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2089" w:type="dxa"/>
            <w:tcBorders>
              <w:bottom w:val="single" w:sz="4" w:space="0" w:color="auto"/>
            </w:tcBorders>
            <w:vAlign w:val="center"/>
          </w:tcPr>
          <w:p w14:paraId="740BAA38" w14:textId="2601A64D" w:rsidR="00D12939" w:rsidRDefault="004F47F5" w:rsidP="000C34D0">
            <w:pPr>
              <w:pStyle w:val="affffd"/>
              <w:spacing w:line="240" w:lineRule="auto"/>
              <w:rPr>
                <w:rFonts w:ascii="Times New Roman" w:eastAsia="宋体" w:hAnsi="Times New Roman" w:cs="Times New Roman"/>
                <w:highlight w:val="yellow"/>
              </w:rPr>
            </w:pPr>
            <w:r>
              <w:rPr>
                <w:rFonts w:ascii="Times New Roman" w:eastAsia="宋体" w:hAnsi="Times New Roman" w:cs="Times New Roman"/>
              </w:rPr>
              <w:t>0.</w:t>
            </w:r>
            <w:r w:rsidR="000C34D0">
              <w:rPr>
                <w:rFonts w:ascii="Times New Roman" w:eastAsia="宋体" w:hAnsi="Times New Roman" w:cs="Times New Roman"/>
              </w:rPr>
              <w:t>559</w:t>
            </w:r>
            <w:r>
              <w:rPr>
                <w:rFonts w:ascii="Times New Roman" w:eastAsia="宋体" w:hAnsi="Times New Roman" w:cs="Times New Roman"/>
              </w:rPr>
              <w:t>mg/</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w:t>
            </w:r>
            <w:r>
              <w:rPr>
                <w:rFonts w:ascii="Times New Roman" w:eastAsia="宋体" w:hAnsi="Times New Roman" w:cs="Times New Roman"/>
              </w:rPr>
              <w:t>0.0</w:t>
            </w:r>
            <w:r w:rsidR="000C34D0">
              <w:rPr>
                <w:rFonts w:ascii="Times New Roman" w:eastAsia="宋体" w:hAnsi="Times New Roman" w:cs="Times New Roman"/>
              </w:rPr>
              <w:t>49</w:t>
            </w:r>
            <w:r w:rsidR="000C34D0">
              <w:rPr>
                <w:rFonts w:ascii="Times New Roman" w:eastAsia="宋体" w:hAnsi="Times New Roman" w:cs="Times New Roman" w:hint="eastAsia"/>
              </w:rPr>
              <w:t>t</w:t>
            </w:r>
            <w:r>
              <w:rPr>
                <w:rFonts w:ascii="Times New Roman" w:eastAsia="宋体" w:hAnsi="Times New Roman" w:cs="Times New Roman"/>
              </w:rPr>
              <w:t>/a</w:t>
            </w:r>
          </w:p>
        </w:tc>
        <w:tc>
          <w:tcPr>
            <w:tcW w:w="2134" w:type="dxa"/>
            <w:gridSpan w:val="2"/>
            <w:tcBorders>
              <w:bottom w:val="single" w:sz="4" w:space="0" w:color="auto"/>
            </w:tcBorders>
            <w:vAlign w:val="center"/>
          </w:tcPr>
          <w:p w14:paraId="7E8E287E" w14:textId="71B5D650" w:rsidR="00D12939" w:rsidRDefault="004F47F5" w:rsidP="000C34D0">
            <w:pPr>
              <w:pStyle w:val="affffd"/>
              <w:spacing w:line="240" w:lineRule="auto"/>
              <w:rPr>
                <w:rFonts w:ascii="Times New Roman" w:eastAsia="宋体" w:hAnsi="Times New Roman" w:cs="Times New Roman"/>
                <w:highlight w:val="yellow"/>
              </w:rPr>
            </w:pPr>
            <w:r>
              <w:rPr>
                <w:rFonts w:ascii="Times New Roman" w:eastAsia="宋体" w:hAnsi="Times New Roman" w:cs="Times New Roman"/>
              </w:rPr>
              <w:t>0.02</w:t>
            </w:r>
            <w:r w:rsidR="000C34D0">
              <w:rPr>
                <w:rFonts w:ascii="Times New Roman" w:eastAsia="宋体" w:hAnsi="Times New Roman" w:cs="Times New Roman"/>
              </w:rPr>
              <w:t>8</w:t>
            </w:r>
            <w:r>
              <w:rPr>
                <w:rFonts w:ascii="Times New Roman" w:eastAsia="宋体" w:hAnsi="Times New Roman" w:cs="Times New Roman"/>
              </w:rPr>
              <w:t>mg/</w:t>
            </w:r>
            <w:r>
              <w:rPr>
                <w:rFonts w:ascii="Times New Roman" w:eastAsia="宋体" w:hAnsi="Times New Roman" w:cs="Times New Roman" w:hint="eastAsia"/>
              </w:rPr>
              <w:t>m</w:t>
            </w:r>
            <w:r>
              <w:rPr>
                <w:rFonts w:ascii="Times New Roman" w:eastAsia="宋体" w:hAnsi="Times New Roman" w:cs="Times New Roman"/>
                <w:vertAlign w:val="superscript"/>
              </w:rPr>
              <w:t>3</w:t>
            </w:r>
            <w:r>
              <w:rPr>
                <w:rFonts w:ascii="Times New Roman" w:eastAsia="宋体" w:hAnsi="Times New Roman" w:cs="Times New Roman" w:hint="eastAsia"/>
              </w:rPr>
              <w:t>,</w:t>
            </w:r>
            <w:r w:rsidR="000C34D0">
              <w:rPr>
                <w:rFonts w:ascii="Times New Roman" w:eastAsia="宋体" w:hAnsi="Times New Roman" w:cs="Times New Roman"/>
              </w:rPr>
              <w:t>0.002</w:t>
            </w:r>
            <w:r>
              <w:rPr>
                <w:rFonts w:ascii="Times New Roman" w:eastAsia="宋体" w:hAnsi="Times New Roman" w:cs="Times New Roman" w:hint="eastAsia"/>
              </w:rPr>
              <w:t>t</w:t>
            </w:r>
            <w:r>
              <w:rPr>
                <w:rFonts w:ascii="Times New Roman" w:eastAsia="宋体" w:hAnsi="Times New Roman" w:cs="Times New Roman"/>
              </w:rPr>
              <w:t>/a</w:t>
            </w:r>
          </w:p>
        </w:tc>
        <w:tc>
          <w:tcPr>
            <w:tcW w:w="803" w:type="dxa"/>
            <w:vMerge/>
            <w:vAlign w:val="center"/>
          </w:tcPr>
          <w:p w14:paraId="2EB4573F"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5783CDE6" w14:textId="77777777" w:rsidR="00D12939" w:rsidRDefault="00D12939">
            <w:pPr>
              <w:pStyle w:val="affffd"/>
              <w:spacing w:line="240" w:lineRule="auto"/>
              <w:rPr>
                <w:rFonts w:ascii="Times New Roman" w:eastAsia="宋体" w:hAnsi="Times New Roman" w:cs="Times New Roman"/>
              </w:rPr>
            </w:pPr>
          </w:p>
        </w:tc>
      </w:tr>
      <w:tr w:rsidR="000C34D0" w14:paraId="0D75ABCA" w14:textId="77777777" w:rsidTr="000C34D0">
        <w:trPr>
          <w:cantSplit/>
          <w:trHeight w:val="552"/>
          <w:jc w:val="center"/>
        </w:trPr>
        <w:tc>
          <w:tcPr>
            <w:tcW w:w="729" w:type="dxa"/>
            <w:vMerge/>
            <w:vAlign w:val="center"/>
          </w:tcPr>
          <w:p w14:paraId="794CB4AE" w14:textId="77777777" w:rsidR="000C34D0" w:rsidRDefault="000C34D0" w:rsidP="000C34D0">
            <w:pPr>
              <w:pStyle w:val="affffd"/>
              <w:spacing w:line="240" w:lineRule="auto"/>
              <w:rPr>
                <w:rFonts w:ascii="Times New Roman" w:eastAsia="宋体" w:hAnsi="Times New Roman" w:cs="Times New Roman"/>
              </w:rPr>
            </w:pPr>
          </w:p>
        </w:tc>
        <w:tc>
          <w:tcPr>
            <w:tcW w:w="1716" w:type="dxa"/>
            <w:vMerge w:val="restart"/>
            <w:vAlign w:val="center"/>
          </w:tcPr>
          <w:p w14:paraId="0EBC67D5"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渗滤液</w:t>
            </w:r>
            <w:r>
              <w:rPr>
                <w:rFonts w:ascii="Times New Roman" w:eastAsia="宋体" w:hAnsi="Times New Roman" w:cs="Times New Roman" w:hint="eastAsia"/>
              </w:rPr>
              <w:t>调节池</w:t>
            </w:r>
          </w:p>
        </w:tc>
        <w:tc>
          <w:tcPr>
            <w:tcW w:w="759" w:type="dxa"/>
            <w:tcBorders>
              <w:bottom w:val="single" w:sz="4" w:space="0" w:color="auto"/>
            </w:tcBorders>
            <w:vAlign w:val="center"/>
          </w:tcPr>
          <w:p w14:paraId="6CE80A27"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2089" w:type="dxa"/>
            <w:tcBorders>
              <w:bottom w:val="single" w:sz="4" w:space="0" w:color="auto"/>
            </w:tcBorders>
            <w:vAlign w:val="center"/>
          </w:tcPr>
          <w:p w14:paraId="1CDA67B7" w14:textId="13454113"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0.06307</w:t>
            </w:r>
            <w:r>
              <w:rPr>
                <w:rFonts w:ascii="Times New Roman" w:eastAsia="宋体" w:hAnsi="Times New Roman" w:cs="Times New Roman" w:hint="eastAsia"/>
              </w:rPr>
              <w:t>t</w:t>
            </w:r>
            <w:r>
              <w:rPr>
                <w:rFonts w:ascii="Times New Roman" w:eastAsia="宋体" w:hAnsi="Times New Roman" w:cs="Times New Roman"/>
              </w:rPr>
              <w:t>/</w:t>
            </w:r>
            <w:r>
              <w:rPr>
                <w:rFonts w:ascii="Times New Roman" w:eastAsia="宋体" w:hAnsi="Times New Roman" w:cs="Times New Roman" w:hint="eastAsia"/>
              </w:rPr>
              <w:t>a</w:t>
            </w:r>
          </w:p>
        </w:tc>
        <w:tc>
          <w:tcPr>
            <w:tcW w:w="2134" w:type="dxa"/>
            <w:gridSpan w:val="2"/>
            <w:tcBorders>
              <w:bottom w:val="single" w:sz="4" w:space="0" w:color="auto"/>
            </w:tcBorders>
            <w:vAlign w:val="center"/>
          </w:tcPr>
          <w:p w14:paraId="01C9A08A" w14:textId="7B0BE962"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0.06307</w:t>
            </w:r>
            <w:r>
              <w:rPr>
                <w:rFonts w:ascii="Times New Roman" w:eastAsia="宋体" w:hAnsi="Times New Roman" w:cs="Times New Roman" w:hint="eastAsia"/>
              </w:rPr>
              <w:t>t</w:t>
            </w:r>
            <w:r>
              <w:rPr>
                <w:rFonts w:ascii="Times New Roman" w:eastAsia="宋体" w:hAnsi="Times New Roman" w:cs="Times New Roman"/>
              </w:rPr>
              <w:t>/</w:t>
            </w:r>
            <w:r>
              <w:rPr>
                <w:rFonts w:ascii="Times New Roman" w:eastAsia="宋体" w:hAnsi="Times New Roman" w:cs="Times New Roman" w:hint="eastAsia"/>
              </w:rPr>
              <w:t>a</w:t>
            </w:r>
          </w:p>
        </w:tc>
        <w:tc>
          <w:tcPr>
            <w:tcW w:w="803" w:type="dxa"/>
            <w:vMerge w:val="restart"/>
            <w:vAlign w:val="center"/>
          </w:tcPr>
          <w:p w14:paraId="2F20856E"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无组织</w:t>
            </w:r>
          </w:p>
        </w:tc>
        <w:tc>
          <w:tcPr>
            <w:tcW w:w="1800" w:type="dxa"/>
            <w:vMerge w:val="restart"/>
            <w:vAlign w:val="center"/>
          </w:tcPr>
          <w:p w14:paraId="0DABA8C1"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收集池密闭加盖，定期喷洒除臭剂</w:t>
            </w:r>
          </w:p>
        </w:tc>
      </w:tr>
      <w:tr w:rsidR="000C34D0" w14:paraId="53A819F9" w14:textId="77777777" w:rsidTr="000C34D0">
        <w:trPr>
          <w:cantSplit/>
          <w:trHeight w:val="321"/>
          <w:jc w:val="center"/>
        </w:trPr>
        <w:tc>
          <w:tcPr>
            <w:tcW w:w="729" w:type="dxa"/>
            <w:vMerge/>
            <w:vAlign w:val="center"/>
          </w:tcPr>
          <w:p w14:paraId="764C1648" w14:textId="77777777" w:rsidR="000C34D0" w:rsidRDefault="000C34D0" w:rsidP="000C34D0">
            <w:pPr>
              <w:pStyle w:val="affffd"/>
              <w:spacing w:line="240" w:lineRule="auto"/>
              <w:rPr>
                <w:rFonts w:ascii="Times New Roman" w:eastAsia="宋体" w:hAnsi="Times New Roman" w:cs="Times New Roman"/>
              </w:rPr>
            </w:pPr>
          </w:p>
        </w:tc>
        <w:tc>
          <w:tcPr>
            <w:tcW w:w="1716" w:type="dxa"/>
            <w:vMerge/>
            <w:vAlign w:val="center"/>
          </w:tcPr>
          <w:p w14:paraId="5FFFC74F" w14:textId="77777777" w:rsidR="000C34D0" w:rsidRDefault="000C34D0" w:rsidP="000C34D0">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728E04FA"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2089" w:type="dxa"/>
            <w:tcBorders>
              <w:top w:val="single" w:sz="4" w:space="0" w:color="auto"/>
            </w:tcBorders>
            <w:vAlign w:val="center"/>
          </w:tcPr>
          <w:p w14:paraId="4D61DE82" w14:textId="287D444D"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.00088</w:t>
            </w:r>
            <w:r>
              <w:rPr>
                <w:rFonts w:ascii="Times New Roman" w:eastAsia="宋体" w:hAnsi="Times New Roman" w:cs="Times New Roman" w:hint="eastAsia"/>
              </w:rPr>
              <w:t xml:space="preserve"> t</w:t>
            </w:r>
            <w:r>
              <w:rPr>
                <w:rFonts w:ascii="Times New Roman" w:eastAsia="宋体" w:hAnsi="Times New Roman" w:cs="Times New Roman"/>
              </w:rPr>
              <w:t>/</w:t>
            </w:r>
            <w:r>
              <w:rPr>
                <w:rFonts w:ascii="Times New Roman" w:eastAsia="宋体" w:hAnsi="Times New Roman" w:cs="Times New Roman" w:hint="eastAsia"/>
              </w:rPr>
              <w:t>a</w:t>
            </w:r>
          </w:p>
        </w:tc>
        <w:tc>
          <w:tcPr>
            <w:tcW w:w="2134" w:type="dxa"/>
            <w:gridSpan w:val="2"/>
            <w:tcBorders>
              <w:top w:val="single" w:sz="4" w:space="0" w:color="auto"/>
            </w:tcBorders>
            <w:vAlign w:val="center"/>
          </w:tcPr>
          <w:p w14:paraId="3EA20C73" w14:textId="4E9EB411"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.00088</w:t>
            </w:r>
            <w:r>
              <w:rPr>
                <w:rFonts w:ascii="Times New Roman" w:eastAsia="宋体" w:hAnsi="Times New Roman" w:cs="Times New Roman" w:hint="eastAsia"/>
              </w:rPr>
              <w:t xml:space="preserve"> t</w:t>
            </w:r>
            <w:r>
              <w:rPr>
                <w:rFonts w:ascii="Times New Roman" w:eastAsia="宋体" w:hAnsi="Times New Roman" w:cs="Times New Roman"/>
              </w:rPr>
              <w:t>/</w:t>
            </w:r>
            <w:r>
              <w:rPr>
                <w:rFonts w:ascii="Times New Roman" w:eastAsia="宋体" w:hAnsi="Times New Roman" w:cs="Times New Roman" w:hint="eastAsia"/>
              </w:rPr>
              <w:t>a</w:t>
            </w:r>
          </w:p>
        </w:tc>
        <w:tc>
          <w:tcPr>
            <w:tcW w:w="803" w:type="dxa"/>
            <w:vMerge/>
            <w:vAlign w:val="center"/>
          </w:tcPr>
          <w:p w14:paraId="69C46ED7" w14:textId="77777777" w:rsidR="000C34D0" w:rsidRDefault="000C34D0" w:rsidP="000C34D0">
            <w:pPr>
              <w:pStyle w:val="affffd"/>
              <w:spacing w:line="240" w:lineRule="auto"/>
              <w:rPr>
                <w:rFonts w:ascii="Times New Roman" w:eastAsia="宋体" w:hAnsi="Times New Roman" w:cs="Times New Roman"/>
              </w:rPr>
            </w:pPr>
          </w:p>
        </w:tc>
        <w:tc>
          <w:tcPr>
            <w:tcW w:w="1800" w:type="dxa"/>
            <w:vMerge/>
            <w:vAlign w:val="center"/>
          </w:tcPr>
          <w:p w14:paraId="2FDD30DB" w14:textId="77777777" w:rsidR="000C34D0" w:rsidRDefault="000C34D0" w:rsidP="000C34D0">
            <w:pPr>
              <w:pStyle w:val="affffd"/>
              <w:spacing w:line="240" w:lineRule="auto"/>
              <w:rPr>
                <w:rFonts w:ascii="Times New Roman" w:eastAsia="宋体" w:hAnsi="Times New Roman" w:cs="Times New Roman"/>
              </w:rPr>
            </w:pPr>
          </w:p>
        </w:tc>
      </w:tr>
      <w:tr w:rsidR="000C34D0" w14:paraId="0AD827A3" w14:textId="77777777" w:rsidTr="000C34D0">
        <w:trPr>
          <w:cantSplit/>
          <w:trHeight w:val="179"/>
          <w:jc w:val="center"/>
        </w:trPr>
        <w:tc>
          <w:tcPr>
            <w:tcW w:w="729" w:type="dxa"/>
            <w:vMerge/>
            <w:vAlign w:val="center"/>
          </w:tcPr>
          <w:p w14:paraId="72F94C2E" w14:textId="77777777" w:rsidR="000C34D0" w:rsidRDefault="000C34D0" w:rsidP="000C34D0">
            <w:pPr>
              <w:pStyle w:val="affffd"/>
              <w:spacing w:line="240" w:lineRule="auto"/>
              <w:rPr>
                <w:rFonts w:ascii="Times New Roman" w:eastAsia="宋体" w:hAnsi="Times New Roman" w:cs="Times New Roman"/>
              </w:rPr>
            </w:pPr>
          </w:p>
        </w:tc>
        <w:tc>
          <w:tcPr>
            <w:tcW w:w="1716" w:type="dxa"/>
            <w:vMerge w:val="restart"/>
            <w:vAlign w:val="center"/>
          </w:tcPr>
          <w:p w14:paraId="60EC8209"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hint="eastAsia"/>
              </w:rPr>
              <w:t>渗滤液处理站</w:t>
            </w:r>
          </w:p>
        </w:tc>
        <w:tc>
          <w:tcPr>
            <w:tcW w:w="759" w:type="dxa"/>
            <w:tcBorders>
              <w:bottom w:val="single" w:sz="4" w:space="0" w:color="auto"/>
            </w:tcBorders>
            <w:vAlign w:val="center"/>
          </w:tcPr>
          <w:p w14:paraId="6C4580E3"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2089" w:type="dxa"/>
            <w:tcBorders>
              <w:bottom w:val="single" w:sz="4" w:space="0" w:color="auto"/>
            </w:tcBorders>
            <w:vAlign w:val="center"/>
          </w:tcPr>
          <w:p w14:paraId="416E7AB4" w14:textId="04B21BC6"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0.12352</w:t>
            </w:r>
            <w:r>
              <w:rPr>
                <w:rFonts w:ascii="Times New Roman" w:eastAsia="宋体" w:hAnsi="Times New Roman" w:cs="Times New Roman" w:hint="eastAsia"/>
              </w:rPr>
              <w:t xml:space="preserve"> t</w:t>
            </w:r>
            <w:r>
              <w:rPr>
                <w:rFonts w:ascii="Times New Roman" w:eastAsia="宋体" w:hAnsi="Times New Roman" w:cs="Times New Roman"/>
              </w:rPr>
              <w:t>/</w:t>
            </w:r>
            <w:r>
              <w:rPr>
                <w:rFonts w:ascii="Times New Roman" w:eastAsia="宋体" w:hAnsi="Times New Roman" w:cs="Times New Roman" w:hint="eastAsia"/>
              </w:rPr>
              <w:t>a</w:t>
            </w:r>
          </w:p>
        </w:tc>
        <w:tc>
          <w:tcPr>
            <w:tcW w:w="2134" w:type="dxa"/>
            <w:gridSpan w:val="2"/>
            <w:tcBorders>
              <w:bottom w:val="single" w:sz="4" w:space="0" w:color="auto"/>
            </w:tcBorders>
            <w:vAlign w:val="center"/>
          </w:tcPr>
          <w:p w14:paraId="46661725" w14:textId="68CA7E53"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0.12352</w:t>
            </w:r>
            <w:r>
              <w:rPr>
                <w:rFonts w:ascii="Times New Roman" w:eastAsia="宋体" w:hAnsi="Times New Roman" w:cs="Times New Roman" w:hint="eastAsia"/>
              </w:rPr>
              <w:t xml:space="preserve"> t</w:t>
            </w:r>
            <w:r>
              <w:rPr>
                <w:rFonts w:ascii="Times New Roman" w:eastAsia="宋体" w:hAnsi="Times New Roman" w:cs="Times New Roman"/>
              </w:rPr>
              <w:t>/</w:t>
            </w:r>
            <w:r>
              <w:rPr>
                <w:rFonts w:ascii="Times New Roman" w:eastAsia="宋体" w:hAnsi="Times New Roman" w:cs="Times New Roman" w:hint="eastAsia"/>
              </w:rPr>
              <w:t>a</w:t>
            </w:r>
          </w:p>
        </w:tc>
        <w:tc>
          <w:tcPr>
            <w:tcW w:w="803" w:type="dxa"/>
            <w:vMerge w:val="restart"/>
            <w:vAlign w:val="center"/>
          </w:tcPr>
          <w:p w14:paraId="5592B26B"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无组织</w:t>
            </w:r>
          </w:p>
        </w:tc>
        <w:tc>
          <w:tcPr>
            <w:tcW w:w="1800" w:type="dxa"/>
            <w:vMerge w:val="restart"/>
            <w:vAlign w:val="center"/>
          </w:tcPr>
          <w:p w14:paraId="77D393C0"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密闭加盖，定期喷洒除臭剂</w:t>
            </w:r>
          </w:p>
        </w:tc>
      </w:tr>
      <w:tr w:rsidR="000C34D0" w14:paraId="4F6E2AAA" w14:textId="77777777" w:rsidTr="000C34D0">
        <w:trPr>
          <w:cantSplit/>
          <w:trHeight w:val="128"/>
          <w:jc w:val="center"/>
        </w:trPr>
        <w:tc>
          <w:tcPr>
            <w:tcW w:w="729" w:type="dxa"/>
            <w:vMerge/>
            <w:vAlign w:val="center"/>
          </w:tcPr>
          <w:p w14:paraId="2175477F" w14:textId="77777777" w:rsidR="000C34D0" w:rsidRDefault="000C34D0" w:rsidP="000C34D0">
            <w:pPr>
              <w:pStyle w:val="affffd"/>
              <w:spacing w:line="240" w:lineRule="auto"/>
              <w:rPr>
                <w:rFonts w:ascii="Times New Roman" w:eastAsia="宋体" w:hAnsi="Times New Roman" w:cs="Times New Roman"/>
              </w:rPr>
            </w:pPr>
          </w:p>
        </w:tc>
        <w:tc>
          <w:tcPr>
            <w:tcW w:w="1716" w:type="dxa"/>
            <w:vMerge/>
            <w:vAlign w:val="center"/>
          </w:tcPr>
          <w:p w14:paraId="2B449E37" w14:textId="77777777" w:rsidR="000C34D0" w:rsidRDefault="000C34D0" w:rsidP="000C34D0">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02767DF9" w14:textId="77777777"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2089" w:type="dxa"/>
            <w:tcBorders>
              <w:top w:val="single" w:sz="4" w:space="0" w:color="auto"/>
            </w:tcBorders>
            <w:vAlign w:val="center"/>
          </w:tcPr>
          <w:p w14:paraId="16CB72B5" w14:textId="5B147779"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.00171</w:t>
            </w:r>
            <w:r>
              <w:rPr>
                <w:rFonts w:ascii="Times New Roman" w:eastAsia="宋体" w:hAnsi="Times New Roman" w:cs="Times New Roman" w:hint="eastAsia"/>
              </w:rPr>
              <w:t xml:space="preserve"> t</w:t>
            </w:r>
            <w:r>
              <w:rPr>
                <w:rFonts w:ascii="Times New Roman" w:eastAsia="宋体" w:hAnsi="Times New Roman" w:cs="Times New Roman"/>
              </w:rPr>
              <w:t>/</w:t>
            </w:r>
            <w:r>
              <w:rPr>
                <w:rFonts w:ascii="Times New Roman" w:eastAsia="宋体" w:hAnsi="Times New Roman" w:cs="Times New Roman" w:hint="eastAsia"/>
              </w:rPr>
              <w:t>a</w:t>
            </w:r>
          </w:p>
        </w:tc>
        <w:tc>
          <w:tcPr>
            <w:tcW w:w="2134" w:type="dxa"/>
            <w:gridSpan w:val="2"/>
            <w:tcBorders>
              <w:top w:val="single" w:sz="4" w:space="0" w:color="auto"/>
            </w:tcBorders>
            <w:vAlign w:val="center"/>
          </w:tcPr>
          <w:p w14:paraId="15FC348B" w14:textId="7DD0A2B5" w:rsidR="000C34D0" w:rsidRDefault="000C34D0" w:rsidP="000C34D0">
            <w:pPr>
              <w:pStyle w:val="affffd"/>
              <w:spacing w:line="240" w:lineRule="auto"/>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.00171</w:t>
            </w:r>
            <w:r>
              <w:rPr>
                <w:rFonts w:ascii="Times New Roman" w:eastAsia="宋体" w:hAnsi="Times New Roman" w:cs="Times New Roman" w:hint="eastAsia"/>
              </w:rPr>
              <w:t xml:space="preserve"> t</w:t>
            </w:r>
            <w:r>
              <w:rPr>
                <w:rFonts w:ascii="Times New Roman" w:eastAsia="宋体" w:hAnsi="Times New Roman" w:cs="Times New Roman"/>
              </w:rPr>
              <w:t>/</w:t>
            </w:r>
            <w:r>
              <w:rPr>
                <w:rFonts w:ascii="Times New Roman" w:eastAsia="宋体" w:hAnsi="Times New Roman" w:cs="Times New Roman" w:hint="eastAsia"/>
              </w:rPr>
              <w:t>a</w:t>
            </w:r>
          </w:p>
        </w:tc>
        <w:tc>
          <w:tcPr>
            <w:tcW w:w="803" w:type="dxa"/>
            <w:vMerge/>
            <w:vAlign w:val="center"/>
          </w:tcPr>
          <w:p w14:paraId="0778781D" w14:textId="77777777" w:rsidR="000C34D0" w:rsidRDefault="000C34D0" w:rsidP="000C34D0">
            <w:pPr>
              <w:pStyle w:val="affffd"/>
              <w:spacing w:line="240" w:lineRule="auto"/>
              <w:rPr>
                <w:rFonts w:ascii="Times New Roman" w:eastAsia="宋体" w:hAnsi="Times New Roman" w:cs="Times New Roman"/>
              </w:rPr>
            </w:pPr>
          </w:p>
        </w:tc>
        <w:tc>
          <w:tcPr>
            <w:tcW w:w="1800" w:type="dxa"/>
            <w:vMerge/>
            <w:vAlign w:val="center"/>
          </w:tcPr>
          <w:p w14:paraId="33A4AC2E" w14:textId="77777777" w:rsidR="000C34D0" w:rsidRDefault="000C34D0" w:rsidP="000C34D0">
            <w:pPr>
              <w:pStyle w:val="affffd"/>
              <w:spacing w:line="240" w:lineRule="auto"/>
              <w:rPr>
                <w:rFonts w:ascii="Times New Roman" w:eastAsia="宋体" w:hAnsi="Times New Roman" w:cs="Times New Roman"/>
              </w:rPr>
            </w:pPr>
          </w:p>
        </w:tc>
      </w:tr>
      <w:tr w:rsidR="00D12939" w14:paraId="24DE21D5" w14:textId="77777777" w:rsidTr="000C34D0">
        <w:trPr>
          <w:cantSplit/>
          <w:trHeight w:val="321"/>
          <w:jc w:val="center"/>
        </w:trPr>
        <w:tc>
          <w:tcPr>
            <w:tcW w:w="729" w:type="dxa"/>
            <w:vMerge/>
            <w:vAlign w:val="center"/>
          </w:tcPr>
          <w:p w14:paraId="5067A050" w14:textId="77777777" w:rsidR="00D12939" w:rsidRDefault="00D12939">
            <w:pPr>
              <w:pStyle w:val="affffd"/>
              <w:spacing w:line="240" w:lineRule="auto"/>
              <w:rPr>
                <w:rFonts w:ascii="Times New Roman" w:eastAsia="宋体" w:hAnsi="Times New Roman" w:cs="Times New Roman"/>
              </w:rPr>
            </w:pPr>
          </w:p>
        </w:tc>
        <w:tc>
          <w:tcPr>
            <w:tcW w:w="1716" w:type="dxa"/>
            <w:vAlign w:val="center"/>
          </w:tcPr>
          <w:p w14:paraId="327DEDC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填埋场恶臭</w:t>
            </w:r>
          </w:p>
        </w:tc>
        <w:tc>
          <w:tcPr>
            <w:tcW w:w="759" w:type="dxa"/>
            <w:vAlign w:val="center"/>
          </w:tcPr>
          <w:p w14:paraId="24171D5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hint="eastAsia"/>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2089" w:type="dxa"/>
            <w:vAlign w:val="center"/>
          </w:tcPr>
          <w:p w14:paraId="25CE7C9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少量</w:t>
            </w:r>
          </w:p>
        </w:tc>
        <w:tc>
          <w:tcPr>
            <w:tcW w:w="2134" w:type="dxa"/>
            <w:gridSpan w:val="2"/>
            <w:vAlign w:val="center"/>
          </w:tcPr>
          <w:p w14:paraId="7D8E4D5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少量</w:t>
            </w:r>
          </w:p>
        </w:tc>
        <w:tc>
          <w:tcPr>
            <w:tcW w:w="803" w:type="dxa"/>
            <w:vAlign w:val="center"/>
          </w:tcPr>
          <w:p w14:paraId="573B2F4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无组织</w:t>
            </w:r>
          </w:p>
        </w:tc>
        <w:tc>
          <w:tcPr>
            <w:tcW w:w="1800" w:type="dxa"/>
            <w:vAlign w:val="center"/>
          </w:tcPr>
          <w:p w14:paraId="14914A5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定期喷洒除臭剂</w:t>
            </w:r>
          </w:p>
        </w:tc>
      </w:tr>
      <w:tr w:rsidR="00D12939" w14:paraId="053FDD8D" w14:textId="77777777" w:rsidTr="000C34D0">
        <w:trPr>
          <w:cantSplit/>
          <w:trHeight w:val="321"/>
          <w:jc w:val="center"/>
        </w:trPr>
        <w:tc>
          <w:tcPr>
            <w:tcW w:w="729" w:type="dxa"/>
            <w:vMerge/>
            <w:vAlign w:val="center"/>
          </w:tcPr>
          <w:p w14:paraId="78C4B8A0" w14:textId="77777777" w:rsidR="00D12939" w:rsidRDefault="00D12939">
            <w:pPr>
              <w:pStyle w:val="affffd"/>
              <w:spacing w:line="240" w:lineRule="auto"/>
              <w:rPr>
                <w:rFonts w:ascii="Times New Roman" w:eastAsia="宋体" w:hAnsi="Times New Roman" w:cs="Times New Roman"/>
              </w:rPr>
            </w:pPr>
          </w:p>
        </w:tc>
        <w:tc>
          <w:tcPr>
            <w:tcW w:w="1716" w:type="dxa"/>
            <w:vAlign w:val="center"/>
          </w:tcPr>
          <w:p w14:paraId="2DEBC09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填埋作业扬尘</w:t>
            </w:r>
          </w:p>
        </w:tc>
        <w:tc>
          <w:tcPr>
            <w:tcW w:w="759" w:type="dxa"/>
            <w:vAlign w:val="center"/>
          </w:tcPr>
          <w:p w14:paraId="484770F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颗粒物</w:t>
            </w:r>
          </w:p>
        </w:tc>
        <w:tc>
          <w:tcPr>
            <w:tcW w:w="2089" w:type="dxa"/>
            <w:vAlign w:val="center"/>
          </w:tcPr>
          <w:p w14:paraId="77C66C7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0.3329t/a</w:t>
            </w:r>
          </w:p>
        </w:tc>
        <w:tc>
          <w:tcPr>
            <w:tcW w:w="2134" w:type="dxa"/>
            <w:gridSpan w:val="2"/>
            <w:vAlign w:val="center"/>
          </w:tcPr>
          <w:p w14:paraId="123C8AF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0.0999t/a</w:t>
            </w:r>
          </w:p>
        </w:tc>
        <w:tc>
          <w:tcPr>
            <w:tcW w:w="803" w:type="dxa"/>
            <w:vAlign w:val="center"/>
          </w:tcPr>
          <w:p w14:paraId="37AC0F4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无组织</w:t>
            </w:r>
          </w:p>
        </w:tc>
        <w:tc>
          <w:tcPr>
            <w:tcW w:w="1800" w:type="dxa"/>
            <w:vAlign w:val="center"/>
          </w:tcPr>
          <w:p w14:paraId="5ED3FA8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洒水抑尘</w:t>
            </w:r>
          </w:p>
        </w:tc>
      </w:tr>
      <w:tr w:rsidR="00D12939" w14:paraId="08300E67" w14:textId="77777777" w:rsidTr="000C34D0">
        <w:trPr>
          <w:cantSplit/>
          <w:trHeight w:val="213"/>
          <w:jc w:val="center"/>
        </w:trPr>
        <w:tc>
          <w:tcPr>
            <w:tcW w:w="729" w:type="dxa"/>
            <w:vMerge w:val="restart"/>
            <w:vAlign w:val="center"/>
          </w:tcPr>
          <w:p w14:paraId="7E23140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水</w:t>
            </w:r>
          </w:p>
          <w:p w14:paraId="22C45E6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污</w:t>
            </w:r>
          </w:p>
          <w:p w14:paraId="6265A99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染</w:t>
            </w:r>
          </w:p>
          <w:p w14:paraId="71281DC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物</w:t>
            </w:r>
          </w:p>
        </w:tc>
        <w:tc>
          <w:tcPr>
            <w:tcW w:w="1716" w:type="dxa"/>
            <w:vMerge w:val="restart"/>
            <w:vAlign w:val="center"/>
          </w:tcPr>
          <w:p w14:paraId="2B0C762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生活垃圾渗滤液</w:t>
            </w:r>
          </w:p>
        </w:tc>
        <w:tc>
          <w:tcPr>
            <w:tcW w:w="759" w:type="dxa"/>
            <w:tcBorders>
              <w:bottom w:val="single" w:sz="4" w:space="0" w:color="auto"/>
            </w:tcBorders>
            <w:vAlign w:val="center"/>
          </w:tcPr>
          <w:p w14:paraId="181C811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水量</w:t>
            </w:r>
          </w:p>
        </w:tc>
        <w:tc>
          <w:tcPr>
            <w:tcW w:w="2089" w:type="dxa"/>
            <w:tcBorders>
              <w:bottom w:val="single" w:sz="4" w:space="0" w:color="auto"/>
            </w:tcBorders>
            <w:vAlign w:val="center"/>
          </w:tcPr>
          <w:p w14:paraId="1890420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14804.4t/a</w:t>
            </w:r>
          </w:p>
        </w:tc>
        <w:tc>
          <w:tcPr>
            <w:tcW w:w="2134" w:type="dxa"/>
            <w:gridSpan w:val="2"/>
            <w:vMerge w:val="restart"/>
            <w:vAlign w:val="center"/>
          </w:tcPr>
          <w:p w14:paraId="714263CE" w14:textId="546BE8D0" w:rsidR="00D12939" w:rsidRPr="008A0E9B" w:rsidRDefault="004F47F5">
            <w:pPr>
              <w:pStyle w:val="affffd"/>
              <w:jc w:val="both"/>
              <w:rPr>
                <w:rFonts w:ascii="Times New Roman" w:eastAsia="宋体" w:hAnsi="Times New Roman" w:cs="Times New Roman"/>
                <w:color w:val="FF0000"/>
              </w:rPr>
            </w:pPr>
            <w:r w:rsidRPr="008A0E9B">
              <w:rPr>
                <w:rFonts w:ascii="Times New Roman" w:eastAsia="宋体" w:hAnsi="Times New Roman" w:cs="Times New Roman" w:hint="eastAsia"/>
                <w:color w:val="FF0000"/>
              </w:rPr>
              <w:t>水量：</w:t>
            </w:r>
            <w:r w:rsidR="008A0E9B" w:rsidRPr="008A0E9B">
              <w:rPr>
                <w:rFonts w:ascii="Times New Roman" w:eastAsia="宋体" w:hAnsi="Times New Roman" w:cs="Times New Roman"/>
                <w:color w:val="FF0000"/>
              </w:rPr>
              <w:t>12834.13</w:t>
            </w:r>
            <w:r w:rsidRPr="008A0E9B">
              <w:rPr>
                <w:rFonts w:ascii="Times New Roman" w:eastAsia="宋体" w:hAnsi="Times New Roman" w:cs="Times New Roman"/>
                <w:color w:val="FF0000"/>
              </w:rPr>
              <w:t>t/a</w:t>
            </w:r>
          </w:p>
          <w:p w14:paraId="1AFBBE70" w14:textId="26F2FE61" w:rsidR="00D12939" w:rsidRPr="008A0E9B" w:rsidRDefault="004F47F5">
            <w:pPr>
              <w:pStyle w:val="affffd"/>
              <w:jc w:val="left"/>
              <w:rPr>
                <w:rFonts w:ascii="Times New Roman" w:eastAsia="宋体" w:hAnsi="Times New Roman" w:cs="Times New Roman"/>
                <w:color w:val="FF0000"/>
              </w:rPr>
            </w:pPr>
            <w:r w:rsidRPr="008A0E9B">
              <w:rPr>
                <w:rFonts w:ascii="Times New Roman" w:eastAsia="宋体" w:hAnsi="Times New Roman" w:cs="Times New Roman"/>
                <w:color w:val="FF0000"/>
              </w:rPr>
              <w:t>COD</w:t>
            </w:r>
            <w:r w:rsidRPr="008A0E9B">
              <w:rPr>
                <w:rFonts w:ascii="Times New Roman" w:eastAsia="宋体" w:hAnsi="Times New Roman" w:cs="Times New Roman" w:hint="eastAsia"/>
                <w:color w:val="FF0000"/>
              </w:rPr>
              <w:t>：</w:t>
            </w:r>
            <w:r w:rsidRPr="008A0E9B">
              <w:rPr>
                <w:rFonts w:ascii="Times New Roman" w:eastAsia="宋体" w:hAnsi="Times New Roman" w:cs="Times New Roman"/>
                <w:color w:val="FF0000"/>
              </w:rPr>
              <w:t>100mg/L,1.</w:t>
            </w:r>
            <w:r w:rsidR="008A0E9B" w:rsidRPr="008A0E9B">
              <w:rPr>
                <w:rFonts w:ascii="Times New Roman" w:eastAsia="宋体" w:hAnsi="Times New Roman" w:cs="Times New Roman"/>
                <w:color w:val="FF0000"/>
              </w:rPr>
              <w:t>28</w:t>
            </w:r>
            <w:r w:rsidRPr="008A0E9B">
              <w:rPr>
                <w:rFonts w:ascii="Times New Roman" w:eastAsia="宋体" w:hAnsi="Times New Roman" w:cs="Times New Roman"/>
                <w:color w:val="FF0000"/>
              </w:rPr>
              <w:t>t/a</w:t>
            </w:r>
            <w:r w:rsidRPr="008A0E9B">
              <w:rPr>
                <w:rFonts w:ascii="Times New Roman" w:eastAsia="宋体" w:hAnsi="Times New Roman" w:cs="Times New Roman" w:hint="eastAsia"/>
                <w:color w:val="FF0000"/>
              </w:rPr>
              <w:t>；</w:t>
            </w:r>
          </w:p>
          <w:p w14:paraId="46C5980B" w14:textId="43623BC5" w:rsidR="00D12939" w:rsidRPr="008A0E9B" w:rsidRDefault="004F47F5">
            <w:pPr>
              <w:pStyle w:val="affffd"/>
              <w:jc w:val="left"/>
              <w:rPr>
                <w:rFonts w:ascii="Times New Roman" w:eastAsia="宋体" w:hAnsi="Times New Roman" w:cs="Times New Roman"/>
                <w:color w:val="FF0000"/>
              </w:rPr>
            </w:pPr>
            <w:r w:rsidRPr="008A0E9B">
              <w:rPr>
                <w:rFonts w:ascii="Times New Roman" w:eastAsia="宋体" w:hAnsi="Times New Roman" w:cs="Times New Roman"/>
                <w:color w:val="FF0000"/>
              </w:rPr>
              <w:t>BOD</w:t>
            </w:r>
            <w:r w:rsidRPr="008A0E9B">
              <w:rPr>
                <w:rFonts w:ascii="Times New Roman" w:eastAsia="宋体" w:hAnsi="Times New Roman" w:cs="Times New Roman"/>
                <w:color w:val="FF0000"/>
                <w:vertAlign w:val="subscript"/>
              </w:rPr>
              <w:t>5</w:t>
            </w:r>
            <w:r w:rsidRPr="008A0E9B">
              <w:rPr>
                <w:rFonts w:ascii="Times New Roman" w:eastAsia="宋体" w:hAnsi="Times New Roman" w:cs="Times New Roman" w:hint="eastAsia"/>
                <w:color w:val="FF0000"/>
              </w:rPr>
              <w:t>：</w:t>
            </w:r>
            <w:r w:rsidRPr="008A0E9B">
              <w:rPr>
                <w:rFonts w:ascii="Times New Roman" w:eastAsia="宋体" w:hAnsi="Times New Roman" w:cs="Times New Roman"/>
                <w:color w:val="FF0000"/>
              </w:rPr>
              <w:t>30mg/L,0.</w:t>
            </w:r>
            <w:r w:rsidR="008A0E9B" w:rsidRPr="008A0E9B">
              <w:rPr>
                <w:rFonts w:ascii="Times New Roman" w:eastAsia="宋体" w:hAnsi="Times New Roman" w:cs="Times New Roman"/>
                <w:color w:val="FF0000"/>
              </w:rPr>
              <w:t>39</w:t>
            </w:r>
            <w:r w:rsidRPr="008A0E9B">
              <w:rPr>
                <w:rFonts w:ascii="Times New Roman" w:eastAsia="宋体" w:hAnsi="Times New Roman" w:cs="Times New Roman"/>
                <w:color w:val="FF0000"/>
              </w:rPr>
              <w:t>t/a</w:t>
            </w:r>
          </w:p>
          <w:p w14:paraId="2566B12B" w14:textId="77777777" w:rsidR="00D12939" w:rsidRPr="008A0E9B" w:rsidRDefault="004F47F5">
            <w:pPr>
              <w:pStyle w:val="affffd"/>
              <w:jc w:val="left"/>
              <w:rPr>
                <w:rFonts w:ascii="Times New Roman" w:eastAsia="宋体" w:hAnsi="Times New Roman" w:cs="Times New Roman"/>
                <w:color w:val="FF0000"/>
              </w:rPr>
            </w:pPr>
            <w:r w:rsidRPr="008A0E9B">
              <w:rPr>
                <w:rFonts w:ascii="Times New Roman" w:eastAsia="宋体" w:hAnsi="Times New Roman" w:cs="Times New Roman"/>
                <w:color w:val="FF0000"/>
              </w:rPr>
              <w:t>NH</w:t>
            </w:r>
            <w:r w:rsidRPr="008A0E9B">
              <w:rPr>
                <w:rFonts w:ascii="Times New Roman" w:eastAsia="宋体" w:hAnsi="Times New Roman" w:cs="Times New Roman"/>
                <w:color w:val="FF0000"/>
                <w:vertAlign w:val="subscript"/>
              </w:rPr>
              <w:t>3</w:t>
            </w:r>
            <w:r w:rsidRPr="008A0E9B">
              <w:rPr>
                <w:rFonts w:ascii="Times New Roman" w:eastAsia="宋体" w:hAnsi="Times New Roman" w:cs="Times New Roman"/>
                <w:color w:val="FF0000"/>
              </w:rPr>
              <w:t>-N</w:t>
            </w:r>
            <w:r w:rsidRPr="008A0E9B">
              <w:rPr>
                <w:rFonts w:ascii="Times New Roman" w:eastAsia="宋体" w:hAnsi="Times New Roman" w:cs="Times New Roman" w:hint="eastAsia"/>
                <w:color w:val="FF0000"/>
              </w:rPr>
              <w:t>：</w:t>
            </w:r>
          </w:p>
          <w:p w14:paraId="6FA789EC" w14:textId="3949BC3E" w:rsidR="00D12939" w:rsidRPr="008A0E9B" w:rsidRDefault="004F47F5">
            <w:pPr>
              <w:pStyle w:val="affffd"/>
              <w:jc w:val="left"/>
              <w:rPr>
                <w:rFonts w:ascii="Times New Roman" w:eastAsia="宋体" w:hAnsi="Times New Roman" w:cs="Times New Roman"/>
                <w:color w:val="FF0000"/>
              </w:rPr>
            </w:pPr>
            <w:r w:rsidRPr="008A0E9B">
              <w:rPr>
                <w:rFonts w:ascii="Times New Roman" w:eastAsia="宋体" w:hAnsi="Times New Roman" w:cs="Times New Roman"/>
                <w:color w:val="FF0000"/>
              </w:rPr>
              <w:t>25mg/L</w:t>
            </w:r>
            <w:r w:rsidRPr="008A0E9B">
              <w:rPr>
                <w:rFonts w:ascii="Times New Roman" w:eastAsia="宋体" w:hAnsi="Times New Roman" w:cs="Times New Roman"/>
                <w:color w:val="FF0000"/>
              </w:rPr>
              <w:t>，</w:t>
            </w:r>
            <w:r w:rsidR="008A0E9B" w:rsidRPr="008A0E9B">
              <w:rPr>
                <w:rFonts w:ascii="Times New Roman" w:eastAsia="宋体" w:hAnsi="Times New Roman" w:cs="Times New Roman"/>
                <w:color w:val="FF0000"/>
              </w:rPr>
              <w:t>0.32</w:t>
            </w:r>
            <w:r w:rsidRPr="008A0E9B">
              <w:rPr>
                <w:rFonts w:ascii="Times New Roman" w:eastAsia="宋体" w:hAnsi="Times New Roman" w:cs="Times New Roman"/>
                <w:color w:val="FF0000"/>
              </w:rPr>
              <w:t>t/a</w:t>
            </w:r>
          </w:p>
          <w:p w14:paraId="096311A2" w14:textId="77777777" w:rsidR="00D12939" w:rsidRPr="008A0E9B" w:rsidRDefault="004F47F5">
            <w:pPr>
              <w:pStyle w:val="affffd"/>
              <w:spacing w:line="240" w:lineRule="auto"/>
              <w:jc w:val="left"/>
              <w:rPr>
                <w:rFonts w:ascii="Times New Roman" w:eastAsia="宋体" w:hAnsi="Times New Roman" w:cs="Times New Roman"/>
                <w:color w:val="FF0000"/>
              </w:rPr>
            </w:pPr>
            <w:r w:rsidRPr="008A0E9B">
              <w:rPr>
                <w:rFonts w:ascii="Times New Roman" w:eastAsia="宋体" w:hAnsi="Times New Roman" w:cs="Times New Roman"/>
                <w:color w:val="FF0000"/>
              </w:rPr>
              <w:t>SS</w:t>
            </w:r>
            <w:r w:rsidRPr="008A0E9B">
              <w:rPr>
                <w:rFonts w:ascii="Times New Roman" w:eastAsia="宋体" w:hAnsi="Times New Roman" w:cs="Times New Roman" w:hint="eastAsia"/>
                <w:color w:val="FF0000"/>
              </w:rPr>
              <w:t>：</w:t>
            </w:r>
          </w:p>
          <w:p w14:paraId="38A820BC" w14:textId="115EF828" w:rsidR="00D12939" w:rsidRDefault="004F47F5" w:rsidP="008A0E9B">
            <w:pPr>
              <w:pStyle w:val="affffd"/>
              <w:spacing w:line="240" w:lineRule="auto"/>
              <w:jc w:val="left"/>
              <w:rPr>
                <w:rFonts w:ascii="Times New Roman" w:eastAsia="宋体" w:hAnsi="Times New Roman" w:cs="Times New Roman"/>
              </w:rPr>
            </w:pPr>
            <w:r w:rsidRPr="008A0E9B">
              <w:rPr>
                <w:rFonts w:ascii="Times New Roman" w:eastAsia="宋体" w:hAnsi="Times New Roman" w:cs="Times New Roman"/>
                <w:color w:val="FF0000"/>
              </w:rPr>
              <w:t>30mg/L,0.</w:t>
            </w:r>
            <w:r w:rsidR="008A0E9B" w:rsidRPr="008A0E9B">
              <w:rPr>
                <w:rFonts w:ascii="Times New Roman" w:eastAsia="宋体" w:hAnsi="Times New Roman" w:cs="Times New Roman"/>
                <w:color w:val="FF0000"/>
              </w:rPr>
              <w:t>39</w:t>
            </w:r>
            <w:r w:rsidRPr="008A0E9B">
              <w:rPr>
                <w:rFonts w:ascii="Times New Roman" w:eastAsia="宋体" w:hAnsi="Times New Roman" w:cs="Times New Roman"/>
                <w:color w:val="FF0000"/>
              </w:rPr>
              <w:t>t/a</w:t>
            </w:r>
          </w:p>
        </w:tc>
        <w:tc>
          <w:tcPr>
            <w:tcW w:w="803" w:type="dxa"/>
            <w:vMerge w:val="restart"/>
            <w:vAlign w:val="center"/>
          </w:tcPr>
          <w:p w14:paraId="24FC9E9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连续</w:t>
            </w:r>
          </w:p>
        </w:tc>
        <w:tc>
          <w:tcPr>
            <w:tcW w:w="1800" w:type="dxa"/>
            <w:vMerge w:val="restart"/>
            <w:vAlign w:val="center"/>
          </w:tcPr>
          <w:p w14:paraId="0A5C0B74" w14:textId="5E151499" w:rsidR="00D12939" w:rsidRDefault="008A0E9B">
            <w:pPr>
              <w:pStyle w:val="affffd"/>
              <w:spacing w:line="240" w:lineRule="auto"/>
              <w:rPr>
                <w:rFonts w:ascii="Times New Roman" w:eastAsia="宋体" w:hAnsi="Times New Roman" w:cs="Times New Roman"/>
              </w:rPr>
            </w:pPr>
            <w:r w:rsidRPr="008A0E9B">
              <w:rPr>
                <w:rFonts w:ascii="Times New Roman" w:eastAsia="宋体" w:hAnsi="Times New Roman" w:cs="Times New Roman" w:hint="eastAsia"/>
                <w:color w:val="FF0000"/>
              </w:rPr>
              <w:t>浓缩液回灌至填埋场，处理达标的清液部分回用，剩余运至柞水县污水处理厂进一步处理</w:t>
            </w:r>
          </w:p>
        </w:tc>
      </w:tr>
      <w:tr w:rsidR="00D12939" w14:paraId="131D61F2" w14:textId="77777777" w:rsidTr="000C34D0">
        <w:trPr>
          <w:cantSplit/>
          <w:trHeight w:val="226"/>
          <w:jc w:val="center"/>
        </w:trPr>
        <w:tc>
          <w:tcPr>
            <w:tcW w:w="729" w:type="dxa"/>
            <w:vMerge/>
            <w:vAlign w:val="center"/>
          </w:tcPr>
          <w:p w14:paraId="36A52DCE"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79DB0E00"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bottom w:val="single" w:sz="4" w:space="0" w:color="auto"/>
            </w:tcBorders>
            <w:vAlign w:val="center"/>
          </w:tcPr>
          <w:p w14:paraId="63B511D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COD</w:t>
            </w:r>
          </w:p>
        </w:tc>
        <w:tc>
          <w:tcPr>
            <w:tcW w:w="2089" w:type="dxa"/>
            <w:tcBorders>
              <w:top w:val="single" w:sz="4" w:space="0" w:color="auto"/>
              <w:bottom w:val="single" w:sz="4" w:space="0" w:color="auto"/>
            </w:tcBorders>
            <w:vAlign w:val="center"/>
          </w:tcPr>
          <w:p w14:paraId="347AE22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20000mg/L</w:t>
            </w:r>
            <w:r>
              <w:rPr>
                <w:rFonts w:ascii="Times New Roman" w:eastAsia="宋体" w:hAnsi="Times New Roman" w:cs="Times New Roman" w:hint="eastAsia"/>
              </w:rPr>
              <w:t>,</w:t>
            </w:r>
            <w:r>
              <w:rPr>
                <w:rFonts w:ascii="Times New Roman" w:eastAsia="宋体" w:hAnsi="Times New Roman" w:cs="Times New Roman"/>
              </w:rPr>
              <w:t>296.09</w:t>
            </w:r>
            <w:r>
              <w:rPr>
                <w:rFonts w:ascii="Times New Roman" w:eastAsia="宋体" w:hAnsi="Times New Roman" w:cs="Times New Roman" w:hint="eastAsia"/>
              </w:rPr>
              <w:t>t</w:t>
            </w:r>
            <w:r>
              <w:rPr>
                <w:rFonts w:ascii="Times New Roman" w:eastAsia="宋体" w:hAnsi="Times New Roman" w:cs="Times New Roman"/>
              </w:rPr>
              <w:t>/a</w:t>
            </w:r>
          </w:p>
        </w:tc>
        <w:tc>
          <w:tcPr>
            <w:tcW w:w="2134" w:type="dxa"/>
            <w:gridSpan w:val="2"/>
            <w:vMerge/>
            <w:vAlign w:val="center"/>
          </w:tcPr>
          <w:p w14:paraId="694241E9"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2DE788BF"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2675DFF4" w14:textId="77777777" w:rsidR="00D12939" w:rsidRDefault="00D12939">
            <w:pPr>
              <w:pStyle w:val="affffd"/>
              <w:spacing w:line="240" w:lineRule="auto"/>
              <w:rPr>
                <w:rFonts w:ascii="Times New Roman" w:eastAsia="宋体" w:hAnsi="Times New Roman" w:cs="Times New Roman"/>
              </w:rPr>
            </w:pPr>
          </w:p>
        </w:tc>
      </w:tr>
      <w:tr w:rsidR="00D12939" w14:paraId="14CD29EB" w14:textId="77777777" w:rsidTr="000C34D0">
        <w:trPr>
          <w:cantSplit/>
          <w:trHeight w:val="211"/>
          <w:jc w:val="center"/>
        </w:trPr>
        <w:tc>
          <w:tcPr>
            <w:tcW w:w="729" w:type="dxa"/>
            <w:vMerge/>
            <w:vAlign w:val="center"/>
          </w:tcPr>
          <w:p w14:paraId="69432D45"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512C9E49"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bottom w:val="single" w:sz="4" w:space="0" w:color="auto"/>
            </w:tcBorders>
            <w:vAlign w:val="center"/>
          </w:tcPr>
          <w:p w14:paraId="37C137C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BOD</w:t>
            </w:r>
            <w:r>
              <w:rPr>
                <w:rFonts w:ascii="Times New Roman" w:eastAsia="宋体" w:hAnsi="Times New Roman" w:cs="Times New Roman"/>
                <w:vertAlign w:val="subscript"/>
              </w:rPr>
              <w:t>5</w:t>
            </w:r>
          </w:p>
        </w:tc>
        <w:tc>
          <w:tcPr>
            <w:tcW w:w="2089" w:type="dxa"/>
            <w:tcBorders>
              <w:top w:val="single" w:sz="4" w:space="0" w:color="auto"/>
              <w:bottom w:val="single" w:sz="4" w:space="0" w:color="auto"/>
            </w:tcBorders>
            <w:vAlign w:val="center"/>
          </w:tcPr>
          <w:p w14:paraId="0A859E4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12000mg/L</w:t>
            </w:r>
            <w:r>
              <w:rPr>
                <w:rFonts w:ascii="Times New Roman" w:eastAsia="宋体" w:hAnsi="Times New Roman" w:cs="Times New Roman" w:hint="eastAsia"/>
              </w:rPr>
              <w:t>,</w:t>
            </w:r>
            <w:r>
              <w:rPr>
                <w:rFonts w:ascii="Times New Roman" w:eastAsia="宋体" w:hAnsi="Times New Roman" w:cs="Times New Roman"/>
              </w:rPr>
              <w:t>177.65t/a</w:t>
            </w:r>
          </w:p>
        </w:tc>
        <w:tc>
          <w:tcPr>
            <w:tcW w:w="2134" w:type="dxa"/>
            <w:gridSpan w:val="2"/>
            <w:vMerge/>
            <w:vAlign w:val="center"/>
          </w:tcPr>
          <w:p w14:paraId="43166449"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4D121178"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49351756" w14:textId="77777777" w:rsidR="00D12939" w:rsidRDefault="00D12939">
            <w:pPr>
              <w:pStyle w:val="affffd"/>
              <w:spacing w:line="240" w:lineRule="auto"/>
              <w:rPr>
                <w:rFonts w:ascii="Times New Roman" w:eastAsia="宋体" w:hAnsi="Times New Roman" w:cs="Times New Roman"/>
              </w:rPr>
            </w:pPr>
          </w:p>
        </w:tc>
      </w:tr>
      <w:tr w:rsidR="00D12939" w14:paraId="2D44F441" w14:textId="77777777" w:rsidTr="000C34D0">
        <w:trPr>
          <w:cantSplit/>
          <w:trHeight w:val="99"/>
          <w:jc w:val="center"/>
        </w:trPr>
        <w:tc>
          <w:tcPr>
            <w:tcW w:w="729" w:type="dxa"/>
            <w:vMerge/>
            <w:vAlign w:val="center"/>
          </w:tcPr>
          <w:p w14:paraId="1DCDD086"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7BC56856"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bottom w:val="single" w:sz="4" w:space="0" w:color="auto"/>
            </w:tcBorders>
            <w:vAlign w:val="center"/>
          </w:tcPr>
          <w:p w14:paraId="5F40AC4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2089" w:type="dxa"/>
            <w:tcBorders>
              <w:top w:val="single" w:sz="4" w:space="0" w:color="auto"/>
              <w:bottom w:val="single" w:sz="4" w:space="0" w:color="auto"/>
            </w:tcBorders>
            <w:vAlign w:val="center"/>
          </w:tcPr>
          <w:p w14:paraId="4F1DA4D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1200mg/L</w:t>
            </w:r>
            <w:r>
              <w:rPr>
                <w:rFonts w:ascii="Times New Roman" w:eastAsia="宋体" w:hAnsi="Times New Roman" w:cs="Times New Roman"/>
              </w:rPr>
              <w:t>，</w:t>
            </w:r>
            <w:r>
              <w:rPr>
                <w:rFonts w:ascii="Times New Roman" w:eastAsia="宋体" w:hAnsi="Times New Roman" w:cs="Times New Roman"/>
              </w:rPr>
              <w:t>17.77t/a</w:t>
            </w:r>
          </w:p>
        </w:tc>
        <w:tc>
          <w:tcPr>
            <w:tcW w:w="2134" w:type="dxa"/>
            <w:gridSpan w:val="2"/>
            <w:vMerge/>
            <w:vAlign w:val="center"/>
          </w:tcPr>
          <w:p w14:paraId="3F489FEC"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602BEAD6"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0FDD063C" w14:textId="77777777" w:rsidR="00D12939" w:rsidRDefault="00D12939">
            <w:pPr>
              <w:pStyle w:val="affffd"/>
              <w:spacing w:line="240" w:lineRule="auto"/>
              <w:rPr>
                <w:rFonts w:ascii="Times New Roman" w:eastAsia="宋体" w:hAnsi="Times New Roman" w:cs="Times New Roman"/>
              </w:rPr>
            </w:pPr>
          </w:p>
        </w:tc>
      </w:tr>
      <w:tr w:rsidR="00D12939" w14:paraId="44FBE71E" w14:textId="77777777" w:rsidTr="000C34D0">
        <w:trPr>
          <w:cantSplit/>
          <w:trHeight w:val="79"/>
          <w:jc w:val="center"/>
        </w:trPr>
        <w:tc>
          <w:tcPr>
            <w:tcW w:w="729" w:type="dxa"/>
            <w:vMerge/>
            <w:vAlign w:val="center"/>
          </w:tcPr>
          <w:p w14:paraId="495B2DE4"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49FC5A38"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711E00B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SS</w:t>
            </w:r>
          </w:p>
        </w:tc>
        <w:tc>
          <w:tcPr>
            <w:tcW w:w="2089" w:type="dxa"/>
            <w:tcBorders>
              <w:top w:val="single" w:sz="4" w:space="0" w:color="auto"/>
            </w:tcBorders>
            <w:vAlign w:val="center"/>
          </w:tcPr>
          <w:p w14:paraId="270F502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1500mg/L</w:t>
            </w:r>
            <w:r>
              <w:rPr>
                <w:rFonts w:ascii="Times New Roman" w:eastAsia="宋体" w:hAnsi="Times New Roman" w:cs="Times New Roman"/>
              </w:rPr>
              <w:t>，</w:t>
            </w:r>
            <w:r>
              <w:rPr>
                <w:rFonts w:ascii="Times New Roman" w:eastAsia="宋体" w:hAnsi="Times New Roman" w:cs="Times New Roman"/>
              </w:rPr>
              <w:t>22.21t/a</w:t>
            </w:r>
          </w:p>
        </w:tc>
        <w:tc>
          <w:tcPr>
            <w:tcW w:w="2134" w:type="dxa"/>
            <w:gridSpan w:val="2"/>
            <w:vMerge/>
            <w:vAlign w:val="center"/>
          </w:tcPr>
          <w:p w14:paraId="11833EB1"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7308C133"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31E8A482" w14:textId="77777777" w:rsidR="00D12939" w:rsidRDefault="00D12939">
            <w:pPr>
              <w:pStyle w:val="affffd"/>
              <w:spacing w:line="240" w:lineRule="auto"/>
              <w:rPr>
                <w:rFonts w:ascii="Times New Roman" w:eastAsia="宋体" w:hAnsi="Times New Roman" w:cs="Times New Roman"/>
              </w:rPr>
            </w:pPr>
          </w:p>
        </w:tc>
      </w:tr>
      <w:tr w:rsidR="00D12939" w14:paraId="79108E91" w14:textId="77777777" w:rsidTr="000C34D0">
        <w:trPr>
          <w:cantSplit/>
          <w:trHeight w:val="79"/>
          <w:jc w:val="center"/>
        </w:trPr>
        <w:tc>
          <w:tcPr>
            <w:tcW w:w="729" w:type="dxa"/>
            <w:vMerge/>
            <w:vAlign w:val="center"/>
          </w:tcPr>
          <w:p w14:paraId="0EDE4637" w14:textId="77777777" w:rsidR="00D12939" w:rsidRDefault="00D12939">
            <w:pPr>
              <w:pStyle w:val="affffd"/>
              <w:spacing w:line="240" w:lineRule="auto"/>
              <w:rPr>
                <w:rFonts w:ascii="Times New Roman" w:eastAsia="宋体" w:hAnsi="Times New Roman" w:cs="Times New Roman"/>
              </w:rPr>
            </w:pPr>
          </w:p>
        </w:tc>
        <w:tc>
          <w:tcPr>
            <w:tcW w:w="1716" w:type="dxa"/>
            <w:vMerge w:val="restart"/>
            <w:vAlign w:val="center"/>
          </w:tcPr>
          <w:p w14:paraId="00385712" w14:textId="77777777" w:rsidR="00D12939" w:rsidRDefault="004F47F5">
            <w:pPr>
              <w:pStyle w:val="affffd"/>
              <w:spacing w:line="240" w:lineRule="auto"/>
              <w:ind w:left="840" w:hanging="840"/>
              <w:rPr>
                <w:rFonts w:ascii="Times New Roman" w:eastAsia="宋体" w:hAnsi="Times New Roman" w:cs="Times New Roman"/>
              </w:rPr>
            </w:pPr>
            <w:r>
              <w:rPr>
                <w:rFonts w:ascii="Times New Roman" w:eastAsia="宋体" w:hAnsi="Times New Roman" w:cs="Times New Roman" w:hint="eastAsia"/>
              </w:rPr>
              <w:t>反冲洗废水</w:t>
            </w:r>
          </w:p>
        </w:tc>
        <w:tc>
          <w:tcPr>
            <w:tcW w:w="759" w:type="dxa"/>
            <w:tcBorders>
              <w:top w:val="single" w:sz="4" w:space="0" w:color="auto"/>
            </w:tcBorders>
            <w:vAlign w:val="center"/>
          </w:tcPr>
          <w:p w14:paraId="0C70EBA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水量</w:t>
            </w:r>
          </w:p>
        </w:tc>
        <w:tc>
          <w:tcPr>
            <w:tcW w:w="2089" w:type="dxa"/>
            <w:tcBorders>
              <w:top w:val="single" w:sz="4" w:space="0" w:color="auto"/>
            </w:tcBorders>
            <w:vAlign w:val="center"/>
          </w:tcPr>
          <w:p w14:paraId="630D8CF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1825t/a</w:t>
            </w:r>
          </w:p>
        </w:tc>
        <w:tc>
          <w:tcPr>
            <w:tcW w:w="2134" w:type="dxa"/>
            <w:gridSpan w:val="2"/>
            <w:vMerge/>
            <w:vAlign w:val="center"/>
          </w:tcPr>
          <w:p w14:paraId="19E6788E" w14:textId="77777777" w:rsidR="00D12939" w:rsidRDefault="00D12939">
            <w:pPr>
              <w:pStyle w:val="affffd"/>
              <w:spacing w:line="240" w:lineRule="auto"/>
              <w:rPr>
                <w:rFonts w:ascii="Times New Roman" w:eastAsia="宋体" w:hAnsi="Times New Roman" w:cs="Times New Roman"/>
              </w:rPr>
            </w:pPr>
          </w:p>
        </w:tc>
        <w:tc>
          <w:tcPr>
            <w:tcW w:w="803" w:type="dxa"/>
            <w:vMerge w:val="restart"/>
            <w:vAlign w:val="center"/>
          </w:tcPr>
          <w:p w14:paraId="39ABA20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间断</w:t>
            </w:r>
          </w:p>
        </w:tc>
        <w:tc>
          <w:tcPr>
            <w:tcW w:w="1800" w:type="dxa"/>
            <w:vMerge w:val="restart"/>
            <w:vAlign w:val="center"/>
          </w:tcPr>
          <w:p w14:paraId="0874849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进入渗滤液处理站处理</w:t>
            </w:r>
          </w:p>
        </w:tc>
      </w:tr>
      <w:tr w:rsidR="00D12939" w14:paraId="423855A1" w14:textId="77777777" w:rsidTr="000C34D0">
        <w:trPr>
          <w:cantSplit/>
          <w:trHeight w:val="79"/>
          <w:jc w:val="center"/>
        </w:trPr>
        <w:tc>
          <w:tcPr>
            <w:tcW w:w="729" w:type="dxa"/>
            <w:vMerge/>
            <w:vAlign w:val="center"/>
          </w:tcPr>
          <w:p w14:paraId="0B3A4378"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553B108F" w14:textId="77777777" w:rsidR="00D12939" w:rsidRDefault="00D12939">
            <w:pPr>
              <w:pStyle w:val="affffd"/>
              <w:spacing w:line="240" w:lineRule="auto"/>
              <w:ind w:left="840" w:hanging="840"/>
              <w:rPr>
                <w:rFonts w:ascii="Times New Roman" w:eastAsia="宋体" w:hAnsi="Times New Roman" w:cs="Times New Roman"/>
              </w:rPr>
            </w:pPr>
          </w:p>
        </w:tc>
        <w:tc>
          <w:tcPr>
            <w:tcW w:w="759" w:type="dxa"/>
            <w:tcBorders>
              <w:top w:val="single" w:sz="4" w:space="0" w:color="auto"/>
            </w:tcBorders>
            <w:vAlign w:val="center"/>
          </w:tcPr>
          <w:p w14:paraId="55F7201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COD</w:t>
            </w:r>
          </w:p>
        </w:tc>
        <w:tc>
          <w:tcPr>
            <w:tcW w:w="2089" w:type="dxa"/>
            <w:tcBorders>
              <w:top w:val="single" w:sz="4" w:space="0" w:color="auto"/>
            </w:tcBorders>
            <w:vAlign w:val="center"/>
          </w:tcPr>
          <w:p w14:paraId="049783B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5000mg/L</w:t>
            </w:r>
            <w:r>
              <w:rPr>
                <w:rFonts w:ascii="Times New Roman" w:eastAsia="宋体" w:hAnsi="Times New Roman" w:cs="Times New Roman" w:hint="eastAsia"/>
              </w:rPr>
              <w:t>,</w:t>
            </w:r>
            <w:r>
              <w:rPr>
                <w:rFonts w:ascii="Times New Roman" w:eastAsia="宋体" w:hAnsi="Times New Roman" w:cs="Times New Roman"/>
              </w:rPr>
              <w:t>9.13</w:t>
            </w:r>
            <w:r>
              <w:rPr>
                <w:rFonts w:ascii="Times New Roman" w:eastAsia="宋体" w:hAnsi="Times New Roman" w:cs="Times New Roman" w:hint="eastAsia"/>
              </w:rPr>
              <w:t>t</w:t>
            </w:r>
            <w:r>
              <w:rPr>
                <w:rFonts w:ascii="Times New Roman" w:eastAsia="宋体" w:hAnsi="Times New Roman" w:cs="Times New Roman"/>
              </w:rPr>
              <w:t>/a</w:t>
            </w:r>
          </w:p>
        </w:tc>
        <w:tc>
          <w:tcPr>
            <w:tcW w:w="2134" w:type="dxa"/>
            <w:gridSpan w:val="2"/>
            <w:vMerge/>
            <w:vAlign w:val="center"/>
          </w:tcPr>
          <w:p w14:paraId="43A44657"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102B490E"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679E6291" w14:textId="77777777" w:rsidR="00D12939" w:rsidRDefault="00D12939">
            <w:pPr>
              <w:pStyle w:val="affffd"/>
              <w:spacing w:line="240" w:lineRule="auto"/>
              <w:rPr>
                <w:rFonts w:ascii="Times New Roman" w:eastAsia="宋体" w:hAnsi="Times New Roman" w:cs="Times New Roman"/>
              </w:rPr>
            </w:pPr>
          </w:p>
        </w:tc>
      </w:tr>
      <w:tr w:rsidR="00D12939" w14:paraId="5D31A6A5" w14:textId="77777777" w:rsidTr="000C34D0">
        <w:trPr>
          <w:cantSplit/>
          <w:trHeight w:val="79"/>
          <w:jc w:val="center"/>
        </w:trPr>
        <w:tc>
          <w:tcPr>
            <w:tcW w:w="729" w:type="dxa"/>
            <w:vMerge/>
            <w:vAlign w:val="center"/>
          </w:tcPr>
          <w:p w14:paraId="0639CC1F"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72587170" w14:textId="77777777" w:rsidR="00D12939" w:rsidRDefault="00D12939">
            <w:pPr>
              <w:pStyle w:val="affffd"/>
              <w:spacing w:line="240" w:lineRule="auto"/>
              <w:ind w:left="840" w:hanging="840"/>
              <w:rPr>
                <w:rFonts w:ascii="Times New Roman" w:eastAsia="宋体" w:hAnsi="Times New Roman" w:cs="Times New Roman"/>
              </w:rPr>
            </w:pPr>
          </w:p>
        </w:tc>
        <w:tc>
          <w:tcPr>
            <w:tcW w:w="759" w:type="dxa"/>
            <w:tcBorders>
              <w:top w:val="single" w:sz="4" w:space="0" w:color="auto"/>
            </w:tcBorders>
            <w:vAlign w:val="center"/>
          </w:tcPr>
          <w:p w14:paraId="4604CE0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BOD</w:t>
            </w:r>
            <w:r>
              <w:rPr>
                <w:rFonts w:ascii="Times New Roman" w:eastAsia="宋体" w:hAnsi="Times New Roman" w:cs="Times New Roman"/>
                <w:vertAlign w:val="subscript"/>
              </w:rPr>
              <w:t>5</w:t>
            </w:r>
          </w:p>
        </w:tc>
        <w:tc>
          <w:tcPr>
            <w:tcW w:w="2089" w:type="dxa"/>
            <w:tcBorders>
              <w:top w:val="single" w:sz="4" w:space="0" w:color="auto"/>
            </w:tcBorders>
            <w:vAlign w:val="center"/>
          </w:tcPr>
          <w:p w14:paraId="41608B3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1500mg/L</w:t>
            </w:r>
            <w:r>
              <w:rPr>
                <w:rFonts w:ascii="Times New Roman" w:eastAsia="宋体" w:hAnsi="Times New Roman" w:cs="Times New Roman" w:hint="eastAsia"/>
              </w:rPr>
              <w:t>,</w:t>
            </w:r>
            <w:r>
              <w:rPr>
                <w:rFonts w:ascii="Times New Roman" w:eastAsia="宋体" w:hAnsi="Times New Roman" w:cs="Times New Roman"/>
              </w:rPr>
              <w:t>2.74t/a</w:t>
            </w:r>
          </w:p>
        </w:tc>
        <w:tc>
          <w:tcPr>
            <w:tcW w:w="2134" w:type="dxa"/>
            <w:gridSpan w:val="2"/>
            <w:vMerge/>
            <w:vAlign w:val="center"/>
          </w:tcPr>
          <w:p w14:paraId="2FCA221D"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788B778A"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1975F481" w14:textId="77777777" w:rsidR="00D12939" w:rsidRDefault="00D12939">
            <w:pPr>
              <w:pStyle w:val="affffd"/>
              <w:spacing w:line="240" w:lineRule="auto"/>
              <w:rPr>
                <w:rFonts w:ascii="Times New Roman" w:eastAsia="宋体" w:hAnsi="Times New Roman" w:cs="Times New Roman"/>
              </w:rPr>
            </w:pPr>
          </w:p>
        </w:tc>
      </w:tr>
      <w:tr w:rsidR="00D12939" w14:paraId="2B5C5681" w14:textId="77777777" w:rsidTr="000C34D0">
        <w:trPr>
          <w:cantSplit/>
          <w:trHeight w:val="79"/>
          <w:jc w:val="center"/>
        </w:trPr>
        <w:tc>
          <w:tcPr>
            <w:tcW w:w="729" w:type="dxa"/>
            <w:vMerge/>
            <w:vAlign w:val="center"/>
          </w:tcPr>
          <w:p w14:paraId="54D2E11B"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3912A87E" w14:textId="77777777" w:rsidR="00D12939" w:rsidRDefault="00D12939">
            <w:pPr>
              <w:pStyle w:val="affffd"/>
              <w:spacing w:line="240" w:lineRule="auto"/>
              <w:ind w:left="840" w:hanging="840"/>
              <w:rPr>
                <w:rFonts w:ascii="Times New Roman" w:eastAsia="宋体" w:hAnsi="Times New Roman" w:cs="Times New Roman"/>
              </w:rPr>
            </w:pPr>
          </w:p>
        </w:tc>
        <w:tc>
          <w:tcPr>
            <w:tcW w:w="759" w:type="dxa"/>
            <w:tcBorders>
              <w:top w:val="single" w:sz="4" w:space="0" w:color="auto"/>
            </w:tcBorders>
            <w:vAlign w:val="center"/>
          </w:tcPr>
          <w:p w14:paraId="1BD6C1E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2089" w:type="dxa"/>
            <w:tcBorders>
              <w:top w:val="single" w:sz="4" w:space="0" w:color="auto"/>
            </w:tcBorders>
            <w:vAlign w:val="center"/>
          </w:tcPr>
          <w:p w14:paraId="18D912A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500mg/L</w:t>
            </w:r>
            <w:r>
              <w:rPr>
                <w:rFonts w:ascii="Times New Roman" w:eastAsia="宋体" w:hAnsi="Times New Roman" w:cs="Times New Roman"/>
              </w:rPr>
              <w:t>，</w:t>
            </w:r>
            <w:r>
              <w:rPr>
                <w:rFonts w:ascii="Times New Roman" w:eastAsia="宋体" w:hAnsi="Times New Roman" w:cs="Times New Roman"/>
              </w:rPr>
              <w:t>0.91t/a</w:t>
            </w:r>
          </w:p>
        </w:tc>
        <w:tc>
          <w:tcPr>
            <w:tcW w:w="2134" w:type="dxa"/>
            <w:gridSpan w:val="2"/>
            <w:vMerge/>
            <w:vAlign w:val="center"/>
          </w:tcPr>
          <w:p w14:paraId="5AAE88A8"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74BD8100"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250AD363" w14:textId="77777777" w:rsidR="00D12939" w:rsidRDefault="00D12939">
            <w:pPr>
              <w:pStyle w:val="affffd"/>
              <w:spacing w:line="240" w:lineRule="auto"/>
              <w:rPr>
                <w:rFonts w:ascii="Times New Roman" w:eastAsia="宋体" w:hAnsi="Times New Roman" w:cs="Times New Roman"/>
              </w:rPr>
            </w:pPr>
          </w:p>
        </w:tc>
      </w:tr>
      <w:tr w:rsidR="00D12939" w14:paraId="5DD7A4BB" w14:textId="77777777" w:rsidTr="000C34D0">
        <w:trPr>
          <w:cantSplit/>
          <w:trHeight w:val="79"/>
          <w:jc w:val="center"/>
        </w:trPr>
        <w:tc>
          <w:tcPr>
            <w:tcW w:w="729" w:type="dxa"/>
            <w:vMerge/>
            <w:vAlign w:val="center"/>
          </w:tcPr>
          <w:p w14:paraId="106F6F07"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1E03230E" w14:textId="77777777" w:rsidR="00D12939" w:rsidRDefault="00D12939">
            <w:pPr>
              <w:pStyle w:val="affffd"/>
              <w:spacing w:line="240" w:lineRule="auto"/>
              <w:ind w:left="840" w:hanging="840"/>
              <w:rPr>
                <w:rFonts w:ascii="Times New Roman" w:eastAsia="宋体" w:hAnsi="Times New Roman" w:cs="Times New Roman"/>
              </w:rPr>
            </w:pPr>
          </w:p>
        </w:tc>
        <w:tc>
          <w:tcPr>
            <w:tcW w:w="759" w:type="dxa"/>
            <w:tcBorders>
              <w:top w:val="single" w:sz="4" w:space="0" w:color="auto"/>
            </w:tcBorders>
            <w:vAlign w:val="center"/>
          </w:tcPr>
          <w:p w14:paraId="79649CC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SS</w:t>
            </w:r>
          </w:p>
        </w:tc>
        <w:tc>
          <w:tcPr>
            <w:tcW w:w="2089" w:type="dxa"/>
            <w:tcBorders>
              <w:top w:val="single" w:sz="4" w:space="0" w:color="auto"/>
            </w:tcBorders>
            <w:vAlign w:val="center"/>
          </w:tcPr>
          <w:p w14:paraId="23E0B16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300mg/L</w:t>
            </w:r>
            <w:r>
              <w:rPr>
                <w:rFonts w:ascii="Times New Roman" w:eastAsia="宋体" w:hAnsi="Times New Roman" w:cs="Times New Roman"/>
              </w:rPr>
              <w:t>，</w:t>
            </w:r>
            <w:r>
              <w:rPr>
                <w:rFonts w:ascii="Times New Roman" w:eastAsia="宋体" w:hAnsi="Times New Roman" w:cs="Times New Roman"/>
              </w:rPr>
              <w:t>0.55t/a</w:t>
            </w:r>
          </w:p>
        </w:tc>
        <w:tc>
          <w:tcPr>
            <w:tcW w:w="2134" w:type="dxa"/>
            <w:gridSpan w:val="2"/>
            <w:vMerge/>
            <w:vAlign w:val="center"/>
          </w:tcPr>
          <w:p w14:paraId="7E028E29"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4314C19E"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0E5494A8" w14:textId="77777777" w:rsidR="00D12939" w:rsidRDefault="00D12939">
            <w:pPr>
              <w:pStyle w:val="affffd"/>
              <w:spacing w:line="240" w:lineRule="auto"/>
              <w:rPr>
                <w:rFonts w:ascii="Times New Roman" w:eastAsia="宋体" w:hAnsi="Times New Roman" w:cs="Times New Roman"/>
              </w:rPr>
            </w:pPr>
          </w:p>
        </w:tc>
      </w:tr>
      <w:tr w:rsidR="00D12939" w14:paraId="1DBF9B94" w14:textId="77777777" w:rsidTr="000C34D0">
        <w:trPr>
          <w:cantSplit/>
          <w:trHeight w:val="79"/>
          <w:jc w:val="center"/>
        </w:trPr>
        <w:tc>
          <w:tcPr>
            <w:tcW w:w="729" w:type="dxa"/>
            <w:vMerge/>
            <w:vAlign w:val="center"/>
          </w:tcPr>
          <w:p w14:paraId="34D78083" w14:textId="77777777" w:rsidR="00D12939" w:rsidRDefault="00D12939">
            <w:pPr>
              <w:pStyle w:val="affffd"/>
              <w:spacing w:line="240" w:lineRule="auto"/>
              <w:rPr>
                <w:rFonts w:ascii="Times New Roman" w:eastAsia="宋体" w:hAnsi="Times New Roman" w:cs="Times New Roman"/>
              </w:rPr>
            </w:pPr>
          </w:p>
        </w:tc>
        <w:tc>
          <w:tcPr>
            <w:tcW w:w="1716" w:type="dxa"/>
            <w:vMerge w:val="restart"/>
            <w:vAlign w:val="center"/>
          </w:tcPr>
          <w:p w14:paraId="4A69EE9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车间地面冲洗废水</w:t>
            </w:r>
          </w:p>
        </w:tc>
        <w:tc>
          <w:tcPr>
            <w:tcW w:w="759" w:type="dxa"/>
            <w:tcBorders>
              <w:top w:val="single" w:sz="4" w:space="0" w:color="auto"/>
            </w:tcBorders>
            <w:vAlign w:val="center"/>
          </w:tcPr>
          <w:p w14:paraId="5CF3F2B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水量</w:t>
            </w:r>
          </w:p>
        </w:tc>
        <w:tc>
          <w:tcPr>
            <w:tcW w:w="2089" w:type="dxa"/>
            <w:tcBorders>
              <w:top w:val="single" w:sz="4" w:space="0" w:color="auto"/>
            </w:tcBorders>
            <w:vAlign w:val="center"/>
          </w:tcPr>
          <w:p w14:paraId="15B470F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1095t/a</w:t>
            </w:r>
          </w:p>
        </w:tc>
        <w:tc>
          <w:tcPr>
            <w:tcW w:w="2134" w:type="dxa"/>
            <w:gridSpan w:val="2"/>
            <w:vMerge/>
            <w:vAlign w:val="center"/>
          </w:tcPr>
          <w:p w14:paraId="465D8213" w14:textId="77777777" w:rsidR="00D12939" w:rsidRDefault="00D12939">
            <w:pPr>
              <w:pStyle w:val="affffd"/>
              <w:spacing w:line="240" w:lineRule="auto"/>
              <w:rPr>
                <w:rFonts w:ascii="Times New Roman" w:eastAsia="宋体" w:hAnsi="Times New Roman" w:cs="Times New Roman"/>
              </w:rPr>
            </w:pPr>
          </w:p>
        </w:tc>
        <w:tc>
          <w:tcPr>
            <w:tcW w:w="803" w:type="dxa"/>
            <w:vMerge w:val="restart"/>
            <w:vAlign w:val="center"/>
          </w:tcPr>
          <w:p w14:paraId="0C53F96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间断</w:t>
            </w:r>
          </w:p>
        </w:tc>
        <w:tc>
          <w:tcPr>
            <w:tcW w:w="1800" w:type="dxa"/>
            <w:vMerge/>
            <w:vAlign w:val="center"/>
          </w:tcPr>
          <w:p w14:paraId="0C93D0D8" w14:textId="77777777" w:rsidR="00D12939" w:rsidRDefault="00D12939">
            <w:pPr>
              <w:pStyle w:val="affffd"/>
              <w:spacing w:line="240" w:lineRule="auto"/>
              <w:rPr>
                <w:rFonts w:ascii="Times New Roman" w:eastAsia="宋体" w:hAnsi="Times New Roman" w:cs="Times New Roman"/>
              </w:rPr>
            </w:pPr>
          </w:p>
        </w:tc>
      </w:tr>
      <w:tr w:rsidR="00D12939" w14:paraId="587D80CE" w14:textId="77777777" w:rsidTr="000C34D0">
        <w:trPr>
          <w:cantSplit/>
          <w:trHeight w:val="79"/>
          <w:jc w:val="center"/>
        </w:trPr>
        <w:tc>
          <w:tcPr>
            <w:tcW w:w="729" w:type="dxa"/>
            <w:vMerge/>
            <w:vAlign w:val="center"/>
          </w:tcPr>
          <w:p w14:paraId="5AC03D94"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1C07352E"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5B8FD41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COD</w:t>
            </w:r>
          </w:p>
        </w:tc>
        <w:tc>
          <w:tcPr>
            <w:tcW w:w="2089" w:type="dxa"/>
            <w:tcBorders>
              <w:top w:val="single" w:sz="4" w:space="0" w:color="auto"/>
            </w:tcBorders>
            <w:vAlign w:val="center"/>
          </w:tcPr>
          <w:p w14:paraId="37C860E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2000mg/L</w:t>
            </w:r>
            <w:r>
              <w:rPr>
                <w:rFonts w:ascii="Times New Roman" w:eastAsia="宋体" w:hAnsi="Times New Roman" w:cs="Times New Roman" w:hint="eastAsia"/>
              </w:rPr>
              <w:t>,</w:t>
            </w:r>
            <w:r>
              <w:rPr>
                <w:rFonts w:ascii="Times New Roman" w:eastAsia="宋体" w:hAnsi="Times New Roman" w:cs="Times New Roman"/>
              </w:rPr>
              <w:t>2.19</w:t>
            </w:r>
            <w:r>
              <w:rPr>
                <w:rFonts w:ascii="Times New Roman" w:eastAsia="宋体" w:hAnsi="Times New Roman" w:cs="Times New Roman" w:hint="eastAsia"/>
              </w:rPr>
              <w:t>t</w:t>
            </w:r>
            <w:r>
              <w:rPr>
                <w:rFonts w:ascii="Times New Roman" w:eastAsia="宋体" w:hAnsi="Times New Roman" w:cs="Times New Roman"/>
              </w:rPr>
              <w:t>/a</w:t>
            </w:r>
          </w:p>
        </w:tc>
        <w:tc>
          <w:tcPr>
            <w:tcW w:w="2134" w:type="dxa"/>
            <w:gridSpan w:val="2"/>
            <w:vMerge/>
            <w:vAlign w:val="center"/>
          </w:tcPr>
          <w:p w14:paraId="1D3A6300"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63F4ABBF"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3C6DB9CB" w14:textId="77777777" w:rsidR="00D12939" w:rsidRDefault="00D12939">
            <w:pPr>
              <w:pStyle w:val="affffd"/>
              <w:spacing w:line="240" w:lineRule="auto"/>
              <w:rPr>
                <w:rFonts w:ascii="Times New Roman" w:eastAsia="宋体" w:hAnsi="Times New Roman" w:cs="Times New Roman"/>
              </w:rPr>
            </w:pPr>
          </w:p>
        </w:tc>
      </w:tr>
      <w:tr w:rsidR="00D12939" w14:paraId="22A7EDFB" w14:textId="77777777" w:rsidTr="000C34D0">
        <w:trPr>
          <w:cantSplit/>
          <w:trHeight w:val="79"/>
          <w:jc w:val="center"/>
        </w:trPr>
        <w:tc>
          <w:tcPr>
            <w:tcW w:w="729" w:type="dxa"/>
            <w:vMerge/>
            <w:vAlign w:val="center"/>
          </w:tcPr>
          <w:p w14:paraId="61C3336E"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1898DF93"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3BC5D15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BOD</w:t>
            </w:r>
            <w:r>
              <w:rPr>
                <w:rFonts w:ascii="Times New Roman" w:eastAsia="宋体" w:hAnsi="Times New Roman" w:cs="Times New Roman"/>
                <w:vertAlign w:val="subscript"/>
              </w:rPr>
              <w:t>5</w:t>
            </w:r>
          </w:p>
        </w:tc>
        <w:tc>
          <w:tcPr>
            <w:tcW w:w="2089" w:type="dxa"/>
            <w:tcBorders>
              <w:top w:val="single" w:sz="4" w:space="0" w:color="auto"/>
            </w:tcBorders>
            <w:vAlign w:val="center"/>
          </w:tcPr>
          <w:p w14:paraId="2EFD90C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1600mg/L</w:t>
            </w:r>
            <w:r>
              <w:rPr>
                <w:rFonts w:ascii="Times New Roman" w:eastAsia="宋体" w:hAnsi="Times New Roman" w:cs="Times New Roman" w:hint="eastAsia"/>
              </w:rPr>
              <w:t>,</w:t>
            </w:r>
            <w:r>
              <w:rPr>
                <w:rFonts w:ascii="Times New Roman" w:eastAsia="宋体" w:hAnsi="Times New Roman" w:cs="Times New Roman"/>
              </w:rPr>
              <w:t>1.75t/a</w:t>
            </w:r>
          </w:p>
        </w:tc>
        <w:tc>
          <w:tcPr>
            <w:tcW w:w="2134" w:type="dxa"/>
            <w:gridSpan w:val="2"/>
            <w:vMerge/>
            <w:vAlign w:val="center"/>
          </w:tcPr>
          <w:p w14:paraId="50A84B1B"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63562DB6"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7C249653" w14:textId="77777777" w:rsidR="00D12939" w:rsidRDefault="00D12939">
            <w:pPr>
              <w:pStyle w:val="affffd"/>
              <w:spacing w:line="240" w:lineRule="auto"/>
              <w:rPr>
                <w:rFonts w:ascii="Times New Roman" w:eastAsia="宋体" w:hAnsi="Times New Roman" w:cs="Times New Roman"/>
              </w:rPr>
            </w:pPr>
          </w:p>
        </w:tc>
      </w:tr>
      <w:tr w:rsidR="00D12939" w14:paraId="70572807" w14:textId="77777777" w:rsidTr="000C34D0">
        <w:trPr>
          <w:cantSplit/>
          <w:trHeight w:val="79"/>
          <w:jc w:val="center"/>
        </w:trPr>
        <w:tc>
          <w:tcPr>
            <w:tcW w:w="729" w:type="dxa"/>
            <w:vMerge/>
            <w:vAlign w:val="center"/>
          </w:tcPr>
          <w:p w14:paraId="1F618B87"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7C328F9C"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3ABC3E2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2089" w:type="dxa"/>
            <w:tcBorders>
              <w:top w:val="single" w:sz="4" w:space="0" w:color="auto"/>
            </w:tcBorders>
            <w:vAlign w:val="center"/>
          </w:tcPr>
          <w:p w14:paraId="62A8EFA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200mg/L</w:t>
            </w:r>
            <w:r>
              <w:rPr>
                <w:rFonts w:ascii="Times New Roman" w:eastAsia="宋体" w:hAnsi="Times New Roman" w:cs="Times New Roman"/>
              </w:rPr>
              <w:t>，</w:t>
            </w:r>
            <w:r>
              <w:rPr>
                <w:rFonts w:ascii="Times New Roman" w:eastAsia="宋体" w:hAnsi="Times New Roman" w:cs="Times New Roman"/>
              </w:rPr>
              <w:t>0.22t/a</w:t>
            </w:r>
          </w:p>
        </w:tc>
        <w:tc>
          <w:tcPr>
            <w:tcW w:w="2134" w:type="dxa"/>
            <w:gridSpan w:val="2"/>
            <w:vMerge/>
            <w:vAlign w:val="center"/>
          </w:tcPr>
          <w:p w14:paraId="05FDB355"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70D56E10"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46EC3FC4" w14:textId="77777777" w:rsidR="00D12939" w:rsidRDefault="00D12939">
            <w:pPr>
              <w:pStyle w:val="affffd"/>
              <w:spacing w:line="240" w:lineRule="auto"/>
              <w:rPr>
                <w:rFonts w:ascii="Times New Roman" w:eastAsia="宋体" w:hAnsi="Times New Roman" w:cs="Times New Roman"/>
              </w:rPr>
            </w:pPr>
          </w:p>
        </w:tc>
      </w:tr>
      <w:tr w:rsidR="00D12939" w14:paraId="598BAF2C" w14:textId="77777777" w:rsidTr="000C34D0">
        <w:trPr>
          <w:cantSplit/>
          <w:trHeight w:val="79"/>
          <w:jc w:val="center"/>
        </w:trPr>
        <w:tc>
          <w:tcPr>
            <w:tcW w:w="729" w:type="dxa"/>
            <w:vMerge/>
            <w:vAlign w:val="center"/>
          </w:tcPr>
          <w:p w14:paraId="5AA78EF9"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6924DF2A"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4692400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SS</w:t>
            </w:r>
          </w:p>
        </w:tc>
        <w:tc>
          <w:tcPr>
            <w:tcW w:w="2089" w:type="dxa"/>
            <w:tcBorders>
              <w:top w:val="single" w:sz="4" w:space="0" w:color="auto"/>
            </w:tcBorders>
            <w:vAlign w:val="center"/>
          </w:tcPr>
          <w:p w14:paraId="73AE0F7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500mg/L</w:t>
            </w:r>
            <w:r>
              <w:rPr>
                <w:rFonts w:ascii="Times New Roman" w:eastAsia="宋体" w:hAnsi="Times New Roman" w:cs="Times New Roman"/>
              </w:rPr>
              <w:t>，</w:t>
            </w:r>
            <w:r>
              <w:rPr>
                <w:rFonts w:ascii="Times New Roman" w:eastAsia="宋体" w:hAnsi="Times New Roman" w:cs="Times New Roman"/>
              </w:rPr>
              <w:t>0.55t/a</w:t>
            </w:r>
          </w:p>
        </w:tc>
        <w:tc>
          <w:tcPr>
            <w:tcW w:w="2134" w:type="dxa"/>
            <w:gridSpan w:val="2"/>
            <w:vMerge/>
            <w:vAlign w:val="center"/>
          </w:tcPr>
          <w:p w14:paraId="7795709F"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3B0E7CC6"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35D578E5" w14:textId="77777777" w:rsidR="00D12939" w:rsidRDefault="00D12939">
            <w:pPr>
              <w:pStyle w:val="affffd"/>
              <w:spacing w:line="240" w:lineRule="auto"/>
              <w:rPr>
                <w:rFonts w:ascii="Times New Roman" w:eastAsia="宋体" w:hAnsi="Times New Roman" w:cs="Times New Roman"/>
              </w:rPr>
            </w:pPr>
          </w:p>
        </w:tc>
      </w:tr>
      <w:tr w:rsidR="00D12939" w14:paraId="3FB5EC70" w14:textId="77777777" w:rsidTr="000C34D0">
        <w:trPr>
          <w:cantSplit/>
          <w:trHeight w:val="79"/>
          <w:jc w:val="center"/>
        </w:trPr>
        <w:tc>
          <w:tcPr>
            <w:tcW w:w="729" w:type="dxa"/>
            <w:vMerge/>
            <w:vAlign w:val="center"/>
          </w:tcPr>
          <w:p w14:paraId="5ECC1DD9" w14:textId="77777777" w:rsidR="00D12939" w:rsidRDefault="00D12939">
            <w:pPr>
              <w:pStyle w:val="affffd"/>
              <w:spacing w:line="240" w:lineRule="auto"/>
              <w:rPr>
                <w:rFonts w:ascii="Times New Roman" w:eastAsia="宋体" w:hAnsi="Times New Roman" w:cs="Times New Roman"/>
              </w:rPr>
            </w:pPr>
          </w:p>
        </w:tc>
        <w:tc>
          <w:tcPr>
            <w:tcW w:w="1716" w:type="dxa"/>
            <w:vMerge w:val="restart"/>
            <w:vAlign w:val="center"/>
          </w:tcPr>
          <w:p w14:paraId="57A1F92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生活污水</w:t>
            </w:r>
          </w:p>
        </w:tc>
        <w:tc>
          <w:tcPr>
            <w:tcW w:w="759" w:type="dxa"/>
            <w:tcBorders>
              <w:top w:val="single" w:sz="4" w:space="0" w:color="auto"/>
            </w:tcBorders>
            <w:vAlign w:val="center"/>
          </w:tcPr>
          <w:p w14:paraId="7BDF450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水量</w:t>
            </w:r>
          </w:p>
        </w:tc>
        <w:tc>
          <w:tcPr>
            <w:tcW w:w="2089" w:type="dxa"/>
            <w:tcBorders>
              <w:top w:val="single" w:sz="4" w:space="0" w:color="auto"/>
            </w:tcBorders>
            <w:vAlign w:val="center"/>
          </w:tcPr>
          <w:p w14:paraId="3F67CF7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373.76t/a</w:t>
            </w:r>
          </w:p>
        </w:tc>
        <w:tc>
          <w:tcPr>
            <w:tcW w:w="2134" w:type="dxa"/>
            <w:gridSpan w:val="2"/>
            <w:vMerge/>
            <w:vAlign w:val="center"/>
          </w:tcPr>
          <w:p w14:paraId="0C8E215B" w14:textId="77777777" w:rsidR="00D12939" w:rsidRDefault="00D12939">
            <w:pPr>
              <w:pStyle w:val="affffd"/>
              <w:spacing w:line="240" w:lineRule="auto"/>
              <w:rPr>
                <w:rFonts w:ascii="Times New Roman" w:eastAsia="宋体" w:hAnsi="Times New Roman" w:cs="Times New Roman"/>
              </w:rPr>
            </w:pPr>
          </w:p>
        </w:tc>
        <w:tc>
          <w:tcPr>
            <w:tcW w:w="803" w:type="dxa"/>
            <w:vMerge w:val="restart"/>
            <w:vAlign w:val="center"/>
          </w:tcPr>
          <w:p w14:paraId="43A26AD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连续</w:t>
            </w:r>
          </w:p>
        </w:tc>
        <w:tc>
          <w:tcPr>
            <w:tcW w:w="1800" w:type="dxa"/>
            <w:vMerge w:val="restart"/>
            <w:vAlign w:val="center"/>
          </w:tcPr>
          <w:p w14:paraId="48E9783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化粪池处理后排至填埋场调节池内，进入渗沥液处理站处理</w:t>
            </w:r>
          </w:p>
        </w:tc>
      </w:tr>
      <w:tr w:rsidR="00D12939" w14:paraId="573BB9F0" w14:textId="77777777" w:rsidTr="000C34D0">
        <w:trPr>
          <w:cantSplit/>
          <w:trHeight w:val="79"/>
          <w:jc w:val="center"/>
        </w:trPr>
        <w:tc>
          <w:tcPr>
            <w:tcW w:w="729" w:type="dxa"/>
            <w:vMerge/>
            <w:vAlign w:val="center"/>
          </w:tcPr>
          <w:p w14:paraId="413C5456"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427C444E"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34552EB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COD</w:t>
            </w:r>
          </w:p>
        </w:tc>
        <w:tc>
          <w:tcPr>
            <w:tcW w:w="2089" w:type="dxa"/>
            <w:tcBorders>
              <w:top w:val="single" w:sz="4" w:space="0" w:color="auto"/>
            </w:tcBorders>
            <w:vAlign w:val="center"/>
          </w:tcPr>
          <w:p w14:paraId="42EEF0A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280mg/L</w:t>
            </w:r>
            <w:r>
              <w:rPr>
                <w:rFonts w:ascii="Times New Roman" w:eastAsia="宋体" w:hAnsi="Times New Roman" w:cs="Times New Roman" w:hint="eastAsia"/>
              </w:rPr>
              <w:t>,</w:t>
            </w:r>
            <w:r>
              <w:rPr>
                <w:rFonts w:ascii="Times New Roman" w:eastAsia="宋体" w:hAnsi="Times New Roman" w:cs="Times New Roman"/>
              </w:rPr>
              <w:t>0.0106</w:t>
            </w:r>
            <w:r>
              <w:rPr>
                <w:rFonts w:ascii="Times New Roman" w:eastAsia="宋体" w:hAnsi="Times New Roman" w:cs="Times New Roman" w:hint="eastAsia"/>
              </w:rPr>
              <w:t>t</w:t>
            </w:r>
            <w:r>
              <w:rPr>
                <w:rFonts w:ascii="Times New Roman" w:eastAsia="宋体" w:hAnsi="Times New Roman" w:cs="Times New Roman"/>
              </w:rPr>
              <w:t>/a</w:t>
            </w:r>
          </w:p>
        </w:tc>
        <w:tc>
          <w:tcPr>
            <w:tcW w:w="2134" w:type="dxa"/>
            <w:gridSpan w:val="2"/>
            <w:vMerge/>
            <w:vAlign w:val="center"/>
          </w:tcPr>
          <w:p w14:paraId="639361BA"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281910B6"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64A2DE6C" w14:textId="77777777" w:rsidR="00D12939" w:rsidRDefault="00D12939">
            <w:pPr>
              <w:pStyle w:val="affffd"/>
              <w:spacing w:line="240" w:lineRule="auto"/>
              <w:rPr>
                <w:rFonts w:ascii="Times New Roman" w:eastAsia="宋体" w:hAnsi="Times New Roman" w:cs="Times New Roman"/>
              </w:rPr>
            </w:pPr>
          </w:p>
        </w:tc>
      </w:tr>
      <w:tr w:rsidR="00D12939" w14:paraId="1D851023" w14:textId="77777777" w:rsidTr="000C34D0">
        <w:trPr>
          <w:cantSplit/>
          <w:trHeight w:val="79"/>
          <w:jc w:val="center"/>
        </w:trPr>
        <w:tc>
          <w:tcPr>
            <w:tcW w:w="729" w:type="dxa"/>
            <w:vMerge/>
            <w:vAlign w:val="center"/>
          </w:tcPr>
          <w:p w14:paraId="29590AD3"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580103F0"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3A00EC6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BOD</w:t>
            </w:r>
            <w:r>
              <w:rPr>
                <w:rFonts w:ascii="Times New Roman" w:eastAsia="宋体" w:hAnsi="Times New Roman" w:cs="Times New Roman"/>
                <w:vertAlign w:val="subscript"/>
              </w:rPr>
              <w:t>5</w:t>
            </w:r>
          </w:p>
        </w:tc>
        <w:tc>
          <w:tcPr>
            <w:tcW w:w="2089" w:type="dxa"/>
            <w:tcBorders>
              <w:top w:val="single" w:sz="4" w:space="0" w:color="auto"/>
            </w:tcBorders>
            <w:vAlign w:val="center"/>
          </w:tcPr>
          <w:p w14:paraId="5078DEB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200mg/L</w:t>
            </w:r>
            <w:r>
              <w:rPr>
                <w:rFonts w:ascii="Times New Roman" w:eastAsia="宋体" w:hAnsi="Times New Roman" w:cs="Times New Roman" w:hint="eastAsia"/>
              </w:rPr>
              <w:t>,</w:t>
            </w:r>
            <w:r>
              <w:rPr>
                <w:rFonts w:ascii="Times New Roman" w:eastAsia="宋体" w:hAnsi="Times New Roman" w:cs="Times New Roman"/>
              </w:rPr>
              <w:t>0.0076t/a</w:t>
            </w:r>
          </w:p>
        </w:tc>
        <w:tc>
          <w:tcPr>
            <w:tcW w:w="2134" w:type="dxa"/>
            <w:gridSpan w:val="2"/>
            <w:vMerge/>
            <w:vAlign w:val="center"/>
          </w:tcPr>
          <w:p w14:paraId="4804E307"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7E86677E"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053D58D1" w14:textId="77777777" w:rsidR="00D12939" w:rsidRDefault="00D12939">
            <w:pPr>
              <w:pStyle w:val="affffd"/>
              <w:spacing w:line="240" w:lineRule="auto"/>
              <w:rPr>
                <w:rFonts w:ascii="Times New Roman" w:eastAsia="宋体" w:hAnsi="Times New Roman" w:cs="Times New Roman"/>
              </w:rPr>
            </w:pPr>
          </w:p>
        </w:tc>
      </w:tr>
      <w:tr w:rsidR="00D12939" w14:paraId="1E490245" w14:textId="77777777" w:rsidTr="000C34D0">
        <w:trPr>
          <w:cantSplit/>
          <w:trHeight w:val="79"/>
          <w:jc w:val="center"/>
        </w:trPr>
        <w:tc>
          <w:tcPr>
            <w:tcW w:w="729" w:type="dxa"/>
            <w:vMerge/>
            <w:vAlign w:val="center"/>
          </w:tcPr>
          <w:p w14:paraId="14C8C9C3"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75F0F668"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3829F94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2089" w:type="dxa"/>
            <w:tcBorders>
              <w:top w:val="single" w:sz="4" w:space="0" w:color="auto"/>
            </w:tcBorders>
            <w:vAlign w:val="center"/>
          </w:tcPr>
          <w:p w14:paraId="3D4DF33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30mg/L</w:t>
            </w:r>
            <w:r>
              <w:rPr>
                <w:rFonts w:ascii="Times New Roman" w:eastAsia="宋体" w:hAnsi="Times New Roman" w:cs="Times New Roman"/>
              </w:rPr>
              <w:t>，</w:t>
            </w:r>
            <w:r>
              <w:rPr>
                <w:rFonts w:ascii="Times New Roman" w:eastAsia="宋体" w:hAnsi="Times New Roman" w:cs="Times New Roman"/>
              </w:rPr>
              <w:t>0.0011t/a</w:t>
            </w:r>
          </w:p>
        </w:tc>
        <w:tc>
          <w:tcPr>
            <w:tcW w:w="2134" w:type="dxa"/>
            <w:gridSpan w:val="2"/>
            <w:vMerge/>
            <w:vAlign w:val="center"/>
          </w:tcPr>
          <w:p w14:paraId="727747B5"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6506F1B3"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56733F1C" w14:textId="77777777" w:rsidR="00D12939" w:rsidRDefault="00D12939">
            <w:pPr>
              <w:pStyle w:val="affffd"/>
              <w:spacing w:line="240" w:lineRule="auto"/>
              <w:rPr>
                <w:rFonts w:ascii="Times New Roman" w:eastAsia="宋体" w:hAnsi="Times New Roman" w:cs="Times New Roman"/>
              </w:rPr>
            </w:pPr>
          </w:p>
        </w:tc>
      </w:tr>
      <w:tr w:rsidR="00D12939" w14:paraId="7EADD52A" w14:textId="77777777" w:rsidTr="000C34D0">
        <w:trPr>
          <w:cantSplit/>
          <w:trHeight w:val="79"/>
          <w:jc w:val="center"/>
        </w:trPr>
        <w:tc>
          <w:tcPr>
            <w:tcW w:w="729" w:type="dxa"/>
            <w:vMerge/>
            <w:vAlign w:val="center"/>
          </w:tcPr>
          <w:p w14:paraId="71E8D686"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0C7ABB22"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5B69C2E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SS</w:t>
            </w:r>
          </w:p>
        </w:tc>
        <w:tc>
          <w:tcPr>
            <w:tcW w:w="2089" w:type="dxa"/>
            <w:tcBorders>
              <w:top w:val="single" w:sz="4" w:space="0" w:color="auto"/>
            </w:tcBorders>
            <w:vAlign w:val="center"/>
          </w:tcPr>
          <w:p w14:paraId="03679AB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200mg/L</w:t>
            </w:r>
            <w:r>
              <w:rPr>
                <w:rFonts w:ascii="Times New Roman" w:eastAsia="宋体" w:hAnsi="Times New Roman" w:cs="Times New Roman"/>
              </w:rPr>
              <w:t>，</w:t>
            </w:r>
            <w:r>
              <w:rPr>
                <w:rFonts w:ascii="Times New Roman" w:eastAsia="宋体" w:hAnsi="Times New Roman" w:cs="Times New Roman"/>
              </w:rPr>
              <w:t>0.0076t/a</w:t>
            </w:r>
          </w:p>
        </w:tc>
        <w:tc>
          <w:tcPr>
            <w:tcW w:w="2134" w:type="dxa"/>
            <w:gridSpan w:val="2"/>
            <w:vMerge/>
            <w:vAlign w:val="center"/>
          </w:tcPr>
          <w:p w14:paraId="38A76D85"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0A2157A5"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3C2BFDA1" w14:textId="77777777" w:rsidR="00D12939" w:rsidRDefault="00D12939">
            <w:pPr>
              <w:pStyle w:val="affffd"/>
              <w:spacing w:line="240" w:lineRule="auto"/>
              <w:rPr>
                <w:rFonts w:ascii="Times New Roman" w:eastAsia="宋体" w:hAnsi="Times New Roman" w:cs="Times New Roman"/>
              </w:rPr>
            </w:pPr>
          </w:p>
        </w:tc>
      </w:tr>
      <w:tr w:rsidR="00D12939" w14:paraId="722333E1" w14:textId="77777777" w:rsidTr="000C34D0">
        <w:trPr>
          <w:cantSplit/>
          <w:trHeight w:val="248"/>
          <w:jc w:val="center"/>
        </w:trPr>
        <w:tc>
          <w:tcPr>
            <w:tcW w:w="729" w:type="dxa"/>
            <w:vMerge/>
            <w:vAlign w:val="center"/>
          </w:tcPr>
          <w:p w14:paraId="6DD797A1" w14:textId="77777777" w:rsidR="00D12939" w:rsidRDefault="00D12939">
            <w:pPr>
              <w:pStyle w:val="affffd"/>
              <w:spacing w:line="240" w:lineRule="auto"/>
              <w:rPr>
                <w:rFonts w:ascii="Times New Roman" w:eastAsia="宋体" w:hAnsi="Times New Roman" w:cs="Times New Roman"/>
              </w:rPr>
            </w:pPr>
          </w:p>
        </w:tc>
        <w:tc>
          <w:tcPr>
            <w:tcW w:w="1716" w:type="dxa"/>
            <w:vMerge w:val="restart"/>
            <w:vAlign w:val="center"/>
          </w:tcPr>
          <w:p w14:paraId="02E0E09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洗车废水</w:t>
            </w:r>
          </w:p>
        </w:tc>
        <w:tc>
          <w:tcPr>
            <w:tcW w:w="759" w:type="dxa"/>
            <w:tcBorders>
              <w:bottom w:val="single" w:sz="4" w:space="0" w:color="auto"/>
            </w:tcBorders>
            <w:vAlign w:val="center"/>
          </w:tcPr>
          <w:p w14:paraId="0813F5D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水量</w:t>
            </w:r>
          </w:p>
        </w:tc>
        <w:tc>
          <w:tcPr>
            <w:tcW w:w="2089" w:type="dxa"/>
            <w:tcBorders>
              <w:bottom w:val="single" w:sz="4" w:space="0" w:color="auto"/>
            </w:tcBorders>
            <w:vAlign w:val="center"/>
          </w:tcPr>
          <w:p w14:paraId="00CBFB4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1138.8t/a</w:t>
            </w:r>
          </w:p>
        </w:tc>
        <w:tc>
          <w:tcPr>
            <w:tcW w:w="2134" w:type="dxa"/>
            <w:gridSpan w:val="2"/>
            <w:vMerge/>
            <w:vAlign w:val="center"/>
          </w:tcPr>
          <w:p w14:paraId="2C74858B" w14:textId="77777777" w:rsidR="00D12939" w:rsidRDefault="00D12939">
            <w:pPr>
              <w:pStyle w:val="affffd"/>
              <w:spacing w:line="240" w:lineRule="auto"/>
              <w:rPr>
                <w:rFonts w:ascii="Times New Roman" w:eastAsia="宋体" w:hAnsi="Times New Roman" w:cs="Times New Roman"/>
              </w:rPr>
            </w:pPr>
          </w:p>
        </w:tc>
        <w:tc>
          <w:tcPr>
            <w:tcW w:w="803" w:type="dxa"/>
            <w:vMerge w:val="restart"/>
            <w:vAlign w:val="center"/>
          </w:tcPr>
          <w:p w14:paraId="0D33E22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间断</w:t>
            </w:r>
          </w:p>
        </w:tc>
        <w:tc>
          <w:tcPr>
            <w:tcW w:w="1800" w:type="dxa"/>
            <w:vMerge w:val="restart"/>
            <w:vAlign w:val="center"/>
          </w:tcPr>
          <w:p w14:paraId="1A7769D1"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简单沉淀后回用于填埋区洒水</w:t>
            </w:r>
          </w:p>
        </w:tc>
      </w:tr>
      <w:tr w:rsidR="00D12939" w14:paraId="5B4504DB" w14:textId="77777777" w:rsidTr="000C34D0">
        <w:trPr>
          <w:cantSplit/>
          <w:trHeight w:val="248"/>
          <w:jc w:val="center"/>
        </w:trPr>
        <w:tc>
          <w:tcPr>
            <w:tcW w:w="729" w:type="dxa"/>
            <w:vMerge/>
            <w:vAlign w:val="center"/>
          </w:tcPr>
          <w:p w14:paraId="4B8A22BB"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0D633608" w14:textId="77777777" w:rsidR="00D12939" w:rsidRDefault="00D12939">
            <w:pPr>
              <w:pStyle w:val="affffd"/>
              <w:spacing w:line="240" w:lineRule="auto"/>
              <w:rPr>
                <w:rFonts w:ascii="Times New Roman" w:eastAsia="宋体" w:hAnsi="Times New Roman" w:cs="Times New Roman"/>
              </w:rPr>
            </w:pPr>
          </w:p>
        </w:tc>
        <w:tc>
          <w:tcPr>
            <w:tcW w:w="759" w:type="dxa"/>
            <w:tcBorders>
              <w:bottom w:val="single" w:sz="4" w:space="0" w:color="auto"/>
            </w:tcBorders>
            <w:vAlign w:val="center"/>
          </w:tcPr>
          <w:p w14:paraId="321C791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COD</w:t>
            </w:r>
          </w:p>
        </w:tc>
        <w:tc>
          <w:tcPr>
            <w:tcW w:w="2089" w:type="dxa"/>
            <w:tcBorders>
              <w:bottom w:val="single" w:sz="4" w:space="0" w:color="auto"/>
            </w:tcBorders>
            <w:vAlign w:val="center"/>
          </w:tcPr>
          <w:p w14:paraId="095D68C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500mg/L</w:t>
            </w:r>
            <w:r>
              <w:rPr>
                <w:rFonts w:ascii="Times New Roman" w:eastAsia="宋体" w:hAnsi="Times New Roman" w:cs="Times New Roman" w:hint="eastAsia"/>
              </w:rPr>
              <w:t>,</w:t>
            </w:r>
            <w:r>
              <w:rPr>
                <w:rFonts w:ascii="Times New Roman" w:eastAsia="宋体" w:hAnsi="Times New Roman" w:cs="Times New Roman"/>
              </w:rPr>
              <w:t>0.57</w:t>
            </w:r>
            <w:r>
              <w:rPr>
                <w:rFonts w:ascii="Times New Roman" w:eastAsia="宋体" w:hAnsi="Times New Roman" w:cs="Times New Roman" w:hint="eastAsia"/>
              </w:rPr>
              <w:t>t</w:t>
            </w:r>
            <w:r>
              <w:rPr>
                <w:rFonts w:ascii="Times New Roman" w:eastAsia="宋体" w:hAnsi="Times New Roman" w:cs="Times New Roman"/>
              </w:rPr>
              <w:t>/a</w:t>
            </w:r>
          </w:p>
        </w:tc>
        <w:tc>
          <w:tcPr>
            <w:tcW w:w="2134" w:type="dxa"/>
            <w:gridSpan w:val="2"/>
            <w:vMerge/>
            <w:vAlign w:val="center"/>
          </w:tcPr>
          <w:p w14:paraId="5F8A6254"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5AEB12E5"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0740C7FE" w14:textId="77777777" w:rsidR="00D12939" w:rsidRDefault="00D12939">
            <w:pPr>
              <w:pStyle w:val="affffd"/>
              <w:spacing w:line="240" w:lineRule="auto"/>
              <w:rPr>
                <w:rFonts w:ascii="Times New Roman" w:eastAsia="宋体" w:hAnsi="Times New Roman" w:cs="Times New Roman"/>
              </w:rPr>
            </w:pPr>
          </w:p>
        </w:tc>
      </w:tr>
      <w:tr w:rsidR="00D12939" w14:paraId="5CA6D424" w14:textId="77777777" w:rsidTr="000C34D0">
        <w:trPr>
          <w:cantSplit/>
          <w:trHeight w:val="248"/>
          <w:jc w:val="center"/>
        </w:trPr>
        <w:tc>
          <w:tcPr>
            <w:tcW w:w="729" w:type="dxa"/>
            <w:vMerge/>
            <w:vAlign w:val="center"/>
          </w:tcPr>
          <w:p w14:paraId="01D83E7F"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5FE2480E" w14:textId="77777777" w:rsidR="00D12939" w:rsidRDefault="00D12939">
            <w:pPr>
              <w:pStyle w:val="affffd"/>
              <w:spacing w:line="240" w:lineRule="auto"/>
              <w:rPr>
                <w:rFonts w:ascii="Times New Roman" w:eastAsia="宋体" w:hAnsi="Times New Roman" w:cs="Times New Roman"/>
              </w:rPr>
            </w:pPr>
          </w:p>
        </w:tc>
        <w:tc>
          <w:tcPr>
            <w:tcW w:w="759" w:type="dxa"/>
            <w:tcBorders>
              <w:bottom w:val="single" w:sz="4" w:space="0" w:color="auto"/>
            </w:tcBorders>
            <w:vAlign w:val="center"/>
          </w:tcPr>
          <w:p w14:paraId="06F32A9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BOD</w:t>
            </w:r>
            <w:r>
              <w:rPr>
                <w:rFonts w:ascii="Times New Roman" w:eastAsia="宋体" w:hAnsi="Times New Roman" w:cs="Times New Roman"/>
                <w:vertAlign w:val="subscript"/>
              </w:rPr>
              <w:t>5</w:t>
            </w:r>
          </w:p>
        </w:tc>
        <w:tc>
          <w:tcPr>
            <w:tcW w:w="2089" w:type="dxa"/>
            <w:tcBorders>
              <w:bottom w:val="single" w:sz="4" w:space="0" w:color="auto"/>
            </w:tcBorders>
            <w:vAlign w:val="center"/>
          </w:tcPr>
          <w:p w14:paraId="39B5A3BE"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400mg/L</w:t>
            </w:r>
            <w:r>
              <w:rPr>
                <w:rFonts w:ascii="Times New Roman" w:eastAsia="宋体" w:hAnsi="Times New Roman" w:cs="Times New Roman" w:hint="eastAsia"/>
              </w:rPr>
              <w:t>,</w:t>
            </w:r>
            <w:r>
              <w:rPr>
                <w:rFonts w:ascii="Times New Roman" w:eastAsia="宋体" w:hAnsi="Times New Roman" w:cs="Times New Roman"/>
              </w:rPr>
              <w:t>0.46t/a</w:t>
            </w:r>
          </w:p>
        </w:tc>
        <w:tc>
          <w:tcPr>
            <w:tcW w:w="2134" w:type="dxa"/>
            <w:gridSpan w:val="2"/>
            <w:vMerge/>
            <w:vAlign w:val="center"/>
          </w:tcPr>
          <w:p w14:paraId="08579568"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230B610B"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0696A78F" w14:textId="77777777" w:rsidR="00D12939" w:rsidRDefault="00D12939">
            <w:pPr>
              <w:pStyle w:val="affffd"/>
              <w:spacing w:line="240" w:lineRule="auto"/>
              <w:rPr>
                <w:rFonts w:ascii="Times New Roman" w:eastAsia="宋体" w:hAnsi="Times New Roman" w:cs="Times New Roman"/>
              </w:rPr>
            </w:pPr>
          </w:p>
        </w:tc>
      </w:tr>
      <w:tr w:rsidR="00D12939" w14:paraId="01B2C228" w14:textId="77777777" w:rsidTr="000C34D0">
        <w:trPr>
          <w:cantSplit/>
          <w:trHeight w:val="261"/>
          <w:jc w:val="center"/>
        </w:trPr>
        <w:tc>
          <w:tcPr>
            <w:tcW w:w="729" w:type="dxa"/>
            <w:vMerge/>
            <w:vAlign w:val="center"/>
          </w:tcPr>
          <w:p w14:paraId="072555F4"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3E5F2232"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bottom w:val="single" w:sz="4" w:space="0" w:color="auto"/>
            </w:tcBorders>
            <w:vAlign w:val="center"/>
          </w:tcPr>
          <w:p w14:paraId="62AFA69D"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2089" w:type="dxa"/>
            <w:tcBorders>
              <w:top w:val="single" w:sz="4" w:space="0" w:color="auto"/>
              <w:bottom w:val="single" w:sz="4" w:space="0" w:color="auto"/>
            </w:tcBorders>
            <w:vAlign w:val="center"/>
          </w:tcPr>
          <w:p w14:paraId="0797B5B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50mg/L</w:t>
            </w:r>
            <w:r>
              <w:rPr>
                <w:rFonts w:ascii="Times New Roman" w:eastAsia="宋体" w:hAnsi="Times New Roman" w:cs="Times New Roman"/>
              </w:rPr>
              <w:t>，</w:t>
            </w:r>
            <w:r>
              <w:rPr>
                <w:rFonts w:ascii="Times New Roman" w:eastAsia="宋体" w:hAnsi="Times New Roman" w:cs="Times New Roman"/>
              </w:rPr>
              <w:t>0.06t/a</w:t>
            </w:r>
          </w:p>
        </w:tc>
        <w:tc>
          <w:tcPr>
            <w:tcW w:w="2134" w:type="dxa"/>
            <w:gridSpan w:val="2"/>
            <w:vMerge/>
            <w:vAlign w:val="center"/>
          </w:tcPr>
          <w:p w14:paraId="62222D47"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542FDECC"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4B83286D" w14:textId="77777777" w:rsidR="00D12939" w:rsidRDefault="00D12939">
            <w:pPr>
              <w:pStyle w:val="affffd"/>
              <w:spacing w:line="240" w:lineRule="auto"/>
              <w:rPr>
                <w:rFonts w:ascii="Times New Roman" w:eastAsia="宋体" w:hAnsi="Times New Roman" w:cs="Times New Roman"/>
              </w:rPr>
            </w:pPr>
          </w:p>
        </w:tc>
      </w:tr>
      <w:tr w:rsidR="00D12939" w14:paraId="0EB01B1A" w14:textId="77777777" w:rsidTr="000C34D0">
        <w:trPr>
          <w:cantSplit/>
          <w:trHeight w:val="291"/>
          <w:jc w:val="center"/>
        </w:trPr>
        <w:tc>
          <w:tcPr>
            <w:tcW w:w="729" w:type="dxa"/>
            <w:vMerge/>
            <w:vAlign w:val="center"/>
          </w:tcPr>
          <w:p w14:paraId="41CF22DE" w14:textId="77777777" w:rsidR="00D12939" w:rsidRDefault="00D12939">
            <w:pPr>
              <w:pStyle w:val="affffd"/>
              <w:spacing w:line="240" w:lineRule="auto"/>
              <w:rPr>
                <w:rFonts w:ascii="Times New Roman" w:eastAsia="宋体" w:hAnsi="Times New Roman" w:cs="Times New Roman"/>
              </w:rPr>
            </w:pPr>
          </w:p>
        </w:tc>
        <w:tc>
          <w:tcPr>
            <w:tcW w:w="1716" w:type="dxa"/>
            <w:vMerge/>
            <w:vAlign w:val="center"/>
          </w:tcPr>
          <w:p w14:paraId="42796A2E" w14:textId="77777777" w:rsidR="00D12939" w:rsidRDefault="00D12939">
            <w:pPr>
              <w:pStyle w:val="affffd"/>
              <w:spacing w:line="240" w:lineRule="auto"/>
              <w:rPr>
                <w:rFonts w:ascii="Times New Roman" w:eastAsia="宋体" w:hAnsi="Times New Roman" w:cs="Times New Roman"/>
              </w:rPr>
            </w:pPr>
          </w:p>
        </w:tc>
        <w:tc>
          <w:tcPr>
            <w:tcW w:w="759" w:type="dxa"/>
            <w:tcBorders>
              <w:top w:val="single" w:sz="4" w:space="0" w:color="auto"/>
            </w:tcBorders>
            <w:vAlign w:val="center"/>
          </w:tcPr>
          <w:p w14:paraId="46EB34C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SS</w:t>
            </w:r>
          </w:p>
        </w:tc>
        <w:tc>
          <w:tcPr>
            <w:tcW w:w="2089" w:type="dxa"/>
            <w:tcBorders>
              <w:top w:val="single" w:sz="4" w:space="0" w:color="auto"/>
            </w:tcBorders>
            <w:vAlign w:val="center"/>
          </w:tcPr>
          <w:p w14:paraId="4854E733"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800mg/L</w:t>
            </w:r>
            <w:r>
              <w:rPr>
                <w:rFonts w:ascii="Times New Roman" w:eastAsia="宋体" w:hAnsi="Times New Roman" w:cs="Times New Roman"/>
              </w:rPr>
              <w:t>，</w:t>
            </w:r>
            <w:r>
              <w:rPr>
                <w:rFonts w:ascii="Times New Roman" w:eastAsia="宋体" w:hAnsi="Times New Roman" w:cs="Times New Roman"/>
              </w:rPr>
              <w:t>0.91t/a</w:t>
            </w:r>
          </w:p>
        </w:tc>
        <w:tc>
          <w:tcPr>
            <w:tcW w:w="2134" w:type="dxa"/>
            <w:gridSpan w:val="2"/>
            <w:vMerge/>
            <w:tcBorders>
              <w:bottom w:val="single" w:sz="4" w:space="0" w:color="auto"/>
            </w:tcBorders>
            <w:vAlign w:val="center"/>
          </w:tcPr>
          <w:p w14:paraId="7C3663BE" w14:textId="77777777" w:rsidR="00D12939" w:rsidRDefault="00D12939">
            <w:pPr>
              <w:pStyle w:val="affffd"/>
              <w:spacing w:line="240" w:lineRule="auto"/>
              <w:rPr>
                <w:rFonts w:ascii="Times New Roman" w:eastAsia="宋体" w:hAnsi="Times New Roman" w:cs="Times New Roman"/>
              </w:rPr>
            </w:pPr>
          </w:p>
        </w:tc>
        <w:tc>
          <w:tcPr>
            <w:tcW w:w="803" w:type="dxa"/>
            <w:vMerge/>
            <w:vAlign w:val="center"/>
          </w:tcPr>
          <w:p w14:paraId="4D9D7685" w14:textId="77777777" w:rsidR="00D12939" w:rsidRDefault="00D12939">
            <w:pPr>
              <w:pStyle w:val="affffd"/>
              <w:spacing w:line="240" w:lineRule="auto"/>
              <w:rPr>
                <w:rFonts w:ascii="Times New Roman" w:eastAsia="宋体" w:hAnsi="Times New Roman" w:cs="Times New Roman"/>
              </w:rPr>
            </w:pPr>
          </w:p>
        </w:tc>
        <w:tc>
          <w:tcPr>
            <w:tcW w:w="1800" w:type="dxa"/>
            <w:vMerge/>
            <w:vAlign w:val="center"/>
          </w:tcPr>
          <w:p w14:paraId="2CD8A7F5" w14:textId="77777777" w:rsidR="00D12939" w:rsidRDefault="00D12939">
            <w:pPr>
              <w:pStyle w:val="affffd"/>
              <w:spacing w:line="240" w:lineRule="auto"/>
              <w:rPr>
                <w:rFonts w:ascii="Times New Roman" w:eastAsia="宋体" w:hAnsi="Times New Roman" w:cs="Times New Roman"/>
              </w:rPr>
            </w:pPr>
          </w:p>
        </w:tc>
      </w:tr>
      <w:tr w:rsidR="00D12939" w14:paraId="3CE2619E" w14:textId="77777777" w:rsidTr="000C34D0">
        <w:trPr>
          <w:cantSplit/>
          <w:trHeight w:val="321"/>
          <w:jc w:val="center"/>
        </w:trPr>
        <w:tc>
          <w:tcPr>
            <w:tcW w:w="729" w:type="dxa"/>
            <w:vAlign w:val="center"/>
          </w:tcPr>
          <w:p w14:paraId="150C77A9"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lastRenderedPageBreak/>
              <w:t>噪</w:t>
            </w:r>
          </w:p>
          <w:p w14:paraId="1A573F40"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声</w:t>
            </w:r>
          </w:p>
        </w:tc>
        <w:tc>
          <w:tcPr>
            <w:tcW w:w="1716" w:type="dxa"/>
            <w:vAlign w:val="center"/>
          </w:tcPr>
          <w:p w14:paraId="20223E3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推土机、</w:t>
            </w:r>
            <w:r>
              <w:rPr>
                <w:rFonts w:ascii="Times New Roman" w:eastAsia="宋体" w:hAnsi="Times New Roman" w:cs="Times New Roman" w:hint="eastAsia"/>
              </w:rPr>
              <w:t>压实</w:t>
            </w:r>
            <w:r>
              <w:rPr>
                <w:rFonts w:ascii="Times New Roman" w:eastAsia="宋体" w:hAnsi="Times New Roman" w:cs="Times New Roman"/>
              </w:rPr>
              <w:t>机泵类等</w:t>
            </w:r>
          </w:p>
        </w:tc>
        <w:tc>
          <w:tcPr>
            <w:tcW w:w="759" w:type="dxa"/>
            <w:vAlign w:val="center"/>
          </w:tcPr>
          <w:p w14:paraId="5CB96DC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LAeq</w:t>
            </w:r>
          </w:p>
        </w:tc>
        <w:tc>
          <w:tcPr>
            <w:tcW w:w="4223" w:type="dxa"/>
            <w:gridSpan w:val="3"/>
            <w:vAlign w:val="center"/>
          </w:tcPr>
          <w:p w14:paraId="50B5C5DC"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70~95dB</w:t>
            </w:r>
            <w:r>
              <w:rPr>
                <w:rFonts w:ascii="Times New Roman" w:eastAsia="宋体" w:hAnsi="Times New Roman" w:cs="Times New Roman"/>
              </w:rPr>
              <w:t>（</w:t>
            </w:r>
            <w:r>
              <w:rPr>
                <w:rFonts w:ascii="Times New Roman" w:eastAsia="宋体" w:hAnsi="Times New Roman" w:cs="Times New Roman"/>
              </w:rPr>
              <w:t>A</w:t>
            </w:r>
            <w:r>
              <w:rPr>
                <w:rFonts w:ascii="Times New Roman" w:eastAsia="宋体" w:hAnsi="Times New Roman" w:cs="Times New Roman"/>
              </w:rPr>
              <w:t>）</w:t>
            </w:r>
          </w:p>
        </w:tc>
        <w:tc>
          <w:tcPr>
            <w:tcW w:w="803" w:type="dxa"/>
            <w:vAlign w:val="center"/>
          </w:tcPr>
          <w:p w14:paraId="68745CD7"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间断</w:t>
            </w:r>
          </w:p>
        </w:tc>
        <w:tc>
          <w:tcPr>
            <w:tcW w:w="1800" w:type="dxa"/>
            <w:vAlign w:val="center"/>
          </w:tcPr>
          <w:p w14:paraId="531A8EB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选用低噪声设备，泵类采取隔声等</w:t>
            </w:r>
          </w:p>
        </w:tc>
      </w:tr>
      <w:tr w:rsidR="00D12939" w14:paraId="74633C55" w14:textId="77777777" w:rsidTr="000C34D0">
        <w:trPr>
          <w:cantSplit/>
          <w:trHeight w:val="321"/>
          <w:jc w:val="center"/>
        </w:trPr>
        <w:tc>
          <w:tcPr>
            <w:tcW w:w="729" w:type="dxa"/>
            <w:vMerge w:val="restart"/>
            <w:vAlign w:val="center"/>
          </w:tcPr>
          <w:p w14:paraId="53C7C16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固废</w:t>
            </w:r>
          </w:p>
        </w:tc>
        <w:tc>
          <w:tcPr>
            <w:tcW w:w="2475" w:type="dxa"/>
            <w:gridSpan w:val="2"/>
            <w:vAlign w:val="center"/>
          </w:tcPr>
          <w:p w14:paraId="3152EEB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生活垃圾</w:t>
            </w:r>
          </w:p>
        </w:tc>
        <w:tc>
          <w:tcPr>
            <w:tcW w:w="2352" w:type="dxa"/>
            <w:gridSpan w:val="2"/>
            <w:tcBorders>
              <w:right w:val="single" w:sz="4" w:space="0" w:color="auto"/>
            </w:tcBorders>
            <w:vAlign w:val="center"/>
          </w:tcPr>
          <w:p w14:paraId="559DF1E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2.92</w:t>
            </w:r>
            <w:r>
              <w:rPr>
                <w:rFonts w:ascii="Times New Roman" w:eastAsia="宋体" w:hAnsi="Times New Roman" w:cs="Times New Roman"/>
              </w:rPr>
              <w:t xml:space="preserve"> t/a</w:t>
            </w:r>
          </w:p>
        </w:tc>
        <w:tc>
          <w:tcPr>
            <w:tcW w:w="1871" w:type="dxa"/>
            <w:tcBorders>
              <w:left w:val="single" w:sz="4" w:space="0" w:color="auto"/>
            </w:tcBorders>
            <w:vAlign w:val="center"/>
          </w:tcPr>
          <w:p w14:paraId="2756D117"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0</w:t>
            </w:r>
          </w:p>
        </w:tc>
        <w:tc>
          <w:tcPr>
            <w:tcW w:w="803" w:type="dxa"/>
            <w:vAlign w:val="center"/>
          </w:tcPr>
          <w:p w14:paraId="48A0177A"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w:t>
            </w:r>
          </w:p>
        </w:tc>
        <w:tc>
          <w:tcPr>
            <w:tcW w:w="1800" w:type="dxa"/>
            <w:vAlign w:val="center"/>
          </w:tcPr>
          <w:p w14:paraId="40B17F08"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收集后运至填埋区卫生填埋</w:t>
            </w:r>
          </w:p>
        </w:tc>
      </w:tr>
      <w:tr w:rsidR="00D12939" w14:paraId="4B6520F8" w14:textId="77777777" w:rsidTr="000C34D0">
        <w:trPr>
          <w:cantSplit/>
          <w:trHeight w:val="321"/>
          <w:jc w:val="center"/>
        </w:trPr>
        <w:tc>
          <w:tcPr>
            <w:tcW w:w="729" w:type="dxa"/>
            <w:vMerge/>
            <w:vAlign w:val="center"/>
          </w:tcPr>
          <w:p w14:paraId="1E0E6E56" w14:textId="77777777" w:rsidR="00D12939" w:rsidRDefault="00D12939">
            <w:pPr>
              <w:pStyle w:val="affffd"/>
              <w:spacing w:line="240" w:lineRule="auto"/>
              <w:rPr>
                <w:rFonts w:ascii="Times New Roman" w:eastAsia="宋体" w:hAnsi="Times New Roman" w:cs="Times New Roman"/>
              </w:rPr>
            </w:pPr>
          </w:p>
        </w:tc>
        <w:tc>
          <w:tcPr>
            <w:tcW w:w="2475" w:type="dxa"/>
            <w:gridSpan w:val="2"/>
            <w:vAlign w:val="center"/>
          </w:tcPr>
          <w:p w14:paraId="2AAB8A9F"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脱水污泥</w:t>
            </w:r>
          </w:p>
        </w:tc>
        <w:tc>
          <w:tcPr>
            <w:tcW w:w="2352" w:type="dxa"/>
            <w:gridSpan w:val="2"/>
            <w:tcBorders>
              <w:right w:val="single" w:sz="4" w:space="0" w:color="auto"/>
            </w:tcBorders>
            <w:vAlign w:val="center"/>
          </w:tcPr>
          <w:p w14:paraId="11F1C42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88.97</w:t>
            </w:r>
            <w:r>
              <w:rPr>
                <w:rFonts w:ascii="Times New Roman" w:eastAsia="宋体" w:hAnsi="Times New Roman" w:cs="Times New Roman"/>
              </w:rPr>
              <w:t xml:space="preserve"> t/a</w:t>
            </w:r>
          </w:p>
        </w:tc>
        <w:tc>
          <w:tcPr>
            <w:tcW w:w="1871" w:type="dxa"/>
            <w:tcBorders>
              <w:left w:val="single" w:sz="4" w:space="0" w:color="auto"/>
            </w:tcBorders>
            <w:vAlign w:val="center"/>
          </w:tcPr>
          <w:p w14:paraId="02FE4C68"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0</w:t>
            </w:r>
          </w:p>
        </w:tc>
        <w:tc>
          <w:tcPr>
            <w:tcW w:w="803" w:type="dxa"/>
            <w:vAlign w:val="center"/>
          </w:tcPr>
          <w:p w14:paraId="70C5F58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w:t>
            </w:r>
          </w:p>
        </w:tc>
        <w:tc>
          <w:tcPr>
            <w:tcW w:w="1800" w:type="dxa"/>
            <w:vAlign w:val="center"/>
          </w:tcPr>
          <w:p w14:paraId="7568AA9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运至填埋区卫生填埋</w:t>
            </w:r>
          </w:p>
        </w:tc>
      </w:tr>
      <w:tr w:rsidR="00D12939" w14:paraId="033360A1" w14:textId="77777777" w:rsidTr="000C34D0">
        <w:trPr>
          <w:cantSplit/>
          <w:trHeight w:val="321"/>
          <w:jc w:val="center"/>
        </w:trPr>
        <w:tc>
          <w:tcPr>
            <w:tcW w:w="729" w:type="dxa"/>
            <w:vMerge/>
            <w:vAlign w:val="center"/>
          </w:tcPr>
          <w:p w14:paraId="01AEBA44" w14:textId="77777777" w:rsidR="00D12939" w:rsidRDefault="00D12939">
            <w:pPr>
              <w:pStyle w:val="affffd"/>
              <w:spacing w:line="240" w:lineRule="auto"/>
              <w:rPr>
                <w:rFonts w:ascii="Times New Roman" w:eastAsia="宋体" w:hAnsi="Times New Roman" w:cs="Times New Roman"/>
              </w:rPr>
            </w:pPr>
          </w:p>
        </w:tc>
        <w:tc>
          <w:tcPr>
            <w:tcW w:w="2475" w:type="dxa"/>
            <w:gridSpan w:val="2"/>
            <w:vAlign w:val="center"/>
          </w:tcPr>
          <w:p w14:paraId="272C72F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废机油</w:t>
            </w:r>
          </w:p>
        </w:tc>
        <w:tc>
          <w:tcPr>
            <w:tcW w:w="2352" w:type="dxa"/>
            <w:gridSpan w:val="2"/>
            <w:tcBorders>
              <w:right w:val="single" w:sz="4" w:space="0" w:color="auto"/>
            </w:tcBorders>
            <w:vAlign w:val="center"/>
          </w:tcPr>
          <w:p w14:paraId="6F42F9F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0.5</w:t>
            </w:r>
            <w:r>
              <w:rPr>
                <w:rFonts w:ascii="Times New Roman" w:eastAsia="宋体" w:hAnsi="Times New Roman" w:cs="Times New Roman"/>
              </w:rPr>
              <w:t xml:space="preserve"> t/a</w:t>
            </w:r>
          </w:p>
        </w:tc>
        <w:tc>
          <w:tcPr>
            <w:tcW w:w="1871" w:type="dxa"/>
            <w:tcBorders>
              <w:left w:val="single" w:sz="4" w:space="0" w:color="auto"/>
            </w:tcBorders>
            <w:vAlign w:val="center"/>
          </w:tcPr>
          <w:p w14:paraId="777B9AB1"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0</w:t>
            </w:r>
          </w:p>
        </w:tc>
        <w:tc>
          <w:tcPr>
            <w:tcW w:w="803" w:type="dxa"/>
            <w:vAlign w:val="center"/>
          </w:tcPr>
          <w:p w14:paraId="5BEA7A26"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w:t>
            </w:r>
          </w:p>
        </w:tc>
        <w:tc>
          <w:tcPr>
            <w:tcW w:w="1800" w:type="dxa"/>
            <w:vMerge w:val="restart"/>
            <w:vAlign w:val="center"/>
          </w:tcPr>
          <w:p w14:paraId="4D5CFBC4"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hint="eastAsia"/>
              </w:rPr>
              <w:t>分类收集后暂存危废暂存间，定期交由有资质单位处置</w:t>
            </w:r>
          </w:p>
        </w:tc>
      </w:tr>
      <w:tr w:rsidR="00D12939" w14:paraId="2E9B41F2" w14:textId="77777777" w:rsidTr="000C34D0">
        <w:trPr>
          <w:cantSplit/>
          <w:trHeight w:val="55"/>
          <w:jc w:val="center"/>
        </w:trPr>
        <w:tc>
          <w:tcPr>
            <w:tcW w:w="729" w:type="dxa"/>
            <w:vMerge/>
            <w:vAlign w:val="center"/>
          </w:tcPr>
          <w:p w14:paraId="650EAC78" w14:textId="77777777" w:rsidR="00D12939" w:rsidRDefault="00D12939">
            <w:pPr>
              <w:pStyle w:val="affffd"/>
              <w:spacing w:line="240" w:lineRule="auto"/>
              <w:rPr>
                <w:rFonts w:ascii="Times New Roman" w:eastAsia="宋体" w:hAnsi="Times New Roman" w:cs="Times New Roman"/>
              </w:rPr>
            </w:pPr>
          </w:p>
        </w:tc>
        <w:tc>
          <w:tcPr>
            <w:tcW w:w="2475" w:type="dxa"/>
            <w:gridSpan w:val="2"/>
            <w:vAlign w:val="center"/>
          </w:tcPr>
          <w:p w14:paraId="7EFB6955"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废包装</w:t>
            </w:r>
          </w:p>
        </w:tc>
        <w:tc>
          <w:tcPr>
            <w:tcW w:w="2352" w:type="dxa"/>
            <w:gridSpan w:val="2"/>
            <w:tcBorders>
              <w:right w:val="single" w:sz="4" w:space="0" w:color="auto"/>
            </w:tcBorders>
            <w:vAlign w:val="center"/>
          </w:tcPr>
          <w:p w14:paraId="0E04EEB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2.5</w:t>
            </w:r>
            <w:r>
              <w:rPr>
                <w:rFonts w:ascii="Times New Roman" w:eastAsia="宋体" w:hAnsi="Times New Roman" w:cs="Times New Roman"/>
              </w:rPr>
              <w:t xml:space="preserve"> t/a</w:t>
            </w:r>
          </w:p>
        </w:tc>
        <w:tc>
          <w:tcPr>
            <w:tcW w:w="1871" w:type="dxa"/>
            <w:tcBorders>
              <w:left w:val="single" w:sz="4" w:space="0" w:color="auto"/>
            </w:tcBorders>
            <w:vAlign w:val="center"/>
          </w:tcPr>
          <w:p w14:paraId="6E47DB71"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0</w:t>
            </w:r>
          </w:p>
        </w:tc>
        <w:tc>
          <w:tcPr>
            <w:tcW w:w="803" w:type="dxa"/>
            <w:vAlign w:val="center"/>
          </w:tcPr>
          <w:p w14:paraId="55BA77E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w:t>
            </w:r>
          </w:p>
        </w:tc>
        <w:tc>
          <w:tcPr>
            <w:tcW w:w="1800" w:type="dxa"/>
            <w:vMerge/>
            <w:vAlign w:val="center"/>
          </w:tcPr>
          <w:p w14:paraId="6D96006D" w14:textId="77777777" w:rsidR="00D12939" w:rsidRDefault="00D12939">
            <w:pPr>
              <w:jc w:val="center"/>
              <w:rPr>
                <w:rFonts w:ascii="Times New Roman" w:eastAsia="宋体" w:hAnsi="Times New Roman" w:cs="Times New Roman"/>
                <w:szCs w:val="21"/>
              </w:rPr>
            </w:pPr>
          </w:p>
        </w:tc>
      </w:tr>
      <w:tr w:rsidR="00D12939" w14:paraId="1DE44A1D" w14:textId="77777777" w:rsidTr="000C34D0">
        <w:trPr>
          <w:cantSplit/>
          <w:trHeight w:val="321"/>
          <w:jc w:val="center"/>
        </w:trPr>
        <w:tc>
          <w:tcPr>
            <w:tcW w:w="729" w:type="dxa"/>
            <w:vMerge/>
            <w:vAlign w:val="center"/>
          </w:tcPr>
          <w:p w14:paraId="153DAD92" w14:textId="77777777" w:rsidR="00D12939" w:rsidRDefault="00D12939">
            <w:pPr>
              <w:pStyle w:val="affffd"/>
              <w:spacing w:line="240" w:lineRule="auto"/>
              <w:rPr>
                <w:rFonts w:ascii="Times New Roman" w:eastAsia="宋体" w:hAnsi="Times New Roman" w:cs="Times New Roman"/>
              </w:rPr>
            </w:pPr>
          </w:p>
        </w:tc>
        <w:tc>
          <w:tcPr>
            <w:tcW w:w="2475" w:type="dxa"/>
            <w:gridSpan w:val="2"/>
            <w:vAlign w:val="center"/>
          </w:tcPr>
          <w:p w14:paraId="7A38668B"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废膜</w:t>
            </w:r>
          </w:p>
        </w:tc>
        <w:tc>
          <w:tcPr>
            <w:tcW w:w="2352" w:type="dxa"/>
            <w:gridSpan w:val="2"/>
            <w:tcBorders>
              <w:right w:val="single" w:sz="4" w:space="0" w:color="auto"/>
            </w:tcBorders>
            <w:vAlign w:val="center"/>
          </w:tcPr>
          <w:p w14:paraId="60C2DEA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0.167</w:t>
            </w:r>
            <w:r>
              <w:rPr>
                <w:rFonts w:ascii="Times New Roman" w:eastAsia="宋体" w:hAnsi="Times New Roman" w:cs="Times New Roman"/>
              </w:rPr>
              <w:t xml:space="preserve"> t/a</w:t>
            </w:r>
          </w:p>
        </w:tc>
        <w:tc>
          <w:tcPr>
            <w:tcW w:w="1871" w:type="dxa"/>
            <w:tcBorders>
              <w:left w:val="single" w:sz="4" w:space="0" w:color="auto"/>
            </w:tcBorders>
            <w:vAlign w:val="center"/>
          </w:tcPr>
          <w:p w14:paraId="2EE485C2" w14:textId="77777777" w:rsidR="00D12939" w:rsidRDefault="004F47F5">
            <w:pPr>
              <w:jc w:val="center"/>
              <w:rPr>
                <w:rFonts w:ascii="Times New Roman" w:eastAsia="宋体" w:hAnsi="Times New Roman" w:cs="Times New Roman"/>
              </w:rPr>
            </w:pPr>
            <w:r>
              <w:rPr>
                <w:rFonts w:ascii="Times New Roman" w:eastAsia="宋体" w:hAnsi="Times New Roman" w:cs="Times New Roman"/>
              </w:rPr>
              <w:t>0</w:t>
            </w:r>
          </w:p>
        </w:tc>
        <w:tc>
          <w:tcPr>
            <w:tcW w:w="803" w:type="dxa"/>
            <w:vAlign w:val="center"/>
          </w:tcPr>
          <w:p w14:paraId="0FEC3C32" w14:textId="77777777" w:rsidR="00D12939" w:rsidRDefault="004F47F5">
            <w:pPr>
              <w:pStyle w:val="affffd"/>
              <w:spacing w:line="240" w:lineRule="auto"/>
              <w:rPr>
                <w:rFonts w:ascii="Times New Roman" w:eastAsia="宋体" w:hAnsi="Times New Roman" w:cs="Times New Roman"/>
              </w:rPr>
            </w:pPr>
            <w:r>
              <w:rPr>
                <w:rFonts w:ascii="Times New Roman" w:eastAsia="宋体" w:hAnsi="Times New Roman" w:cs="Times New Roman"/>
              </w:rPr>
              <w:t>/</w:t>
            </w:r>
          </w:p>
        </w:tc>
        <w:tc>
          <w:tcPr>
            <w:tcW w:w="1800" w:type="dxa"/>
            <w:vMerge/>
            <w:vAlign w:val="center"/>
          </w:tcPr>
          <w:p w14:paraId="74CE0009" w14:textId="77777777" w:rsidR="00D12939" w:rsidRDefault="00D12939">
            <w:pPr>
              <w:jc w:val="center"/>
              <w:rPr>
                <w:rFonts w:ascii="Times New Roman" w:eastAsia="宋体" w:hAnsi="Times New Roman" w:cs="Times New Roman"/>
                <w:szCs w:val="21"/>
              </w:rPr>
            </w:pPr>
          </w:p>
        </w:tc>
      </w:tr>
    </w:tbl>
    <w:p w14:paraId="59FC034A" w14:textId="77777777" w:rsidR="00D12939" w:rsidRDefault="004F47F5">
      <w:pPr>
        <w:pStyle w:val="2"/>
        <w:spacing w:line="360" w:lineRule="auto"/>
        <w:ind w:firstLineChars="165" w:firstLine="462"/>
        <w:rPr>
          <w:sz w:val="28"/>
        </w:rPr>
      </w:pPr>
      <w:bookmarkStart w:id="352" w:name="_Toc121411739"/>
      <w:r>
        <w:rPr>
          <w:sz w:val="28"/>
        </w:rPr>
        <w:t>4.6</w:t>
      </w:r>
      <w:r>
        <w:rPr>
          <w:rFonts w:hint="eastAsia"/>
          <w:sz w:val="28"/>
        </w:rPr>
        <w:t>总量控制分析</w:t>
      </w:r>
      <w:bookmarkEnd w:id="352"/>
      <w:r>
        <w:rPr>
          <w:rFonts w:hint="eastAsia"/>
          <w:sz w:val="28"/>
        </w:rPr>
        <w:t xml:space="preserve"> </w:t>
      </w:r>
    </w:p>
    <w:p w14:paraId="5C4D64E0" w14:textId="77777777" w:rsidR="00585287" w:rsidRPr="00585287" w:rsidRDefault="00585287" w:rsidP="00585287">
      <w:pPr>
        <w:adjustRightInd w:val="0"/>
        <w:snapToGrid w:val="0"/>
        <w:spacing w:beforeLines="50" w:before="156" w:line="360" w:lineRule="auto"/>
        <w:ind w:firstLine="480"/>
        <w:rPr>
          <w:rFonts w:ascii="Times New Roman" w:eastAsia="宋体" w:hAnsi="Times New Roman" w:cs="Times New Roman"/>
          <w:color w:val="FF0000"/>
          <w:sz w:val="24"/>
        </w:rPr>
      </w:pPr>
      <w:r w:rsidRPr="00585287">
        <w:rPr>
          <w:rFonts w:ascii="Times New Roman" w:eastAsia="宋体" w:hAnsi="Times New Roman" w:cs="Times New Roman"/>
          <w:color w:val="FF0000"/>
          <w:sz w:val="24"/>
        </w:rPr>
        <w:t>根据《建设项目主要污染物排放总量指标审核及管理暂行办法》（环发</w:t>
      </w:r>
      <w:r w:rsidRPr="00585287">
        <w:rPr>
          <w:rFonts w:ascii="Times New Roman" w:eastAsia="宋体" w:hAnsi="Times New Roman" w:cs="Times New Roman" w:hint="eastAsia"/>
          <w:color w:val="FF0000"/>
          <w:sz w:val="24"/>
        </w:rPr>
        <w:t>[</w:t>
      </w:r>
      <w:r w:rsidRPr="00585287">
        <w:rPr>
          <w:rFonts w:ascii="Times New Roman" w:eastAsia="宋体" w:hAnsi="Times New Roman" w:cs="Times New Roman"/>
          <w:color w:val="FF0000"/>
          <w:sz w:val="24"/>
        </w:rPr>
        <w:t>2014</w:t>
      </w:r>
      <w:r w:rsidRPr="00585287">
        <w:rPr>
          <w:rFonts w:ascii="Times New Roman" w:eastAsia="宋体" w:hAnsi="Times New Roman" w:cs="Times New Roman" w:hint="eastAsia"/>
          <w:color w:val="FF0000"/>
          <w:sz w:val="24"/>
        </w:rPr>
        <w:t>]</w:t>
      </w:r>
      <w:r w:rsidRPr="00585287">
        <w:rPr>
          <w:rFonts w:ascii="Times New Roman" w:eastAsia="宋体" w:hAnsi="Times New Roman" w:cs="Times New Roman"/>
          <w:color w:val="FF0000"/>
          <w:sz w:val="24"/>
        </w:rPr>
        <w:t>197</w:t>
      </w:r>
      <w:r w:rsidRPr="00585287">
        <w:rPr>
          <w:rFonts w:ascii="Times New Roman" w:eastAsia="宋体" w:hAnsi="Times New Roman" w:cs="Times New Roman"/>
          <w:color w:val="FF0000"/>
          <w:sz w:val="24"/>
        </w:rPr>
        <w:t>号），</w:t>
      </w:r>
      <w:r w:rsidRPr="00585287">
        <w:rPr>
          <w:rFonts w:ascii="Times New Roman" w:eastAsia="宋体" w:hAnsi="Times New Roman" w:cs="Times New Roman" w:hint="eastAsia"/>
          <w:color w:val="FF0000"/>
          <w:sz w:val="24"/>
        </w:rPr>
        <w:t>“</w:t>
      </w:r>
      <w:r w:rsidRPr="00585287">
        <w:rPr>
          <w:rFonts w:ascii="Times New Roman" w:eastAsia="宋体" w:hAnsi="Times New Roman" w:cs="Times New Roman"/>
          <w:color w:val="FF0000"/>
          <w:sz w:val="24"/>
        </w:rPr>
        <w:t>本办法适用于各级环境保护主管部门对建设项目（不含城镇生活污水处理厂、垃圾处理场、危险废物和医疗废物处置厂）主要污染物排放总量指标的审核与管理。</w:t>
      </w:r>
      <w:r w:rsidRPr="00585287">
        <w:rPr>
          <w:rFonts w:ascii="Times New Roman" w:eastAsia="宋体" w:hAnsi="Times New Roman" w:cs="Times New Roman" w:hint="eastAsia"/>
          <w:color w:val="FF0000"/>
          <w:sz w:val="24"/>
        </w:rPr>
        <w:t>”</w:t>
      </w:r>
      <w:r w:rsidRPr="00585287">
        <w:rPr>
          <w:rFonts w:ascii="Times New Roman" w:eastAsia="宋体" w:hAnsi="Times New Roman" w:cs="Times New Roman"/>
          <w:color w:val="FF0000"/>
          <w:sz w:val="24"/>
        </w:rPr>
        <w:t>本项目属于城镇生活垃圾填埋场项目，因此产生的主要污染物均不在总量控制指标范围内。</w:t>
      </w:r>
    </w:p>
    <w:p w14:paraId="08DDBB37" w14:textId="77777777" w:rsidR="00D12939" w:rsidRPr="00585287" w:rsidRDefault="00D12939"/>
    <w:p w14:paraId="3D63E268" w14:textId="77777777" w:rsidR="00D12939" w:rsidRDefault="00D12939">
      <w:pPr>
        <w:sectPr w:rsidR="00D12939">
          <w:pgSz w:w="11906" w:h="16838"/>
          <w:pgMar w:top="1440" w:right="1080" w:bottom="1440" w:left="1080" w:header="851" w:footer="992" w:gutter="0"/>
          <w:cols w:space="425"/>
          <w:docGrid w:type="lines" w:linePitch="312"/>
        </w:sectPr>
      </w:pPr>
    </w:p>
    <w:p w14:paraId="3BF176D0" w14:textId="77777777" w:rsidR="00D12939" w:rsidRDefault="004F47F5">
      <w:pPr>
        <w:pStyle w:val="1"/>
        <w:jc w:val="center"/>
        <w:rPr>
          <w:sz w:val="30"/>
          <w:szCs w:val="30"/>
        </w:rPr>
      </w:pPr>
      <w:bookmarkStart w:id="353" w:name="_Toc93158102"/>
      <w:bookmarkStart w:id="354" w:name="_Toc121411740"/>
      <w:r>
        <w:rPr>
          <w:sz w:val="30"/>
          <w:szCs w:val="30"/>
        </w:rPr>
        <w:lastRenderedPageBreak/>
        <w:t xml:space="preserve">5 </w:t>
      </w:r>
      <w:r>
        <w:rPr>
          <w:sz w:val="30"/>
          <w:szCs w:val="30"/>
        </w:rPr>
        <w:t>环境现状调查与评价</w:t>
      </w:r>
      <w:bookmarkEnd w:id="353"/>
      <w:bookmarkEnd w:id="354"/>
    </w:p>
    <w:p w14:paraId="3967EAE5" w14:textId="77777777" w:rsidR="00D12939" w:rsidRDefault="004F47F5">
      <w:pPr>
        <w:pStyle w:val="2"/>
        <w:spacing w:line="360" w:lineRule="auto"/>
        <w:ind w:firstLineChars="165" w:firstLine="462"/>
        <w:rPr>
          <w:sz w:val="28"/>
        </w:rPr>
      </w:pPr>
      <w:bookmarkStart w:id="355" w:name="_Toc40427796"/>
      <w:bookmarkStart w:id="356" w:name="_Toc60666751"/>
      <w:bookmarkStart w:id="357" w:name="_Toc41467403"/>
      <w:bookmarkStart w:id="358" w:name="_Toc40281482"/>
      <w:bookmarkStart w:id="359" w:name="_Toc26175860"/>
      <w:bookmarkStart w:id="360" w:name="_Toc40281735"/>
      <w:bookmarkStart w:id="361" w:name="_Toc121411741"/>
      <w:bookmarkStart w:id="362" w:name="_Toc93158103"/>
      <w:bookmarkStart w:id="363" w:name="_Toc41500968"/>
      <w:r>
        <w:rPr>
          <w:sz w:val="28"/>
        </w:rPr>
        <w:t xml:space="preserve">5.1 </w:t>
      </w:r>
      <w:r>
        <w:rPr>
          <w:sz w:val="28"/>
        </w:rPr>
        <w:t>自然环境概况</w:t>
      </w:r>
      <w:bookmarkEnd w:id="355"/>
      <w:bookmarkEnd w:id="356"/>
      <w:bookmarkEnd w:id="357"/>
      <w:bookmarkEnd w:id="358"/>
      <w:bookmarkEnd w:id="359"/>
      <w:bookmarkEnd w:id="360"/>
      <w:bookmarkEnd w:id="361"/>
      <w:bookmarkEnd w:id="362"/>
      <w:bookmarkEnd w:id="363"/>
    </w:p>
    <w:p w14:paraId="5BA380CF"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64" w:name="_Toc121411742"/>
      <w:bookmarkStart w:id="365" w:name="_Toc509579487"/>
      <w:bookmarkStart w:id="366" w:name="_Toc509579233"/>
      <w:bookmarkStart w:id="367" w:name="_Toc511132481"/>
      <w:bookmarkStart w:id="368" w:name="_Toc509578459"/>
      <w:r>
        <w:rPr>
          <w:rFonts w:ascii="Times New Roman" w:eastAsia="黑体" w:hAnsi="Times New Roman" w:cs="Times New Roman"/>
          <w:b w:val="0"/>
          <w:sz w:val="24"/>
        </w:rPr>
        <w:t>5.1.1</w:t>
      </w:r>
      <w:r>
        <w:rPr>
          <w:rFonts w:ascii="Times New Roman" w:eastAsia="黑体" w:hAnsi="Times New Roman" w:cs="Times New Roman"/>
          <w:b w:val="0"/>
          <w:sz w:val="24"/>
        </w:rPr>
        <w:t>地理位置</w:t>
      </w:r>
      <w:bookmarkEnd w:id="364"/>
      <w:bookmarkEnd w:id="365"/>
      <w:bookmarkEnd w:id="366"/>
      <w:bookmarkEnd w:id="367"/>
      <w:bookmarkEnd w:id="368"/>
    </w:p>
    <w:p w14:paraId="2A9178E4"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bookmarkStart w:id="369" w:name="_Toc509578460"/>
      <w:bookmarkStart w:id="370" w:name="_Toc509579488"/>
      <w:bookmarkStart w:id="371" w:name="_Toc511132482"/>
      <w:bookmarkStart w:id="372" w:name="_Toc509579234"/>
      <w:r>
        <w:rPr>
          <w:rFonts w:ascii="Times New Roman" w:eastAsia="宋体" w:hAnsi="Times New Roman" w:cs="Times New Roman"/>
          <w:sz w:val="24"/>
        </w:rPr>
        <w:t> </w:t>
      </w:r>
      <w:r>
        <w:rPr>
          <w:rFonts w:ascii="Times New Roman" w:eastAsia="宋体" w:hAnsi="Times New Roman" w:cs="Times New Roman"/>
          <w:sz w:val="24"/>
        </w:rPr>
        <w:t>柞水县位于陕西省南部，商洛地区西部。东与商州市、山阳县接壤；南邻镇安县；西邻宁陕县；北与长安、蓝田县相连。介于东经</w:t>
      </w:r>
      <w:r>
        <w:rPr>
          <w:rFonts w:ascii="Times New Roman" w:eastAsia="宋体" w:hAnsi="Times New Roman" w:cs="Times New Roman"/>
          <w:sz w:val="24"/>
        </w:rPr>
        <w:t>108°50′</w:t>
      </w:r>
      <w:r>
        <w:rPr>
          <w:rFonts w:ascii="Times New Roman" w:eastAsia="宋体" w:hAnsi="Times New Roman" w:cs="Times New Roman"/>
          <w:sz w:val="24"/>
        </w:rPr>
        <w:t>～</w:t>
      </w:r>
      <w:r>
        <w:rPr>
          <w:rFonts w:ascii="Times New Roman" w:eastAsia="宋体" w:hAnsi="Times New Roman" w:cs="Times New Roman"/>
          <w:sz w:val="24"/>
        </w:rPr>
        <w:t>109°410′</w:t>
      </w:r>
      <w:r>
        <w:rPr>
          <w:rFonts w:ascii="Times New Roman" w:eastAsia="宋体" w:hAnsi="Times New Roman" w:cs="Times New Roman" w:hint="eastAsia"/>
          <w:sz w:val="24"/>
        </w:rPr>
        <w:t>、</w:t>
      </w:r>
      <w:r>
        <w:rPr>
          <w:rFonts w:ascii="Times New Roman" w:eastAsia="宋体" w:hAnsi="Times New Roman" w:cs="Times New Roman"/>
          <w:sz w:val="24"/>
        </w:rPr>
        <w:t>北纬</w:t>
      </w:r>
      <w:r>
        <w:rPr>
          <w:rFonts w:ascii="Times New Roman" w:eastAsia="宋体" w:hAnsi="Times New Roman" w:cs="Times New Roman"/>
          <w:sz w:val="24"/>
        </w:rPr>
        <w:t>33°20′</w:t>
      </w:r>
      <w:r>
        <w:rPr>
          <w:rFonts w:ascii="Times New Roman" w:eastAsia="宋体" w:hAnsi="Times New Roman" w:cs="Times New Roman"/>
          <w:sz w:val="24"/>
        </w:rPr>
        <w:t>～</w:t>
      </w:r>
      <w:r>
        <w:rPr>
          <w:rFonts w:ascii="Times New Roman" w:eastAsia="宋体" w:hAnsi="Times New Roman" w:cs="Times New Roman"/>
          <w:sz w:val="24"/>
        </w:rPr>
        <w:t>34°</w:t>
      </w:r>
      <w:r>
        <w:rPr>
          <w:rFonts w:ascii="Times New Roman" w:eastAsia="宋体" w:hAnsi="Times New Roman" w:cs="Times New Roman"/>
          <w:sz w:val="24"/>
        </w:rPr>
        <w:t>之间。因地处秦岭南麓，山岭起伏，沟壑纵横。东西最长</w:t>
      </w:r>
      <w:r>
        <w:rPr>
          <w:rFonts w:ascii="Times New Roman" w:eastAsia="宋体" w:hAnsi="Times New Roman" w:cs="Times New Roman"/>
          <w:sz w:val="24"/>
        </w:rPr>
        <w:t>72</w:t>
      </w:r>
      <w:r>
        <w:rPr>
          <w:rFonts w:ascii="Times New Roman" w:eastAsia="宋体" w:hAnsi="Times New Roman" w:cs="Times New Roman"/>
          <w:sz w:val="24"/>
        </w:rPr>
        <w:t>公里，南北最宽</w:t>
      </w:r>
      <w:r>
        <w:rPr>
          <w:rFonts w:ascii="Times New Roman" w:eastAsia="宋体" w:hAnsi="Times New Roman" w:cs="Times New Roman"/>
          <w:sz w:val="24"/>
        </w:rPr>
        <w:t>42</w:t>
      </w:r>
      <w:r>
        <w:rPr>
          <w:rFonts w:ascii="Times New Roman" w:eastAsia="宋体" w:hAnsi="Times New Roman" w:cs="Times New Roman"/>
          <w:sz w:val="24"/>
        </w:rPr>
        <w:t>公里，总面积</w:t>
      </w:r>
      <w:r>
        <w:rPr>
          <w:rFonts w:ascii="Times New Roman" w:eastAsia="宋体" w:hAnsi="Times New Roman" w:cs="Times New Roman"/>
          <w:sz w:val="24"/>
        </w:rPr>
        <w:t>2332</w:t>
      </w:r>
      <w:r>
        <w:rPr>
          <w:rFonts w:ascii="Times New Roman" w:eastAsia="宋体" w:hAnsi="Times New Roman" w:cs="Times New Roman"/>
          <w:sz w:val="24"/>
        </w:rPr>
        <w:t>平方公里，占全省面积的</w:t>
      </w:r>
      <w:r>
        <w:rPr>
          <w:rFonts w:ascii="Times New Roman" w:eastAsia="宋体" w:hAnsi="Times New Roman" w:cs="Times New Roman"/>
          <w:sz w:val="24"/>
        </w:rPr>
        <w:t>1.13</w:t>
      </w:r>
      <w:r>
        <w:rPr>
          <w:rFonts w:ascii="Times New Roman" w:eastAsia="宋体" w:hAnsi="Times New Roman" w:cs="Times New Roman"/>
          <w:sz w:val="24"/>
        </w:rPr>
        <w:t>％，占商洛地区面积的</w:t>
      </w:r>
      <w:r>
        <w:rPr>
          <w:rFonts w:ascii="Times New Roman" w:eastAsia="宋体" w:hAnsi="Times New Roman" w:cs="Times New Roman"/>
          <w:sz w:val="24"/>
        </w:rPr>
        <w:t>12</w:t>
      </w:r>
      <w:r>
        <w:rPr>
          <w:rFonts w:ascii="Times New Roman" w:eastAsia="宋体" w:hAnsi="Times New Roman" w:cs="Times New Roman"/>
          <w:sz w:val="24"/>
        </w:rPr>
        <w:t>％。县人民政府驻地在旧县关原孝义厅城所在地。距省会西安</w:t>
      </w:r>
      <w:r>
        <w:rPr>
          <w:rFonts w:ascii="Times New Roman" w:eastAsia="宋体" w:hAnsi="Times New Roman" w:cs="Times New Roman"/>
          <w:sz w:val="24"/>
        </w:rPr>
        <w:t>70</w:t>
      </w:r>
      <w:r>
        <w:rPr>
          <w:rFonts w:ascii="Times New Roman" w:eastAsia="宋体" w:hAnsi="Times New Roman" w:cs="Times New Roman"/>
          <w:sz w:val="24"/>
        </w:rPr>
        <w:t>公里，距首都北京</w:t>
      </w:r>
      <w:r>
        <w:rPr>
          <w:rFonts w:ascii="Times New Roman" w:eastAsia="宋体" w:hAnsi="Times New Roman" w:cs="Times New Roman"/>
          <w:sz w:val="24"/>
        </w:rPr>
        <w:t>1076</w:t>
      </w:r>
      <w:r>
        <w:rPr>
          <w:rFonts w:ascii="Times New Roman" w:eastAsia="宋体" w:hAnsi="Times New Roman" w:cs="Times New Roman"/>
          <w:sz w:val="24"/>
        </w:rPr>
        <w:t>公里。</w:t>
      </w:r>
    </w:p>
    <w:p w14:paraId="29D787B0"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73" w:name="_Toc121411743"/>
      <w:r>
        <w:rPr>
          <w:rFonts w:ascii="Times New Roman" w:eastAsia="黑体" w:hAnsi="Times New Roman" w:cs="Times New Roman"/>
          <w:b w:val="0"/>
          <w:sz w:val="24"/>
        </w:rPr>
        <w:t>5.1.2</w:t>
      </w:r>
      <w:r>
        <w:rPr>
          <w:rFonts w:ascii="Times New Roman" w:eastAsia="黑体" w:hAnsi="Times New Roman" w:cs="Times New Roman"/>
          <w:b w:val="0"/>
          <w:sz w:val="24"/>
        </w:rPr>
        <w:t>地形地貌</w:t>
      </w:r>
      <w:bookmarkEnd w:id="369"/>
      <w:bookmarkEnd w:id="370"/>
      <w:bookmarkEnd w:id="371"/>
      <w:bookmarkEnd w:id="372"/>
      <w:bookmarkEnd w:id="373"/>
    </w:p>
    <w:p w14:paraId="4C7D4201" w14:textId="77777777" w:rsidR="00D12939" w:rsidRDefault="004F47F5">
      <w:pPr>
        <w:spacing w:line="360" w:lineRule="auto"/>
        <w:ind w:firstLine="480"/>
        <w:rPr>
          <w:rFonts w:ascii="Times New Roman" w:eastAsia="宋体" w:hAnsi="Times New Roman" w:cs="Times New Roman"/>
          <w:sz w:val="24"/>
        </w:rPr>
      </w:pPr>
      <w:bookmarkStart w:id="374" w:name="_Toc509579489"/>
      <w:bookmarkStart w:id="375" w:name="_Toc511132483"/>
      <w:bookmarkStart w:id="376" w:name="_Toc509578461"/>
      <w:bookmarkStart w:id="377" w:name="_Toc509579235"/>
      <w:r>
        <w:rPr>
          <w:rFonts w:ascii="Times New Roman" w:eastAsia="宋体" w:hAnsi="Times New Roman" w:cs="Times New Roman"/>
          <w:sz w:val="24"/>
        </w:rPr>
        <w:t>柞水是一个复杂的以高、中、低山为主体的山区，表现了</w:t>
      </w:r>
      <w:r>
        <w:rPr>
          <w:rFonts w:ascii="Times New Roman" w:eastAsia="宋体" w:hAnsi="Times New Roman" w:cs="Times New Roman"/>
          <w:sz w:val="24"/>
        </w:rPr>
        <w:t>“</w:t>
      </w:r>
      <w:r>
        <w:rPr>
          <w:rFonts w:ascii="Times New Roman" w:eastAsia="宋体" w:hAnsi="Times New Roman" w:cs="Times New Roman"/>
          <w:sz w:val="24"/>
        </w:rPr>
        <w:t>九山半水半分田</w:t>
      </w:r>
      <w:r>
        <w:rPr>
          <w:rFonts w:ascii="Times New Roman" w:eastAsia="宋体" w:hAnsi="Times New Roman" w:cs="Times New Roman"/>
          <w:sz w:val="24"/>
        </w:rPr>
        <w:t>”</w:t>
      </w:r>
      <w:r>
        <w:rPr>
          <w:rFonts w:ascii="Times New Roman" w:eastAsia="宋体" w:hAnsi="Times New Roman" w:cs="Times New Roman"/>
          <w:sz w:val="24"/>
        </w:rPr>
        <w:t>的特点。地势北高南低，最高点为营盘牛背梁，海拔</w:t>
      </w:r>
      <w:r>
        <w:rPr>
          <w:rFonts w:ascii="Times New Roman" w:eastAsia="宋体" w:hAnsi="Times New Roman" w:cs="Times New Roman"/>
          <w:sz w:val="24"/>
        </w:rPr>
        <w:t>2802.1</w:t>
      </w:r>
      <w:r>
        <w:rPr>
          <w:rFonts w:ascii="Times New Roman" w:eastAsia="宋体" w:hAnsi="Times New Roman" w:cs="Times New Roman"/>
          <w:sz w:val="24"/>
        </w:rPr>
        <w:t>米，最低为柴庄乡银潭沟口，海拔</w:t>
      </w:r>
      <w:r>
        <w:rPr>
          <w:rFonts w:ascii="Times New Roman" w:eastAsia="宋体" w:hAnsi="Times New Roman" w:cs="Times New Roman"/>
          <w:sz w:val="24"/>
        </w:rPr>
        <w:t>541</w:t>
      </w:r>
      <w:r>
        <w:rPr>
          <w:rFonts w:ascii="Times New Roman" w:eastAsia="宋体" w:hAnsi="Times New Roman" w:cs="Times New Roman"/>
          <w:sz w:val="24"/>
        </w:rPr>
        <w:t>米，相对高差</w:t>
      </w:r>
      <w:r>
        <w:rPr>
          <w:rFonts w:ascii="Times New Roman" w:eastAsia="宋体" w:hAnsi="Times New Roman" w:cs="Times New Roman"/>
          <w:sz w:val="24"/>
        </w:rPr>
        <w:t>2261.1</w:t>
      </w:r>
      <w:r>
        <w:rPr>
          <w:rFonts w:ascii="Times New Roman" w:eastAsia="宋体" w:hAnsi="Times New Roman" w:cs="Times New Roman"/>
          <w:sz w:val="24"/>
        </w:rPr>
        <w:t>米。</w:t>
      </w:r>
      <w:r>
        <w:rPr>
          <w:rFonts w:ascii="Times New Roman" w:eastAsia="宋体" w:hAnsi="Times New Roman" w:cs="Times New Roman"/>
          <w:sz w:val="24"/>
        </w:rPr>
        <w:t> </w:t>
      </w:r>
    </w:p>
    <w:p w14:paraId="7C59FCBF"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78" w:name="_Toc121411744"/>
      <w:r>
        <w:rPr>
          <w:rFonts w:ascii="Times New Roman" w:eastAsia="黑体" w:hAnsi="Times New Roman" w:cs="Times New Roman"/>
          <w:b w:val="0"/>
          <w:sz w:val="24"/>
        </w:rPr>
        <w:t>5.1.3</w:t>
      </w:r>
      <w:r>
        <w:rPr>
          <w:rFonts w:ascii="Times New Roman" w:eastAsia="黑体" w:hAnsi="Times New Roman" w:cs="Times New Roman"/>
          <w:b w:val="0"/>
          <w:sz w:val="24"/>
        </w:rPr>
        <w:t>地质</w:t>
      </w:r>
      <w:bookmarkEnd w:id="374"/>
      <w:bookmarkEnd w:id="375"/>
      <w:bookmarkEnd w:id="376"/>
      <w:bookmarkEnd w:id="377"/>
      <w:bookmarkEnd w:id="378"/>
    </w:p>
    <w:p w14:paraId="23422A2B" w14:textId="77777777" w:rsidR="00D12939" w:rsidRDefault="004F47F5">
      <w:pPr>
        <w:spacing w:line="360" w:lineRule="auto"/>
        <w:ind w:firstLine="480"/>
        <w:rPr>
          <w:rFonts w:ascii="Times New Roman" w:eastAsia="宋体" w:hAnsi="Times New Roman" w:cs="Times New Roman"/>
          <w:szCs w:val="24"/>
        </w:rPr>
      </w:pPr>
      <w:bookmarkStart w:id="379" w:name="_Toc509579236"/>
      <w:bookmarkStart w:id="380" w:name="_Toc509578462"/>
      <w:bookmarkStart w:id="381" w:name="_Toc511132484"/>
      <w:bookmarkStart w:id="382" w:name="_Toc509579490"/>
      <w:r>
        <w:rPr>
          <w:rFonts w:ascii="Times New Roman" w:eastAsia="宋体" w:hAnsi="Times New Roman" w:cs="Times New Roman"/>
          <w:szCs w:val="24"/>
        </w:rPr>
        <w:t>（</w:t>
      </w:r>
      <w:r>
        <w:rPr>
          <w:rFonts w:ascii="Times New Roman" w:eastAsia="宋体" w:hAnsi="Times New Roman" w:cs="Times New Roman"/>
          <w:szCs w:val="24"/>
        </w:rPr>
        <w:t>1</w:t>
      </w:r>
      <w:r>
        <w:rPr>
          <w:rFonts w:ascii="Times New Roman" w:eastAsia="宋体" w:hAnsi="Times New Roman" w:cs="Times New Roman"/>
          <w:szCs w:val="24"/>
        </w:rPr>
        <w:t>）地质构造</w:t>
      </w:r>
    </w:p>
    <w:p w14:paraId="3C5873FC"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w:t>
      </w:r>
      <w:r>
        <w:rPr>
          <w:rFonts w:ascii="Times New Roman" w:eastAsia="宋体" w:hAnsi="Times New Roman" w:cs="Times New Roman"/>
          <w:sz w:val="24"/>
          <w:szCs w:val="24"/>
        </w:rPr>
        <w:t>柞水县地质在经历了侏罗纪和白垩纪之后，承受地壳运动的岩层或岩石，在地壳运动力的作用下，多次发生变形变位。在商洛地区区域地质中属于柞水至山阳小区。这个小区北与洛南至商县小区为邻；南与镇安至竹林关小区接壤；北以杨斜至商南断裂为界；南以凤镇至牛耳川至竹林关断裂为界。区内地层主要以中、上泥盆统和下石炭统为主，分布广泛，并以复理石沉积为特点，最厚达</w:t>
      </w:r>
      <w:r>
        <w:rPr>
          <w:rFonts w:ascii="Times New Roman" w:eastAsia="宋体" w:hAnsi="Times New Roman" w:cs="Times New Roman"/>
          <w:sz w:val="24"/>
          <w:szCs w:val="24"/>
        </w:rPr>
        <w:t>8000</w:t>
      </w:r>
      <w:r>
        <w:rPr>
          <w:rFonts w:ascii="Times New Roman" w:eastAsia="宋体" w:hAnsi="Times New Roman" w:cs="Times New Roman"/>
          <w:sz w:val="24"/>
          <w:szCs w:val="24"/>
        </w:rPr>
        <w:t>余米。主要为各种片岩、板岩、大理岩、角岩、结晶灰岩、石英砂岩，岩性复杂。中、新生界地层为陆相堆积，零星分布。岩浆活动以燕山期为主，与成矿关系密切。</w:t>
      </w:r>
    </w:p>
    <w:p w14:paraId="28666583"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柞水地质构造以秦岭地槽的东秦岭褶皱系为基本特征。北临华北准地台南缘的商渭台缘褶皱带；南临加里东褶皱带。正处于背斜和向斜中间。它们之间，以营盘至九间房复活断裂和小岭至凤镇至柴庄断裂相隔，地处东秦岭褶皱系的华力西褶皱带，即位于营盘至九间房复活断裂以南，小岭</w:t>
      </w:r>
      <w:r>
        <w:rPr>
          <w:rFonts w:ascii="Times New Roman" w:eastAsia="宋体" w:hAnsi="Times New Roman" w:cs="Times New Roman"/>
          <w:sz w:val="24"/>
          <w:szCs w:val="24"/>
        </w:rPr>
        <w:t>—</w:t>
      </w:r>
      <w:r>
        <w:rPr>
          <w:rFonts w:ascii="Times New Roman" w:eastAsia="宋体" w:hAnsi="Times New Roman" w:cs="Times New Roman"/>
          <w:sz w:val="24"/>
          <w:szCs w:val="24"/>
        </w:rPr>
        <w:t>凤镇</w:t>
      </w:r>
      <w:r>
        <w:rPr>
          <w:rFonts w:ascii="Times New Roman" w:eastAsia="宋体" w:hAnsi="Times New Roman" w:cs="Times New Roman"/>
          <w:sz w:val="24"/>
          <w:szCs w:val="24"/>
        </w:rPr>
        <w:t>—</w:t>
      </w:r>
      <w:r>
        <w:rPr>
          <w:rFonts w:ascii="Times New Roman" w:eastAsia="宋体" w:hAnsi="Times New Roman" w:cs="Times New Roman"/>
          <w:sz w:val="24"/>
          <w:szCs w:val="24"/>
        </w:rPr>
        <w:t>柴庄复活断裂以北的地区，基本上与中、上泥盆统和下石炭统地层分布相吻合，并以复理石为特征，最厚的秦岭南麓地区约达</w:t>
      </w:r>
      <w:r>
        <w:rPr>
          <w:rFonts w:ascii="Times New Roman" w:eastAsia="宋体" w:hAnsi="Times New Roman" w:cs="Times New Roman"/>
          <w:sz w:val="24"/>
          <w:szCs w:val="24"/>
        </w:rPr>
        <w:t>8300</w:t>
      </w:r>
      <w:r>
        <w:rPr>
          <w:rFonts w:ascii="Times New Roman" w:eastAsia="宋体" w:hAnsi="Times New Roman" w:cs="Times New Roman"/>
          <w:sz w:val="24"/>
          <w:szCs w:val="24"/>
        </w:rPr>
        <w:t>多米。震旦、寒武、奥陶系地层，在县境北部和南部零星出露，以碳酸岩沉积为主，中、新生代为陆相堆积，零星分布。</w:t>
      </w:r>
    </w:p>
    <w:p w14:paraId="7B5119B2"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火成岩见于营盘、迷魂阵、九华山和县城附近，多系中生代侏罗纪花岗岩，沿北西向断裂分布，与县内矽卡岩型铜矿和多金属矿生成有密切关系。在上泥盆统与下石炭统地层中有大型</w:t>
      </w:r>
      <w:r>
        <w:rPr>
          <w:rFonts w:ascii="Times New Roman" w:eastAsia="宋体" w:hAnsi="Times New Roman" w:cs="Times New Roman"/>
          <w:sz w:val="24"/>
          <w:szCs w:val="24"/>
        </w:rPr>
        <w:lastRenderedPageBreak/>
        <w:t>沉积铁矿。</w:t>
      </w:r>
    </w:p>
    <w:p w14:paraId="7153A9F6"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县境断裂发育，呈北西西向延伸，主要有营盘至九间房复活断裂，长约</w:t>
      </w:r>
      <w:r>
        <w:rPr>
          <w:rFonts w:ascii="Times New Roman" w:eastAsia="宋体" w:hAnsi="Times New Roman" w:cs="Times New Roman"/>
          <w:sz w:val="24"/>
          <w:szCs w:val="24"/>
        </w:rPr>
        <w:t>80</w:t>
      </w:r>
      <w:r>
        <w:rPr>
          <w:rFonts w:ascii="Times New Roman" w:eastAsia="宋体" w:hAnsi="Times New Roman" w:cs="Times New Roman"/>
          <w:sz w:val="24"/>
          <w:szCs w:val="24"/>
        </w:rPr>
        <w:t>公里，破碎带宽</w:t>
      </w:r>
      <w:r>
        <w:rPr>
          <w:rFonts w:ascii="Times New Roman" w:eastAsia="宋体" w:hAnsi="Times New Roman" w:cs="Times New Roman"/>
          <w:sz w:val="24"/>
          <w:szCs w:val="24"/>
        </w:rPr>
        <w:t>50</w:t>
      </w:r>
      <w:r>
        <w:rPr>
          <w:rFonts w:ascii="Times New Roman" w:eastAsia="宋体" w:hAnsi="Times New Roman" w:cs="Times New Roman"/>
          <w:sz w:val="24"/>
          <w:szCs w:val="24"/>
        </w:rPr>
        <w:t>～</w:t>
      </w:r>
      <w:r>
        <w:rPr>
          <w:rFonts w:ascii="Times New Roman" w:eastAsia="宋体" w:hAnsi="Times New Roman" w:cs="Times New Roman"/>
          <w:sz w:val="24"/>
          <w:szCs w:val="24"/>
        </w:rPr>
        <w:t>200</w:t>
      </w:r>
      <w:r>
        <w:rPr>
          <w:rFonts w:ascii="Times New Roman" w:eastAsia="宋体" w:hAnsi="Times New Roman" w:cs="Times New Roman"/>
          <w:sz w:val="24"/>
          <w:szCs w:val="24"/>
        </w:rPr>
        <w:t>米，切穿了震旦亚界到第三系地层，沿断裂带有泥盆纪、三叠纪、侏罗纪、白垩纪的侵入岩分布，为一正断层。从断层两侧不同时代地层接触关系和超基性岩分布看，充分说明该断层规模大，形成早（早古生代）、活动强。小岭</w:t>
      </w:r>
      <w:r>
        <w:rPr>
          <w:rFonts w:ascii="Times New Roman" w:eastAsia="宋体" w:hAnsi="Times New Roman" w:cs="Times New Roman"/>
          <w:sz w:val="24"/>
          <w:szCs w:val="24"/>
        </w:rPr>
        <w:t>—</w:t>
      </w:r>
      <w:r>
        <w:rPr>
          <w:rFonts w:ascii="Times New Roman" w:eastAsia="宋体" w:hAnsi="Times New Roman" w:cs="Times New Roman"/>
          <w:sz w:val="24"/>
          <w:szCs w:val="24"/>
        </w:rPr>
        <w:t>凤镇</w:t>
      </w:r>
      <w:r>
        <w:rPr>
          <w:rFonts w:ascii="Times New Roman" w:eastAsia="宋体" w:hAnsi="Times New Roman" w:cs="Times New Roman"/>
          <w:sz w:val="24"/>
          <w:szCs w:val="24"/>
        </w:rPr>
        <w:t>—</w:t>
      </w:r>
      <w:r>
        <w:rPr>
          <w:rFonts w:ascii="Times New Roman" w:eastAsia="宋体" w:hAnsi="Times New Roman" w:cs="Times New Roman"/>
          <w:sz w:val="24"/>
          <w:szCs w:val="24"/>
        </w:rPr>
        <w:t>柴庄复活断裂，呈东西向延展，造成南北部沉积岩相的差异和小规模的老第三纪红盆的生成，同时也控制着许多小岩体及伴生矿产，显然是一个长期活动的深断裂，与之有联系的次一级羽状支断裂发育。该深断裂为一向北倾斜的逆断层，切穿了震旦亚界到第三系地层，沿断裂带有板板山侏罗纪花岗岩。</w:t>
      </w:r>
    </w:p>
    <w:p w14:paraId="31AC3C94"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柞水地质还包括镇安复向斜中的凤镇至塔寺背斜和冷水沟至大坪背斜。</w:t>
      </w:r>
    </w:p>
    <w:p w14:paraId="379CB722"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在下元古代吕梁运动后，太华隆起就一直处于上升为陆不断剥蚀阶段，经过震旦纪下统的蓟县运动，柞水地质开始分离解体。在震旦纪，除太华隆起外，南部的秦岭地槽处于下沉阶段，广泛受到海侵。海侵后，下沉更为强烈，形成一套槽形沉积。</w:t>
      </w:r>
    </w:p>
    <w:p w14:paraId="122A6421"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早寒武世加里东褶皱带，虽仍处于下沉阶段，但经加里东运动后，下沉幅度和范围都远不如震旦纪。奥陶纪末，因受加里东运动的影响，海水全部退出加里东褶皱带，从此结束了柞水的海侵历史。</w:t>
      </w:r>
    </w:p>
    <w:p w14:paraId="7F4FF21E"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柞水地质的发展自震旦纪为海侵以来，经加里东、华力西和印支运动，自北而南分段结束了海侵历史，在褶皱和断裂作用下相继隆起为陆。沧海桑田的巨变十分强烈而复杂，主要原因是由于地球内部应力的变化而发生发展的，伴随不同时代的地壳运动又有各种火成岩的侵入，形成各种类型矿产。</w:t>
      </w:r>
    </w:p>
    <w:p w14:paraId="39086894"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自三叠纪末期经印支运动，改变了秦岭的面貌，使秦岭整体上升，秦岭地槽历史也告结束。燕山运动时期，地壳的发展又发生质的变化，除承继早期的北西西或东西向断裂形成一些断陷盆地外，北东向断裂也很发育，沿断裂弱带有大规模的花岗岩、花岗斑岩、闪长岩侵入。经燕山运动后，地表构造骨架基本形成。</w:t>
      </w:r>
    </w:p>
    <w:p w14:paraId="12A0BD07"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第三纪的喜马拉雅山运动，使柞水承继性的又重新发生断块分异运动，在山间形成红色小盆地，堆积了以红色沙砾岩、粘土互层的陆屑沉积。第三系红层堆积，反映了当时高温湿热的气候特点。</w:t>
      </w:r>
    </w:p>
    <w:p w14:paraId="3B805F0E"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第四纪以来的新构造运动，地壳又发生错断分异上升运动。第三系红层发生错断和褶曲，第三纪的红盆亦随地体上升，并受到河流切割，间歇性掀升伴随河流的下切，普遍沿大河形成三级或四级阶地以及基岩峡谷内叠嵌套结构。有史以来的地震记载，亦说明柞水地壳在现代历</w:t>
      </w:r>
      <w:r>
        <w:rPr>
          <w:rFonts w:ascii="Times New Roman" w:eastAsia="宋体" w:hAnsi="Times New Roman" w:cs="Times New Roman"/>
          <w:sz w:val="24"/>
          <w:szCs w:val="24"/>
        </w:rPr>
        <w:lastRenderedPageBreak/>
        <w:t>史时期，仍处于相对上升的活动阶段，地貌形态表现为高山叠嶂、峡谷深邃的特色。</w:t>
      </w:r>
    </w:p>
    <w:p w14:paraId="46CB67B0" w14:textId="77777777" w:rsidR="00D12939" w:rsidRDefault="004F47F5">
      <w:pPr>
        <w:spacing w:line="360" w:lineRule="auto"/>
        <w:ind w:firstLine="480"/>
        <w:rPr>
          <w:rFonts w:ascii="Times New Roman" w:eastAsia="宋体" w:hAnsi="Times New Roman" w:cs="Times New Roman"/>
          <w:szCs w:val="24"/>
        </w:rPr>
      </w:pPr>
      <w:r>
        <w:rPr>
          <w:rFonts w:ascii="Times New Roman" w:eastAsia="宋体" w:hAnsi="Times New Roman" w:cs="Times New Roman"/>
          <w:szCs w:val="24"/>
        </w:rPr>
        <w:t>（</w:t>
      </w:r>
      <w:r>
        <w:rPr>
          <w:rFonts w:ascii="Times New Roman" w:eastAsia="宋体" w:hAnsi="Times New Roman" w:cs="Times New Roman"/>
          <w:szCs w:val="24"/>
        </w:rPr>
        <w:t>2</w:t>
      </w:r>
      <w:r>
        <w:rPr>
          <w:rFonts w:ascii="Times New Roman" w:eastAsia="宋体" w:hAnsi="Times New Roman" w:cs="Times New Roman"/>
          <w:szCs w:val="24"/>
        </w:rPr>
        <w:t>）地层</w:t>
      </w:r>
    </w:p>
    <w:p w14:paraId="0455AF58"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秦岭沿线（营盘</w:t>
      </w:r>
      <w:r>
        <w:rPr>
          <w:rFonts w:ascii="Times New Roman" w:eastAsia="宋体" w:hAnsi="Times New Roman" w:cs="Times New Roman"/>
          <w:sz w:val="24"/>
          <w:szCs w:val="24"/>
        </w:rPr>
        <w:t>—</w:t>
      </w:r>
      <w:r>
        <w:rPr>
          <w:rFonts w:ascii="Times New Roman" w:eastAsia="宋体" w:hAnsi="Times New Roman" w:cs="Times New Roman"/>
          <w:sz w:val="24"/>
          <w:szCs w:val="24"/>
        </w:rPr>
        <w:t>九间房），在新生代以来主要以差异断块升降运动为主，并具有断块掀斜运动特点，多具北陡南缓的不对称性。河流源远流长，山脉走向为掌状，依次向东南延伸。岩层厚度平均在</w:t>
      </w:r>
      <w:r>
        <w:rPr>
          <w:rFonts w:ascii="Times New Roman" w:eastAsia="宋体" w:hAnsi="Times New Roman" w:cs="Times New Roman"/>
          <w:sz w:val="24"/>
          <w:szCs w:val="24"/>
        </w:rPr>
        <w:t>8800</w:t>
      </w:r>
      <w:r>
        <w:rPr>
          <w:rFonts w:ascii="Times New Roman" w:eastAsia="宋体" w:hAnsi="Times New Roman" w:cs="Times New Roman"/>
          <w:sz w:val="24"/>
          <w:szCs w:val="24"/>
        </w:rPr>
        <w:t>米以上。多为断裂构造，有羽状节理（裂隙）和斜交节理。雨季多滑坡和泥石流。</w:t>
      </w:r>
    </w:p>
    <w:p w14:paraId="663485BA"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小岭</w:t>
      </w:r>
      <w:r>
        <w:rPr>
          <w:rFonts w:ascii="Times New Roman" w:eastAsia="宋体" w:hAnsi="Times New Roman" w:cs="Times New Roman"/>
          <w:sz w:val="24"/>
          <w:szCs w:val="24"/>
        </w:rPr>
        <w:t>—</w:t>
      </w:r>
      <w:r>
        <w:rPr>
          <w:rFonts w:ascii="Times New Roman" w:eastAsia="宋体" w:hAnsi="Times New Roman" w:cs="Times New Roman"/>
          <w:sz w:val="24"/>
          <w:szCs w:val="24"/>
        </w:rPr>
        <w:t>凤镇</w:t>
      </w:r>
      <w:r>
        <w:rPr>
          <w:rFonts w:ascii="Times New Roman" w:eastAsia="宋体" w:hAnsi="Times New Roman" w:cs="Times New Roman"/>
          <w:sz w:val="24"/>
          <w:szCs w:val="24"/>
        </w:rPr>
        <w:t>—</w:t>
      </w:r>
      <w:r>
        <w:rPr>
          <w:rFonts w:ascii="Times New Roman" w:eastAsia="宋体" w:hAnsi="Times New Roman" w:cs="Times New Roman"/>
          <w:sz w:val="24"/>
          <w:szCs w:val="24"/>
        </w:rPr>
        <w:t>柴庄复活断裂带，切穿了震旦亚界至第三系红层，控制了古、中、新生代山间拗陷盆地的形成。岩层厚度约在</w:t>
      </w:r>
      <w:r>
        <w:rPr>
          <w:rFonts w:ascii="Times New Roman" w:eastAsia="宋体" w:hAnsi="Times New Roman" w:cs="Times New Roman"/>
          <w:sz w:val="24"/>
          <w:szCs w:val="24"/>
        </w:rPr>
        <w:t>7800</w:t>
      </w:r>
      <w:r>
        <w:rPr>
          <w:rFonts w:ascii="Times New Roman" w:eastAsia="宋体" w:hAnsi="Times New Roman" w:cs="Times New Roman"/>
          <w:sz w:val="24"/>
          <w:szCs w:val="24"/>
        </w:rPr>
        <w:t>米以上，亦为断裂构造，雨季时有滑坡和泥石流。</w:t>
      </w:r>
    </w:p>
    <w:p w14:paraId="07FB2AB5"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社川河沿线至蔡玉窑，为容易风化的白砂岩，岩层平均厚度为</w:t>
      </w:r>
      <w:r>
        <w:rPr>
          <w:rFonts w:ascii="Times New Roman" w:eastAsia="宋体" w:hAnsi="Times New Roman" w:cs="Times New Roman"/>
          <w:sz w:val="24"/>
          <w:szCs w:val="24"/>
        </w:rPr>
        <w:t>6000</w:t>
      </w:r>
      <w:r>
        <w:rPr>
          <w:rFonts w:ascii="Times New Roman" w:eastAsia="宋体" w:hAnsi="Times New Roman" w:cs="Times New Roman"/>
          <w:sz w:val="24"/>
          <w:szCs w:val="24"/>
        </w:rPr>
        <w:t>米至</w:t>
      </w:r>
      <w:r>
        <w:rPr>
          <w:rFonts w:ascii="Times New Roman" w:eastAsia="宋体" w:hAnsi="Times New Roman" w:cs="Times New Roman"/>
          <w:sz w:val="24"/>
          <w:szCs w:val="24"/>
        </w:rPr>
        <w:t>6500</w:t>
      </w:r>
      <w:r>
        <w:rPr>
          <w:rFonts w:ascii="Times New Roman" w:eastAsia="宋体" w:hAnsi="Times New Roman" w:cs="Times New Roman"/>
          <w:sz w:val="24"/>
          <w:szCs w:val="24"/>
        </w:rPr>
        <w:t>米，很少有断裂。</w:t>
      </w:r>
    </w:p>
    <w:p w14:paraId="49A21814"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第四纪时期，乾佑、金井、社川各大河均发育了四级阶地。最高一级阶地已高出河床</w:t>
      </w:r>
      <w:r>
        <w:rPr>
          <w:rFonts w:ascii="Times New Roman" w:eastAsia="宋体" w:hAnsi="Times New Roman" w:cs="Times New Roman"/>
          <w:sz w:val="24"/>
          <w:szCs w:val="24"/>
        </w:rPr>
        <w:t>70</w:t>
      </w:r>
      <w:r>
        <w:rPr>
          <w:rFonts w:ascii="Times New Roman" w:eastAsia="宋体" w:hAnsi="Times New Roman" w:cs="Times New Roman"/>
          <w:sz w:val="24"/>
          <w:szCs w:val="24"/>
        </w:rPr>
        <w:t>～</w:t>
      </w:r>
      <w:r>
        <w:rPr>
          <w:rFonts w:ascii="Times New Roman" w:eastAsia="宋体" w:hAnsi="Times New Roman" w:cs="Times New Roman"/>
          <w:sz w:val="24"/>
          <w:szCs w:val="24"/>
        </w:rPr>
        <w:t>130</w:t>
      </w:r>
      <w:r>
        <w:rPr>
          <w:rFonts w:ascii="Times New Roman" w:eastAsia="宋体" w:hAnsi="Times New Roman" w:cs="Times New Roman"/>
          <w:sz w:val="24"/>
          <w:szCs w:val="24"/>
        </w:rPr>
        <w:t>米。阶地的形成反映了现代地壳间歇性上升、河流相对下切的构造变动。同时，在很多河段如金井河下游的曹坪、马家台和乾佑河的石镇、石坪段，深切曲流发育，离堆山交互错列，亦属构造抬升条件下，河流下切作用增强的遗迹。山地夷平面的多层性地貌特征，是反映山地间歇性上升运动作用的一个侧面。柞水山地夷平面共分五级，由低而高，海拔依次为柴庄、铁佛、杏坪</w:t>
      </w:r>
      <w:r>
        <w:rPr>
          <w:rFonts w:ascii="Times New Roman" w:eastAsia="宋体" w:hAnsi="Times New Roman" w:cs="Times New Roman"/>
          <w:sz w:val="24"/>
          <w:szCs w:val="24"/>
        </w:rPr>
        <w:t>500</w:t>
      </w:r>
      <w:r>
        <w:rPr>
          <w:rFonts w:ascii="Times New Roman" w:eastAsia="宋体" w:hAnsi="Times New Roman" w:cs="Times New Roman"/>
          <w:sz w:val="24"/>
          <w:szCs w:val="24"/>
        </w:rPr>
        <w:t>～</w:t>
      </w:r>
      <w:r>
        <w:rPr>
          <w:rFonts w:ascii="Times New Roman" w:eastAsia="宋体" w:hAnsi="Times New Roman" w:cs="Times New Roman"/>
          <w:sz w:val="24"/>
          <w:szCs w:val="24"/>
        </w:rPr>
        <w:t>800</w:t>
      </w:r>
      <w:r>
        <w:rPr>
          <w:rFonts w:ascii="Times New Roman" w:eastAsia="宋体" w:hAnsi="Times New Roman" w:cs="Times New Roman"/>
          <w:sz w:val="24"/>
          <w:szCs w:val="24"/>
        </w:rPr>
        <w:t>米；周垣、凤凰、黄金、石瓮</w:t>
      </w:r>
      <w:r>
        <w:rPr>
          <w:rFonts w:ascii="Times New Roman" w:eastAsia="宋体" w:hAnsi="Times New Roman" w:cs="Times New Roman"/>
          <w:sz w:val="24"/>
          <w:szCs w:val="24"/>
        </w:rPr>
        <w:t>800</w:t>
      </w:r>
      <w:r>
        <w:rPr>
          <w:rFonts w:ascii="Times New Roman" w:eastAsia="宋体" w:hAnsi="Times New Roman" w:cs="Times New Roman"/>
          <w:sz w:val="24"/>
          <w:szCs w:val="24"/>
        </w:rPr>
        <w:t>～</w:t>
      </w:r>
      <w:r>
        <w:rPr>
          <w:rFonts w:ascii="Times New Roman" w:eastAsia="宋体" w:hAnsi="Times New Roman" w:cs="Times New Roman"/>
          <w:sz w:val="24"/>
          <w:szCs w:val="24"/>
        </w:rPr>
        <w:t>1000</w:t>
      </w:r>
      <w:r>
        <w:rPr>
          <w:rFonts w:ascii="Times New Roman" w:eastAsia="宋体" w:hAnsi="Times New Roman" w:cs="Times New Roman"/>
          <w:sz w:val="24"/>
          <w:szCs w:val="24"/>
        </w:rPr>
        <w:t>米；乾佑镇、下梁、窑镇、马家台、穆家庄、肖台、张家坪、药王等</w:t>
      </w:r>
      <w:r>
        <w:rPr>
          <w:rFonts w:ascii="Times New Roman" w:eastAsia="宋体" w:hAnsi="Times New Roman" w:cs="Times New Roman"/>
          <w:sz w:val="24"/>
          <w:szCs w:val="24"/>
        </w:rPr>
        <w:t>950</w:t>
      </w:r>
      <w:r>
        <w:rPr>
          <w:rFonts w:ascii="Times New Roman" w:eastAsia="宋体" w:hAnsi="Times New Roman" w:cs="Times New Roman"/>
          <w:sz w:val="24"/>
          <w:szCs w:val="24"/>
        </w:rPr>
        <w:t>～</w:t>
      </w:r>
      <w:r>
        <w:rPr>
          <w:rFonts w:ascii="Times New Roman" w:eastAsia="宋体" w:hAnsi="Times New Roman" w:cs="Times New Roman"/>
          <w:sz w:val="24"/>
          <w:szCs w:val="24"/>
        </w:rPr>
        <w:t>1200</w:t>
      </w:r>
      <w:r>
        <w:rPr>
          <w:rFonts w:ascii="Times New Roman" w:eastAsia="宋体" w:hAnsi="Times New Roman" w:cs="Times New Roman"/>
          <w:sz w:val="24"/>
          <w:szCs w:val="24"/>
        </w:rPr>
        <w:t>米；银碗、小岭、曹坪、红石、高桥、红岩寺、云蒙为</w:t>
      </w:r>
      <w:r>
        <w:rPr>
          <w:rFonts w:ascii="Times New Roman" w:eastAsia="宋体" w:hAnsi="Times New Roman" w:cs="Times New Roman"/>
          <w:sz w:val="24"/>
          <w:szCs w:val="24"/>
        </w:rPr>
        <w:t>1300</w:t>
      </w:r>
      <w:r>
        <w:rPr>
          <w:rFonts w:ascii="Times New Roman" w:eastAsia="宋体" w:hAnsi="Times New Roman" w:cs="Times New Roman"/>
          <w:sz w:val="24"/>
          <w:szCs w:val="24"/>
        </w:rPr>
        <w:t>～</w:t>
      </w:r>
      <w:r>
        <w:rPr>
          <w:rFonts w:ascii="Times New Roman" w:eastAsia="宋体" w:hAnsi="Times New Roman" w:cs="Times New Roman"/>
          <w:sz w:val="24"/>
          <w:szCs w:val="24"/>
        </w:rPr>
        <w:t>1500</w:t>
      </w:r>
      <w:r>
        <w:rPr>
          <w:rFonts w:ascii="Times New Roman" w:eastAsia="宋体" w:hAnsi="Times New Roman" w:cs="Times New Roman"/>
          <w:sz w:val="24"/>
          <w:szCs w:val="24"/>
        </w:rPr>
        <w:t>米，两河、老林、太河、龙潭、丰北河、九间房、万青等为</w:t>
      </w:r>
      <w:r>
        <w:rPr>
          <w:rFonts w:ascii="Times New Roman" w:eastAsia="宋体" w:hAnsi="Times New Roman" w:cs="Times New Roman"/>
          <w:sz w:val="24"/>
          <w:szCs w:val="24"/>
        </w:rPr>
        <w:t>1600</w:t>
      </w:r>
      <w:r>
        <w:rPr>
          <w:rFonts w:ascii="Times New Roman" w:eastAsia="宋体" w:hAnsi="Times New Roman" w:cs="Times New Roman"/>
          <w:sz w:val="24"/>
          <w:szCs w:val="24"/>
        </w:rPr>
        <w:t>～</w:t>
      </w:r>
      <w:r>
        <w:rPr>
          <w:rFonts w:ascii="Times New Roman" w:eastAsia="宋体" w:hAnsi="Times New Roman" w:cs="Times New Roman"/>
          <w:sz w:val="24"/>
          <w:szCs w:val="24"/>
        </w:rPr>
        <w:t>2000</w:t>
      </w:r>
      <w:r>
        <w:rPr>
          <w:rFonts w:ascii="Times New Roman" w:eastAsia="宋体" w:hAnsi="Times New Roman" w:cs="Times New Roman"/>
          <w:sz w:val="24"/>
          <w:szCs w:val="24"/>
        </w:rPr>
        <w:t>米。其中太河、老林、九间房、丰北河等地部分地区山地夷平面在</w:t>
      </w:r>
      <w:r>
        <w:rPr>
          <w:rFonts w:ascii="Times New Roman" w:eastAsia="宋体" w:hAnsi="Times New Roman" w:cs="Times New Roman"/>
          <w:sz w:val="24"/>
          <w:szCs w:val="24"/>
        </w:rPr>
        <w:t>2000</w:t>
      </w:r>
      <w:r>
        <w:rPr>
          <w:rFonts w:ascii="Times New Roman" w:eastAsia="宋体" w:hAnsi="Times New Roman" w:cs="Times New Roman"/>
          <w:sz w:val="24"/>
          <w:szCs w:val="24"/>
        </w:rPr>
        <w:t>米以上。</w:t>
      </w:r>
    </w:p>
    <w:p w14:paraId="6A828530" w14:textId="77777777" w:rsidR="00D12939" w:rsidRDefault="004F47F5">
      <w:pPr>
        <w:spacing w:line="360" w:lineRule="auto"/>
        <w:ind w:firstLine="480"/>
        <w:rPr>
          <w:rFonts w:ascii="Times New Roman" w:eastAsia="宋体" w:hAnsi="Times New Roman" w:cs="Times New Roman"/>
          <w:szCs w:val="24"/>
        </w:rPr>
      </w:pPr>
      <w:r>
        <w:rPr>
          <w:rFonts w:ascii="Times New Roman" w:eastAsia="宋体" w:hAnsi="Times New Roman" w:cs="Times New Roman"/>
          <w:sz w:val="24"/>
          <w:szCs w:val="24"/>
        </w:rPr>
        <w:t>下梁和凤镇的黄金、周垣、杏坪、柴庄等地，堆积了厚度不等的第四纪地层。第四系冲积</w:t>
      </w:r>
      <w:r>
        <w:rPr>
          <w:rFonts w:ascii="Times New Roman" w:eastAsia="宋体" w:hAnsi="Times New Roman" w:cs="Times New Roman"/>
          <w:sz w:val="24"/>
          <w:szCs w:val="24"/>
        </w:rPr>
        <w:t>—</w:t>
      </w:r>
      <w:r>
        <w:rPr>
          <w:rFonts w:ascii="Times New Roman" w:eastAsia="宋体" w:hAnsi="Times New Roman" w:cs="Times New Roman"/>
          <w:sz w:val="24"/>
          <w:szCs w:val="24"/>
        </w:rPr>
        <w:t>洪积层约</w:t>
      </w:r>
      <w:r>
        <w:rPr>
          <w:rFonts w:ascii="Times New Roman" w:eastAsia="宋体" w:hAnsi="Times New Roman" w:cs="Times New Roman"/>
          <w:sz w:val="24"/>
          <w:szCs w:val="24"/>
        </w:rPr>
        <w:t>100</w:t>
      </w:r>
      <w:r>
        <w:rPr>
          <w:rFonts w:ascii="Times New Roman" w:eastAsia="宋体" w:hAnsi="Times New Roman" w:cs="Times New Roman"/>
          <w:sz w:val="24"/>
          <w:szCs w:val="24"/>
        </w:rPr>
        <w:t>米，说明其累计下降幅度在</w:t>
      </w:r>
      <w:r>
        <w:rPr>
          <w:rFonts w:ascii="Times New Roman" w:eastAsia="宋体" w:hAnsi="Times New Roman" w:cs="Times New Roman"/>
          <w:sz w:val="24"/>
          <w:szCs w:val="24"/>
        </w:rPr>
        <w:t>700</w:t>
      </w:r>
      <w:r>
        <w:rPr>
          <w:rFonts w:ascii="Times New Roman" w:eastAsia="宋体" w:hAnsi="Times New Roman" w:cs="Times New Roman"/>
          <w:sz w:val="24"/>
          <w:szCs w:val="24"/>
        </w:rPr>
        <w:t>米以上。</w:t>
      </w:r>
    </w:p>
    <w:p w14:paraId="2C3C7F0B"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83" w:name="_Toc121411745"/>
      <w:r>
        <w:rPr>
          <w:rFonts w:ascii="Times New Roman" w:eastAsia="黑体" w:hAnsi="Times New Roman" w:cs="Times New Roman"/>
          <w:b w:val="0"/>
          <w:sz w:val="24"/>
        </w:rPr>
        <w:t>5.1.4</w:t>
      </w:r>
      <w:r>
        <w:rPr>
          <w:rFonts w:ascii="Times New Roman" w:eastAsia="黑体" w:hAnsi="Times New Roman" w:cs="Times New Roman"/>
          <w:b w:val="0"/>
          <w:sz w:val="24"/>
        </w:rPr>
        <w:t>水文</w:t>
      </w:r>
      <w:bookmarkEnd w:id="379"/>
      <w:bookmarkEnd w:id="380"/>
      <w:bookmarkEnd w:id="381"/>
      <w:bookmarkEnd w:id="382"/>
      <w:bookmarkEnd w:id="383"/>
    </w:p>
    <w:p w14:paraId="3D83140C" w14:textId="77777777" w:rsidR="002A4A5F" w:rsidRDefault="002A4A5F" w:rsidP="002A4A5F">
      <w:pPr>
        <w:spacing w:line="360" w:lineRule="auto"/>
        <w:ind w:firstLine="480"/>
        <w:rPr>
          <w:rFonts w:ascii="Times New Roman" w:eastAsia="宋体" w:hAnsi="Times New Roman" w:cs="Times New Roman"/>
          <w:color w:val="FF0000"/>
          <w:sz w:val="24"/>
          <w:szCs w:val="24"/>
        </w:rPr>
      </w:pPr>
      <w:bookmarkStart w:id="384" w:name="_Toc509578463"/>
      <w:bookmarkStart w:id="385" w:name="_Toc511132485"/>
      <w:bookmarkStart w:id="386" w:name="_Toc509579237"/>
      <w:bookmarkStart w:id="387" w:name="_Toc509579491"/>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1</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地表水</w:t>
      </w:r>
    </w:p>
    <w:p w14:paraId="68A4D7C4"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color w:val="FF0000"/>
          <w:sz w:val="24"/>
          <w:szCs w:val="24"/>
        </w:rPr>
        <w:t>柞水境内乾佑、金井、社川及西部沙洛河，沿河道坡塬阶地及低山丘陵面积占全县总面积的</w:t>
      </w:r>
      <w:r>
        <w:rPr>
          <w:rFonts w:ascii="Times New Roman" w:eastAsia="宋体" w:hAnsi="Times New Roman" w:cs="Times New Roman"/>
          <w:color w:val="FF0000"/>
          <w:sz w:val="24"/>
          <w:szCs w:val="24"/>
        </w:rPr>
        <w:t>22.37</w:t>
      </w:r>
      <w:r>
        <w:rPr>
          <w:rFonts w:ascii="Times New Roman" w:eastAsia="宋体" w:hAnsi="Times New Roman" w:cs="Times New Roman"/>
          <w:color w:val="FF0000"/>
          <w:sz w:val="24"/>
          <w:szCs w:val="24"/>
        </w:rPr>
        <w:t>％，相对高差平均为</w:t>
      </w:r>
      <w:r>
        <w:rPr>
          <w:rFonts w:ascii="Times New Roman" w:eastAsia="宋体" w:hAnsi="Times New Roman" w:cs="Times New Roman"/>
          <w:color w:val="FF0000"/>
          <w:sz w:val="24"/>
          <w:szCs w:val="24"/>
        </w:rPr>
        <w:t>950</w:t>
      </w:r>
      <w:r>
        <w:rPr>
          <w:rFonts w:ascii="Times New Roman" w:eastAsia="宋体" w:hAnsi="Times New Roman" w:cs="Times New Roman"/>
          <w:color w:val="FF0000"/>
          <w:sz w:val="24"/>
          <w:szCs w:val="24"/>
        </w:rPr>
        <w:t>米左右。</w:t>
      </w:r>
    </w:p>
    <w:p w14:paraId="16F65804"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color w:val="FF0000"/>
          <w:sz w:val="24"/>
          <w:szCs w:val="24"/>
        </w:rPr>
        <w:t>四条主要河流和</w:t>
      </w:r>
      <w:r>
        <w:rPr>
          <w:rFonts w:ascii="Times New Roman" w:eastAsia="宋体" w:hAnsi="Times New Roman" w:cs="Times New Roman"/>
          <w:color w:val="FF0000"/>
          <w:sz w:val="24"/>
          <w:szCs w:val="24"/>
        </w:rPr>
        <w:t>7320</w:t>
      </w:r>
      <w:r>
        <w:rPr>
          <w:rFonts w:ascii="Times New Roman" w:eastAsia="宋体" w:hAnsi="Times New Roman" w:cs="Times New Roman"/>
          <w:color w:val="FF0000"/>
          <w:sz w:val="24"/>
          <w:szCs w:val="24"/>
        </w:rPr>
        <w:t>多条小沟的流水，在重力作用下，沿地表流动，产生一定的功能。当流量增加，流速加大时，流水作用功能加大，进行侵蚀，并将侵蚀的产物带走；反之，水量减少或流速变慢，流水作用能力减弱，发生堆积。</w:t>
      </w:r>
    </w:p>
    <w:p w14:paraId="039B54D1"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库内各沟谷均存在季节性流水，流量受降雨影响较大，地址勘察期间，在沟口测得流量约</w:t>
      </w:r>
      <w:r>
        <w:rPr>
          <w:rFonts w:ascii="Times New Roman" w:eastAsia="宋体" w:hAnsi="Times New Roman" w:cs="Times New Roman" w:hint="eastAsia"/>
          <w:color w:val="FF0000"/>
          <w:sz w:val="24"/>
          <w:szCs w:val="24"/>
        </w:rPr>
        <w:lastRenderedPageBreak/>
        <w:t>为</w:t>
      </w:r>
      <w:r>
        <w:rPr>
          <w:rFonts w:ascii="Times New Roman" w:eastAsia="宋体" w:hAnsi="Times New Roman" w:cs="Times New Roman" w:hint="eastAsia"/>
          <w:color w:val="FF0000"/>
          <w:sz w:val="24"/>
          <w:szCs w:val="24"/>
        </w:rPr>
        <w:t xml:space="preserve"> 0.05m</w:t>
      </w:r>
      <w:r>
        <w:rPr>
          <w:rFonts w:ascii="Times New Roman" w:eastAsia="宋体" w:hAnsi="Times New Roman" w:cs="Times New Roman" w:hint="eastAsia"/>
          <w:color w:val="FF0000"/>
          <w:sz w:val="24"/>
          <w:szCs w:val="24"/>
          <w:vertAlign w:val="superscript"/>
        </w:rPr>
        <w:t>3</w:t>
      </w:r>
      <w:r>
        <w:rPr>
          <w:rFonts w:ascii="Times New Roman" w:eastAsia="宋体" w:hAnsi="Times New Roman" w:cs="Times New Roman" w:hint="eastAsia"/>
          <w:color w:val="FF0000"/>
          <w:sz w:val="24"/>
          <w:szCs w:val="24"/>
        </w:rPr>
        <w:t>/s~0.7m</w:t>
      </w:r>
      <w:r>
        <w:rPr>
          <w:rFonts w:ascii="Times New Roman" w:eastAsia="宋体" w:hAnsi="Times New Roman" w:cs="Times New Roman" w:hint="eastAsia"/>
          <w:color w:val="FF0000"/>
          <w:sz w:val="24"/>
          <w:szCs w:val="24"/>
          <w:vertAlign w:val="superscript"/>
        </w:rPr>
        <w:t>3</w:t>
      </w:r>
      <w:r>
        <w:rPr>
          <w:rFonts w:ascii="Times New Roman" w:eastAsia="宋体" w:hAnsi="Times New Roman" w:cs="Times New Roman" w:hint="eastAsia"/>
          <w:color w:val="FF0000"/>
          <w:sz w:val="24"/>
          <w:szCs w:val="24"/>
        </w:rPr>
        <w:t>/s</w:t>
      </w:r>
      <w:r>
        <w:rPr>
          <w:rFonts w:ascii="Times New Roman" w:eastAsia="宋体" w:hAnsi="Times New Roman" w:cs="Times New Roman" w:hint="eastAsia"/>
          <w:color w:val="FF0000"/>
          <w:sz w:val="24"/>
          <w:szCs w:val="24"/>
        </w:rPr>
        <w:t>。另据调查，在冬季干旱季节，沟内溪水常常干涸断流。</w:t>
      </w:r>
    </w:p>
    <w:p w14:paraId="791194B6" w14:textId="59E5B3F1" w:rsidR="002A4A5F" w:rsidRDefault="000918D3" w:rsidP="000918D3">
      <w:pPr>
        <w:spacing w:line="360" w:lineRule="auto"/>
        <w:rPr>
          <w:rFonts w:ascii="Times New Roman" w:eastAsia="宋体" w:hAnsi="Times New Roman" w:cs="Times New Roman"/>
          <w:color w:val="FF0000"/>
          <w:sz w:val="24"/>
          <w:szCs w:val="24"/>
        </w:rPr>
      </w:pPr>
      <w:r w:rsidRPr="000918D3">
        <w:drawing>
          <wp:inline distT="0" distB="0" distL="0" distR="0" wp14:anchorId="4385741A" wp14:editId="43595124">
            <wp:extent cx="6188710" cy="379601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88710" cy="3796014"/>
                    </a:xfrm>
                    <a:prstGeom prst="rect">
                      <a:avLst/>
                    </a:prstGeom>
                    <a:noFill/>
                    <a:ln>
                      <a:noFill/>
                    </a:ln>
                  </pic:spPr>
                </pic:pic>
              </a:graphicData>
            </a:graphic>
          </wp:inline>
        </w:drawing>
      </w:r>
    </w:p>
    <w:p w14:paraId="32831290" w14:textId="2F29AB55" w:rsidR="002A4A5F" w:rsidRPr="000918D3" w:rsidRDefault="002A4A5F" w:rsidP="002A4A5F">
      <w:pPr>
        <w:jc w:val="center"/>
        <w:rPr>
          <w:rFonts w:ascii="黑体" w:eastAsia="黑体" w:hAnsi="黑体"/>
        </w:rPr>
      </w:pPr>
      <w:r w:rsidRPr="000918D3">
        <w:rPr>
          <w:rFonts w:ascii="黑体" w:eastAsia="黑体" w:hAnsi="黑体" w:cs="Times New Roman" w:hint="eastAsia"/>
          <w:color w:val="FF0000"/>
          <w:sz w:val="24"/>
          <w:szCs w:val="24"/>
        </w:rPr>
        <w:t>图5.1</w:t>
      </w:r>
      <w:r w:rsidR="000918D3">
        <w:rPr>
          <w:rFonts w:ascii="黑体" w:eastAsia="黑体" w:hAnsi="黑体" w:cs="Times New Roman"/>
          <w:color w:val="FF0000"/>
          <w:sz w:val="24"/>
          <w:szCs w:val="24"/>
        </w:rPr>
        <w:t>-1</w:t>
      </w:r>
      <w:r w:rsidRPr="000918D3">
        <w:rPr>
          <w:rFonts w:ascii="黑体" w:eastAsia="黑体" w:hAnsi="黑体" w:cs="Times New Roman" w:hint="eastAsia"/>
          <w:color w:val="FF0000"/>
          <w:sz w:val="24"/>
          <w:szCs w:val="24"/>
        </w:rPr>
        <w:t xml:space="preserve">  项目周边水系图</w:t>
      </w:r>
    </w:p>
    <w:p w14:paraId="696BEF4F"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2</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地下水</w:t>
      </w:r>
    </w:p>
    <w:p w14:paraId="6CC89119"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含水层与隔水层：</w:t>
      </w:r>
    </w:p>
    <w:p w14:paraId="65735F65"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沟谷两侧浅部的坡积层及底部的冲洪积层渗透性较强，沟底的冲洪积层为主要含水层，坡积层在雨季有地下水短暂富集，旱季大部分干涸。下部花岗岩浅部裂隙发育，也是场地主要的含水层之一，深部中</w:t>
      </w: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微风化花岗岩则是相对隔水层。场地含水层的储水量受降雨影响较大，旱季浅部含</w:t>
      </w:r>
      <w:r>
        <w:rPr>
          <w:rFonts w:ascii="Times New Roman" w:eastAsia="宋体" w:hAnsi="Times New Roman" w:cs="Times New Roman" w:hint="eastAsia"/>
          <w:color w:val="FF0000"/>
          <w:sz w:val="24"/>
          <w:szCs w:val="24"/>
        </w:rPr>
        <w:t xml:space="preserve"> </w:t>
      </w:r>
      <w:r>
        <w:rPr>
          <w:rFonts w:ascii="Times New Roman" w:eastAsia="宋体" w:hAnsi="Times New Roman" w:cs="Times New Roman" w:hint="eastAsia"/>
          <w:color w:val="FF0000"/>
          <w:sz w:val="24"/>
          <w:szCs w:val="24"/>
        </w:rPr>
        <w:t>水层上部多呈干涸状态。</w:t>
      </w:r>
    </w:p>
    <w:p w14:paraId="161F9483"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地下水类型、动态及补排关系：</w:t>
      </w:r>
    </w:p>
    <w:p w14:paraId="549131DE"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场地地下水类型为松散覆盖层中的潜水及基岩裂隙水，水位随地势起伏变化由北向南逐渐降低，由两岸向沟底逐渐降低。地下水的主要补给来</w:t>
      </w:r>
      <w:r>
        <w:rPr>
          <w:rFonts w:ascii="Times New Roman" w:eastAsia="宋体" w:hAnsi="Times New Roman" w:cs="Times New Roman" w:hint="eastAsia"/>
          <w:color w:val="FF0000"/>
          <w:sz w:val="24"/>
          <w:szCs w:val="24"/>
        </w:rPr>
        <w:t xml:space="preserve"> </w:t>
      </w:r>
      <w:r>
        <w:rPr>
          <w:rFonts w:ascii="Times New Roman" w:eastAsia="宋体" w:hAnsi="Times New Roman" w:cs="Times New Roman" w:hint="eastAsia"/>
          <w:color w:val="FF0000"/>
          <w:sz w:val="24"/>
          <w:szCs w:val="24"/>
        </w:rPr>
        <w:t>源为大气降水，由上游地势较高处向下游及地势低洼处排泄。部分勘探孔遇见地下水，水位埋深介于</w:t>
      </w:r>
      <w:r>
        <w:rPr>
          <w:rFonts w:ascii="Times New Roman" w:eastAsia="宋体" w:hAnsi="Times New Roman" w:cs="Times New Roman" w:hint="eastAsia"/>
          <w:color w:val="FF0000"/>
          <w:sz w:val="24"/>
          <w:szCs w:val="24"/>
        </w:rPr>
        <w:t xml:space="preserve">0.50~2.80m </w:t>
      </w:r>
      <w:r>
        <w:rPr>
          <w:rFonts w:ascii="Times New Roman" w:eastAsia="宋体" w:hAnsi="Times New Roman" w:cs="Times New Roman" w:hint="eastAsia"/>
          <w:color w:val="FF0000"/>
          <w:sz w:val="24"/>
          <w:szCs w:val="24"/>
        </w:rPr>
        <w:t>之间，地下水水位随地形起伏，稳定水位高程介于</w:t>
      </w:r>
      <w:r>
        <w:rPr>
          <w:rFonts w:ascii="Times New Roman" w:eastAsia="宋体" w:hAnsi="Times New Roman" w:cs="Times New Roman" w:hint="eastAsia"/>
          <w:color w:val="FF0000"/>
          <w:sz w:val="24"/>
          <w:szCs w:val="24"/>
        </w:rPr>
        <w:t xml:space="preserve"> 1099.20~1189.50m</w:t>
      </w:r>
      <w:r>
        <w:rPr>
          <w:rFonts w:ascii="Times New Roman" w:eastAsia="宋体" w:hAnsi="Times New Roman" w:cs="Times New Roman" w:hint="eastAsia"/>
          <w:color w:val="FF0000"/>
          <w:sz w:val="24"/>
          <w:szCs w:val="24"/>
        </w:rPr>
        <w:t>。</w:t>
      </w:r>
    </w:p>
    <w:p w14:paraId="6132E80A"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在主沟及两条支沟内均未发现泉水出露。场地覆盖层及浅部强风化花岗岩为强透水层，其均呈现随深度增加渗透性减弱的特征，至深部完整性好的中风化花岗岩为相对不透水层场地地下水流向呈由两岸向谷底汇集、由上游向下游排泄的特征，无其他通向库外的渗水通道。库区</w:t>
      </w:r>
      <w:r>
        <w:rPr>
          <w:rFonts w:ascii="Times New Roman" w:eastAsia="宋体" w:hAnsi="Times New Roman" w:cs="Times New Roman" w:hint="eastAsia"/>
          <w:color w:val="FF0000"/>
          <w:sz w:val="24"/>
          <w:szCs w:val="24"/>
        </w:rPr>
        <w:lastRenderedPageBreak/>
        <w:t>两岸山脊地势高陡，山脊宽厚，山体花岗岩完整性较好。</w:t>
      </w:r>
    </w:p>
    <w:p w14:paraId="2A47148D" w14:textId="11D15AB8" w:rsidR="00D12939" w:rsidRDefault="002A4A5F" w:rsidP="002A4A5F">
      <w:pPr>
        <w:spacing w:line="360" w:lineRule="auto"/>
        <w:ind w:firstLine="480"/>
        <w:rPr>
          <w:rFonts w:ascii="Times New Roman" w:eastAsia="宋体" w:hAnsi="Times New Roman" w:cs="Times New Roman"/>
          <w:sz w:val="24"/>
          <w:szCs w:val="24"/>
        </w:rPr>
      </w:pPr>
      <w:r>
        <w:rPr>
          <w:rFonts w:ascii="Times New Roman" w:eastAsia="宋体" w:hAnsi="Times New Roman" w:cs="Times New Roman" w:hint="eastAsia"/>
          <w:color w:val="FF0000"/>
          <w:sz w:val="24"/>
          <w:szCs w:val="24"/>
        </w:rPr>
        <w:t>包气带防污性能：库区土质为耕土、砂土、残积土，下伏基岩。渗透系数</w:t>
      </w:r>
      <w:r>
        <w:rPr>
          <w:rFonts w:ascii="Times New Roman" w:eastAsia="宋体" w:hAnsi="Times New Roman" w:cs="Times New Roman" w:hint="eastAsia"/>
          <w:color w:val="FF0000"/>
          <w:sz w:val="24"/>
          <w:szCs w:val="24"/>
        </w:rPr>
        <w:t>&gt;1.0</w:t>
      </w: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10</w:t>
      </w:r>
      <w:r>
        <w:rPr>
          <w:rFonts w:ascii="Times New Roman" w:eastAsia="宋体" w:hAnsi="Times New Roman" w:cs="Times New Roman" w:hint="eastAsia"/>
          <w:color w:val="FF0000"/>
          <w:sz w:val="24"/>
          <w:szCs w:val="24"/>
          <w:vertAlign w:val="superscript"/>
        </w:rPr>
        <w:t>-4</w:t>
      </w:r>
      <w:r>
        <w:rPr>
          <w:rFonts w:ascii="Times New Roman" w:eastAsia="宋体" w:hAnsi="Times New Roman" w:cs="Times New Roman" w:hint="eastAsia"/>
          <w:color w:val="FF0000"/>
          <w:sz w:val="24"/>
          <w:szCs w:val="24"/>
        </w:rPr>
        <w:t>cm/s,</w:t>
      </w:r>
      <w:r>
        <w:rPr>
          <w:rFonts w:ascii="Times New Roman" w:eastAsia="宋体" w:hAnsi="Times New Roman" w:cs="Times New Roman" w:hint="eastAsia"/>
          <w:color w:val="FF0000"/>
          <w:sz w:val="24"/>
          <w:szCs w:val="24"/>
        </w:rPr>
        <w:t>包气带防污性能为弱。</w:t>
      </w:r>
    </w:p>
    <w:p w14:paraId="03EC3746"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88" w:name="_Toc121411746"/>
      <w:r>
        <w:rPr>
          <w:rFonts w:ascii="Times New Roman" w:eastAsia="黑体" w:hAnsi="Times New Roman" w:cs="Times New Roman"/>
          <w:b w:val="0"/>
          <w:sz w:val="24"/>
        </w:rPr>
        <w:t>5.1.5</w:t>
      </w:r>
      <w:r>
        <w:rPr>
          <w:rFonts w:ascii="Times New Roman" w:eastAsia="黑体" w:hAnsi="Times New Roman" w:cs="Times New Roman"/>
          <w:b w:val="0"/>
          <w:sz w:val="24"/>
        </w:rPr>
        <w:t>气候与气象</w:t>
      </w:r>
      <w:bookmarkStart w:id="389" w:name="_Toc509558951"/>
      <w:bookmarkStart w:id="390" w:name="_Toc515892776"/>
      <w:bookmarkEnd w:id="384"/>
      <w:bookmarkEnd w:id="385"/>
      <w:bookmarkEnd w:id="386"/>
      <w:bookmarkEnd w:id="387"/>
      <w:bookmarkEnd w:id="388"/>
    </w:p>
    <w:p w14:paraId="181127F0"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柞水气候有三个基本特征</w:t>
      </w:r>
    </w:p>
    <w:p w14:paraId="6535DBCE"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1</w:t>
      </w:r>
      <w:r>
        <w:rPr>
          <w:rFonts w:ascii="Times New Roman" w:eastAsia="宋体" w:hAnsi="Times New Roman" w:cs="Times New Roman"/>
          <w:sz w:val="24"/>
          <w:szCs w:val="24"/>
        </w:rPr>
        <w:t>．季风性的气候：冬季，强大的蒙古高压在北方，柞水主要在变性的极地大陆气团控制之下，盛行偏北风，天气干冷。夏季，北太平洋副热带高压增强，热带海洋气团推进到柞水，盛行东南风，是气温最高、雨量最多的时期。当其前锋北进过境时，降水集中；前锋过后，副高压控制，容易形成高温伏旱。春季，蒙古高压逐渐衰退，副高压逐渐增强，进入冬季风渐弱、夏季风渐强的过渡时期，雨水较少，气温上升较快，气候温和。秋季，蒙古高压逐渐增强，副高压逐渐退出，成为冬季风逐渐较强、夏季风相应转弱的过渡时期。由于副高压南退缓慢，锋面相对稳定，阴雨较多，气温下降迅速。</w:t>
      </w:r>
    </w:p>
    <w:p w14:paraId="5E3E61D3"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2</w:t>
      </w:r>
      <w:r>
        <w:rPr>
          <w:rFonts w:ascii="Times New Roman" w:eastAsia="宋体" w:hAnsi="Times New Roman" w:cs="Times New Roman"/>
          <w:sz w:val="24"/>
          <w:szCs w:val="24"/>
        </w:rPr>
        <w:t>．两个明显的气候带：北部沿秦岭一线的老林、太河、丰北河、九间房等因秦岭主脊屏障，寒潮不易侵入，形成暖温带气候；向南和东南延伸的掌状山川形势，有利于东南湿热气流向县境深入，成为气温较高雨水较多的亚热带气候。在凤镇、石瓮一带，海拔</w:t>
      </w:r>
      <w:r>
        <w:rPr>
          <w:rFonts w:ascii="Times New Roman" w:eastAsia="宋体" w:hAnsi="Times New Roman" w:cs="Times New Roman"/>
          <w:sz w:val="24"/>
          <w:szCs w:val="24"/>
        </w:rPr>
        <w:t>700</w:t>
      </w:r>
      <w:r>
        <w:rPr>
          <w:rFonts w:ascii="Times New Roman" w:eastAsia="宋体" w:hAnsi="Times New Roman" w:cs="Times New Roman"/>
          <w:sz w:val="24"/>
          <w:szCs w:val="24"/>
        </w:rPr>
        <w:t>～</w:t>
      </w:r>
      <w:r>
        <w:rPr>
          <w:rFonts w:ascii="Times New Roman" w:eastAsia="宋体" w:hAnsi="Times New Roman" w:cs="Times New Roman"/>
          <w:sz w:val="24"/>
          <w:szCs w:val="24"/>
        </w:rPr>
        <w:t>550</w:t>
      </w:r>
      <w:r>
        <w:rPr>
          <w:rFonts w:ascii="Times New Roman" w:eastAsia="宋体" w:hAnsi="Times New Roman" w:cs="Times New Roman"/>
          <w:sz w:val="24"/>
          <w:szCs w:val="24"/>
        </w:rPr>
        <w:t>米以下的地区，大部具有稻麦两熟和栽培油桐、油茶、柑橘等亚热带经济林木的气候条件。</w:t>
      </w:r>
    </w:p>
    <w:p w14:paraId="1A3BBC63"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3</w:t>
      </w:r>
      <w:r>
        <w:rPr>
          <w:rFonts w:ascii="Times New Roman" w:eastAsia="宋体" w:hAnsi="Times New Roman" w:cs="Times New Roman"/>
          <w:sz w:val="24"/>
          <w:szCs w:val="24"/>
        </w:rPr>
        <w:t>．垂直差异显著的山地气候：柞水是一个高度极为参差的山区，因而出现了气候垂直差异明显的特点。低山区年平均气温</w:t>
      </w:r>
      <w:r>
        <w:rPr>
          <w:rFonts w:ascii="Times New Roman" w:eastAsia="宋体" w:hAnsi="Times New Roman" w:cs="Times New Roman"/>
          <w:sz w:val="24"/>
          <w:szCs w:val="24"/>
        </w:rPr>
        <w:t>18.2℃</w:t>
      </w:r>
      <w:r>
        <w:rPr>
          <w:rFonts w:ascii="Times New Roman" w:eastAsia="宋体" w:hAnsi="Times New Roman" w:cs="Times New Roman"/>
          <w:sz w:val="24"/>
          <w:szCs w:val="24"/>
        </w:rPr>
        <w:t>，极端最高气温</w:t>
      </w:r>
      <w:r>
        <w:rPr>
          <w:rFonts w:ascii="Times New Roman" w:eastAsia="宋体" w:hAnsi="Times New Roman" w:cs="Times New Roman"/>
          <w:sz w:val="24"/>
          <w:szCs w:val="24"/>
        </w:rPr>
        <w:t>36.9℃</w:t>
      </w:r>
      <w:r>
        <w:rPr>
          <w:rFonts w:ascii="Times New Roman" w:eastAsia="宋体" w:hAnsi="Times New Roman" w:cs="Times New Roman"/>
          <w:sz w:val="24"/>
          <w:szCs w:val="24"/>
        </w:rPr>
        <w:t>，年平均降水量</w:t>
      </w:r>
      <w:r>
        <w:rPr>
          <w:rFonts w:ascii="Times New Roman" w:eastAsia="宋体" w:hAnsi="Times New Roman" w:cs="Times New Roman"/>
          <w:sz w:val="24"/>
          <w:szCs w:val="24"/>
        </w:rPr>
        <w:t>692</w:t>
      </w:r>
      <w:r>
        <w:rPr>
          <w:rFonts w:ascii="Times New Roman" w:eastAsia="宋体" w:hAnsi="Times New Roman" w:cs="Times New Roman"/>
          <w:sz w:val="24"/>
          <w:szCs w:val="24"/>
        </w:rPr>
        <w:t>毫米，年平均日照</w:t>
      </w:r>
      <w:r>
        <w:rPr>
          <w:rFonts w:ascii="Times New Roman" w:eastAsia="宋体" w:hAnsi="Times New Roman" w:cs="Times New Roman"/>
          <w:sz w:val="24"/>
          <w:szCs w:val="24"/>
        </w:rPr>
        <w:t>2104</w:t>
      </w:r>
      <w:r>
        <w:rPr>
          <w:rFonts w:ascii="Times New Roman" w:eastAsia="宋体" w:hAnsi="Times New Roman" w:cs="Times New Roman"/>
          <w:sz w:val="24"/>
          <w:szCs w:val="24"/>
        </w:rPr>
        <w:t>小时，无霜期年平均</w:t>
      </w:r>
      <w:r>
        <w:rPr>
          <w:rFonts w:ascii="Times New Roman" w:eastAsia="宋体" w:hAnsi="Times New Roman" w:cs="Times New Roman"/>
          <w:sz w:val="24"/>
          <w:szCs w:val="24"/>
        </w:rPr>
        <w:t>203</w:t>
      </w:r>
      <w:r>
        <w:rPr>
          <w:rFonts w:ascii="Times New Roman" w:eastAsia="宋体" w:hAnsi="Times New Roman" w:cs="Times New Roman"/>
          <w:sz w:val="24"/>
          <w:szCs w:val="24"/>
        </w:rPr>
        <w:t>天。但在秦岭主脊的九间房一带，年平均气温只有</w:t>
      </w:r>
      <w:r>
        <w:rPr>
          <w:rFonts w:ascii="Times New Roman" w:eastAsia="宋体" w:hAnsi="Times New Roman" w:cs="Times New Roman"/>
          <w:sz w:val="24"/>
          <w:szCs w:val="24"/>
        </w:rPr>
        <w:t>7.8℃</w:t>
      </w:r>
      <w:r>
        <w:rPr>
          <w:rFonts w:ascii="Times New Roman" w:eastAsia="宋体" w:hAnsi="Times New Roman" w:cs="Times New Roman"/>
          <w:sz w:val="24"/>
          <w:szCs w:val="24"/>
        </w:rPr>
        <w:t>，极端最低气温</w:t>
      </w:r>
      <w:r>
        <w:rPr>
          <w:rFonts w:ascii="Times New Roman" w:eastAsia="宋体" w:hAnsi="Times New Roman" w:cs="Times New Roman"/>
          <w:sz w:val="24"/>
          <w:szCs w:val="24"/>
        </w:rPr>
        <w:t>-21.6℃</w:t>
      </w:r>
      <w:r>
        <w:rPr>
          <w:rFonts w:ascii="Times New Roman" w:eastAsia="宋体" w:hAnsi="Times New Roman" w:cs="Times New Roman"/>
          <w:sz w:val="24"/>
          <w:szCs w:val="24"/>
        </w:rPr>
        <w:t>，年平均降水量</w:t>
      </w:r>
      <w:r>
        <w:rPr>
          <w:rFonts w:ascii="Times New Roman" w:eastAsia="宋体" w:hAnsi="Times New Roman" w:cs="Times New Roman"/>
          <w:sz w:val="24"/>
          <w:szCs w:val="24"/>
        </w:rPr>
        <w:t>933.4</w:t>
      </w:r>
      <w:r>
        <w:rPr>
          <w:rFonts w:ascii="Times New Roman" w:eastAsia="宋体" w:hAnsi="Times New Roman" w:cs="Times New Roman"/>
          <w:sz w:val="24"/>
          <w:szCs w:val="24"/>
        </w:rPr>
        <w:t>毫米，年平均日照</w:t>
      </w:r>
      <w:r>
        <w:rPr>
          <w:rFonts w:ascii="Times New Roman" w:eastAsia="宋体" w:hAnsi="Times New Roman" w:cs="Times New Roman"/>
          <w:sz w:val="24"/>
          <w:szCs w:val="24"/>
        </w:rPr>
        <w:t>1498</w:t>
      </w:r>
      <w:r>
        <w:rPr>
          <w:rFonts w:ascii="Times New Roman" w:eastAsia="宋体" w:hAnsi="Times New Roman" w:cs="Times New Roman"/>
          <w:sz w:val="24"/>
          <w:szCs w:val="24"/>
        </w:rPr>
        <w:t>小时，无霜期只有</w:t>
      </w:r>
      <w:r>
        <w:rPr>
          <w:rFonts w:ascii="Times New Roman" w:eastAsia="宋体" w:hAnsi="Times New Roman" w:cs="Times New Roman"/>
          <w:sz w:val="24"/>
          <w:szCs w:val="24"/>
        </w:rPr>
        <w:t>161</w:t>
      </w:r>
      <w:r>
        <w:rPr>
          <w:rFonts w:ascii="Times New Roman" w:eastAsia="宋体" w:hAnsi="Times New Roman" w:cs="Times New Roman"/>
          <w:sz w:val="24"/>
          <w:szCs w:val="24"/>
        </w:rPr>
        <w:t>天，积雪期长达</w:t>
      </w:r>
      <w:r>
        <w:rPr>
          <w:rFonts w:ascii="Times New Roman" w:eastAsia="宋体" w:hAnsi="Times New Roman" w:cs="Times New Roman"/>
          <w:sz w:val="24"/>
          <w:szCs w:val="24"/>
        </w:rPr>
        <w:t>5</w:t>
      </w:r>
      <w:r>
        <w:rPr>
          <w:rFonts w:ascii="Times New Roman" w:eastAsia="宋体" w:hAnsi="Times New Roman" w:cs="Times New Roman"/>
          <w:sz w:val="24"/>
          <w:szCs w:val="24"/>
        </w:rPr>
        <w:t>个月，最大积雪深度为</w:t>
      </w:r>
      <w:r>
        <w:rPr>
          <w:rFonts w:ascii="Times New Roman" w:eastAsia="宋体" w:hAnsi="Times New Roman" w:cs="Times New Roman"/>
          <w:sz w:val="24"/>
          <w:szCs w:val="24"/>
        </w:rPr>
        <w:t>28</w:t>
      </w:r>
      <w:r>
        <w:rPr>
          <w:rFonts w:ascii="Times New Roman" w:eastAsia="宋体" w:hAnsi="Times New Roman" w:cs="Times New Roman"/>
          <w:sz w:val="24"/>
          <w:szCs w:val="24"/>
        </w:rPr>
        <w:t>厘米。</w:t>
      </w:r>
    </w:p>
    <w:p w14:paraId="00B6E88D"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391" w:name="_Toc121411747"/>
      <w:r>
        <w:rPr>
          <w:rFonts w:ascii="Times New Roman" w:eastAsia="黑体" w:hAnsi="Times New Roman" w:cs="Times New Roman"/>
          <w:b w:val="0"/>
          <w:sz w:val="24"/>
        </w:rPr>
        <w:t>5.1.6</w:t>
      </w:r>
      <w:r>
        <w:rPr>
          <w:rFonts w:ascii="Times New Roman" w:eastAsia="黑体" w:hAnsi="Times New Roman" w:cs="Times New Roman"/>
          <w:b w:val="0"/>
          <w:sz w:val="24"/>
        </w:rPr>
        <w:t>土壤</w:t>
      </w:r>
      <w:bookmarkEnd w:id="389"/>
      <w:bookmarkEnd w:id="390"/>
      <w:bookmarkEnd w:id="391"/>
    </w:p>
    <w:p w14:paraId="2D6909B8" w14:textId="2EC30AE0" w:rsidR="00D12939" w:rsidRDefault="002A4A5F" w:rsidP="002A4A5F">
      <w:pPr>
        <w:spacing w:line="360" w:lineRule="auto"/>
        <w:ind w:firstLine="480"/>
        <w:rPr>
          <w:rFonts w:ascii="Times New Roman" w:eastAsia="宋体" w:hAnsi="Times New Roman" w:cs="Times New Roman"/>
          <w:sz w:val="24"/>
          <w:szCs w:val="24"/>
        </w:rPr>
      </w:pPr>
      <w:bookmarkStart w:id="392" w:name="_Toc26968064"/>
      <w:bookmarkStart w:id="393" w:name="_Toc27754166"/>
      <w:bookmarkStart w:id="394" w:name="_Toc14895542"/>
      <w:bookmarkStart w:id="395" w:name="_Toc28267013"/>
      <w:r>
        <w:rPr>
          <w:rFonts w:ascii="Times New Roman" w:eastAsia="宋体" w:hAnsi="Times New Roman" w:cs="Times New Roman"/>
          <w:color w:val="FF0000"/>
          <w:sz w:val="24"/>
          <w:szCs w:val="24"/>
        </w:rPr>
        <w:t>柞水土壤在地理分布上具有明显的水平地带性、垂直地带性和地域性的特点。由于基岩和成土母岩的影响，土壤种类多，差异大，剖面紊乱，土层薄，活土层浅，物理化学性能不良，肥力较低，耕性差，生产水平不高，垂直分布状况比较明显。</w:t>
      </w:r>
      <w:r>
        <w:rPr>
          <w:rFonts w:ascii="Times New Roman" w:eastAsia="宋体" w:hAnsi="Times New Roman" w:cs="Times New Roman" w:hint="eastAsia"/>
          <w:color w:val="FF0000"/>
          <w:sz w:val="24"/>
          <w:szCs w:val="24"/>
        </w:rPr>
        <w:t>本项目区域场地地层上部属耕土、坡洪积形成第四系沉积物，主要以碎石为主，下部为侏罗系强风化花岗岩，从上至下依次为冲填土、耕土、粉质粘土、中砂、残积土、强风化花岗岩</w:t>
      </w:r>
      <w:r w:rsidR="004F47F5">
        <w:rPr>
          <w:rFonts w:ascii="Times New Roman" w:eastAsia="宋体" w:hAnsi="Times New Roman" w:cs="Times New Roman"/>
          <w:sz w:val="24"/>
          <w:szCs w:val="24"/>
        </w:rPr>
        <w:t>。</w:t>
      </w:r>
    </w:p>
    <w:p w14:paraId="654670F6" w14:textId="15004B8D" w:rsidR="002A4A5F" w:rsidRDefault="002A4A5F" w:rsidP="002A4A5F">
      <w:pPr>
        <w:pStyle w:val="30"/>
        <w:spacing w:before="0" w:after="0" w:line="360" w:lineRule="auto"/>
        <w:ind w:firstLine="480"/>
        <w:rPr>
          <w:b w:val="0"/>
          <w:color w:val="FF0000"/>
          <w:sz w:val="24"/>
        </w:rPr>
      </w:pPr>
      <w:r>
        <w:rPr>
          <w:rFonts w:ascii="Times New Roman" w:eastAsia="黑体" w:hAnsi="Times New Roman" w:cs="Times New Roman" w:hint="eastAsia"/>
          <w:b w:val="0"/>
          <w:color w:val="FF0000"/>
          <w:sz w:val="24"/>
        </w:rPr>
        <w:t>5.1.</w:t>
      </w:r>
      <w:r>
        <w:rPr>
          <w:rFonts w:ascii="Times New Roman" w:eastAsia="黑体" w:hAnsi="Times New Roman" w:cs="Times New Roman"/>
          <w:b w:val="0"/>
          <w:color w:val="FF0000"/>
          <w:sz w:val="24"/>
        </w:rPr>
        <w:t>7</w:t>
      </w:r>
      <w:r>
        <w:rPr>
          <w:rFonts w:ascii="Times New Roman" w:eastAsia="黑体" w:hAnsi="Times New Roman" w:cs="Times New Roman" w:hint="eastAsia"/>
          <w:b w:val="0"/>
          <w:color w:val="FF0000"/>
          <w:sz w:val="24"/>
        </w:rPr>
        <w:t>动植物资源</w:t>
      </w:r>
    </w:p>
    <w:p w14:paraId="5A6869C1"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color w:val="FF0000"/>
          <w:sz w:val="24"/>
          <w:szCs w:val="24"/>
        </w:rPr>
        <w:t>动物资源</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柞水县的野生动物主要有羚牛、苏门羚、豪猪、青羊、花面狸、猪獾、豹、珠</w:t>
      </w:r>
      <w:r>
        <w:rPr>
          <w:rFonts w:ascii="Times New Roman" w:eastAsia="宋体" w:hAnsi="Times New Roman" w:cs="Times New Roman"/>
          <w:color w:val="FF0000"/>
          <w:sz w:val="24"/>
          <w:szCs w:val="24"/>
        </w:rPr>
        <w:lastRenderedPageBreak/>
        <w:t>颈斑鸠、灰卷尾、锦鸡、竹鸡、草兔、松鼠、红伯劳、灰眉岩鹀、狼、狐、野猪、鼠、乌鸦、喜鹊、灰鹭、麻雀等。</w:t>
      </w:r>
    </w:p>
    <w:p w14:paraId="72ADE987" w14:textId="77777777" w:rsidR="002A4A5F" w:rsidRDefault="002A4A5F" w:rsidP="002A4A5F">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color w:val="FF0000"/>
          <w:sz w:val="24"/>
          <w:szCs w:val="24"/>
        </w:rPr>
        <w:t>植物资源</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柞水县的野生植物主要有山杨、波氏杨、加拿大杨、银白杨、胡桃楸、毛白杨、青杨、枫杨、青冈、十大功劳、大叶黄杨、小叶黄杨、粗榧、冬青、龙柏、马桑、卫茅、胡颓子、紫穗槐、锦鸡儿、榛子、棠梨、茶藨子、胡枝子、六道木、荆条、悬钩子、荚蓬、黄檀、黄栌、柳、黄台、尖齿栎、红桦、牛皮桦、高山桦、辽东栎、蒙古栎、槲、椴、中槐、香椿、臭椿、樟、化香、山桃、山杏、泡桐、高山栎、女贞、秦岭冷杉、铁杉、华山松、油松、侧柏、圆柏、白皮松、马尾松、栓皮栎、核桃、漆、毛栗、板栗、黄连木、油桐、花椒、苹果、梅、樱桃、五倍子、柿、构、杜仲、五加、连翘、小檗丁香、木瓜等。</w:t>
      </w:r>
    </w:p>
    <w:p w14:paraId="31A69E03" w14:textId="77777777" w:rsidR="00D12939" w:rsidRDefault="004F47F5">
      <w:pPr>
        <w:pStyle w:val="2"/>
        <w:spacing w:line="360" w:lineRule="auto"/>
        <w:ind w:firstLineChars="0" w:firstLine="0"/>
        <w:rPr>
          <w:sz w:val="28"/>
        </w:rPr>
      </w:pPr>
      <w:bookmarkStart w:id="396" w:name="_Toc60666762"/>
      <w:bookmarkStart w:id="397" w:name="_Toc121411748"/>
      <w:bookmarkStart w:id="398" w:name="_Toc93158106"/>
      <w:bookmarkStart w:id="399" w:name="_Toc28857101"/>
      <w:bookmarkEnd w:id="392"/>
      <w:bookmarkEnd w:id="393"/>
      <w:bookmarkEnd w:id="394"/>
      <w:bookmarkEnd w:id="395"/>
      <w:r>
        <w:rPr>
          <w:sz w:val="28"/>
        </w:rPr>
        <w:t xml:space="preserve">5.2 </w:t>
      </w:r>
      <w:r>
        <w:rPr>
          <w:sz w:val="28"/>
        </w:rPr>
        <w:t>环境质量现状调查与评价</w:t>
      </w:r>
      <w:bookmarkEnd w:id="396"/>
      <w:bookmarkEnd w:id="397"/>
      <w:bookmarkEnd w:id="398"/>
      <w:bookmarkEnd w:id="399"/>
    </w:p>
    <w:p w14:paraId="60089C30"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00" w:name="_Toc501462861"/>
      <w:bookmarkStart w:id="401" w:name="_Toc60667076"/>
      <w:bookmarkStart w:id="402" w:name="_Toc60666763"/>
      <w:bookmarkStart w:id="403" w:name="_Toc491676869"/>
      <w:bookmarkStart w:id="404" w:name="_Toc121411749"/>
      <w:bookmarkStart w:id="405" w:name="_Toc263982096"/>
      <w:bookmarkStart w:id="406" w:name="_Toc60667389"/>
      <w:r>
        <w:rPr>
          <w:rFonts w:ascii="Times New Roman" w:eastAsia="黑体" w:hAnsi="Times New Roman" w:cs="Times New Roman"/>
          <w:b w:val="0"/>
          <w:sz w:val="24"/>
        </w:rPr>
        <w:t xml:space="preserve">5.2.1 </w:t>
      </w:r>
      <w:r>
        <w:rPr>
          <w:rFonts w:ascii="Times New Roman" w:eastAsia="黑体" w:hAnsi="Times New Roman" w:cs="Times New Roman"/>
          <w:b w:val="0"/>
          <w:sz w:val="24"/>
        </w:rPr>
        <w:t>大气环境现状调查与评价</w:t>
      </w:r>
      <w:bookmarkEnd w:id="400"/>
      <w:bookmarkEnd w:id="401"/>
      <w:bookmarkEnd w:id="402"/>
      <w:bookmarkEnd w:id="403"/>
      <w:bookmarkEnd w:id="404"/>
      <w:bookmarkEnd w:id="405"/>
      <w:bookmarkEnd w:id="406"/>
    </w:p>
    <w:p w14:paraId="455CBD62"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5.2.1.1 项目所在区域环境空气质量达标判定</w:t>
      </w:r>
    </w:p>
    <w:p w14:paraId="11DA35F7"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拟建项目位于陕西省商洛市柞水县，根据《环境影响评价技术导则大气环境》（</w:t>
      </w:r>
      <w:r>
        <w:rPr>
          <w:rFonts w:ascii="Times New Roman" w:eastAsia="宋体" w:hAnsi="Times New Roman" w:cs="Times New Roman"/>
          <w:sz w:val="24"/>
          <w:szCs w:val="24"/>
        </w:rPr>
        <w:t>HJ2.2-2018</w:t>
      </w:r>
      <w:r>
        <w:rPr>
          <w:rFonts w:ascii="Times New Roman" w:eastAsia="宋体" w:hAnsi="Times New Roman" w:cs="Times New Roman"/>
          <w:sz w:val="24"/>
          <w:szCs w:val="24"/>
        </w:rPr>
        <w:t>），本次环境空气质量现状评价引用陕西省生态环境厅办公室</w:t>
      </w:r>
      <w:r>
        <w:rPr>
          <w:rFonts w:ascii="Times New Roman" w:eastAsia="宋体" w:hAnsi="Times New Roman" w:cs="Times New Roman"/>
          <w:sz w:val="24"/>
          <w:szCs w:val="24"/>
        </w:rPr>
        <w:t>2022</w:t>
      </w:r>
      <w:r>
        <w:rPr>
          <w:rFonts w:ascii="Times New Roman" w:eastAsia="宋体" w:hAnsi="Times New Roman" w:cs="Times New Roman"/>
          <w:sz w:val="24"/>
          <w:szCs w:val="24"/>
        </w:rPr>
        <w:t>年</w:t>
      </w:r>
      <w:r>
        <w:rPr>
          <w:rFonts w:ascii="Times New Roman" w:eastAsia="宋体" w:hAnsi="Times New Roman" w:cs="Times New Roman"/>
          <w:sz w:val="24"/>
          <w:szCs w:val="24"/>
        </w:rPr>
        <w:t>1</w:t>
      </w:r>
      <w:r>
        <w:rPr>
          <w:rFonts w:ascii="Times New Roman" w:eastAsia="宋体" w:hAnsi="Times New Roman" w:cs="Times New Roman"/>
          <w:sz w:val="24"/>
          <w:szCs w:val="24"/>
        </w:rPr>
        <w:t>月</w:t>
      </w:r>
      <w:r>
        <w:rPr>
          <w:rFonts w:ascii="Times New Roman" w:eastAsia="宋体" w:hAnsi="Times New Roman" w:cs="Times New Roman"/>
          <w:sz w:val="24"/>
          <w:szCs w:val="24"/>
        </w:rPr>
        <w:t>13</w:t>
      </w:r>
      <w:r>
        <w:rPr>
          <w:rFonts w:ascii="Times New Roman" w:eastAsia="宋体" w:hAnsi="Times New Roman" w:cs="Times New Roman"/>
          <w:sz w:val="24"/>
          <w:szCs w:val="24"/>
        </w:rPr>
        <w:t>日发布的《环保快报（</w:t>
      </w:r>
      <w:r>
        <w:rPr>
          <w:rFonts w:ascii="Times New Roman" w:eastAsia="宋体" w:hAnsi="Times New Roman" w:cs="Times New Roman"/>
          <w:sz w:val="24"/>
          <w:szCs w:val="24"/>
        </w:rPr>
        <w:t>2021</w:t>
      </w:r>
      <w:r>
        <w:rPr>
          <w:rFonts w:ascii="Times New Roman" w:eastAsia="宋体" w:hAnsi="Times New Roman" w:cs="Times New Roman"/>
          <w:sz w:val="24"/>
          <w:szCs w:val="24"/>
        </w:rPr>
        <w:t>年</w:t>
      </w:r>
      <w:r>
        <w:rPr>
          <w:rFonts w:ascii="Times New Roman" w:eastAsia="宋体" w:hAnsi="Times New Roman" w:cs="Times New Roman"/>
          <w:sz w:val="24"/>
          <w:szCs w:val="24"/>
        </w:rPr>
        <w:t>12</w:t>
      </w:r>
      <w:r>
        <w:rPr>
          <w:rFonts w:ascii="Times New Roman" w:eastAsia="宋体" w:hAnsi="Times New Roman" w:cs="Times New Roman"/>
          <w:sz w:val="24"/>
          <w:szCs w:val="24"/>
        </w:rPr>
        <w:t>月季</w:t>
      </w:r>
      <w:r>
        <w:rPr>
          <w:rFonts w:ascii="Times New Roman" w:eastAsia="宋体" w:hAnsi="Times New Roman" w:cs="Times New Roman"/>
          <w:sz w:val="24"/>
          <w:szCs w:val="24"/>
        </w:rPr>
        <w:t>1</w:t>
      </w:r>
      <w:r>
        <w:rPr>
          <w:rFonts w:ascii="Times New Roman" w:eastAsia="宋体" w:hAnsi="Times New Roman" w:cs="Times New Roman"/>
          <w:sz w:val="24"/>
          <w:szCs w:val="24"/>
        </w:rPr>
        <w:t>月</w:t>
      </w:r>
      <w:r>
        <w:rPr>
          <w:rFonts w:ascii="Times New Roman" w:eastAsia="宋体" w:hAnsi="Times New Roman" w:cs="Times New Roman"/>
          <w:sz w:val="24"/>
          <w:szCs w:val="24"/>
        </w:rPr>
        <w:t>~12</w:t>
      </w:r>
      <w:r>
        <w:rPr>
          <w:rFonts w:ascii="Times New Roman" w:eastAsia="宋体" w:hAnsi="Times New Roman" w:cs="Times New Roman"/>
          <w:sz w:val="24"/>
          <w:szCs w:val="24"/>
        </w:rPr>
        <w:t>月全省环境空气质量状况）》中柞水县的</w:t>
      </w:r>
      <w:r>
        <w:rPr>
          <w:rFonts w:ascii="Times New Roman" w:eastAsia="宋体" w:hAnsi="Times New Roman" w:cs="Times New Roman"/>
          <w:sz w:val="24"/>
          <w:szCs w:val="24"/>
        </w:rPr>
        <w:t>2021</w:t>
      </w:r>
      <w:r>
        <w:rPr>
          <w:rFonts w:ascii="Times New Roman" w:eastAsia="宋体" w:hAnsi="Times New Roman" w:cs="Times New Roman"/>
          <w:sz w:val="24"/>
          <w:szCs w:val="24"/>
        </w:rPr>
        <w:t>年度环境质量监测分析结果，具体监测结果和标准对比情况见表</w:t>
      </w:r>
      <w:r>
        <w:rPr>
          <w:rFonts w:ascii="Times New Roman" w:eastAsia="宋体" w:hAnsi="Times New Roman" w:cs="Times New Roman"/>
          <w:sz w:val="24"/>
          <w:szCs w:val="24"/>
        </w:rPr>
        <w:t>5.2-1</w:t>
      </w:r>
      <w:r>
        <w:rPr>
          <w:rFonts w:ascii="Times New Roman" w:eastAsia="宋体" w:hAnsi="Times New Roman" w:cs="Times New Roman"/>
          <w:sz w:val="24"/>
          <w:szCs w:val="24"/>
        </w:rPr>
        <w:t>。</w:t>
      </w:r>
    </w:p>
    <w:p w14:paraId="7B5504A4" w14:textId="77777777" w:rsidR="00D12939" w:rsidRDefault="004F47F5">
      <w:pPr>
        <w:jc w:val="center"/>
        <w:rPr>
          <w:rFonts w:ascii="黑体" w:eastAsia="黑体" w:hAnsi="黑体"/>
          <w:bCs/>
          <w:sz w:val="24"/>
          <w:szCs w:val="18"/>
        </w:rPr>
      </w:pPr>
      <w:r>
        <w:rPr>
          <w:rFonts w:ascii="黑体" w:eastAsia="黑体" w:hAnsi="黑体"/>
          <w:bCs/>
          <w:sz w:val="24"/>
          <w:szCs w:val="18"/>
        </w:rPr>
        <w:t>表5.2-1  2021</w:t>
      </w:r>
      <w:r>
        <w:rPr>
          <w:rFonts w:ascii="黑体" w:eastAsia="黑体" w:hAnsi="黑体" w:hint="eastAsia"/>
          <w:bCs/>
          <w:sz w:val="24"/>
          <w:szCs w:val="18"/>
        </w:rPr>
        <w:t>年</w:t>
      </w:r>
      <w:r>
        <w:rPr>
          <w:rFonts w:ascii="黑体" w:eastAsia="黑体" w:hAnsi="黑体"/>
          <w:bCs/>
          <w:sz w:val="24"/>
          <w:szCs w:val="18"/>
        </w:rPr>
        <w:t>区域空气质量现状评价一览表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92"/>
        <w:gridCol w:w="3236"/>
        <w:gridCol w:w="1134"/>
        <w:gridCol w:w="1134"/>
        <w:gridCol w:w="1012"/>
        <w:gridCol w:w="1075"/>
        <w:gridCol w:w="944"/>
      </w:tblGrid>
      <w:tr w:rsidR="00D12939" w14:paraId="31919832" w14:textId="77777777">
        <w:trPr>
          <w:trHeight w:val="502"/>
          <w:jc w:val="center"/>
        </w:trPr>
        <w:tc>
          <w:tcPr>
            <w:tcW w:w="992" w:type="dxa"/>
            <w:tcMar>
              <w:left w:w="11" w:type="dxa"/>
              <w:right w:w="11" w:type="dxa"/>
            </w:tcMar>
            <w:vAlign w:val="center"/>
          </w:tcPr>
          <w:p w14:paraId="07A00576" w14:textId="77777777" w:rsidR="00D12939" w:rsidRDefault="004F47F5">
            <w:pPr>
              <w:pStyle w:val="2006"/>
              <w:spacing w:line="240" w:lineRule="auto"/>
              <w:rPr>
                <w:szCs w:val="21"/>
              </w:rPr>
            </w:pPr>
            <w:r>
              <w:rPr>
                <w:szCs w:val="21"/>
              </w:rPr>
              <w:t>污染物</w:t>
            </w:r>
          </w:p>
        </w:tc>
        <w:tc>
          <w:tcPr>
            <w:tcW w:w="3236" w:type="dxa"/>
            <w:tcMar>
              <w:left w:w="11" w:type="dxa"/>
              <w:right w:w="11" w:type="dxa"/>
            </w:tcMar>
            <w:vAlign w:val="center"/>
          </w:tcPr>
          <w:p w14:paraId="20FE3957" w14:textId="77777777" w:rsidR="00D12939" w:rsidRDefault="004F47F5">
            <w:pPr>
              <w:pStyle w:val="2006"/>
              <w:spacing w:line="240" w:lineRule="auto"/>
              <w:rPr>
                <w:szCs w:val="21"/>
              </w:rPr>
            </w:pPr>
            <w:r>
              <w:rPr>
                <w:szCs w:val="21"/>
              </w:rPr>
              <w:t>年评价指标</w:t>
            </w:r>
          </w:p>
        </w:tc>
        <w:tc>
          <w:tcPr>
            <w:tcW w:w="1134" w:type="dxa"/>
            <w:tcMar>
              <w:left w:w="11" w:type="dxa"/>
              <w:right w:w="11" w:type="dxa"/>
            </w:tcMar>
            <w:vAlign w:val="center"/>
          </w:tcPr>
          <w:p w14:paraId="53EA7E4B" w14:textId="77777777" w:rsidR="00D12939" w:rsidRDefault="004F47F5">
            <w:pPr>
              <w:pStyle w:val="2006"/>
              <w:spacing w:line="240" w:lineRule="auto"/>
              <w:rPr>
                <w:szCs w:val="21"/>
              </w:rPr>
            </w:pPr>
            <w:r>
              <w:rPr>
                <w:szCs w:val="21"/>
              </w:rPr>
              <w:t>单位</w:t>
            </w:r>
          </w:p>
        </w:tc>
        <w:tc>
          <w:tcPr>
            <w:tcW w:w="1134" w:type="dxa"/>
            <w:tcMar>
              <w:left w:w="11" w:type="dxa"/>
              <w:right w:w="11" w:type="dxa"/>
            </w:tcMar>
            <w:vAlign w:val="center"/>
          </w:tcPr>
          <w:p w14:paraId="65FBEC38" w14:textId="77777777" w:rsidR="00D12939" w:rsidRDefault="004F47F5">
            <w:pPr>
              <w:pStyle w:val="2006"/>
              <w:spacing w:line="240" w:lineRule="auto"/>
              <w:rPr>
                <w:szCs w:val="21"/>
              </w:rPr>
            </w:pPr>
            <w:r>
              <w:rPr>
                <w:szCs w:val="21"/>
              </w:rPr>
              <w:t>现状浓度</w:t>
            </w:r>
          </w:p>
        </w:tc>
        <w:tc>
          <w:tcPr>
            <w:tcW w:w="1012" w:type="dxa"/>
            <w:tcMar>
              <w:left w:w="11" w:type="dxa"/>
              <w:right w:w="11" w:type="dxa"/>
            </w:tcMar>
            <w:vAlign w:val="center"/>
          </w:tcPr>
          <w:p w14:paraId="0CA20C8B" w14:textId="77777777" w:rsidR="00D12939" w:rsidRDefault="004F47F5">
            <w:pPr>
              <w:pStyle w:val="2006"/>
              <w:spacing w:line="240" w:lineRule="auto"/>
              <w:rPr>
                <w:szCs w:val="21"/>
              </w:rPr>
            </w:pPr>
            <w:r>
              <w:rPr>
                <w:szCs w:val="21"/>
              </w:rPr>
              <w:t>标准值</w:t>
            </w:r>
          </w:p>
        </w:tc>
        <w:tc>
          <w:tcPr>
            <w:tcW w:w="1075" w:type="dxa"/>
            <w:tcMar>
              <w:left w:w="11" w:type="dxa"/>
              <w:right w:w="11" w:type="dxa"/>
            </w:tcMar>
            <w:vAlign w:val="center"/>
          </w:tcPr>
          <w:p w14:paraId="3FC7EF10" w14:textId="77777777" w:rsidR="00D12939" w:rsidRDefault="004F47F5">
            <w:pPr>
              <w:pStyle w:val="2006"/>
              <w:spacing w:line="240" w:lineRule="auto"/>
              <w:rPr>
                <w:szCs w:val="21"/>
              </w:rPr>
            </w:pPr>
            <w:r>
              <w:rPr>
                <w:szCs w:val="21"/>
              </w:rPr>
              <w:t>占标率（</w:t>
            </w:r>
            <w:r>
              <w:rPr>
                <w:szCs w:val="21"/>
              </w:rPr>
              <w:t>%</w:t>
            </w:r>
            <w:r>
              <w:rPr>
                <w:szCs w:val="21"/>
              </w:rPr>
              <w:t>）</w:t>
            </w:r>
          </w:p>
        </w:tc>
        <w:tc>
          <w:tcPr>
            <w:tcW w:w="944" w:type="dxa"/>
            <w:tcMar>
              <w:left w:w="11" w:type="dxa"/>
              <w:right w:w="11" w:type="dxa"/>
            </w:tcMar>
            <w:vAlign w:val="center"/>
          </w:tcPr>
          <w:p w14:paraId="742B05FC" w14:textId="77777777" w:rsidR="00D12939" w:rsidRDefault="004F47F5">
            <w:pPr>
              <w:pStyle w:val="2006"/>
              <w:spacing w:line="240" w:lineRule="auto"/>
              <w:rPr>
                <w:szCs w:val="21"/>
              </w:rPr>
            </w:pPr>
            <w:r>
              <w:rPr>
                <w:szCs w:val="21"/>
              </w:rPr>
              <w:t>达标情况</w:t>
            </w:r>
          </w:p>
        </w:tc>
      </w:tr>
      <w:tr w:rsidR="00D12939" w14:paraId="129C48E0" w14:textId="77777777">
        <w:trPr>
          <w:trHeight w:val="239"/>
          <w:jc w:val="center"/>
        </w:trPr>
        <w:tc>
          <w:tcPr>
            <w:tcW w:w="992" w:type="dxa"/>
            <w:tcMar>
              <w:left w:w="11" w:type="dxa"/>
              <w:right w:w="11" w:type="dxa"/>
            </w:tcMar>
            <w:vAlign w:val="center"/>
          </w:tcPr>
          <w:p w14:paraId="3988958C" w14:textId="77777777" w:rsidR="00D12939" w:rsidRDefault="004F47F5">
            <w:pPr>
              <w:pStyle w:val="2006"/>
              <w:spacing w:line="240" w:lineRule="auto"/>
              <w:rPr>
                <w:szCs w:val="21"/>
              </w:rPr>
            </w:pPr>
            <w:r>
              <w:rPr>
                <w:szCs w:val="21"/>
              </w:rPr>
              <w:t>SO</w:t>
            </w:r>
            <w:r>
              <w:rPr>
                <w:szCs w:val="21"/>
                <w:vertAlign w:val="subscript"/>
              </w:rPr>
              <w:t>2</w:t>
            </w:r>
          </w:p>
        </w:tc>
        <w:tc>
          <w:tcPr>
            <w:tcW w:w="3236" w:type="dxa"/>
            <w:tcMar>
              <w:left w:w="11" w:type="dxa"/>
              <w:right w:w="11" w:type="dxa"/>
            </w:tcMar>
            <w:vAlign w:val="center"/>
          </w:tcPr>
          <w:p w14:paraId="47DDFE77" w14:textId="77777777" w:rsidR="00D12939" w:rsidRDefault="004F47F5">
            <w:pPr>
              <w:pStyle w:val="2006"/>
              <w:spacing w:line="240" w:lineRule="auto"/>
              <w:rPr>
                <w:szCs w:val="21"/>
              </w:rPr>
            </w:pPr>
            <w:r>
              <w:rPr>
                <w:szCs w:val="21"/>
              </w:rPr>
              <w:t>年平均质量浓度</w:t>
            </w:r>
          </w:p>
        </w:tc>
        <w:tc>
          <w:tcPr>
            <w:tcW w:w="1134" w:type="dxa"/>
            <w:tcMar>
              <w:left w:w="11" w:type="dxa"/>
              <w:right w:w="11" w:type="dxa"/>
            </w:tcMar>
            <w:vAlign w:val="center"/>
          </w:tcPr>
          <w:p w14:paraId="2A77F692" w14:textId="77777777" w:rsidR="00D12939" w:rsidRDefault="004F47F5">
            <w:pPr>
              <w:pStyle w:val="2006"/>
              <w:spacing w:line="240" w:lineRule="auto"/>
              <w:rPr>
                <w:szCs w:val="21"/>
              </w:rPr>
            </w:pPr>
            <w:r>
              <w:rPr>
                <w:szCs w:val="21"/>
              </w:rPr>
              <w:t>μg/m</w:t>
            </w:r>
            <w:r>
              <w:rPr>
                <w:szCs w:val="21"/>
                <w:vertAlign w:val="superscript"/>
              </w:rPr>
              <w:t>3</w:t>
            </w:r>
          </w:p>
        </w:tc>
        <w:tc>
          <w:tcPr>
            <w:tcW w:w="1134" w:type="dxa"/>
            <w:tcMar>
              <w:left w:w="11" w:type="dxa"/>
              <w:right w:w="11" w:type="dxa"/>
            </w:tcMar>
            <w:vAlign w:val="center"/>
          </w:tcPr>
          <w:p w14:paraId="573B02A0" w14:textId="77777777" w:rsidR="00D12939" w:rsidRDefault="004F47F5">
            <w:pPr>
              <w:pStyle w:val="2006"/>
              <w:spacing w:line="240" w:lineRule="auto"/>
              <w:rPr>
                <w:szCs w:val="21"/>
              </w:rPr>
            </w:pPr>
            <w:r>
              <w:rPr>
                <w:rFonts w:hint="eastAsia"/>
                <w:szCs w:val="21"/>
              </w:rPr>
              <w:t>10</w:t>
            </w:r>
          </w:p>
        </w:tc>
        <w:tc>
          <w:tcPr>
            <w:tcW w:w="1012" w:type="dxa"/>
            <w:tcMar>
              <w:left w:w="11" w:type="dxa"/>
              <w:right w:w="11" w:type="dxa"/>
            </w:tcMar>
            <w:vAlign w:val="center"/>
          </w:tcPr>
          <w:p w14:paraId="0DE087D3" w14:textId="77777777" w:rsidR="00D12939" w:rsidRDefault="004F47F5">
            <w:pPr>
              <w:pStyle w:val="2006"/>
              <w:spacing w:line="240" w:lineRule="auto"/>
              <w:rPr>
                <w:szCs w:val="21"/>
              </w:rPr>
            </w:pPr>
            <w:r>
              <w:rPr>
                <w:szCs w:val="21"/>
              </w:rPr>
              <w:t>60</w:t>
            </w:r>
          </w:p>
        </w:tc>
        <w:tc>
          <w:tcPr>
            <w:tcW w:w="1075" w:type="dxa"/>
            <w:tcMar>
              <w:left w:w="11" w:type="dxa"/>
              <w:right w:w="11" w:type="dxa"/>
            </w:tcMar>
            <w:vAlign w:val="bottom"/>
          </w:tcPr>
          <w:p w14:paraId="79C75901" w14:textId="77777777" w:rsidR="00D12939" w:rsidRDefault="004F47F5">
            <w:pPr>
              <w:pStyle w:val="2006"/>
              <w:spacing w:line="240" w:lineRule="auto"/>
              <w:rPr>
                <w:szCs w:val="21"/>
              </w:rPr>
            </w:pPr>
            <w:r>
              <w:rPr>
                <w:rFonts w:hint="eastAsia"/>
                <w:szCs w:val="21"/>
              </w:rPr>
              <w:t>16.7</w:t>
            </w:r>
          </w:p>
        </w:tc>
        <w:tc>
          <w:tcPr>
            <w:tcW w:w="944" w:type="dxa"/>
            <w:tcMar>
              <w:left w:w="11" w:type="dxa"/>
              <w:right w:w="11" w:type="dxa"/>
            </w:tcMar>
            <w:vAlign w:val="center"/>
          </w:tcPr>
          <w:p w14:paraId="6FAE73C5" w14:textId="77777777" w:rsidR="00D12939" w:rsidRDefault="004F47F5">
            <w:pPr>
              <w:pStyle w:val="2006"/>
              <w:spacing w:line="240" w:lineRule="auto"/>
              <w:rPr>
                <w:szCs w:val="21"/>
              </w:rPr>
            </w:pPr>
            <w:r>
              <w:rPr>
                <w:szCs w:val="21"/>
              </w:rPr>
              <w:t>达标</w:t>
            </w:r>
          </w:p>
        </w:tc>
      </w:tr>
      <w:tr w:rsidR="00D12939" w14:paraId="66CB43C1" w14:textId="77777777">
        <w:trPr>
          <w:trHeight w:val="251"/>
          <w:jc w:val="center"/>
        </w:trPr>
        <w:tc>
          <w:tcPr>
            <w:tcW w:w="992" w:type="dxa"/>
            <w:tcMar>
              <w:left w:w="11" w:type="dxa"/>
              <w:right w:w="11" w:type="dxa"/>
            </w:tcMar>
            <w:vAlign w:val="center"/>
          </w:tcPr>
          <w:p w14:paraId="10A47A0B" w14:textId="77777777" w:rsidR="00D12939" w:rsidRDefault="004F47F5">
            <w:pPr>
              <w:pStyle w:val="2006"/>
              <w:spacing w:line="240" w:lineRule="auto"/>
              <w:rPr>
                <w:szCs w:val="21"/>
              </w:rPr>
            </w:pPr>
            <w:r>
              <w:rPr>
                <w:szCs w:val="21"/>
              </w:rPr>
              <w:t>NO</w:t>
            </w:r>
            <w:r>
              <w:rPr>
                <w:szCs w:val="21"/>
                <w:vertAlign w:val="subscript"/>
              </w:rPr>
              <w:t>2</w:t>
            </w:r>
          </w:p>
        </w:tc>
        <w:tc>
          <w:tcPr>
            <w:tcW w:w="3236" w:type="dxa"/>
            <w:tcMar>
              <w:left w:w="11" w:type="dxa"/>
              <w:right w:w="11" w:type="dxa"/>
            </w:tcMar>
            <w:vAlign w:val="center"/>
          </w:tcPr>
          <w:p w14:paraId="10EAA21C" w14:textId="77777777" w:rsidR="00D12939" w:rsidRDefault="004F47F5">
            <w:pPr>
              <w:pStyle w:val="2006"/>
              <w:spacing w:line="240" w:lineRule="auto"/>
              <w:rPr>
                <w:szCs w:val="21"/>
              </w:rPr>
            </w:pPr>
            <w:r>
              <w:rPr>
                <w:szCs w:val="21"/>
              </w:rPr>
              <w:t>年平均质量浓度</w:t>
            </w:r>
          </w:p>
        </w:tc>
        <w:tc>
          <w:tcPr>
            <w:tcW w:w="1134" w:type="dxa"/>
            <w:tcMar>
              <w:left w:w="11" w:type="dxa"/>
              <w:right w:w="11" w:type="dxa"/>
            </w:tcMar>
            <w:vAlign w:val="center"/>
          </w:tcPr>
          <w:p w14:paraId="1459C2CC" w14:textId="77777777" w:rsidR="00D12939" w:rsidRDefault="004F47F5">
            <w:pPr>
              <w:pStyle w:val="2006"/>
              <w:spacing w:line="240" w:lineRule="auto"/>
              <w:rPr>
                <w:szCs w:val="21"/>
              </w:rPr>
            </w:pPr>
            <w:r>
              <w:rPr>
                <w:szCs w:val="21"/>
              </w:rPr>
              <w:t>μg/m</w:t>
            </w:r>
            <w:r>
              <w:rPr>
                <w:szCs w:val="21"/>
                <w:vertAlign w:val="superscript"/>
              </w:rPr>
              <w:t>3</w:t>
            </w:r>
          </w:p>
        </w:tc>
        <w:tc>
          <w:tcPr>
            <w:tcW w:w="1134" w:type="dxa"/>
            <w:tcMar>
              <w:left w:w="11" w:type="dxa"/>
              <w:right w:w="11" w:type="dxa"/>
            </w:tcMar>
            <w:vAlign w:val="center"/>
          </w:tcPr>
          <w:p w14:paraId="5292CF8B" w14:textId="77777777" w:rsidR="00D12939" w:rsidRDefault="004F47F5">
            <w:pPr>
              <w:pStyle w:val="2006"/>
              <w:spacing w:line="240" w:lineRule="auto"/>
              <w:rPr>
                <w:szCs w:val="21"/>
              </w:rPr>
            </w:pPr>
            <w:r>
              <w:rPr>
                <w:rFonts w:hint="eastAsia"/>
                <w:szCs w:val="21"/>
              </w:rPr>
              <w:t>26</w:t>
            </w:r>
          </w:p>
        </w:tc>
        <w:tc>
          <w:tcPr>
            <w:tcW w:w="1012" w:type="dxa"/>
            <w:tcMar>
              <w:left w:w="11" w:type="dxa"/>
              <w:right w:w="11" w:type="dxa"/>
            </w:tcMar>
            <w:vAlign w:val="center"/>
          </w:tcPr>
          <w:p w14:paraId="6530F39E" w14:textId="77777777" w:rsidR="00D12939" w:rsidRDefault="004F47F5">
            <w:pPr>
              <w:pStyle w:val="2006"/>
              <w:spacing w:line="240" w:lineRule="auto"/>
              <w:rPr>
                <w:szCs w:val="21"/>
              </w:rPr>
            </w:pPr>
            <w:r>
              <w:rPr>
                <w:szCs w:val="21"/>
              </w:rPr>
              <w:t>40</w:t>
            </w:r>
          </w:p>
        </w:tc>
        <w:tc>
          <w:tcPr>
            <w:tcW w:w="1075" w:type="dxa"/>
            <w:tcMar>
              <w:left w:w="11" w:type="dxa"/>
              <w:right w:w="11" w:type="dxa"/>
            </w:tcMar>
            <w:vAlign w:val="bottom"/>
          </w:tcPr>
          <w:p w14:paraId="21FED25C" w14:textId="77777777" w:rsidR="00D12939" w:rsidRDefault="004F47F5">
            <w:pPr>
              <w:pStyle w:val="2006"/>
              <w:spacing w:line="240" w:lineRule="auto"/>
              <w:rPr>
                <w:szCs w:val="21"/>
              </w:rPr>
            </w:pPr>
            <w:r>
              <w:rPr>
                <w:rFonts w:hint="eastAsia"/>
                <w:szCs w:val="21"/>
              </w:rPr>
              <w:t>65.0</w:t>
            </w:r>
          </w:p>
        </w:tc>
        <w:tc>
          <w:tcPr>
            <w:tcW w:w="944" w:type="dxa"/>
            <w:tcMar>
              <w:left w:w="11" w:type="dxa"/>
              <w:right w:w="11" w:type="dxa"/>
            </w:tcMar>
            <w:vAlign w:val="center"/>
          </w:tcPr>
          <w:p w14:paraId="47D8E4B8" w14:textId="77777777" w:rsidR="00D12939" w:rsidRDefault="004F47F5">
            <w:pPr>
              <w:pStyle w:val="2006"/>
              <w:spacing w:line="240" w:lineRule="auto"/>
              <w:rPr>
                <w:szCs w:val="21"/>
              </w:rPr>
            </w:pPr>
            <w:r>
              <w:rPr>
                <w:szCs w:val="21"/>
              </w:rPr>
              <w:t>达标</w:t>
            </w:r>
          </w:p>
        </w:tc>
      </w:tr>
      <w:tr w:rsidR="00D12939" w14:paraId="2DCABF90" w14:textId="77777777">
        <w:trPr>
          <w:trHeight w:val="239"/>
          <w:jc w:val="center"/>
        </w:trPr>
        <w:tc>
          <w:tcPr>
            <w:tcW w:w="992" w:type="dxa"/>
            <w:tcMar>
              <w:left w:w="11" w:type="dxa"/>
              <w:right w:w="11" w:type="dxa"/>
            </w:tcMar>
            <w:vAlign w:val="center"/>
          </w:tcPr>
          <w:p w14:paraId="1EF325F2" w14:textId="77777777" w:rsidR="00D12939" w:rsidRDefault="004F47F5">
            <w:pPr>
              <w:pStyle w:val="2006"/>
              <w:spacing w:line="240" w:lineRule="auto"/>
              <w:rPr>
                <w:szCs w:val="21"/>
              </w:rPr>
            </w:pPr>
            <w:r>
              <w:rPr>
                <w:szCs w:val="21"/>
              </w:rPr>
              <w:t>CO</w:t>
            </w:r>
          </w:p>
        </w:tc>
        <w:tc>
          <w:tcPr>
            <w:tcW w:w="3236" w:type="dxa"/>
            <w:tcMar>
              <w:left w:w="11" w:type="dxa"/>
              <w:right w:w="11" w:type="dxa"/>
            </w:tcMar>
            <w:vAlign w:val="center"/>
          </w:tcPr>
          <w:p w14:paraId="71037ECA" w14:textId="77777777" w:rsidR="00D12939" w:rsidRDefault="004F47F5">
            <w:pPr>
              <w:pStyle w:val="2006"/>
              <w:spacing w:line="240" w:lineRule="auto"/>
              <w:rPr>
                <w:szCs w:val="21"/>
              </w:rPr>
            </w:pPr>
            <w:r>
              <w:rPr>
                <w:szCs w:val="21"/>
              </w:rPr>
              <w:t>95</w:t>
            </w:r>
            <w:r>
              <w:rPr>
                <w:szCs w:val="21"/>
              </w:rPr>
              <w:t>百分位数日平均质量浓度</w:t>
            </w:r>
          </w:p>
        </w:tc>
        <w:tc>
          <w:tcPr>
            <w:tcW w:w="1134" w:type="dxa"/>
            <w:tcMar>
              <w:left w:w="11" w:type="dxa"/>
              <w:right w:w="11" w:type="dxa"/>
            </w:tcMar>
            <w:vAlign w:val="center"/>
          </w:tcPr>
          <w:p w14:paraId="2E240F55" w14:textId="77777777" w:rsidR="00D12939" w:rsidRDefault="004F47F5">
            <w:pPr>
              <w:pStyle w:val="2006"/>
              <w:spacing w:line="240" w:lineRule="auto"/>
              <w:rPr>
                <w:szCs w:val="21"/>
              </w:rPr>
            </w:pPr>
            <w:r>
              <w:rPr>
                <w:szCs w:val="21"/>
              </w:rPr>
              <w:t>μg/m</w:t>
            </w:r>
            <w:r>
              <w:rPr>
                <w:szCs w:val="21"/>
                <w:vertAlign w:val="superscript"/>
              </w:rPr>
              <w:t>3</w:t>
            </w:r>
          </w:p>
        </w:tc>
        <w:tc>
          <w:tcPr>
            <w:tcW w:w="1134" w:type="dxa"/>
            <w:tcMar>
              <w:left w:w="11" w:type="dxa"/>
              <w:right w:w="11" w:type="dxa"/>
            </w:tcMar>
            <w:vAlign w:val="center"/>
          </w:tcPr>
          <w:p w14:paraId="386D04C6" w14:textId="77777777" w:rsidR="00D12939" w:rsidRDefault="004F47F5">
            <w:pPr>
              <w:pStyle w:val="2006"/>
              <w:spacing w:line="240" w:lineRule="auto"/>
              <w:rPr>
                <w:szCs w:val="21"/>
              </w:rPr>
            </w:pPr>
            <w:r>
              <w:rPr>
                <w:rFonts w:hint="eastAsia"/>
                <w:szCs w:val="21"/>
              </w:rPr>
              <w:t>1000</w:t>
            </w:r>
          </w:p>
        </w:tc>
        <w:tc>
          <w:tcPr>
            <w:tcW w:w="1012" w:type="dxa"/>
            <w:tcMar>
              <w:left w:w="11" w:type="dxa"/>
              <w:right w:w="11" w:type="dxa"/>
            </w:tcMar>
            <w:vAlign w:val="center"/>
          </w:tcPr>
          <w:p w14:paraId="495CF20D" w14:textId="77777777" w:rsidR="00D12939" w:rsidRDefault="004F47F5">
            <w:pPr>
              <w:pStyle w:val="2006"/>
              <w:spacing w:line="240" w:lineRule="auto"/>
              <w:rPr>
                <w:szCs w:val="21"/>
              </w:rPr>
            </w:pPr>
            <w:r>
              <w:rPr>
                <w:rFonts w:hint="eastAsia"/>
                <w:szCs w:val="21"/>
              </w:rPr>
              <w:t>4000</w:t>
            </w:r>
          </w:p>
        </w:tc>
        <w:tc>
          <w:tcPr>
            <w:tcW w:w="1075" w:type="dxa"/>
            <w:tcMar>
              <w:left w:w="11" w:type="dxa"/>
              <w:right w:w="11" w:type="dxa"/>
            </w:tcMar>
            <w:vAlign w:val="bottom"/>
          </w:tcPr>
          <w:p w14:paraId="0DBEB990" w14:textId="77777777" w:rsidR="00D12939" w:rsidRDefault="004F47F5">
            <w:pPr>
              <w:pStyle w:val="2006"/>
              <w:spacing w:line="240" w:lineRule="auto"/>
              <w:rPr>
                <w:szCs w:val="21"/>
              </w:rPr>
            </w:pPr>
            <w:r>
              <w:rPr>
                <w:rFonts w:hint="eastAsia"/>
                <w:szCs w:val="21"/>
              </w:rPr>
              <w:t>25.0</w:t>
            </w:r>
          </w:p>
        </w:tc>
        <w:tc>
          <w:tcPr>
            <w:tcW w:w="944" w:type="dxa"/>
            <w:tcMar>
              <w:left w:w="11" w:type="dxa"/>
              <w:right w:w="11" w:type="dxa"/>
            </w:tcMar>
            <w:vAlign w:val="center"/>
          </w:tcPr>
          <w:p w14:paraId="68E17ECF" w14:textId="77777777" w:rsidR="00D12939" w:rsidRDefault="004F47F5">
            <w:pPr>
              <w:pStyle w:val="2006"/>
              <w:spacing w:line="240" w:lineRule="auto"/>
              <w:rPr>
                <w:szCs w:val="21"/>
              </w:rPr>
            </w:pPr>
            <w:r>
              <w:rPr>
                <w:szCs w:val="21"/>
              </w:rPr>
              <w:t>达标</w:t>
            </w:r>
          </w:p>
        </w:tc>
      </w:tr>
      <w:tr w:rsidR="00D12939" w14:paraId="7CACC424" w14:textId="77777777">
        <w:trPr>
          <w:trHeight w:val="239"/>
          <w:jc w:val="center"/>
        </w:trPr>
        <w:tc>
          <w:tcPr>
            <w:tcW w:w="992" w:type="dxa"/>
            <w:tcMar>
              <w:left w:w="11" w:type="dxa"/>
              <w:right w:w="11" w:type="dxa"/>
            </w:tcMar>
            <w:vAlign w:val="center"/>
          </w:tcPr>
          <w:p w14:paraId="5623D486" w14:textId="77777777" w:rsidR="00D12939" w:rsidRDefault="004F47F5">
            <w:pPr>
              <w:pStyle w:val="2006"/>
              <w:spacing w:line="240" w:lineRule="auto"/>
              <w:rPr>
                <w:szCs w:val="21"/>
              </w:rPr>
            </w:pPr>
            <w:r>
              <w:rPr>
                <w:szCs w:val="21"/>
              </w:rPr>
              <w:t>O</w:t>
            </w:r>
            <w:r>
              <w:rPr>
                <w:szCs w:val="21"/>
                <w:vertAlign w:val="subscript"/>
              </w:rPr>
              <w:t>3</w:t>
            </w:r>
          </w:p>
        </w:tc>
        <w:tc>
          <w:tcPr>
            <w:tcW w:w="3236" w:type="dxa"/>
            <w:tcMar>
              <w:left w:w="11" w:type="dxa"/>
              <w:right w:w="11" w:type="dxa"/>
            </w:tcMar>
            <w:vAlign w:val="center"/>
          </w:tcPr>
          <w:p w14:paraId="379CF105" w14:textId="77777777" w:rsidR="00D12939" w:rsidRDefault="004F47F5">
            <w:pPr>
              <w:pStyle w:val="2006"/>
              <w:spacing w:line="240" w:lineRule="auto"/>
              <w:rPr>
                <w:szCs w:val="21"/>
              </w:rPr>
            </w:pPr>
            <w:r>
              <w:rPr>
                <w:szCs w:val="21"/>
              </w:rPr>
              <w:t>90</w:t>
            </w:r>
            <w:r>
              <w:rPr>
                <w:szCs w:val="21"/>
              </w:rPr>
              <w:t>百分位数</w:t>
            </w:r>
            <w:r>
              <w:rPr>
                <w:szCs w:val="21"/>
              </w:rPr>
              <w:t>8h</w:t>
            </w:r>
            <w:r>
              <w:rPr>
                <w:szCs w:val="21"/>
              </w:rPr>
              <w:t>平均质量浓度</w:t>
            </w:r>
          </w:p>
        </w:tc>
        <w:tc>
          <w:tcPr>
            <w:tcW w:w="1134" w:type="dxa"/>
            <w:tcMar>
              <w:left w:w="11" w:type="dxa"/>
              <w:right w:w="11" w:type="dxa"/>
            </w:tcMar>
            <w:vAlign w:val="center"/>
          </w:tcPr>
          <w:p w14:paraId="1AD72C94" w14:textId="77777777" w:rsidR="00D12939" w:rsidRDefault="004F47F5">
            <w:pPr>
              <w:pStyle w:val="2006"/>
              <w:spacing w:line="240" w:lineRule="auto"/>
              <w:rPr>
                <w:szCs w:val="21"/>
              </w:rPr>
            </w:pPr>
            <w:r>
              <w:rPr>
                <w:szCs w:val="21"/>
              </w:rPr>
              <w:t>μg/m</w:t>
            </w:r>
            <w:r>
              <w:rPr>
                <w:szCs w:val="21"/>
                <w:vertAlign w:val="superscript"/>
              </w:rPr>
              <w:t>3</w:t>
            </w:r>
          </w:p>
        </w:tc>
        <w:tc>
          <w:tcPr>
            <w:tcW w:w="1134" w:type="dxa"/>
            <w:tcMar>
              <w:left w:w="11" w:type="dxa"/>
              <w:right w:w="11" w:type="dxa"/>
            </w:tcMar>
            <w:vAlign w:val="center"/>
          </w:tcPr>
          <w:p w14:paraId="4BD5E27C" w14:textId="77777777" w:rsidR="00D12939" w:rsidRDefault="004F47F5">
            <w:pPr>
              <w:pStyle w:val="2006"/>
              <w:spacing w:line="240" w:lineRule="auto"/>
              <w:rPr>
                <w:szCs w:val="21"/>
              </w:rPr>
            </w:pPr>
            <w:r>
              <w:rPr>
                <w:rFonts w:hint="eastAsia"/>
                <w:szCs w:val="21"/>
              </w:rPr>
              <w:t>108</w:t>
            </w:r>
          </w:p>
        </w:tc>
        <w:tc>
          <w:tcPr>
            <w:tcW w:w="1012" w:type="dxa"/>
            <w:tcMar>
              <w:left w:w="11" w:type="dxa"/>
              <w:right w:w="11" w:type="dxa"/>
            </w:tcMar>
            <w:vAlign w:val="center"/>
          </w:tcPr>
          <w:p w14:paraId="675E9C24" w14:textId="77777777" w:rsidR="00D12939" w:rsidRDefault="004F47F5">
            <w:pPr>
              <w:pStyle w:val="2006"/>
              <w:spacing w:line="240" w:lineRule="auto"/>
              <w:rPr>
                <w:szCs w:val="21"/>
              </w:rPr>
            </w:pPr>
            <w:r>
              <w:rPr>
                <w:szCs w:val="21"/>
              </w:rPr>
              <w:t>160</w:t>
            </w:r>
          </w:p>
        </w:tc>
        <w:tc>
          <w:tcPr>
            <w:tcW w:w="1075" w:type="dxa"/>
            <w:tcMar>
              <w:left w:w="11" w:type="dxa"/>
              <w:right w:w="11" w:type="dxa"/>
            </w:tcMar>
            <w:vAlign w:val="bottom"/>
          </w:tcPr>
          <w:p w14:paraId="3398FCE7" w14:textId="77777777" w:rsidR="00D12939" w:rsidRDefault="004F47F5">
            <w:pPr>
              <w:pStyle w:val="2006"/>
              <w:spacing w:line="240" w:lineRule="auto"/>
              <w:rPr>
                <w:szCs w:val="21"/>
              </w:rPr>
            </w:pPr>
            <w:r>
              <w:rPr>
                <w:rFonts w:hint="eastAsia"/>
                <w:szCs w:val="21"/>
              </w:rPr>
              <w:t>67.5</w:t>
            </w:r>
          </w:p>
        </w:tc>
        <w:tc>
          <w:tcPr>
            <w:tcW w:w="944" w:type="dxa"/>
            <w:tcMar>
              <w:left w:w="11" w:type="dxa"/>
              <w:right w:w="11" w:type="dxa"/>
            </w:tcMar>
            <w:vAlign w:val="center"/>
          </w:tcPr>
          <w:p w14:paraId="0F2AEC02" w14:textId="77777777" w:rsidR="00D12939" w:rsidRDefault="004F47F5">
            <w:pPr>
              <w:pStyle w:val="2006"/>
              <w:spacing w:line="240" w:lineRule="auto"/>
              <w:rPr>
                <w:szCs w:val="21"/>
              </w:rPr>
            </w:pPr>
            <w:r>
              <w:rPr>
                <w:szCs w:val="21"/>
              </w:rPr>
              <w:t>达标</w:t>
            </w:r>
          </w:p>
        </w:tc>
      </w:tr>
      <w:tr w:rsidR="00D12939" w14:paraId="660427B2" w14:textId="77777777">
        <w:trPr>
          <w:trHeight w:val="251"/>
          <w:jc w:val="center"/>
        </w:trPr>
        <w:tc>
          <w:tcPr>
            <w:tcW w:w="992" w:type="dxa"/>
            <w:tcMar>
              <w:left w:w="11" w:type="dxa"/>
              <w:right w:w="11" w:type="dxa"/>
            </w:tcMar>
            <w:vAlign w:val="center"/>
          </w:tcPr>
          <w:p w14:paraId="0AED9ADC" w14:textId="77777777" w:rsidR="00D12939" w:rsidRDefault="004F47F5">
            <w:pPr>
              <w:pStyle w:val="2006"/>
              <w:spacing w:line="240" w:lineRule="auto"/>
              <w:rPr>
                <w:szCs w:val="21"/>
              </w:rPr>
            </w:pPr>
            <w:r>
              <w:rPr>
                <w:szCs w:val="21"/>
              </w:rPr>
              <w:t>PM</w:t>
            </w:r>
            <w:r>
              <w:rPr>
                <w:szCs w:val="21"/>
                <w:vertAlign w:val="subscript"/>
              </w:rPr>
              <w:t>10</w:t>
            </w:r>
          </w:p>
        </w:tc>
        <w:tc>
          <w:tcPr>
            <w:tcW w:w="3236" w:type="dxa"/>
            <w:tcMar>
              <w:left w:w="11" w:type="dxa"/>
              <w:right w:w="11" w:type="dxa"/>
            </w:tcMar>
            <w:vAlign w:val="center"/>
          </w:tcPr>
          <w:p w14:paraId="585A8E1C" w14:textId="77777777" w:rsidR="00D12939" w:rsidRDefault="004F47F5">
            <w:pPr>
              <w:pStyle w:val="2006"/>
              <w:spacing w:line="240" w:lineRule="auto"/>
              <w:rPr>
                <w:szCs w:val="21"/>
              </w:rPr>
            </w:pPr>
            <w:r>
              <w:rPr>
                <w:szCs w:val="21"/>
              </w:rPr>
              <w:t>年平均质量浓度</w:t>
            </w:r>
          </w:p>
        </w:tc>
        <w:tc>
          <w:tcPr>
            <w:tcW w:w="1134" w:type="dxa"/>
            <w:tcMar>
              <w:left w:w="11" w:type="dxa"/>
              <w:right w:w="11" w:type="dxa"/>
            </w:tcMar>
            <w:vAlign w:val="center"/>
          </w:tcPr>
          <w:p w14:paraId="250ABE1C" w14:textId="77777777" w:rsidR="00D12939" w:rsidRDefault="004F47F5">
            <w:pPr>
              <w:pStyle w:val="2006"/>
              <w:spacing w:line="240" w:lineRule="auto"/>
              <w:rPr>
                <w:szCs w:val="21"/>
              </w:rPr>
            </w:pPr>
            <w:r>
              <w:rPr>
                <w:szCs w:val="21"/>
              </w:rPr>
              <w:t>μg/m</w:t>
            </w:r>
            <w:r>
              <w:rPr>
                <w:szCs w:val="21"/>
                <w:vertAlign w:val="superscript"/>
              </w:rPr>
              <w:t>3</w:t>
            </w:r>
          </w:p>
        </w:tc>
        <w:tc>
          <w:tcPr>
            <w:tcW w:w="1134" w:type="dxa"/>
            <w:tcMar>
              <w:left w:w="11" w:type="dxa"/>
              <w:right w:w="11" w:type="dxa"/>
            </w:tcMar>
            <w:vAlign w:val="center"/>
          </w:tcPr>
          <w:p w14:paraId="282C0E44" w14:textId="77777777" w:rsidR="00D12939" w:rsidRDefault="004F47F5">
            <w:pPr>
              <w:pStyle w:val="2006"/>
              <w:spacing w:line="240" w:lineRule="auto"/>
              <w:rPr>
                <w:szCs w:val="21"/>
              </w:rPr>
            </w:pPr>
            <w:r>
              <w:rPr>
                <w:rFonts w:hint="eastAsia"/>
                <w:szCs w:val="21"/>
              </w:rPr>
              <w:t>38</w:t>
            </w:r>
          </w:p>
        </w:tc>
        <w:tc>
          <w:tcPr>
            <w:tcW w:w="1012" w:type="dxa"/>
            <w:tcMar>
              <w:left w:w="11" w:type="dxa"/>
              <w:right w:w="11" w:type="dxa"/>
            </w:tcMar>
            <w:vAlign w:val="center"/>
          </w:tcPr>
          <w:p w14:paraId="3D2C153A" w14:textId="77777777" w:rsidR="00D12939" w:rsidRDefault="004F47F5">
            <w:pPr>
              <w:pStyle w:val="2006"/>
              <w:spacing w:line="240" w:lineRule="auto"/>
              <w:rPr>
                <w:szCs w:val="21"/>
              </w:rPr>
            </w:pPr>
            <w:r>
              <w:rPr>
                <w:szCs w:val="21"/>
              </w:rPr>
              <w:t>70</w:t>
            </w:r>
          </w:p>
        </w:tc>
        <w:tc>
          <w:tcPr>
            <w:tcW w:w="1075" w:type="dxa"/>
            <w:tcMar>
              <w:left w:w="11" w:type="dxa"/>
              <w:right w:w="11" w:type="dxa"/>
            </w:tcMar>
            <w:vAlign w:val="bottom"/>
          </w:tcPr>
          <w:p w14:paraId="5F3739B2" w14:textId="77777777" w:rsidR="00D12939" w:rsidRDefault="004F47F5">
            <w:pPr>
              <w:pStyle w:val="2006"/>
              <w:spacing w:line="240" w:lineRule="auto"/>
              <w:rPr>
                <w:szCs w:val="21"/>
              </w:rPr>
            </w:pPr>
            <w:r>
              <w:rPr>
                <w:rFonts w:hint="eastAsia"/>
                <w:szCs w:val="21"/>
              </w:rPr>
              <w:t>54.3</w:t>
            </w:r>
          </w:p>
        </w:tc>
        <w:tc>
          <w:tcPr>
            <w:tcW w:w="944" w:type="dxa"/>
            <w:tcMar>
              <w:left w:w="11" w:type="dxa"/>
              <w:right w:w="11" w:type="dxa"/>
            </w:tcMar>
            <w:vAlign w:val="center"/>
          </w:tcPr>
          <w:p w14:paraId="64AD4385" w14:textId="77777777" w:rsidR="00D12939" w:rsidRDefault="004F47F5">
            <w:pPr>
              <w:pStyle w:val="2006"/>
              <w:spacing w:line="240" w:lineRule="auto"/>
              <w:rPr>
                <w:szCs w:val="21"/>
              </w:rPr>
            </w:pPr>
            <w:r>
              <w:rPr>
                <w:szCs w:val="21"/>
              </w:rPr>
              <w:t>达标</w:t>
            </w:r>
          </w:p>
        </w:tc>
      </w:tr>
      <w:tr w:rsidR="00D12939" w14:paraId="17327189" w14:textId="77777777">
        <w:trPr>
          <w:trHeight w:val="239"/>
          <w:jc w:val="center"/>
        </w:trPr>
        <w:tc>
          <w:tcPr>
            <w:tcW w:w="992" w:type="dxa"/>
            <w:tcMar>
              <w:left w:w="11" w:type="dxa"/>
              <w:right w:w="11" w:type="dxa"/>
            </w:tcMar>
            <w:vAlign w:val="center"/>
          </w:tcPr>
          <w:p w14:paraId="4873C476" w14:textId="77777777" w:rsidR="00D12939" w:rsidRDefault="004F47F5">
            <w:pPr>
              <w:pStyle w:val="2006"/>
              <w:spacing w:line="240" w:lineRule="auto"/>
              <w:rPr>
                <w:szCs w:val="21"/>
              </w:rPr>
            </w:pPr>
            <w:r>
              <w:rPr>
                <w:szCs w:val="21"/>
              </w:rPr>
              <w:t>PM</w:t>
            </w:r>
            <w:r>
              <w:rPr>
                <w:szCs w:val="21"/>
                <w:vertAlign w:val="subscript"/>
              </w:rPr>
              <w:t>2.5</w:t>
            </w:r>
          </w:p>
        </w:tc>
        <w:tc>
          <w:tcPr>
            <w:tcW w:w="3236" w:type="dxa"/>
            <w:tcMar>
              <w:left w:w="11" w:type="dxa"/>
              <w:right w:w="11" w:type="dxa"/>
            </w:tcMar>
            <w:vAlign w:val="center"/>
          </w:tcPr>
          <w:p w14:paraId="1C44B2D1" w14:textId="77777777" w:rsidR="00D12939" w:rsidRDefault="004F47F5">
            <w:pPr>
              <w:pStyle w:val="2006"/>
              <w:spacing w:line="240" w:lineRule="auto"/>
              <w:rPr>
                <w:szCs w:val="21"/>
              </w:rPr>
            </w:pPr>
            <w:r>
              <w:rPr>
                <w:szCs w:val="21"/>
              </w:rPr>
              <w:t>年平均质量浓度</w:t>
            </w:r>
          </w:p>
        </w:tc>
        <w:tc>
          <w:tcPr>
            <w:tcW w:w="1134" w:type="dxa"/>
            <w:tcMar>
              <w:left w:w="11" w:type="dxa"/>
              <w:right w:w="11" w:type="dxa"/>
            </w:tcMar>
            <w:vAlign w:val="center"/>
          </w:tcPr>
          <w:p w14:paraId="128CCE80" w14:textId="77777777" w:rsidR="00D12939" w:rsidRDefault="004F47F5">
            <w:pPr>
              <w:pStyle w:val="2006"/>
              <w:spacing w:line="240" w:lineRule="auto"/>
              <w:rPr>
                <w:szCs w:val="21"/>
              </w:rPr>
            </w:pPr>
            <w:r>
              <w:rPr>
                <w:szCs w:val="21"/>
              </w:rPr>
              <w:t>μg/m</w:t>
            </w:r>
            <w:r>
              <w:rPr>
                <w:szCs w:val="21"/>
                <w:vertAlign w:val="superscript"/>
              </w:rPr>
              <w:t>3</w:t>
            </w:r>
          </w:p>
        </w:tc>
        <w:tc>
          <w:tcPr>
            <w:tcW w:w="1134" w:type="dxa"/>
            <w:tcMar>
              <w:left w:w="11" w:type="dxa"/>
              <w:right w:w="11" w:type="dxa"/>
            </w:tcMar>
            <w:vAlign w:val="center"/>
          </w:tcPr>
          <w:p w14:paraId="3EDABE6C" w14:textId="77777777" w:rsidR="00D12939" w:rsidRDefault="004F47F5">
            <w:pPr>
              <w:pStyle w:val="2006"/>
              <w:spacing w:line="240" w:lineRule="auto"/>
              <w:rPr>
                <w:szCs w:val="21"/>
              </w:rPr>
            </w:pPr>
            <w:r>
              <w:rPr>
                <w:rFonts w:hint="eastAsia"/>
                <w:szCs w:val="21"/>
              </w:rPr>
              <w:t>17</w:t>
            </w:r>
          </w:p>
        </w:tc>
        <w:tc>
          <w:tcPr>
            <w:tcW w:w="1012" w:type="dxa"/>
            <w:tcMar>
              <w:left w:w="11" w:type="dxa"/>
              <w:right w:w="11" w:type="dxa"/>
            </w:tcMar>
            <w:vAlign w:val="center"/>
          </w:tcPr>
          <w:p w14:paraId="68C7F85E" w14:textId="77777777" w:rsidR="00D12939" w:rsidRDefault="004F47F5">
            <w:pPr>
              <w:pStyle w:val="2006"/>
              <w:spacing w:line="240" w:lineRule="auto"/>
              <w:rPr>
                <w:szCs w:val="21"/>
              </w:rPr>
            </w:pPr>
            <w:r>
              <w:rPr>
                <w:szCs w:val="21"/>
              </w:rPr>
              <w:t>35</w:t>
            </w:r>
          </w:p>
        </w:tc>
        <w:tc>
          <w:tcPr>
            <w:tcW w:w="1075" w:type="dxa"/>
            <w:tcMar>
              <w:left w:w="11" w:type="dxa"/>
              <w:right w:w="11" w:type="dxa"/>
            </w:tcMar>
            <w:vAlign w:val="bottom"/>
          </w:tcPr>
          <w:p w14:paraId="5A9024C2" w14:textId="77777777" w:rsidR="00D12939" w:rsidRDefault="004F47F5">
            <w:pPr>
              <w:pStyle w:val="2006"/>
              <w:spacing w:line="240" w:lineRule="auto"/>
              <w:rPr>
                <w:szCs w:val="21"/>
              </w:rPr>
            </w:pPr>
            <w:r>
              <w:rPr>
                <w:rFonts w:hint="eastAsia"/>
                <w:szCs w:val="21"/>
              </w:rPr>
              <w:t>48.5</w:t>
            </w:r>
          </w:p>
        </w:tc>
        <w:tc>
          <w:tcPr>
            <w:tcW w:w="944" w:type="dxa"/>
            <w:tcMar>
              <w:left w:w="11" w:type="dxa"/>
              <w:right w:w="11" w:type="dxa"/>
            </w:tcMar>
            <w:vAlign w:val="center"/>
          </w:tcPr>
          <w:p w14:paraId="66DF14EB" w14:textId="77777777" w:rsidR="00D12939" w:rsidRDefault="004F47F5">
            <w:pPr>
              <w:pStyle w:val="2006"/>
              <w:spacing w:line="240" w:lineRule="auto"/>
              <w:rPr>
                <w:szCs w:val="21"/>
              </w:rPr>
            </w:pPr>
            <w:r>
              <w:rPr>
                <w:szCs w:val="21"/>
              </w:rPr>
              <w:t>达标</w:t>
            </w:r>
          </w:p>
        </w:tc>
      </w:tr>
    </w:tbl>
    <w:p w14:paraId="053A5968"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由上表数据可知，</w:t>
      </w:r>
      <w:r>
        <w:rPr>
          <w:rFonts w:ascii="Times New Roman" w:eastAsia="宋体" w:hAnsi="Times New Roman" w:cs="Times New Roman"/>
          <w:sz w:val="24"/>
          <w:szCs w:val="24"/>
        </w:rPr>
        <w:t>项目所在区域</w:t>
      </w:r>
      <w:r>
        <w:rPr>
          <w:rFonts w:ascii="Times New Roman" w:eastAsia="宋体" w:hAnsi="Times New Roman" w:cs="Times New Roman" w:hint="eastAsia"/>
          <w:sz w:val="24"/>
          <w:szCs w:val="24"/>
        </w:rPr>
        <w:t>柞水县</w:t>
      </w:r>
      <w:r>
        <w:rPr>
          <w:rFonts w:ascii="Times New Roman" w:eastAsia="宋体" w:hAnsi="Times New Roman" w:cs="Times New Roman"/>
          <w:sz w:val="24"/>
          <w:szCs w:val="24"/>
        </w:rPr>
        <w:t>为环境空气质量达标区。</w:t>
      </w:r>
    </w:p>
    <w:p w14:paraId="2A84ACF2" w14:textId="77777777" w:rsidR="00D12939" w:rsidRDefault="004F47F5">
      <w:pPr>
        <w:pStyle w:val="4"/>
        <w:spacing w:before="0" w:after="0" w:line="360" w:lineRule="auto"/>
        <w:ind w:firstLineChars="200" w:firstLine="482"/>
        <w:rPr>
          <w:rFonts w:ascii="宋体" w:eastAsia="宋体" w:hAnsi="宋体"/>
          <w:sz w:val="24"/>
        </w:rPr>
      </w:pPr>
      <w:bookmarkStart w:id="407" w:name="_Toc263982095"/>
      <w:bookmarkStart w:id="408" w:name="_Toc491676870"/>
      <w:bookmarkStart w:id="409" w:name="_Toc501462862"/>
      <w:r>
        <w:rPr>
          <w:rFonts w:ascii="宋体" w:eastAsia="宋体" w:hAnsi="宋体"/>
          <w:sz w:val="24"/>
        </w:rPr>
        <w:t>5.2.1.2 其他污染物环境质量现状</w:t>
      </w:r>
    </w:p>
    <w:p w14:paraId="3EEB824D"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）补充监测</w:t>
      </w:r>
    </w:p>
    <w:p w14:paraId="6BF29B43"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本次其他污染物环境质量现状评价委托陕西速跑环境检测技术研究有限公司进行项目拟建地</w:t>
      </w:r>
      <w:r>
        <w:rPr>
          <w:rFonts w:ascii="Times New Roman" w:eastAsia="宋体" w:hAnsi="Times New Roman" w:cs="Times New Roman" w:hint="eastAsia"/>
          <w:sz w:val="24"/>
          <w:szCs w:val="24"/>
        </w:rPr>
        <w:t>硫化氢、氨和</w:t>
      </w:r>
      <w:r>
        <w:rPr>
          <w:rFonts w:ascii="Times New Roman" w:eastAsia="宋体" w:hAnsi="Times New Roman" w:cs="Times New Roman" w:hint="eastAsia"/>
          <w:sz w:val="24"/>
          <w:szCs w:val="24"/>
        </w:rPr>
        <w:t>T</w:t>
      </w:r>
      <w:r>
        <w:rPr>
          <w:rFonts w:ascii="Times New Roman" w:eastAsia="宋体" w:hAnsi="Times New Roman" w:cs="Times New Roman"/>
          <w:sz w:val="24"/>
          <w:szCs w:val="24"/>
        </w:rPr>
        <w:t>SP</w:t>
      </w:r>
      <w:r>
        <w:rPr>
          <w:rFonts w:ascii="Times New Roman" w:eastAsia="宋体" w:hAnsi="Times New Roman" w:cs="Times New Roman"/>
          <w:sz w:val="24"/>
          <w:szCs w:val="24"/>
        </w:rPr>
        <w:t>的监测采样。监测报告见附件。</w:t>
      </w:r>
    </w:p>
    <w:p w14:paraId="553B4AA1"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①</w:t>
      </w:r>
      <w:r>
        <w:rPr>
          <w:rFonts w:ascii="Times New Roman" w:eastAsia="宋体" w:hAnsi="Times New Roman" w:cs="Times New Roman"/>
          <w:sz w:val="24"/>
          <w:szCs w:val="24"/>
        </w:rPr>
        <w:t>补充监测点位</w:t>
      </w:r>
    </w:p>
    <w:p w14:paraId="5EAAF4E7"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sz w:val="24"/>
          <w:szCs w:val="24"/>
        </w:rPr>
        <w:t>特征污染物于拟建</w:t>
      </w:r>
      <w:r>
        <w:rPr>
          <w:rFonts w:ascii="Times New Roman" w:eastAsia="宋体" w:hAnsi="Times New Roman" w:cs="Times New Roman" w:hint="eastAsia"/>
          <w:sz w:val="24"/>
          <w:szCs w:val="24"/>
        </w:rPr>
        <w:t>项目地</w:t>
      </w:r>
      <w:r>
        <w:rPr>
          <w:rFonts w:ascii="Times New Roman" w:eastAsia="宋体" w:hAnsi="Times New Roman" w:cs="Times New Roman"/>
          <w:sz w:val="24"/>
          <w:szCs w:val="24"/>
        </w:rPr>
        <w:t>设置</w:t>
      </w:r>
      <w:r>
        <w:rPr>
          <w:rFonts w:ascii="Times New Roman" w:eastAsia="宋体" w:hAnsi="Times New Roman" w:cs="Times New Roman"/>
          <w:sz w:val="24"/>
          <w:szCs w:val="24"/>
        </w:rPr>
        <w:t>1</w:t>
      </w:r>
      <w:r>
        <w:rPr>
          <w:rFonts w:ascii="Times New Roman" w:eastAsia="宋体" w:hAnsi="Times New Roman" w:cs="Times New Roman"/>
          <w:sz w:val="24"/>
          <w:szCs w:val="24"/>
        </w:rPr>
        <w:t>个大气特征因子监测点，</w:t>
      </w:r>
      <w:r>
        <w:rPr>
          <w:rFonts w:ascii="Times New Roman" w:eastAsia="宋体" w:hAnsi="Times New Roman" w:cs="Times New Roman" w:hint="eastAsia"/>
          <w:sz w:val="24"/>
          <w:szCs w:val="24"/>
        </w:rPr>
        <w:t>监测布点</w:t>
      </w:r>
      <w:r>
        <w:rPr>
          <w:rFonts w:ascii="Times New Roman" w:eastAsia="宋体" w:hAnsi="Times New Roman" w:cs="Times New Roman"/>
          <w:sz w:val="24"/>
          <w:szCs w:val="24"/>
        </w:rPr>
        <w:t>见图</w:t>
      </w:r>
      <w:r>
        <w:rPr>
          <w:rFonts w:ascii="Times New Roman" w:eastAsia="宋体" w:hAnsi="Times New Roman" w:cs="Times New Roman"/>
          <w:sz w:val="24"/>
          <w:szCs w:val="24"/>
        </w:rPr>
        <w:t>5.2-1</w:t>
      </w:r>
      <w:r>
        <w:rPr>
          <w:rFonts w:ascii="Times New Roman" w:eastAsia="宋体" w:hAnsi="Times New Roman" w:cs="Times New Roman"/>
          <w:sz w:val="24"/>
          <w:szCs w:val="24"/>
        </w:rPr>
        <w:t>。</w:t>
      </w:r>
    </w:p>
    <w:p w14:paraId="5F8229C4" w14:textId="77777777" w:rsidR="00D12939" w:rsidRDefault="004F47F5">
      <w:pPr>
        <w:spacing w:line="360" w:lineRule="auto"/>
        <w:ind w:firstLine="480"/>
        <w:jc w:val="center"/>
      </w:pPr>
      <w:r>
        <w:rPr>
          <w:noProof/>
        </w:rPr>
        <w:lastRenderedPageBreak/>
        <w:drawing>
          <wp:inline distT="0" distB="0" distL="114300" distR="114300">
            <wp:extent cx="4699000" cy="4074795"/>
            <wp:effectExtent l="0" t="0" r="6350" b="190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41"/>
                    <a:stretch>
                      <a:fillRect/>
                    </a:stretch>
                  </pic:blipFill>
                  <pic:spPr>
                    <a:xfrm>
                      <a:off x="0" y="0"/>
                      <a:ext cx="4699000" cy="4074795"/>
                    </a:xfrm>
                    <a:prstGeom prst="rect">
                      <a:avLst/>
                    </a:prstGeom>
                    <a:noFill/>
                    <a:ln>
                      <a:noFill/>
                    </a:ln>
                  </pic:spPr>
                </pic:pic>
              </a:graphicData>
            </a:graphic>
          </wp:inline>
        </w:drawing>
      </w:r>
    </w:p>
    <w:p w14:paraId="1F893AF7" w14:textId="77777777" w:rsidR="00D12939" w:rsidRDefault="004F47F5">
      <w:pPr>
        <w:pStyle w:val="2"/>
        <w:ind w:firstLine="480"/>
        <w:jc w:val="center"/>
      </w:pPr>
      <w:bookmarkStart w:id="410" w:name="_Toc121411750"/>
      <w:r>
        <w:rPr>
          <w:rFonts w:hint="eastAsia"/>
        </w:rPr>
        <w:t>图</w:t>
      </w:r>
      <w:r>
        <w:rPr>
          <w:rFonts w:hint="eastAsia"/>
        </w:rPr>
        <w:t xml:space="preserve">5.2-1  </w:t>
      </w:r>
      <w:r>
        <w:rPr>
          <w:rFonts w:hint="eastAsia"/>
        </w:rPr>
        <w:t>大气、土壤现状监测点位示意图</w:t>
      </w:r>
      <w:bookmarkEnd w:id="410"/>
    </w:p>
    <w:p w14:paraId="6EA7EBBF"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②</w:t>
      </w:r>
      <w:r>
        <w:rPr>
          <w:rFonts w:ascii="Times New Roman" w:eastAsia="宋体" w:hAnsi="Times New Roman" w:cs="Times New Roman"/>
          <w:sz w:val="24"/>
          <w:szCs w:val="24"/>
        </w:rPr>
        <w:t>补充监测因子</w:t>
      </w:r>
    </w:p>
    <w:p w14:paraId="3B0BEC4F"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sz w:val="24"/>
          <w:szCs w:val="24"/>
        </w:rPr>
        <w:t>根据项目特点补充监测因子为</w:t>
      </w:r>
      <w:r>
        <w:rPr>
          <w:rFonts w:ascii="Times New Roman" w:eastAsia="宋体" w:hAnsi="Times New Roman" w:cs="Times New Roman"/>
          <w:spacing w:val="-3"/>
          <w:sz w:val="24"/>
        </w:rPr>
        <w:t>氨、硫化氢、</w:t>
      </w:r>
      <w:r>
        <w:rPr>
          <w:rFonts w:ascii="Times New Roman" w:eastAsia="宋体" w:hAnsi="Times New Roman" w:cs="Times New Roman"/>
          <w:sz w:val="24"/>
        </w:rPr>
        <w:t>总悬浮颗粒物</w:t>
      </w:r>
      <w:r>
        <w:rPr>
          <w:rFonts w:ascii="Times New Roman" w:eastAsia="宋体" w:hAnsi="Times New Roman" w:cs="Times New Roman"/>
          <w:sz w:val="24"/>
          <w:szCs w:val="24"/>
        </w:rPr>
        <w:t>，监测内容及监测频次见表</w:t>
      </w:r>
      <w:r>
        <w:rPr>
          <w:rFonts w:ascii="Times New Roman" w:eastAsia="宋体" w:hAnsi="Times New Roman" w:cs="Times New Roman"/>
          <w:sz w:val="24"/>
          <w:szCs w:val="24"/>
        </w:rPr>
        <w:t>5.2-2</w:t>
      </w:r>
      <w:r>
        <w:rPr>
          <w:rFonts w:ascii="Times New Roman" w:eastAsia="宋体" w:hAnsi="Times New Roman" w:cs="Times New Roman"/>
          <w:sz w:val="24"/>
          <w:szCs w:val="24"/>
        </w:rPr>
        <w:t>。</w:t>
      </w:r>
    </w:p>
    <w:p w14:paraId="53755828" w14:textId="77777777" w:rsidR="00D12939" w:rsidRDefault="004F47F5">
      <w:pPr>
        <w:jc w:val="center"/>
        <w:rPr>
          <w:rFonts w:ascii="黑体" w:eastAsia="黑体" w:hAnsi="黑体"/>
          <w:bCs/>
          <w:sz w:val="24"/>
          <w:szCs w:val="18"/>
        </w:rPr>
      </w:pPr>
      <w:r>
        <w:rPr>
          <w:rFonts w:ascii="黑体" w:eastAsia="黑体" w:hAnsi="黑体"/>
          <w:bCs/>
          <w:sz w:val="24"/>
          <w:szCs w:val="18"/>
        </w:rPr>
        <w:t>表5.2-2    大气其他污染物监测点位基本信息一览表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50"/>
        <w:gridCol w:w="3436"/>
        <w:gridCol w:w="1479"/>
        <w:gridCol w:w="2851"/>
      </w:tblGrid>
      <w:tr w:rsidR="00D12939" w14:paraId="502097B6" w14:textId="77777777">
        <w:trPr>
          <w:jc w:val="center"/>
        </w:trPr>
        <w:tc>
          <w:tcPr>
            <w:tcW w:w="1003" w:type="pct"/>
            <w:vAlign w:val="center"/>
          </w:tcPr>
          <w:p w14:paraId="57C3DEF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监测地点</w:t>
            </w:r>
          </w:p>
        </w:tc>
        <w:tc>
          <w:tcPr>
            <w:tcW w:w="1768" w:type="pct"/>
            <w:vAlign w:val="center"/>
          </w:tcPr>
          <w:p w14:paraId="104E24F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监测因子</w:t>
            </w:r>
          </w:p>
        </w:tc>
        <w:tc>
          <w:tcPr>
            <w:tcW w:w="761" w:type="pct"/>
            <w:vAlign w:val="center"/>
          </w:tcPr>
          <w:p w14:paraId="3D389CF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监测内容</w:t>
            </w:r>
          </w:p>
        </w:tc>
        <w:tc>
          <w:tcPr>
            <w:tcW w:w="1467" w:type="pct"/>
            <w:vAlign w:val="center"/>
          </w:tcPr>
          <w:p w14:paraId="3FEBB23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监测频次</w:t>
            </w:r>
          </w:p>
        </w:tc>
      </w:tr>
      <w:tr w:rsidR="00D12939" w14:paraId="3842BB00" w14:textId="77777777">
        <w:trPr>
          <w:jc w:val="center"/>
        </w:trPr>
        <w:tc>
          <w:tcPr>
            <w:tcW w:w="1003" w:type="pct"/>
            <w:vMerge w:val="restart"/>
            <w:vAlign w:val="center"/>
          </w:tcPr>
          <w:p w14:paraId="0D68EFA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项目拟建地</w:t>
            </w:r>
          </w:p>
        </w:tc>
        <w:tc>
          <w:tcPr>
            <w:tcW w:w="1768" w:type="pct"/>
            <w:vAlign w:val="center"/>
          </w:tcPr>
          <w:p w14:paraId="0DBE4E3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氨、硫化氢</w:t>
            </w:r>
          </w:p>
        </w:tc>
        <w:tc>
          <w:tcPr>
            <w:tcW w:w="761" w:type="pct"/>
            <w:vAlign w:val="center"/>
          </w:tcPr>
          <w:p w14:paraId="58CB02B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1h</w:t>
            </w:r>
            <w:r>
              <w:rPr>
                <w:rFonts w:ascii="Times New Roman" w:eastAsia="宋体" w:hAnsi="Times New Roman" w:cs="Times New Roman"/>
                <w:szCs w:val="21"/>
              </w:rPr>
              <w:t>平均值</w:t>
            </w:r>
          </w:p>
        </w:tc>
        <w:tc>
          <w:tcPr>
            <w:tcW w:w="1467" w:type="pct"/>
            <w:vAlign w:val="center"/>
          </w:tcPr>
          <w:p w14:paraId="7F353BC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zCs w:val="21"/>
              </w:rPr>
              <w:t>7</w:t>
            </w:r>
            <w:r>
              <w:rPr>
                <w:rFonts w:ascii="Times New Roman" w:eastAsia="宋体" w:hAnsi="Times New Roman" w:cs="Times New Roman"/>
                <w:szCs w:val="21"/>
              </w:rPr>
              <w:t>天，</w:t>
            </w:r>
            <w:r>
              <w:rPr>
                <w:rFonts w:ascii="Times New Roman" w:eastAsia="宋体" w:hAnsi="Times New Roman" w:cs="Times New Roman"/>
                <w:szCs w:val="21"/>
              </w:rPr>
              <w:t>4</w:t>
            </w:r>
            <w:r>
              <w:rPr>
                <w:rFonts w:ascii="Times New Roman" w:eastAsia="宋体" w:hAnsi="Times New Roman" w:cs="Times New Roman"/>
                <w:szCs w:val="21"/>
              </w:rPr>
              <w:t>次</w:t>
            </w:r>
            <w:r>
              <w:rPr>
                <w:rFonts w:ascii="Times New Roman" w:eastAsia="宋体" w:hAnsi="Times New Roman" w:cs="Times New Roman"/>
                <w:szCs w:val="21"/>
              </w:rPr>
              <w:t>/</w:t>
            </w:r>
            <w:r>
              <w:rPr>
                <w:rFonts w:ascii="Times New Roman" w:eastAsia="宋体" w:hAnsi="Times New Roman" w:cs="Times New Roman"/>
                <w:szCs w:val="21"/>
              </w:rPr>
              <w:t>天</w:t>
            </w:r>
          </w:p>
        </w:tc>
      </w:tr>
      <w:tr w:rsidR="00D12939" w14:paraId="52908E4C" w14:textId="77777777">
        <w:trPr>
          <w:jc w:val="center"/>
        </w:trPr>
        <w:tc>
          <w:tcPr>
            <w:tcW w:w="1003" w:type="pct"/>
            <w:vMerge/>
            <w:vAlign w:val="center"/>
          </w:tcPr>
          <w:p w14:paraId="730CBEF2" w14:textId="77777777" w:rsidR="00D12939" w:rsidRDefault="00D12939">
            <w:pPr>
              <w:jc w:val="center"/>
              <w:rPr>
                <w:rFonts w:ascii="Times New Roman" w:eastAsia="宋体" w:hAnsi="Times New Roman" w:cs="Times New Roman"/>
                <w:szCs w:val="21"/>
              </w:rPr>
            </w:pPr>
          </w:p>
        </w:tc>
        <w:tc>
          <w:tcPr>
            <w:tcW w:w="1768" w:type="pct"/>
            <w:vAlign w:val="center"/>
          </w:tcPr>
          <w:p w14:paraId="4B0642D9" w14:textId="77777777" w:rsidR="00D12939" w:rsidRDefault="004F47F5">
            <w:pPr>
              <w:jc w:val="center"/>
              <w:rPr>
                <w:rFonts w:ascii="Times New Roman" w:eastAsia="宋体" w:hAnsi="Times New Roman" w:cs="Times New Roman"/>
                <w:szCs w:val="21"/>
                <w:highlight w:val="yellow"/>
              </w:rPr>
            </w:pPr>
            <w:r>
              <w:rPr>
                <w:rFonts w:ascii="Times New Roman" w:eastAsia="宋体" w:hAnsi="Times New Roman" w:cs="Times New Roman"/>
                <w:szCs w:val="21"/>
              </w:rPr>
              <w:t>总悬浮颗粒物</w:t>
            </w:r>
          </w:p>
        </w:tc>
        <w:tc>
          <w:tcPr>
            <w:tcW w:w="761" w:type="pct"/>
            <w:vAlign w:val="center"/>
          </w:tcPr>
          <w:p w14:paraId="4A3F5F4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24</w:t>
            </w:r>
            <w:r>
              <w:rPr>
                <w:rFonts w:ascii="Times New Roman" w:eastAsia="宋体" w:hAnsi="Times New Roman" w:cs="Times New Roman"/>
                <w:szCs w:val="21"/>
              </w:rPr>
              <w:t>小时值</w:t>
            </w:r>
          </w:p>
        </w:tc>
        <w:tc>
          <w:tcPr>
            <w:tcW w:w="1467" w:type="pct"/>
            <w:vAlign w:val="center"/>
          </w:tcPr>
          <w:p w14:paraId="7C3684C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zCs w:val="21"/>
              </w:rPr>
              <w:t>7</w:t>
            </w:r>
            <w:r>
              <w:rPr>
                <w:rFonts w:ascii="Times New Roman" w:eastAsia="宋体" w:hAnsi="Times New Roman" w:cs="Times New Roman"/>
                <w:szCs w:val="21"/>
              </w:rPr>
              <w:t>太难，</w:t>
            </w:r>
            <w:r>
              <w:rPr>
                <w:rFonts w:ascii="Times New Roman" w:eastAsia="宋体" w:hAnsi="Times New Roman" w:cs="Times New Roman"/>
                <w:szCs w:val="21"/>
              </w:rPr>
              <w:t>24</w:t>
            </w:r>
            <w:r>
              <w:rPr>
                <w:rFonts w:ascii="Times New Roman" w:eastAsia="宋体" w:hAnsi="Times New Roman" w:cs="Times New Roman"/>
                <w:szCs w:val="21"/>
              </w:rPr>
              <w:t>小时值</w:t>
            </w:r>
          </w:p>
        </w:tc>
      </w:tr>
    </w:tbl>
    <w:p w14:paraId="0EAFE8E2"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③</w:t>
      </w:r>
      <w:r>
        <w:rPr>
          <w:rFonts w:ascii="Times New Roman" w:eastAsia="宋体" w:hAnsi="Times New Roman" w:cs="Times New Roman"/>
          <w:sz w:val="24"/>
          <w:szCs w:val="24"/>
        </w:rPr>
        <w:t>监测分析方法</w:t>
      </w:r>
    </w:p>
    <w:p w14:paraId="0D85CF77"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sz w:val="24"/>
          <w:szCs w:val="24"/>
        </w:rPr>
        <w:t>监测分析方法见表</w:t>
      </w:r>
      <w:r>
        <w:rPr>
          <w:rFonts w:ascii="Times New Roman" w:eastAsia="宋体" w:hAnsi="Times New Roman" w:cs="Times New Roman"/>
          <w:sz w:val="24"/>
          <w:szCs w:val="24"/>
        </w:rPr>
        <w:t>5.2-3</w:t>
      </w:r>
      <w:r>
        <w:rPr>
          <w:rFonts w:ascii="Times New Roman" w:eastAsia="宋体" w:hAnsi="Times New Roman" w:cs="Times New Roman"/>
          <w:sz w:val="24"/>
          <w:szCs w:val="24"/>
        </w:rPr>
        <w:t>。</w:t>
      </w:r>
    </w:p>
    <w:p w14:paraId="6174C5E5" w14:textId="77777777" w:rsidR="00D12939" w:rsidRDefault="004F47F5">
      <w:pPr>
        <w:jc w:val="center"/>
        <w:rPr>
          <w:rFonts w:ascii="黑体" w:eastAsia="黑体" w:hAnsi="黑体"/>
          <w:bCs/>
          <w:sz w:val="24"/>
          <w:szCs w:val="18"/>
        </w:rPr>
      </w:pPr>
      <w:r>
        <w:rPr>
          <w:rFonts w:ascii="黑体" w:eastAsia="黑体" w:hAnsi="黑体"/>
          <w:bCs/>
          <w:sz w:val="24"/>
          <w:szCs w:val="18"/>
        </w:rPr>
        <w:t>表5.2-3    环境空气质量监测分析方法一览表</w:t>
      </w:r>
    </w:p>
    <w:tbl>
      <w:tblPr>
        <w:tblW w:w="499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1"/>
        <w:gridCol w:w="4891"/>
        <w:gridCol w:w="1418"/>
        <w:gridCol w:w="2212"/>
      </w:tblGrid>
      <w:tr w:rsidR="00D12939" w14:paraId="50A032D9" w14:textId="77777777">
        <w:trPr>
          <w:trHeight w:val="329"/>
          <w:jc w:val="center"/>
        </w:trPr>
        <w:tc>
          <w:tcPr>
            <w:tcW w:w="613" w:type="pct"/>
            <w:vAlign w:val="center"/>
          </w:tcPr>
          <w:p w14:paraId="57D8CED6" w14:textId="77777777" w:rsidR="00D12939" w:rsidRDefault="004F47F5">
            <w:pPr>
              <w:pStyle w:val="afb"/>
              <w:ind w:firstLineChars="0" w:firstLine="0"/>
              <w:jc w:val="center"/>
              <w:rPr>
                <w:rFonts w:hAnsi="Times New Roman"/>
                <w:sz w:val="21"/>
              </w:rPr>
            </w:pPr>
            <w:r>
              <w:rPr>
                <w:rFonts w:hAnsi="Times New Roman"/>
                <w:sz w:val="21"/>
              </w:rPr>
              <w:t>项目</w:t>
            </w:r>
          </w:p>
        </w:tc>
        <w:tc>
          <w:tcPr>
            <w:tcW w:w="2518" w:type="pct"/>
            <w:vAlign w:val="center"/>
          </w:tcPr>
          <w:p w14:paraId="3383D01E" w14:textId="77777777" w:rsidR="00D12939" w:rsidRDefault="004F47F5">
            <w:pPr>
              <w:pStyle w:val="afb"/>
              <w:ind w:firstLineChars="0" w:firstLine="0"/>
              <w:jc w:val="center"/>
              <w:rPr>
                <w:rFonts w:hAnsi="Times New Roman"/>
                <w:sz w:val="21"/>
              </w:rPr>
            </w:pPr>
            <w:r>
              <w:rPr>
                <w:rFonts w:hAnsi="Times New Roman"/>
                <w:sz w:val="21"/>
              </w:rPr>
              <w:t>分析方法</w:t>
            </w:r>
          </w:p>
        </w:tc>
        <w:tc>
          <w:tcPr>
            <w:tcW w:w="730" w:type="pct"/>
            <w:vAlign w:val="center"/>
          </w:tcPr>
          <w:p w14:paraId="62D3E9B6" w14:textId="77777777" w:rsidR="00D12939" w:rsidRDefault="004F47F5">
            <w:pPr>
              <w:pStyle w:val="afb"/>
              <w:ind w:firstLineChars="0" w:firstLine="0"/>
              <w:jc w:val="center"/>
              <w:rPr>
                <w:rFonts w:hAnsi="Times New Roman"/>
                <w:sz w:val="21"/>
              </w:rPr>
            </w:pPr>
            <w:r>
              <w:rPr>
                <w:rFonts w:hAnsi="Times New Roman"/>
                <w:sz w:val="21"/>
              </w:rPr>
              <w:t>检出限</w:t>
            </w:r>
          </w:p>
        </w:tc>
        <w:tc>
          <w:tcPr>
            <w:tcW w:w="1140" w:type="pct"/>
            <w:vAlign w:val="center"/>
          </w:tcPr>
          <w:p w14:paraId="76B9CAA6" w14:textId="77777777" w:rsidR="00D12939" w:rsidRDefault="004F47F5">
            <w:pPr>
              <w:pStyle w:val="afb"/>
              <w:ind w:firstLineChars="0" w:firstLine="0"/>
              <w:jc w:val="center"/>
              <w:rPr>
                <w:rFonts w:hAnsi="Times New Roman"/>
                <w:sz w:val="21"/>
              </w:rPr>
            </w:pPr>
            <w:r>
              <w:rPr>
                <w:rFonts w:hAnsi="Times New Roman"/>
                <w:sz w:val="21"/>
              </w:rPr>
              <w:t>仪器名称型号</w:t>
            </w:r>
          </w:p>
        </w:tc>
      </w:tr>
      <w:tr w:rsidR="00D12939" w14:paraId="6A6C065B" w14:textId="77777777">
        <w:trPr>
          <w:trHeight w:val="936"/>
          <w:jc w:val="center"/>
        </w:trPr>
        <w:tc>
          <w:tcPr>
            <w:tcW w:w="613" w:type="pct"/>
            <w:vAlign w:val="center"/>
          </w:tcPr>
          <w:p w14:paraId="2CCB8214" w14:textId="77777777" w:rsidR="00D12939" w:rsidRDefault="00D12939">
            <w:pPr>
              <w:pStyle w:val="TableParagraph"/>
              <w:ind w:firstLineChars="0" w:firstLine="0"/>
              <w:jc w:val="center"/>
              <w:rPr>
                <w:rFonts w:ascii="Times New Roman" w:hAnsi="Times New Roman"/>
                <w:sz w:val="21"/>
                <w:szCs w:val="21"/>
              </w:rPr>
            </w:pPr>
          </w:p>
          <w:p w14:paraId="164A0B8A"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氨</w:t>
            </w:r>
          </w:p>
        </w:tc>
        <w:tc>
          <w:tcPr>
            <w:tcW w:w="2518" w:type="pct"/>
            <w:vAlign w:val="center"/>
          </w:tcPr>
          <w:p w14:paraId="31A9718B" w14:textId="77777777" w:rsidR="00D12939" w:rsidRDefault="004F47F5">
            <w:pPr>
              <w:pStyle w:val="TableParagraph"/>
              <w:ind w:firstLineChars="0" w:firstLine="0"/>
              <w:jc w:val="center"/>
              <w:rPr>
                <w:rFonts w:ascii="Times New Roman" w:hAnsi="Times New Roman"/>
                <w:sz w:val="21"/>
                <w:szCs w:val="21"/>
                <w:lang w:eastAsia="zh-CN"/>
              </w:rPr>
            </w:pPr>
            <w:r>
              <w:rPr>
                <w:rFonts w:ascii="Times New Roman" w:hAnsi="Times New Roman"/>
                <w:sz w:val="21"/>
                <w:szCs w:val="21"/>
                <w:lang w:eastAsia="zh-CN"/>
              </w:rPr>
              <w:t>环境空气和废气</w:t>
            </w:r>
            <w:r>
              <w:rPr>
                <w:rFonts w:ascii="Times New Roman" w:hAnsi="Times New Roman"/>
                <w:sz w:val="21"/>
                <w:szCs w:val="21"/>
                <w:lang w:eastAsia="zh-CN"/>
              </w:rPr>
              <w:t xml:space="preserve"> </w:t>
            </w:r>
            <w:r>
              <w:rPr>
                <w:rFonts w:ascii="Times New Roman" w:hAnsi="Times New Roman"/>
                <w:sz w:val="21"/>
                <w:szCs w:val="21"/>
                <w:lang w:eastAsia="zh-CN"/>
              </w:rPr>
              <w:t>氨的测定纳氏试剂分光光度法</w:t>
            </w:r>
          </w:p>
          <w:p w14:paraId="4C75B51E"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HJ 533-2009</w:t>
            </w:r>
          </w:p>
        </w:tc>
        <w:tc>
          <w:tcPr>
            <w:tcW w:w="730" w:type="pct"/>
            <w:vAlign w:val="center"/>
          </w:tcPr>
          <w:p w14:paraId="5AB20EA6"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0.01mg/m</w:t>
            </w:r>
            <w:r>
              <w:rPr>
                <w:rFonts w:ascii="Times New Roman" w:hAnsi="Times New Roman"/>
                <w:position w:val="8"/>
                <w:sz w:val="21"/>
                <w:szCs w:val="21"/>
              </w:rPr>
              <w:t>3</w:t>
            </w:r>
          </w:p>
        </w:tc>
        <w:tc>
          <w:tcPr>
            <w:tcW w:w="1140" w:type="pct"/>
            <w:vMerge w:val="restart"/>
            <w:vAlign w:val="center"/>
          </w:tcPr>
          <w:p w14:paraId="7BE8CC78" w14:textId="77777777" w:rsidR="00D12939" w:rsidRDefault="00D12939">
            <w:pPr>
              <w:pStyle w:val="TableParagraph"/>
              <w:ind w:firstLineChars="0" w:firstLine="0"/>
              <w:jc w:val="center"/>
              <w:rPr>
                <w:rFonts w:ascii="Times New Roman" w:hAnsi="Times New Roman"/>
                <w:sz w:val="21"/>
                <w:szCs w:val="21"/>
              </w:rPr>
            </w:pPr>
          </w:p>
          <w:p w14:paraId="2CF9137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 xml:space="preserve">SP-723 </w:t>
            </w:r>
            <w:r>
              <w:rPr>
                <w:rFonts w:ascii="Times New Roman" w:hAnsi="Times New Roman"/>
                <w:sz w:val="21"/>
                <w:szCs w:val="21"/>
              </w:rPr>
              <w:t>可见分光光度计</w:t>
            </w:r>
            <w:r>
              <w:rPr>
                <w:rFonts w:ascii="Times New Roman" w:hAnsi="Times New Roman"/>
                <w:sz w:val="21"/>
                <w:szCs w:val="21"/>
              </w:rPr>
              <w:t>/SPS-005</w:t>
            </w:r>
          </w:p>
        </w:tc>
      </w:tr>
      <w:tr w:rsidR="00D12939" w14:paraId="77C4135E" w14:textId="77777777">
        <w:trPr>
          <w:trHeight w:val="936"/>
          <w:jc w:val="center"/>
        </w:trPr>
        <w:tc>
          <w:tcPr>
            <w:tcW w:w="613" w:type="pct"/>
            <w:vAlign w:val="center"/>
          </w:tcPr>
          <w:p w14:paraId="4D3CBA42" w14:textId="77777777" w:rsidR="00D12939" w:rsidRDefault="00D12939">
            <w:pPr>
              <w:pStyle w:val="TableParagraph"/>
              <w:ind w:firstLineChars="0" w:firstLine="0"/>
              <w:jc w:val="center"/>
              <w:rPr>
                <w:rFonts w:ascii="Times New Roman" w:hAnsi="Times New Roman"/>
                <w:sz w:val="21"/>
                <w:szCs w:val="21"/>
              </w:rPr>
            </w:pPr>
          </w:p>
          <w:p w14:paraId="2DC250B7"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硫化氢</w:t>
            </w:r>
          </w:p>
        </w:tc>
        <w:tc>
          <w:tcPr>
            <w:tcW w:w="2518" w:type="pct"/>
            <w:vAlign w:val="center"/>
          </w:tcPr>
          <w:p w14:paraId="129F550C" w14:textId="77777777" w:rsidR="00D12939" w:rsidRDefault="004F47F5">
            <w:pPr>
              <w:pStyle w:val="TableParagraph"/>
              <w:ind w:firstLineChars="0" w:firstLine="0"/>
              <w:jc w:val="center"/>
              <w:rPr>
                <w:rFonts w:ascii="Times New Roman" w:hAnsi="Times New Roman"/>
                <w:sz w:val="21"/>
                <w:szCs w:val="21"/>
                <w:lang w:eastAsia="zh-CN"/>
              </w:rPr>
            </w:pPr>
            <w:r>
              <w:rPr>
                <w:rFonts w:ascii="Times New Roman" w:hAnsi="Times New Roman"/>
                <w:sz w:val="21"/>
                <w:szCs w:val="21"/>
                <w:lang w:eastAsia="zh-CN"/>
              </w:rPr>
              <w:t>《空气和废气监测分析方法》</w:t>
            </w:r>
          </w:p>
          <w:p w14:paraId="058E7BAA" w14:textId="77777777" w:rsidR="00D12939" w:rsidRDefault="004F47F5">
            <w:pPr>
              <w:pStyle w:val="TableParagraph"/>
              <w:ind w:firstLineChars="0" w:firstLine="0"/>
              <w:jc w:val="center"/>
              <w:rPr>
                <w:rFonts w:ascii="Times New Roman" w:hAnsi="Times New Roman"/>
                <w:sz w:val="21"/>
                <w:szCs w:val="21"/>
                <w:lang w:eastAsia="zh-CN"/>
              </w:rPr>
            </w:pPr>
            <w:r>
              <w:rPr>
                <w:rFonts w:ascii="Times New Roman" w:hAnsi="Times New Roman"/>
                <w:sz w:val="21"/>
                <w:szCs w:val="21"/>
                <w:lang w:eastAsia="zh-CN"/>
              </w:rPr>
              <w:t>（第四版</w:t>
            </w:r>
            <w:r>
              <w:rPr>
                <w:rFonts w:ascii="Times New Roman" w:hAnsi="Times New Roman"/>
                <w:sz w:val="21"/>
                <w:szCs w:val="21"/>
                <w:lang w:eastAsia="zh-CN"/>
              </w:rPr>
              <w:t xml:space="preserve"> </w:t>
            </w:r>
            <w:r>
              <w:rPr>
                <w:rFonts w:ascii="Times New Roman" w:hAnsi="Times New Roman"/>
                <w:sz w:val="21"/>
                <w:szCs w:val="21"/>
                <w:lang w:eastAsia="zh-CN"/>
              </w:rPr>
              <w:t>增补版）</w:t>
            </w:r>
          </w:p>
          <w:p w14:paraId="462AD51E" w14:textId="77777777" w:rsidR="00D12939" w:rsidRDefault="004F47F5">
            <w:pPr>
              <w:pStyle w:val="TableParagraph"/>
              <w:ind w:firstLineChars="0" w:firstLine="0"/>
              <w:jc w:val="center"/>
              <w:rPr>
                <w:rFonts w:ascii="Times New Roman" w:hAnsi="Times New Roman"/>
                <w:sz w:val="21"/>
                <w:szCs w:val="21"/>
                <w:lang w:eastAsia="zh-CN"/>
              </w:rPr>
            </w:pPr>
            <w:r>
              <w:rPr>
                <w:rFonts w:ascii="Times New Roman" w:hAnsi="Times New Roman"/>
                <w:sz w:val="21"/>
                <w:szCs w:val="21"/>
                <w:lang w:eastAsia="zh-CN"/>
              </w:rPr>
              <w:t>第三篇</w:t>
            </w:r>
            <w:r>
              <w:rPr>
                <w:rFonts w:ascii="Times New Roman" w:hAnsi="Times New Roman"/>
                <w:sz w:val="21"/>
                <w:szCs w:val="21"/>
                <w:lang w:eastAsia="zh-CN"/>
              </w:rPr>
              <w:t xml:space="preserve"> </w:t>
            </w:r>
            <w:r>
              <w:rPr>
                <w:rFonts w:ascii="Times New Roman" w:hAnsi="Times New Roman"/>
                <w:sz w:val="21"/>
                <w:szCs w:val="21"/>
                <w:lang w:eastAsia="zh-CN"/>
              </w:rPr>
              <w:t>第一章第十一节</w:t>
            </w:r>
            <w:r>
              <w:rPr>
                <w:rFonts w:ascii="Times New Roman" w:hAnsi="Times New Roman"/>
                <w:sz w:val="21"/>
                <w:szCs w:val="21"/>
                <w:lang w:eastAsia="zh-CN"/>
              </w:rPr>
              <w:t xml:space="preserve"> </w:t>
            </w:r>
            <w:r>
              <w:rPr>
                <w:rFonts w:ascii="Times New Roman" w:hAnsi="Times New Roman"/>
                <w:sz w:val="21"/>
                <w:szCs w:val="21"/>
                <w:lang w:eastAsia="zh-CN"/>
              </w:rPr>
              <w:t>（二）</w:t>
            </w:r>
          </w:p>
          <w:p w14:paraId="743EA7C0" w14:textId="77777777" w:rsidR="00D12939" w:rsidRDefault="004F47F5">
            <w:pPr>
              <w:pStyle w:val="TableParagraph"/>
              <w:ind w:firstLineChars="0" w:firstLine="0"/>
              <w:jc w:val="center"/>
              <w:rPr>
                <w:rFonts w:ascii="Times New Roman" w:hAnsi="Times New Roman"/>
                <w:sz w:val="21"/>
                <w:szCs w:val="21"/>
                <w:highlight w:val="yellow"/>
                <w:lang w:eastAsia="zh-CN"/>
              </w:rPr>
            </w:pPr>
            <w:r>
              <w:rPr>
                <w:rFonts w:ascii="Times New Roman" w:hAnsi="Times New Roman"/>
                <w:sz w:val="21"/>
                <w:szCs w:val="21"/>
                <w:lang w:eastAsia="zh-CN"/>
              </w:rPr>
              <w:t>亚甲基蓝分光光度法（</w:t>
            </w:r>
            <w:r>
              <w:rPr>
                <w:rFonts w:ascii="Times New Roman" w:hAnsi="Times New Roman"/>
                <w:sz w:val="21"/>
                <w:szCs w:val="21"/>
                <w:lang w:eastAsia="zh-CN"/>
              </w:rPr>
              <w:t>B</w:t>
            </w:r>
            <w:r>
              <w:rPr>
                <w:rFonts w:ascii="Times New Roman" w:hAnsi="Times New Roman"/>
                <w:sz w:val="21"/>
                <w:szCs w:val="21"/>
                <w:lang w:eastAsia="zh-CN"/>
              </w:rPr>
              <w:t>）</w:t>
            </w:r>
          </w:p>
        </w:tc>
        <w:tc>
          <w:tcPr>
            <w:tcW w:w="730" w:type="pct"/>
            <w:vAlign w:val="center"/>
          </w:tcPr>
          <w:p w14:paraId="22B6785F"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0.001mg/m</w:t>
            </w:r>
            <w:r>
              <w:rPr>
                <w:rFonts w:ascii="Times New Roman" w:hAnsi="Times New Roman"/>
                <w:position w:val="8"/>
                <w:sz w:val="21"/>
                <w:szCs w:val="21"/>
              </w:rPr>
              <w:t>3</w:t>
            </w:r>
          </w:p>
        </w:tc>
        <w:tc>
          <w:tcPr>
            <w:tcW w:w="1140" w:type="pct"/>
            <w:vMerge/>
            <w:vAlign w:val="center"/>
          </w:tcPr>
          <w:p w14:paraId="4D34A5A9" w14:textId="77777777" w:rsidR="00D12939" w:rsidRDefault="00D12939">
            <w:pPr>
              <w:jc w:val="center"/>
              <w:rPr>
                <w:rFonts w:ascii="Times New Roman" w:eastAsia="宋体" w:hAnsi="Times New Roman" w:cs="Times New Roman"/>
                <w:szCs w:val="21"/>
                <w:highlight w:val="yellow"/>
              </w:rPr>
            </w:pPr>
          </w:p>
        </w:tc>
      </w:tr>
      <w:tr w:rsidR="00D12939" w14:paraId="55324F9A" w14:textId="77777777">
        <w:trPr>
          <w:trHeight w:val="936"/>
          <w:jc w:val="center"/>
        </w:trPr>
        <w:tc>
          <w:tcPr>
            <w:tcW w:w="613" w:type="pct"/>
            <w:vAlign w:val="center"/>
          </w:tcPr>
          <w:p w14:paraId="3827E839" w14:textId="77777777" w:rsidR="00D12939" w:rsidRDefault="00D12939">
            <w:pPr>
              <w:pStyle w:val="TableParagraph"/>
              <w:ind w:firstLineChars="0" w:firstLine="0"/>
              <w:jc w:val="center"/>
              <w:rPr>
                <w:rFonts w:ascii="Times New Roman" w:hAnsi="Times New Roman"/>
                <w:sz w:val="21"/>
                <w:szCs w:val="21"/>
              </w:rPr>
            </w:pPr>
          </w:p>
          <w:p w14:paraId="6E049BE9"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总悬浮颗粒物</w:t>
            </w:r>
          </w:p>
        </w:tc>
        <w:tc>
          <w:tcPr>
            <w:tcW w:w="2518" w:type="pct"/>
            <w:vAlign w:val="center"/>
          </w:tcPr>
          <w:p w14:paraId="41DE253E" w14:textId="77777777" w:rsidR="00D12939" w:rsidRDefault="004F47F5">
            <w:pPr>
              <w:pStyle w:val="TableParagraph"/>
              <w:ind w:firstLineChars="0" w:firstLine="0"/>
              <w:jc w:val="center"/>
              <w:rPr>
                <w:rFonts w:ascii="Times New Roman" w:hAnsi="Times New Roman"/>
                <w:sz w:val="21"/>
                <w:szCs w:val="21"/>
                <w:lang w:eastAsia="zh-CN"/>
              </w:rPr>
            </w:pPr>
            <w:r>
              <w:rPr>
                <w:rFonts w:ascii="Times New Roman" w:hAnsi="Times New Roman"/>
                <w:sz w:val="21"/>
                <w:szCs w:val="21"/>
                <w:lang w:eastAsia="zh-CN"/>
              </w:rPr>
              <w:t>环境空气</w:t>
            </w:r>
            <w:r>
              <w:rPr>
                <w:rFonts w:ascii="Times New Roman" w:hAnsi="Times New Roman"/>
                <w:sz w:val="21"/>
                <w:szCs w:val="21"/>
                <w:lang w:eastAsia="zh-CN"/>
              </w:rPr>
              <w:t xml:space="preserve"> </w:t>
            </w:r>
            <w:r>
              <w:rPr>
                <w:rFonts w:ascii="Times New Roman" w:hAnsi="Times New Roman"/>
                <w:sz w:val="21"/>
                <w:szCs w:val="21"/>
                <w:lang w:eastAsia="zh-CN"/>
              </w:rPr>
              <w:t>总悬浮颗粒物的测定重量法及其修改单</w:t>
            </w:r>
          </w:p>
          <w:p w14:paraId="02478F13" w14:textId="77777777" w:rsidR="00D12939" w:rsidRDefault="004F47F5">
            <w:pPr>
              <w:pStyle w:val="TableParagraph"/>
              <w:ind w:firstLineChars="0" w:firstLine="0"/>
              <w:jc w:val="center"/>
              <w:rPr>
                <w:rFonts w:ascii="Times New Roman" w:hAnsi="Times New Roman"/>
                <w:sz w:val="21"/>
                <w:szCs w:val="21"/>
                <w:lang w:eastAsia="zh-CN"/>
              </w:rPr>
            </w:pPr>
            <w:r>
              <w:rPr>
                <w:rFonts w:ascii="Times New Roman" w:hAnsi="Times New Roman"/>
                <w:sz w:val="21"/>
                <w:szCs w:val="21"/>
                <w:lang w:eastAsia="zh-CN"/>
              </w:rPr>
              <w:t xml:space="preserve">GB/T 15432-1995 </w:t>
            </w:r>
            <w:r>
              <w:rPr>
                <w:rFonts w:ascii="Times New Roman" w:hAnsi="Times New Roman"/>
                <w:sz w:val="21"/>
                <w:szCs w:val="21"/>
                <w:lang w:eastAsia="zh-CN"/>
              </w:rPr>
              <w:t>及《生态环境部公</w:t>
            </w:r>
          </w:p>
          <w:p w14:paraId="0E486D53"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告</w:t>
            </w:r>
            <w:r>
              <w:rPr>
                <w:rFonts w:ascii="Times New Roman" w:hAnsi="Times New Roman"/>
                <w:sz w:val="21"/>
                <w:szCs w:val="21"/>
              </w:rPr>
              <w:t xml:space="preserve"> 2018 </w:t>
            </w:r>
            <w:r>
              <w:rPr>
                <w:rFonts w:ascii="Times New Roman" w:hAnsi="Times New Roman"/>
                <w:sz w:val="21"/>
                <w:szCs w:val="21"/>
              </w:rPr>
              <w:t>年第</w:t>
            </w:r>
            <w:r>
              <w:rPr>
                <w:rFonts w:ascii="Times New Roman" w:hAnsi="Times New Roman"/>
                <w:sz w:val="21"/>
                <w:szCs w:val="21"/>
              </w:rPr>
              <w:t xml:space="preserve"> 31 </w:t>
            </w:r>
            <w:r>
              <w:rPr>
                <w:rFonts w:ascii="Times New Roman" w:hAnsi="Times New Roman"/>
                <w:sz w:val="21"/>
                <w:szCs w:val="21"/>
              </w:rPr>
              <w:t>号》</w:t>
            </w:r>
          </w:p>
        </w:tc>
        <w:tc>
          <w:tcPr>
            <w:tcW w:w="730" w:type="pct"/>
            <w:vAlign w:val="center"/>
          </w:tcPr>
          <w:p w14:paraId="0B96BD15"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0.001mg/m</w:t>
            </w:r>
            <w:r>
              <w:rPr>
                <w:rFonts w:ascii="Times New Roman" w:hAnsi="Times New Roman"/>
                <w:position w:val="8"/>
                <w:sz w:val="21"/>
                <w:szCs w:val="21"/>
              </w:rPr>
              <w:t>3</w:t>
            </w:r>
          </w:p>
        </w:tc>
        <w:tc>
          <w:tcPr>
            <w:tcW w:w="1140" w:type="pct"/>
            <w:vAlign w:val="center"/>
          </w:tcPr>
          <w:p w14:paraId="30E0946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 xml:space="preserve">ME204 /02 </w:t>
            </w:r>
            <w:r>
              <w:rPr>
                <w:rFonts w:ascii="Times New Roman" w:hAnsi="Times New Roman"/>
                <w:sz w:val="21"/>
                <w:szCs w:val="21"/>
              </w:rPr>
              <w:t>电子天平</w:t>
            </w:r>
          </w:p>
          <w:p w14:paraId="32A977E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（万分之一）</w:t>
            </w:r>
          </w:p>
          <w:p w14:paraId="2A6A9066" w14:textId="77777777" w:rsidR="00D12939" w:rsidRDefault="004F47F5">
            <w:pPr>
              <w:pStyle w:val="TableParagraph"/>
              <w:ind w:firstLineChars="0" w:firstLine="0"/>
              <w:jc w:val="center"/>
              <w:rPr>
                <w:rFonts w:ascii="Times New Roman" w:hAnsi="Times New Roman"/>
                <w:sz w:val="21"/>
                <w:szCs w:val="21"/>
                <w:highlight w:val="yellow"/>
              </w:rPr>
            </w:pPr>
            <w:r>
              <w:rPr>
                <w:rFonts w:ascii="Times New Roman" w:hAnsi="Times New Roman"/>
                <w:sz w:val="21"/>
                <w:szCs w:val="21"/>
              </w:rPr>
              <w:t>/SPS-011</w:t>
            </w:r>
          </w:p>
        </w:tc>
      </w:tr>
    </w:tbl>
    <w:p w14:paraId="0624A9C8"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④</w:t>
      </w:r>
      <w:r>
        <w:rPr>
          <w:rFonts w:ascii="Times New Roman" w:eastAsia="宋体" w:hAnsi="Times New Roman" w:cs="Times New Roman"/>
          <w:sz w:val="24"/>
          <w:szCs w:val="24"/>
        </w:rPr>
        <w:t>监测结果及评价</w:t>
      </w:r>
    </w:p>
    <w:p w14:paraId="4792012C" w14:textId="77777777" w:rsidR="00D12939" w:rsidRDefault="004F47F5">
      <w:pPr>
        <w:spacing w:line="360" w:lineRule="auto"/>
        <w:ind w:firstLine="480"/>
        <w:jc w:val="left"/>
        <w:rPr>
          <w:rFonts w:ascii="Times New Roman" w:eastAsia="宋体" w:hAnsi="Times New Roman" w:cs="Times New Roman"/>
          <w:sz w:val="24"/>
          <w:szCs w:val="24"/>
        </w:rPr>
      </w:pPr>
      <w:r>
        <w:rPr>
          <w:rFonts w:ascii="Times New Roman" w:eastAsia="宋体" w:hAnsi="Times New Roman" w:cs="Times New Roman"/>
          <w:sz w:val="24"/>
          <w:szCs w:val="24"/>
        </w:rPr>
        <w:t>环境质量现状监测结果</w:t>
      </w:r>
      <w:r>
        <w:rPr>
          <w:rFonts w:ascii="Times New Roman" w:eastAsia="宋体" w:hAnsi="Times New Roman" w:cs="Times New Roman" w:hint="eastAsia"/>
          <w:sz w:val="24"/>
          <w:szCs w:val="24"/>
        </w:rPr>
        <w:t>及达标评价</w:t>
      </w:r>
      <w:r>
        <w:rPr>
          <w:rFonts w:ascii="Times New Roman" w:eastAsia="宋体" w:hAnsi="Times New Roman" w:cs="Times New Roman"/>
          <w:sz w:val="24"/>
          <w:szCs w:val="24"/>
        </w:rPr>
        <w:t>见表</w:t>
      </w:r>
      <w:r>
        <w:rPr>
          <w:rFonts w:ascii="Times New Roman" w:eastAsia="宋体" w:hAnsi="Times New Roman" w:cs="Times New Roman"/>
          <w:sz w:val="24"/>
          <w:szCs w:val="24"/>
        </w:rPr>
        <w:t>5.3-4</w:t>
      </w:r>
      <w:r>
        <w:rPr>
          <w:rFonts w:ascii="Times New Roman" w:eastAsia="宋体" w:hAnsi="Times New Roman" w:cs="Times New Roman"/>
          <w:sz w:val="24"/>
          <w:szCs w:val="24"/>
        </w:rPr>
        <w:t>。</w:t>
      </w:r>
    </w:p>
    <w:p w14:paraId="4743D292" w14:textId="77777777" w:rsidR="00D12939" w:rsidRDefault="004F47F5">
      <w:pPr>
        <w:jc w:val="center"/>
        <w:rPr>
          <w:rFonts w:ascii="黑体" w:eastAsia="黑体" w:hAnsi="黑体"/>
          <w:bCs/>
          <w:sz w:val="24"/>
          <w:szCs w:val="18"/>
        </w:rPr>
      </w:pPr>
      <w:r>
        <w:rPr>
          <w:rFonts w:ascii="黑体" w:eastAsia="黑体" w:hAnsi="黑体"/>
          <w:bCs/>
          <w:sz w:val="24"/>
          <w:szCs w:val="18"/>
        </w:rPr>
        <w:t>表5.3-4    其他污染物环境质量现状监测结果一览表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43"/>
        <w:gridCol w:w="1516"/>
        <w:gridCol w:w="1492"/>
        <w:gridCol w:w="1156"/>
        <w:gridCol w:w="1821"/>
        <w:gridCol w:w="1327"/>
        <w:gridCol w:w="826"/>
        <w:gridCol w:w="935"/>
      </w:tblGrid>
      <w:tr w:rsidR="00D12939" w14:paraId="4266DAA2" w14:textId="77777777">
        <w:trPr>
          <w:trHeight w:val="515"/>
          <w:jc w:val="center"/>
        </w:trPr>
        <w:tc>
          <w:tcPr>
            <w:tcW w:w="331" w:type="pct"/>
            <w:tcMar>
              <w:left w:w="11" w:type="dxa"/>
              <w:right w:w="11" w:type="dxa"/>
            </w:tcMar>
            <w:vAlign w:val="center"/>
          </w:tcPr>
          <w:p w14:paraId="0FF1FFD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监测点位</w:t>
            </w:r>
          </w:p>
        </w:tc>
        <w:tc>
          <w:tcPr>
            <w:tcW w:w="780" w:type="pct"/>
            <w:tcMar>
              <w:left w:w="11" w:type="dxa"/>
              <w:right w:w="11" w:type="dxa"/>
            </w:tcMar>
            <w:vAlign w:val="center"/>
          </w:tcPr>
          <w:p w14:paraId="51F1661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污染物</w:t>
            </w:r>
          </w:p>
        </w:tc>
        <w:tc>
          <w:tcPr>
            <w:tcW w:w="768" w:type="pct"/>
            <w:tcMar>
              <w:left w:w="11" w:type="dxa"/>
              <w:right w:w="11" w:type="dxa"/>
            </w:tcMar>
            <w:vAlign w:val="center"/>
          </w:tcPr>
          <w:p w14:paraId="34E5C7D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平均时间</w:t>
            </w:r>
          </w:p>
        </w:tc>
        <w:tc>
          <w:tcPr>
            <w:tcW w:w="595" w:type="pct"/>
            <w:tcMar>
              <w:left w:w="11" w:type="dxa"/>
              <w:right w:w="11" w:type="dxa"/>
            </w:tcMar>
            <w:vAlign w:val="center"/>
          </w:tcPr>
          <w:p w14:paraId="6E311E6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评价标准</w:t>
            </w:r>
            <w:r>
              <w:rPr>
                <w:rFonts w:ascii="Times New Roman" w:eastAsia="宋体" w:hAnsi="Times New Roman" w:cs="Times New Roman"/>
                <w:szCs w:val="21"/>
              </w:rPr>
              <w:t>(μg/m</w:t>
            </w:r>
            <w:r>
              <w:rPr>
                <w:rFonts w:ascii="Times New Roman" w:eastAsia="宋体" w:hAnsi="Times New Roman" w:cs="Times New Roman"/>
                <w:szCs w:val="21"/>
                <w:vertAlign w:val="superscript"/>
              </w:rPr>
              <w:t>3</w:t>
            </w:r>
            <w:r>
              <w:rPr>
                <w:rFonts w:ascii="Times New Roman" w:eastAsia="宋体" w:hAnsi="Times New Roman" w:cs="Times New Roman"/>
                <w:szCs w:val="21"/>
              </w:rPr>
              <w:t>)</w:t>
            </w:r>
          </w:p>
        </w:tc>
        <w:tc>
          <w:tcPr>
            <w:tcW w:w="937" w:type="pct"/>
            <w:tcMar>
              <w:left w:w="11" w:type="dxa"/>
              <w:right w:w="11" w:type="dxa"/>
            </w:tcMar>
            <w:vAlign w:val="center"/>
          </w:tcPr>
          <w:p w14:paraId="6D6873A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监测浓度范围</w:t>
            </w:r>
            <w:r>
              <w:rPr>
                <w:rFonts w:ascii="Times New Roman" w:eastAsia="宋体" w:hAnsi="Times New Roman" w:cs="Times New Roman"/>
                <w:szCs w:val="21"/>
              </w:rPr>
              <w:t>(μg/m</w:t>
            </w:r>
            <w:r>
              <w:rPr>
                <w:rFonts w:ascii="Times New Roman" w:eastAsia="宋体" w:hAnsi="Times New Roman" w:cs="Times New Roman"/>
                <w:szCs w:val="21"/>
                <w:vertAlign w:val="superscript"/>
              </w:rPr>
              <w:t>3</w:t>
            </w:r>
            <w:r>
              <w:rPr>
                <w:rFonts w:ascii="Times New Roman" w:eastAsia="宋体" w:hAnsi="Times New Roman" w:cs="Times New Roman"/>
                <w:szCs w:val="21"/>
              </w:rPr>
              <w:t>)</w:t>
            </w:r>
          </w:p>
        </w:tc>
        <w:tc>
          <w:tcPr>
            <w:tcW w:w="683" w:type="pct"/>
            <w:tcMar>
              <w:left w:w="11" w:type="dxa"/>
              <w:right w:w="11" w:type="dxa"/>
            </w:tcMar>
            <w:vAlign w:val="center"/>
          </w:tcPr>
          <w:p w14:paraId="5B2A329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最大浓度占标率</w:t>
            </w:r>
            <w:r>
              <w:rPr>
                <w:rFonts w:ascii="Times New Roman" w:eastAsia="宋体" w:hAnsi="Times New Roman" w:cs="Times New Roman"/>
                <w:szCs w:val="21"/>
              </w:rPr>
              <w:t>(%)</w:t>
            </w:r>
          </w:p>
        </w:tc>
        <w:tc>
          <w:tcPr>
            <w:tcW w:w="425" w:type="pct"/>
            <w:tcMar>
              <w:left w:w="11" w:type="dxa"/>
              <w:right w:w="11" w:type="dxa"/>
            </w:tcMar>
            <w:vAlign w:val="center"/>
          </w:tcPr>
          <w:p w14:paraId="7CE307F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超标率</w:t>
            </w:r>
            <w:r>
              <w:rPr>
                <w:rFonts w:ascii="Times New Roman" w:eastAsia="宋体" w:hAnsi="Times New Roman" w:cs="Times New Roman"/>
                <w:szCs w:val="21"/>
              </w:rPr>
              <w:t>(%)</w:t>
            </w:r>
          </w:p>
        </w:tc>
        <w:tc>
          <w:tcPr>
            <w:tcW w:w="481" w:type="pct"/>
            <w:tcMar>
              <w:left w:w="11" w:type="dxa"/>
              <w:right w:w="11" w:type="dxa"/>
            </w:tcMar>
            <w:vAlign w:val="center"/>
          </w:tcPr>
          <w:p w14:paraId="2CB4A0E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p w14:paraId="288CF38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情况</w:t>
            </w:r>
          </w:p>
        </w:tc>
      </w:tr>
      <w:tr w:rsidR="00D12939" w14:paraId="148B40AF" w14:textId="77777777">
        <w:trPr>
          <w:trHeight w:val="263"/>
          <w:jc w:val="center"/>
        </w:trPr>
        <w:tc>
          <w:tcPr>
            <w:tcW w:w="331" w:type="pct"/>
            <w:vMerge w:val="restart"/>
            <w:tcMar>
              <w:left w:w="11" w:type="dxa"/>
              <w:right w:w="11" w:type="dxa"/>
            </w:tcMar>
            <w:vAlign w:val="center"/>
          </w:tcPr>
          <w:p w14:paraId="7EDE3DD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厂址</w:t>
            </w:r>
          </w:p>
        </w:tc>
        <w:tc>
          <w:tcPr>
            <w:tcW w:w="780" w:type="pct"/>
            <w:tcMar>
              <w:left w:w="11" w:type="dxa"/>
              <w:right w:w="11" w:type="dxa"/>
            </w:tcMar>
            <w:vAlign w:val="center"/>
          </w:tcPr>
          <w:p w14:paraId="2EF805E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TSP</w:t>
            </w:r>
          </w:p>
        </w:tc>
        <w:tc>
          <w:tcPr>
            <w:tcW w:w="768" w:type="pct"/>
            <w:tcMar>
              <w:left w:w="11" w:type="dxa"/>
              <w:right w:w="11" w:type="dxa"/>
            </w:tcMar>
            <w:vAlign w:val="center"/>
          </w:tcPr>
          <w:p w14:paraId="7C08293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24h</w:t>
            </w:r>
            <w:r>
              <w:rPr>
                <w:rFonts w:ascii="Times New Roman" w:eastAsia="宋体" w:hAnsi="Times New Roman" w:cs="Times New Roman"/>
                <w:szCs w:val="21"/>
              </w:rPr>
              <w:t>平均</w:t>
            </w:r>
          </w:p>
        </w:tc>
        <w:tc>
          <w:tcPr>
            <w:tcW w:w="595" w:type="pct"/>
            <w:tcMar>
              <w:left w:w="11" w:type="dxa"/>
              <w:right w:w="11" w:type="dxa"/>
            </w:tcMar>
            <w:vAlign w:val="center"/>
          </w:tcPr>
          <w:p w14:paraId="602308B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300</w:t>
            </w:r>
          </w:p>
        </w:tc>
        <w:tc>
          <w:tcPr>
            <w:tcW w:w="937" w:type="pct"/>
            <w:tcMar>
              <w:left w:w="11" w:type="dxa"/>
              <w:right w:w="11" w:type="dxa"/>
            </w:tcMar>
            <w:vAlign w:val="center"/>
          </w:tcPr>
          <w:p w14:paraId="3B1127C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85-177</w:t>
            </w:r>
          </w:p>
        </w:tc>
        <w:tc>
          <w:tcPr>
            <w:tcW w:w="683" w:type="pct"/>
            <w:tcMar>
              <w:left w:w="11" w:type="dxa"/>
              <w:right w:w="11" w:type="dxa"/>
            </w:tcMar>
            <w:vAlign w:val="center"/>
          </w:tcPr>
          <w:p w14:paraId="1C2F969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425" w:type="pct"/>
            <w:tcMar>
              <w:left w:w="11" w:type="dxa"/>
              <w:right w:w="11" w:type="dxa"/>
            </w:tcMar>
            <w:vAlign w:val="center"/>
          </w:tcPr>
          <w:p w14:paraId="68B2145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w:t>
            </w:r>
          </w:p>
        </w:tc>
        <w:tc>
          <w:tcPr>
            <w:tcW w:w="481" w:type="pct"/>
            <w:tcMar>
              <w:left w:w="11" w:type="dxa"/>
              <w:right w:w="11" w:type="dxa"/>
            </w:tcMar>
            <w:vAlign w:val="center"/>
          </w:tcPr>
          <w:p w14:paraId="12C46CB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6563008D" w14:textId="77777777">
        <w:trPr>
          <w:trHeight w:val="263"/>
          <w:jc w:val="center"/>
        </w:trPr>
        <w:tc>
          <w:tcPr>
            <w:tcW w:w="331" w:type="pct"/>
            <w:vMerge/>
            <w:tcMar>
              <w:left w:w="11" w:type="dxa"/>
              <w:right w:w="11" w:type="dxa"/>
            </w:tcMar>
            <w:vAlign w:val="center"/>
          </w:tcPr>
          <w:p w14:paraId="3D3D46C0" w14:textId="77777777" w:rsidR="00D12939" w:rsidRDefault="00D12939">
            <w:pPr>
              <w:jc w:val="center"/>
              <w:rPr>
                <w:rFonts w:ascii="Times New Roman" w:eastAsia="宋体" w:hAnsi="Times New Roman" w:cs="Times New Roman"/>
                <w:szCs w:val="21"/>
              </w:rPr>
            </w:pPr>
          </w:p>
        </w:tc>
        <w:tc>
          <w:tcPr>
            <w:tcW w:w="780" w:type="pct"/>
            <w:tcMar>
              <w:left w:w="11" w:type="dxa"/>
              <w:right w:w="11" w:type="dxa"/>
            </w:tcMar>
            <w:vAlign w:val="center"/>
          </w:tcPr>
          <w:p w14:paraId="72D0110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768" w:type="pct"/>
            <w:tcMar>
              <w:left w:w="11" w:type="dxa"/>
              <w:right w:w="11" w:type="dxa"/>
            </w:tcMar>
            <w:vAlign w:val="center"/>
          </w:tcPr>
          <w:p w14:paraId="332A659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1h</w:t>
            </w:r>
            <w:r>
              <w:rPr>
                <w:rFonts w:ascii="Times New Roman" w:eastAsia="宋体" w:hAnsi="Times New Roman" w:cs="Times New Roman"/>
                <w:szCs w:val="21"/>
              </w:rPr>
              <w:t>平均</w:t>
            </w:r>
          </w:p>
        </w:tc>
        <w:tc>
          <w:tcPr>
            <w:tcW w:w="595" w:type="pct"/>
            <w:tcMar>
              <w:left w:w="11" w:type="dxa"/>
              <w:right w:w="11" w:type="dxa"/>
            </w:tcMar>
            <w:vAlign w:val="center"/>
          </w:tcPr>
          <w:p w14:paraId="7C87BA6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200</w:t>
            </w:r>
          </w:p>
        </w:tc>
        <w:tc>
          <w:tcPr>
            <w:tcW w:w="937" w:type="pct"/>
            <w:tcMar>
              <w:left w:w="11" w:type="dxa"/>
              <w:right w:w="11" w:type="dxa"/>
            </w:tcMar>
            <w:vAlign w:val="center"/>
          </w:tcPr>
          <w:p w14:paraId="7E06E0E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80-110</w:t>
            </w:r>
          </w:p>
        </w:tc>
        <w:tc>
          <w:tcPr>
            <w:tcW w:w="683" w:type="pct"/>
            <w:tcMar>
              <w:left w:w="11" w:type="dxa"/>
              <w:right w:w="11" w:type="dxa"/>
            </w:tcMar>
            <w:vAlign w:val="center"/>
          </w:tcPr>
          <w:p w14:paraId="68EDDB1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425" w:type="pct"/>
            <w:tcMar>
              <w:left w:w="11" w:type="dxa"/>
              <w:right w:w="11" w:type="dxa"/>
            </w:tcMar>
            <w:vAlign w:val="center"/>
          </w:tcPr>
          <w:p w14:paraId="07FB335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w:t>
            </w:r>
          </w:p>
        </w:tc>
        <w:tc>
          <w:tcPr>
            <w:tcW w:w="481" w:type="pct"/>
            <w:tcMar>
              <w:left w:w="11" w:type="dxa"/>
              <w:right w:w="11" w:type="dxa"/>
            </w:tcMar>
            <w:vAlign w:val="center"/>
          </w:tcPr>
          <w:p w14:paraId="4AEC46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05E5A4B0" w14:textId="77777777">
        <w:trPr>
          <w:trHeight w:val="274"/>
          <w:jc w:val="center"/>
        </w:trPr>
        <w:tc>
          <w:tcPr>
            <w:tcW w:w="331" w:type="pct"/>
            <w:vMerge/>
            <w:tcMar>
              <w:left w:w="11" w:type="dxa"/>
              <w:right w:w="11" w:type="dxa"/>
            </w:tcMar>
            <w:vAlign w:val="center"/>
          </w:tcPr>
          <w:p w14:paraId="22190208" w14:textId="77777777" w:rsidR="00D12939" w:rsidRDefault="00D12939">
            <w:pPr>
              <w:jc w:val="center"/>
              <w:rPr>
                <w:rFonts w:ascii="Times New Roman" w:eastAsia="宋体" w:hAnsi="Times New Roman" w:cs="Times New Roman"/>
                <w:szCs w:val="21"/>
              </w:rPr>
            </w:pPr>
          </w:p>
        </w:tc>
        <w:tc>
          <w:tcPr>
            <w:tcW w:w="780" w:type="pct"/>
            <w:tcMar>
              <w:left w:w="11" w:type="dxa"/>
              <w:right w:w="11" w:type="dxa"/>
            </w:tcMar>
            <w:vAlign w:val="center"/>
          </w:tcPr>
          <w:p w14:paraId="346FBA7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768" w:type="pct"/>
            <w:tcMar>
              <w:left w:w="11" w:type="dxa"/>
              <w:right w:w="11" w:type="dxa"/>
            </w:tcMar>
            <w:vAlign w:val="center"/>
          </w:tcPr>
          <w:p w14:paraId="3D50F44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1h</w:t>
            </w:r>
            <w:r>
              <w:rPr>
                <w:rFonts w:ascii="Times New Roman" w:eastAsia="宋体" w:hAnsi="Times New Roman" w:cs="Times New Roman"/>
                <w:szCs w:val="21"/>
              </w:rPr>
              <w:t>平均</w:t>
            </w:r>
          </w:p>
        </w:tc>
        <w:tc>
          <w:tcPr>
            <w:tcW w:w="595" w:type="pct"/>
            <w:tcMar>
              <w:left w:w="11" w:type="dxa"/>
              <w:right w:w="11" w:type="dxa"/>
            </w:tcMar>
            <w:vAlign w:val="center"/>
          </w:tcPr>
          <w:p w14:paraId="65B7C5C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937" w:type="pct"/>
            <w:tcMar>
              <w:left w:w="11" w:type="dxa"/>
              <w:right w:w="11" w:type="dxa"/>
            </w:tcMar>
            <w:vAlign w:val="center"/>
          </w:tcPr>
          <w:p w14:paraId="562AF41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1-4</w:t>
            </w:r>
          </w:p>
        </w:tc>
        <w:tc>
          <w:tcPr>
            <w:tcW w:w="683" w:type="pct"/>
            <w:tcMar>
              <w:left w:w="11" w:type="dxa"/>
              <w:right w:w="11" w:type="dxa"/>
            </w:tcMar>
            <w:vAlign w:val="center"/>
          </w:tcPr>
          <w:p w14:paraId="48E2711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425" w:type="pct"/>
            <w:tcMar>
              <w:left w:w="11" w:type="dxa"/>
              <w:right w:w="11" w:type="dxa"/>
            </w:tcMar>
            <w:vAlign w:val="center"/>
          </w:tcPr>
          <w:p w14:paraId="321A5B2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w:t>
            </w:r>
          </w:p>
        </w:tc>
        <w:tc>
          <w:tcPr>
            <w:tcW w:w="481" w:type="pct"/>
            <w:tcMar>
              <w:left w:w="11" w:type="dxa"/>
              <w:right w:w="11" w:type="dxa"/>
            </w:tcMar>
            <w:vAlign w:val="center"/>
          </w:tcPr>
          <w:p w14:paraId="3828879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bl>
    <w:p w14:paraId="55EBB3B3" w14:textId="77777777" w:rsidR="00D12939" w:rsidRDefault="004F47F5">
      <w:pPr>
        <w:spacing w:line="360" w:lineRule="auto"/>
        <w:ind w:firstLine="480"/>
        <w:rPr>
          <w:rFonts w:ascii="Times New Roman" w:eastAsia="宋体" w:hAnsi="Times New Roman" w:cs="Times New Roman"/>
          <w:szCs w:val="24"/>
        </w:rPr>
      </w:pPr>
      <w:r>
        <w:rPr>
          <w:rFonts w:ascii="Times New Roman" w:eastAsia="宋体" w:hAnsi="Times New Roman" w:cs="Times New Roman"/>
          <w:sz w:val="24"/>
          <w:szCs w:val="24"/>
        </w:rPr>
        <w:t>由上述数据可知</w:t>
      </w:r>
      <w:r>
        <w:rPr>
          <w:rFonts w:ascii="Times New Roman" w:eastAsia="宋体" w:hAnsi="Times New Roman" w:cs="Times New Roman"/>
          <w:sz w:val="24"/>
          <w:szCs w:val="24"/>
        </w:rPr>
        <w:t>TSP</w:t>
      </w:r>
      <w:r>
        <w:rPr>
          <w:rFonts w:ascii="Times New Roman" w:eastAsia="宋体" w:hAnsi="Times New Roman" w:cs="Times New Roman"/>
          <w:sz w:val="24"/>
          <w:szCs w:val="24"/>
        </w:rPr>
        <w:t>日均值满足《环境空气质量标准》</w:t>
      </w:r>
      <w:r>
        <w:rPr>
          <w:rFonts w:ascii="Times New Roman" w:eastAsia="宋体" w:hAnsi="Times New Roman" w:cs="Times New Roman"/>
          <w:sz w:val="24"/>
          <w:szCs w:val="24"/>
        </w:rPr>
        <w:t>(GB3095-2012)</w:t>
      </w:r>
      <w:r>
        <w:rPr>
          <w:rFonts w:ascii="Times New Roman" w:eastAsia="宋体" w:hAnsi="Times New Roman" w:cs="Times New Roman"/>
          <w:sz w:val="24"/>
          <w:szCs w:val="24"/>
        </w:rPr>
        <w:t>中二级质量标准，</w:t>
      </w:r>
      <w:r>
        <w:rPr>
          <w:rFonts w:ascii="Times New Roman" w:eastAsia="宋体" w:hAnsi="Times New Roman" w:cs="Times New Roman" w:hint="eastAsia"/>
          <w:sz w:val="24"/>
          <w:szCs w:val="24"/>
        </w:rPr>
        <w:t>氨和硫化氢监测浓度</w:t>
      </w:r>
      <w:r>
        <w:rPr>
          <w:rFonts w:ascii="Times New Roman" w:eastAsia="宋体" w:hAnsi="Times New Roman" w:cs="Times New Roman"/>
          <w:sz w:val="24"/>
          <w:szCs w:val="24"/>
        </w:rPr>
        <w:t>满足《环境影响评价技术导则大气环境》（</w:t>
      </w:r>
      <w:r>
        <w:rPr>
          <w:rFonts w:ascii="Times New Roman" w:eastAsia="宋体" w:hAnsi="Times New Roman" w:cs="Times New Roman"/>
          <w:sz w:val="24"/>
          <w:szCs w:val="24"/>
        </w:rPr>
        <w:t>HJ2.2-2018</w:t>
      </w:r>
      <w:r>
        <w:rPr>
          <w:rFonts w:ascii="Times New Roman" w:eastAsia="宋体" w:hAnsi="Times New Roman" w:cs="Times New Roman"/>
          <w:sz w:val="24"/>
          <w:szCs w:val="24"/>
        </w:rPr>
        <w:t>）附录</w:t>
      </w:r>
      <w:r>
        <w:rPr>
          <w:rFonts w:ascii="Times New Roman" w:eastAsia="宋体" w:hAnsi="Times New Roman" w:cs="Times New Roman"/>
          <w:sz w:val="24"/>
          <w:szCs w:val="24"/>
        </w:rPr>
        <w:t>D</w:t>
      </w:r>
      <w:r>
        <w:rPr>
          <w:rFonts w:ascii="Times New Roman" w:eastAsia="宋体" w:hAnsi="Times New Roman" w:cs="Times New Roman"/>
          <w:sz w:val="24"/>
          <w:szCs w:val="24"/>
        </w:rPr>
        <w:t>中其他污染物空气质量浓度参考限值。</w:t>
      </w:r>
    </w:p>
    <w:p w14:paraId="4E59C9F8"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11" w:name="_Toc60667390"/>
      <w:bookmarkStart w:id="412" w:name="_Toc121411751"/>
      <w:bookmarkStart w:id="413" w:name="_Toc60667077"/>
      <w:bookmarkStart w:id="414" w:name="_Toc60666764"/>
      <w:r>
        <w:rPr>
          <w:rFonts w:ascii="Times New Roman" w:eastAsia="黑体" w:hAnsi="Times New Roman" w:cs="Times New Roman"/>
          <w:b w:val="0"/>
          <w:sz w:val="24"/>
        </w:rPr>
        <w:t xml:space="preserve">5.2.2 </w:t>
      </w:r>
      <w:r>
        <w:rPr>
          <w:rFonts w:ascii="Times New Roman" w:eastAsia="黑体" w:hAnsi="Times New Roman" w:cs="Times New Roman"/>
          <w:b w:val="0"/>
          <w:sz w:val="24"/>
        </w:rPr>
        <w:t>地表水环境质量现状调查与评价</w:t>
      </w:r>
      <w:bookmarkEnd w:id="407"/>
      <w:bookmarkEnd w:id="408"/>
      <w:bookmarkEnd w:id="409"/>
      <w:bookmarkEnd w:id="411"/>
      <w:bookmarkEnd w:id="412"/>
      <w:bookmarkEnd w:id="413"/>
      <w:bookmarkEnd w:id="414"/>
    </w:p>
    <w:p w14:paraId="65A6172B" w14:textId="77777777" w:rsidR="00D12939" w:rsidRDefault="004F47F5">
      <w:pPr>
        <w:spacing w:line="360" w:lineRule="auto"/>
        <w:ind w:firstLine="480"/>
        <w:rPr>
          <w:rFonts w:ascii="Times New Roman" w:eastAsia="宋体" w:hAnsi="Times New Roman" w:cs="Times New Roman"/>
          <w:sz w:val="24"/>
          <w:szCs w:val="24"/>
        </w:rPr>
      </w:pPr>
      <w:bookmarkStart w:id="415" w:name="_Hlk92268067"/>
      <w:bookmarkStart w:id="416" w:name="_Toc491676871"/>
      <w:bookmarkStart w:id="417" w:name="_Toc501462863"/>
      <w:bookmarkStart w:id="418" w:name="_Toc60667391"/>
      <w:bookmarkStart w:id="419" w:name="_Toc60666765"/>
      <w:bookmarkStart w:id="420" w:name="_Toc60667078"/>
      <w:r>
        <w:rPr>
          <w:rFonts w:ascii="Times New Roman" w:eastAsia="宋体" w:hAnsi="Times New Roman" w:cs="Times New Roman"/>
          <w:sz w:val="24"/>
          <w:szCs w:val="24"/>
        </w:rPr>
        <w:t>根据商洛市环保局发布的</w:t>
      </w:r>
      <w:r>
        <w:rPr>
          <w:rFonts w:ascii="Times New Roman" w:eastAsia="宋体" w:hAnsi="Times New Roman" w:cs="Times New Roman"/>
          <w:sz w:val="24"/>
          <w:szCs w:val="24"/>
        </w:rPr>
        <w:t>2022</w:t>
      </w:r>
      <w:r>
        <w:rPr>
          <w:rFonts w:ascii="Times New Roman" w:eastAsia="宋体" w:hAnsi="Times New Roman" w:cs="Times New Roman"/>
          <w:sz w:val="24"/>
          <w:szCs w:val="24"/>
        </w:rPr>
        <w:t>年第三季度环境质量公报地表水环境质量水质检测结果显示，乾佑河</w:t>
      </w:r>
      <w:r>
        <w:rPr>
          <w:rFonts w:ascii="Times New Roman" w:eastAsia="宋体" w:hAnsi="Times New Roman" w:cs="Times New Roman"/>
          <w:sz w:val="24"/>
          <w:szCs w:val="24"/>
        </w:rPr>
        <w:t>2</w:t>
      </w:r>
      <w:r>
        <w:rPr>
          <w:rFonts w:ascii="Times New Roman" w:eastAsia="宋体" w:hAnsi="Times New Roman" w:cs="Times New Roman"/>
          <w:sz w:val="24"/>
          <w:szCs w:val="24"/>
        </w:rPr>
        <w:t>个监控断面监测结果显示：古道岭、青铜关断面水质均达到《地表水环境质量标准》</w:t>
      </w:r>
      <w:r>
        <w:rPr>
          <w:rFonts w:ascii="Times New Roman" w:eastAsia="宋体" w:hAnsi="Times New Roman" w:cs="Times New Roman"/>
          <w:sz w:val="24"/>
          <w:szCs w:val="24"/>
        </w:rPr>
        <w:t>(GB3838-2002)Ⅱ</w:t>
      </w:r>
      <w:r>
        <w:rPr>
          <w:rFonts w:ascii="Times New Roman" w:eastAsia="宋体" w:hAnsi="Times New Roman" w:cs="Times New Roman"/>
          <w:sz w:val="24"/>
          <w:szCs w:val="24"/>
        </w:rPr>
        <w:t>类标准，区域地表水质量较好。</w:t>
      </w:r>
      <w:bookmarkEnd w:id="415"/>
    </w:p>
    <w:p w14:paraId="2FD3B1ED"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本次评价补充监测两个断面。</w:t>
      </w:r>
      <w:bookmarkStart w:id="421" w:name="_Toc138576946"/>
    </w:p>
    <w:p w14:paraId="675D9AC0"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）监测断面设置</w:t>
      </w:r>
      <w:bookmarkEnd w:id="421"/>
    </w:p>
    <w:p w14:paraId="0D06A6CC" w14:textId="1ECFD90E" w:rsidR="00D12939" w:rsidRDefault="004F47F5" w:rsidP="000C34D0">
      <w:pPr>
        <w:widowControl/>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布设</w:t>
      </w:r>
      <w:r>
        <w:rPr>
          <w:rFonts w:ascii="Times New Roman" w:eastAsia="宋体" w:hAnsi="Times New Roman" w:cs="Times New Roman"/>
          <w:sz w:val="24"/>
          <w:szCs w:val="24"/>
        </w:rPr>
        <w:t>2</w:t>
      </w:r>
      <w:r>
        <w:rPr>
          <w:rFonts w:ascii="Times New Roman" w:eastAsia="宋体" w:hAnsi="Times New Roman" w:cs="Times New Roman"/>
          <w:sz w:val="24"/>
          <w:szCs w:val="24"/>
        </w:rPr>
        <w:t>个监测点位，</w:t>
      </w:r>
      <w:r w:rsidR="000C34D0">
        <w:rPr>
          <w:rFonts w:ascii="Times New Roman" w:eastAsia="宋体" w:hAnsi="Times New Roman" w:cs="Times New Roman" w:hint="eastAsia"/>
          <w:sz w:val="24"/>
          <w:szCs w:val="24"/>
        </w:rPr>
        <w:t>分别为填埋库区沟口东侧</w:t>
      </w:r>
      <w:r w:rsidR="000C34D0">
        <w:rPr>
          <w:rFonts w:ascii="Times New Roman" w:eastAsia="宋体" w:hAnsi="Times New Roman" w:cs="Times New Roman" w:hint="eastAsia"/>
          <w:sz w:val="24"/>
          <w:szCs w:val="24"/>
        </w:rPr>
        <w:t>5m</w:t>
      </w:r>
      <w:r w:rsidR="000C34D0">
        <w:rPr>
          <w:rFonts w:ascii="Times New Roman" w:eastAsia="宋体" w:hAnsi="Times New Roman" w:cs="Times New Roman" w:hint="eastAsia"/>
          <w:sz w:val="24"/>
          <w:szCs w:val="24"/>
        </w:rPr>
        <w:t>的东坪河上游</w:t>
      </w:r>
      <w:r w:rsidR="000C34D0">
        <w:rPr>
          <w:rFonts w:ascii="Times New Roman" w:eastAsia="宋体" w:hAnsi="Times New Roman" w:cs="Times New Roman" w:hint="eastAsia"/>
          <w:sz w:val="24"/>
          <w:szCs w:val="24"/>
        </w:rPr>
        <w:t>5</w:t>
      </w:r>
      <w:r w:rsidR="000C34D0">
        <w:rPr>
          <w:rFonts w:ascii="Times New Roman" w:eastAsia="宋体" w:hAnsi="Times New Roman" w:cs="Times New Roman"/>
          <w:sz w:val="24"/>
          <w:szCs w:val="24"/>
        </w:rPr>
        <w:t>00</w:t>
      </w:r>
      <w:r w:rsidR="000C34D0">
        <w:rPr>
          <w:rFonts w:ascii="Times New Roman" w:eastAsia="宋体" w:hAnsi="Times New Roman" w:cs="Times New Roman" w:hint="eastAsia"/>
          <w:sz w:val="24"/>
          <w:szCs w:val="24"/>
        </w:rPr>
        <w:t>m</w:t>
      </w:r>
      <w:r w:rsidR="000C34D0">
        <w:rPr>
          <w:rFonts w:ascii="Times New Roman" w:eastAsia="宋体" w:hAnsi="Times New Roman" w:cs="Times New Roman" w:hint="eastAsia"/>
          <w:sz w:val="24"/>
          <w:szCs w:val="24"/>
        </w:rPr>
        <w:t>和下游</w:t>
      </w:r>
      <w:r w:rsidR="000C34D0">
        <w:rPr>
          <w:rFonts w:ascii="Times New Roman" w:eastAsia="宋体" w:hAnsi="Times New Roman" w:cs="Times New Roman" w:hint="eastAsia"/>
          <w:sz w:val="24"/>
          <w:szCs w:val="24"/>
        </w:rPr>
        <w:t>5</w:t>
      </w:r>
      <w:r w:rsidR="000C34D0">
        <w:rPr>
          <w:rFonts w:ascii="Times New Roman" w:eastAsia="宋体" w:hAnsi="Times New Roman" w:cs="Times New Roman"/>
          <w:sz w:val="24"/>
          <w:szCs w:val="24"/>
        </w:rPr>
        <w:t>00</w:t>
      </w:r>
      <w:r w:rsidR="000C34D0">
        <w:rPr>
          <w:rFonts w:ascii="Times New Roman" w:eastAsia="宋体" w:hAnsi="Times New Roman" w:cs="Times New Roman" w:hint="eastAsia"/>
          <w:sz w:val="24"/>
          <w:szCs w:val="24"/>
        </w:rPr>
        <w:t>m</w:t>
      </w:r>
      <w:r w:rsidR="000C34D0">
        <w:rPr>
          <w:rFonts w:ascii="Times New Roman" w:eastAsia="宋体" w:hAnsi="Times New Roman" w:cs="Times New Roman" w:hint="eastAsia"/>
          <w:sz w:val="24"/>
          <w:szCs w:val="24"/>
        </w:rPr>
        <w:t>处。</w:t>
      </w:r>
      <w:r>
        <w:rPr>
          <w:rFonts w:ascii="Times New Roman" w:eastAsia="宋体" w:hAnsi="Times New Roman" w:cs="Times New Roman"/>
          <w:sz w:val="24"/>
          <w:szCs w:val="24"/>
        </w:rPr>
        <w:t>布点情况详见表</w:t>
      </w:r>
      <w:r>
        <w:rPr>
          <w:rFonts w:ascii="Times New Roman" w:eastAsia="宋体" w:hAnsi="Times New Roman" w:cs="Times New Roman" w:hint="eastAsia"/>
          <w:sz w:val="24"/>
          <w:szCs w:val="24"/>
        </w:rPr>
        <w:t>5</w:t>
      </w:r>
      <w:r>
        <w:rPr>
          <w:rFonts w:ascii="Times New Roman" w:eastAsia="宋体" w:hAnsi="Times New Roman" w:cs="Times New Roman"/>
          <w:sz w:val="24"/>
          <w:szCs w:val="24"/>
        </w:rPr>
        <w:t>.2-5</w:t>
      </w:r>
      <w:r>
        <w:rPr>
          <w:rFonts w:ascii="Times New Roman" w:eastAsia="宋体" w:hAnsi="Times New Roman" w:cs="Times New Roman" w:hint="eastAsia"/>
          <w:sz w:val="24"/>
          <w:szCs w:val="24"/>
        </w:rPr>
        <w:t>图</w:t>
      </w:r>
      <w:r>
        <w:rPr>
          <w:rFonts w:ascii="Times New Roman" w:eastAsia="宋体" w:hAnsi="Times New Roman" w:cs="Times New Roman" w:hint="eastAsia"/>
          <w:sz w:val="24"/>
          <w:szCs w:val="24"/>
        </w:rPr>
        <w:t>5.2-2</w:t>
      </w:r>
      <w:r>
        <w:rPr>
          <w:rFonts w:ascii="Times New Roman" w:eastAsia="宋体" w:hAnsi="Times New Roman" w:cs="Times New Roman"/>
          <w:sz w:val="24"/>
          <w:szCs w:val="24"/>
        </w:rPr>
        <w:t>。</w:t>
      </w:r>
    </w:p>
    <w:p w14:paraId="53399AED" w14:textId="77777777" w:rsidR="00D12939" w:rsidRDefault="004F47F5">
      <w:pPr>
        <w:tabs>
          <w:tab w:val="left" w:pos="3750"/>
        </w:tabs>
        <w:spacing w:beforeLines="50" w:before="156"/>
        <w:ind w:firstLineChars="250" w:firstLine="600"/>
        <w:jc w:val="center"/>
        <w:rPr>
          <w:rFonts w:ascii="黑体" w:eastAsia="黑体" w:hAnsi="黑体" w:cs="Times New Roman"/>
          <w:bCs/>
          <w:sz w:val="24"/>
          <w:szCs w:val="21"/>
        </w:rPr>
      </w:pPr>
      <w:r>
        <w:rPr>
          <w:rFonts w:ascii="黑体" w:eastAsia="黑体" w:hAnsi="黑体" w:cs="Times New Roman"/>
          <w:bCs/>
          <w:sz w:val="24"/>
          <w:szCs w:val="21"/>
        </w:rPr>
        <w:t>表</w:t>
      </w:r>
      <w:r>
        <w:rPr>
          <w:rFonts w:ascii="黑体" w:eastAsia="黑体" w:hAnsi="黑体" w:cs="Times New Roman" w:hint="eastAsia"/>
          <w:bCs/>
          <w:sz w:val="24"/>
          <w:szCs w:val="21"/>
        </w:rPr>
        <w:t>5</w:t>
      </w:r>
      <w:r>
        <w:rPr>
          <w:rFonts w:ascii="黑体" w:eastAsia="黑体" w:hAnsi="黑体" w:cs="Times New Roman"/>
          <w:bCs/>
          <w:sz w:val="24"/>
          <w:szCs w:val="21"/>
        </w:rPr>
        <w:t>.2-5  地表水监测断面布置</w:t>
      </w:r>
    </w:p>
    <w:tbl>
      <w:tblPr>
        <w:tblW w:w="98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2"/>
        <w:gridCol w:w="7470"/>
      </w:tblGrid>
      <w:tr w:rsidR="00D12939" w14:paraId="14099879" w14:textId="77777777">
        <w:trPr>
          <w:trHeight w:val="209"/>
        </w:trPr>
        <w:tc>
          <w:tcPr>
            <w:tcW w:w="2422" w:type="dxa"/>
            <w:vAlign w:val="center"/>
          </w:tcPr>
          <w:p w14:paraId="71DDB4E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断面名称</w:t>
            </w:r>
          </w:p>
        </w:tc>
        <w:tc>
          <w:tcPr>
            <w:tcW w:w="7470" w:type="dxa"/>
            <w:vAlign w:val="center"/>
          </w:tcPr>
          <w:p w14:paraId="6173016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断面位置</w:t>
            </w:r>
          </w:p>
        </w:tc>
      </w:tr>
      <w:tr w:rsidR="00D12939" w14:paraId="05CD6596" w14:textId="77777777">
        <w:trPr>
          <w:trHeight w:val="232"/>
        </w:trPr>
        <w:tc>
          <w:tcPr>
            <w:tcW w:w="2422" w:type="dxa"/>
            <w:vAlign w:val="center"/>
          </w:tcPr>
          <w:p w14:paraId="4F2B1B7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断面</w:t>
            </w:r>
          </w:p>
        </w:tc>
        <w:tc>
          <w:tcPr>
            <w:tcW w:w="7470" w:type="dxa"/>
            <w:vAlign w:val="center"/>
          </w:tcPr>
          <w:p w14:paraId="43C8B4D0" w14:textId="09E739F9" w:rsidR="00D12939" w:rsidRDefault="000C34D0">
            <w:pPr>
              <w:jc w:val="center"/>
              <w:rPr>
                <w:rFonts w:ascii="Times New Roman" w:eastAsia="宋体" w:hAnsi="Times New Roman" w:cs="Times New Roman"/>
                <w:szCs w:val="21"/>
              </w:rPr>
            </w:pPr>
            <w:r w:rsidRPr="000C34D0">
              <w:rPr>
                <w:rFonts w:ascii="Times New Roman" w:eastAsia="宋体" w:hAnsi="Times New Roman" w:cs="Times New Roman" w:hint="eastAsia"/>
                <w:szCs w:val="21"/>
              </w:rPr>
              <w:t>填埋库区沟口东侧</w:t>
            </w:r>
            <w:r w:rsidRPr="000C34D0">
              <w:rPr>
                <w:rFonts w:ascii="Times New Roman" w:eastAsia="宋体" w:hAnsi="Times New Roman" w:cs="Times New Roman"/>
                <w:szCs w:val="21"/>
              </w:rPr>
              <w:t>5m</w:t>
            </w:r>
            <w:r w:rsidRPr="000C34D0">
              <w:rPr>
                <w:rFonts w:ascii="Times New Roman" w:eastAsia="宋体" w:hAnsi="Times New Roman" w:cs="Times New Roman"/>
                <w:szCs w:val="21"/>
              </w:rPr>
              <w:t>的东坪河上游</w:t>
            </w:r>
            <w:r w:rsidRPr="000C34D0">
              <w:rPr>
                <w:rFonts w:ascii="Times New Roman" w:eastAsia="宋体" w:hAnsi="Times New Roman" w:cs="Times New Roman"/>
                <w:szCs w:val="21"/>
              </w:rPr>
              <w:t>500m</w:t>
            </w:r>
            <w:r w:rsidR="004F47F5">
              <w:rPr>
                <w:rFonts w:ascii="Times New Roman" w:eastAsia="宋体" w:hAnsi="Times New Roman" w:cs="Times New Roman"/>
                <w:szCs w:val="21"/>
              </w:rPr>
              <w:t xml:space="preserve"> </w:t>
            </w:r>
            <w:r w:rsidR="004F47F5">
              <w:rPr>
                <w:rFonts w:ascii="Times New Roman" w:eastAsia="宋体" w:hAnsi="Times New Roman" w:cs="Times New Roman"/>
                <w:szCs w:val="21"/>
              </w:rPr>
              <w:t>处</w:t>
            </w:r>
          </w:p>
        </w:tc>
      </w:tr>
      <w:tr w:rsidR="00D12939" w14:paraId="7939C845" w14:textId="77777777">
        <w:trPr>
          <w:trHeight w:val="232"/>
        </w:trPr>
        <w:tc>
          <w:tcPr>
            <w:tcW w:w="2422" w:type="dxa"/>
            <w:vAlign w:val="center"/>
          </w:tcPr>
          <w:p w14:paraId="33BECCB0" w14:textId="77777777" w:rsidR="00D12939" w:rsidRDefault="004F47F5">
            <w:pPr>
              <w:jc w:val="center"/>
              <w:rPr>
                <w:rFonts w:ascii="Times New Roman" w:eastAsia="宋体" w:hAnsi="Times New Roman" w:cs="Times New Roman"/>
                <w:szCs w:val="21"/>
              </w:rPr>
            </w:pPr>
            <w:bookmarkStart w:id="422" w:name="_Toc138576947"/>
            <w:r>
              <w:rPr>
                <w:rFonts w:ascii="Times New Roman" w:eastAsia="宋体" w:hAnsi="Times New Roman" w:cs="Times New Roman"/>
                <w:szCs w:val="21"/>
              </w:rPr>
              <w:t>2#</w:t>
            </w:r>
            <w:r>
              <w:rPr>
                <w:rFonts w:ascii="Times New Roman" w:eastAsia="宋体" w:hAnsi="Times New Roman" w:cs="Times New Roman"/>
                <w:szCs w:val="21"/>
              </w:rPr>
              <w:t>断面</w:t>
            </w:r>
          </w:p>
        </w:tc>
        <w:tc>
          <w:tcPr>
            <w:tcW w:w="7470" w:type="dxa"/>
            <w:vAlign w:val="center"/>
          </w:tcPr>
          <w:p w14:paraId="39BF4152" w14:textId="5C5A26D9" w:rsidR="00D12939" w:rsidRDefault="000C34D0">
            <w:pPr>
              <w:jc w:val="center"/>
              <w:rPr>
                <w:rFonts w:ascii="Times New Roman" w:eastAsia="宋体" w:hAnsi="Times New Roman" w:cs="Times New Roman"/>
                <w:szCs w:val="21"/>
              </w:rPr>
            </w:pPr>
            <w:r w:rsidRPr="000C34D0">
              <w:rPr>
                <w:rFonts w:ascii="Times New Roman" w:eastAsia="宋体" w:hAnsi="Times New Roman" w:cs="Times New Roman" w:hint="eastAsia"/>
                <w:szCs w:val="21"/>
              </w:rPr>
              <w:t>填埋库区沟口东侧</w:t>
            </w:r>
            <w:r w:rsidRPr="000C34D0">
              <w:rPr>
                <w:rFonts w:ascii="Times New Roman" w:eastAsia="宋体" w:hAnsi="Times New Roman" w:cs="Times New Roman"/>
                <w:szCs w:val="21"/>
              </w:rPr>
              <w:t>5m</w:t>
            </w:r>
            <w:r w:rsidRPr="000C34D0">
              <w:rPr>
                <w:rFonts w:ascii="Times New Roman" w:eastAsia="宋体" w:hAnsi="Times New Roman" w:cs="Times New Roman"/>
                <w:szCs w:val="21"/>
              </w:rPr>
              <w:t>的东坪河</w:t>
            </w:r>
            <w:r>
              <w:rPr>
                <w:rFonts w:ascii="Times New Roman" w:eastAsia="宋体" w:hAnsi="Times New Roman" w:cs="Times New Roman" w:hint="eastAsia"/>
                <w:szCs w:val="21"/>
              </w:rPr>
              <w:t>下</w:t>
            </w:r>
            <w:r w:rsidRPr="000C34D0">
              <w:rPr>
                <w:rFonts w:ascii="Times New Roman" w:eastAsia="宋体" w:hAnsi="Times New Roman" w:cs="Times New Roman"/>
                <w:szCs w:val="21"/>
              </w:rPr>
              <w:t>游</w:t>
            </w:r>
            <w:r w:rsidRPr="000C34D0">
              <w:rPr>
                <w:rFonts w:ascii="Times New Roman" w:eastAsia="宋体" w:hAnsi="Times New Roman" w:cs="Times New Roman"/>
                <w:szCs w:val="21"/>
              </w:rPr>
              <w:t xml:space="preserve">500m </w:t>
            </w:r>
            <w:r w:rsidR="004F47F5">
              <w:rPr>
                <w:rFonts w:ascii="Times New Roman" w:eastAsia="宋体" w:hAnsi="Times New Roman" w:cs="Times New Roman"/>
                <w:szCs w:val="21"/>
              </w:rPr>
              <w:t>处</w:t>
            </w:r>
          </w:p>
        </w:tc>
      </w:tr>
    </w:tbl>
    <w:p w14:paraId="38C4E4F8" w14:textId="6755DE46" w:rsidR="00D12939" w:rsidRDefault="002A4A5F">
      <w:pPr>
        <w:spacing w:line="360" w:lineRule="auto"/>
      </w:pPr>
      <w:r>
        <w:rPr>
          <w:rFonts w:hint="eastAsia"/>
          <w:noProof/>
          <w:color w:val="FF0000"/>
        </w:rPr>
        <w:lastRenderedPageBreak/>
        <w:drawing>
          <wp:inline distT="0" distB="0" distL="114300" distR="114300" wp14:anchorId="643D1864" wp14:editId="16DDA2ED">
            <wp:extent cx="6184265" cy="4444365"/>
            <wp:effectExtent l="0" t="0" r="3175" b="5715"/>
            <wp:docPr id="39" name="图片 39" descr="现状监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现状监测图"/>
                    <pic:cNvPicPr>
                      <a:picLocks noChangeAspect="1"/>
                    </pic:cNvPicPr>
                  </pic:nvPicPr>
                  <pic:blipFill>
                    <a:blip r:embed="rId42"/>
                    <a:stretch>
                      <a:fillRect/>
                    </a:stretch>
                  </pic:blipFill>
                  <pic:spPr>
                    <a:xfrm>
                      <a:off x="0" y="0"/>
                      <a:ext cx="6184265" cy="4444365"/>
                    </a:xfrm>
                    <a:prstGeom prst="rect">
                      <a:avLst/>
                    </a:prstGeom>
                  </pic:spPr>
                </pic:pic>
              </a:graphicData>
            </a:graphic>
          </wp:inline>
        </w:drawing>
      </w:r>
    </w:p>
    <w:p w14:paraId="7490D921" w14:textId="77777777" w:rsidR="00D12939" w:rsidRDefault="004F47F5">
      <w:pPr>
        <w:spacing w:line="360" w:lineRule="auto"/>
        <w:ind w:firstLineChars="200" w:firstLine="480"/>
        <w:jc w:val="center"/>
        <w:rPr>
          <w:rFonts w:ascii="黑体" w:eastAsia="黑体" w:hAnsi="黑体"/>
          <w:sz w:val="24"/>
        </w:rPr>
      </w:pPr>
      <w:r>
        <w:rPr>
          <w:rFonts w:ascii="黑体" w:eastAsia="黑体" w:hAnsi="黑体" w:hint="eastAsia"/>
          <w:sz w:val="24"/>
        </w:rPr>
        <w:t>图5.2-2  地表水现状监测点位示意图</w:t>
      </w:r>
    </w:p>
    <w:p w14:paraId="73E6BB6D"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）监测时间</w:t>
      </w:r>
    </w:p>
    <w:p w14:paraId="75B128EC" w14:textId="77777777" w:rsidR="00D12939" w:rsidRDefault="004F47F5">
      <w:pPr>
        <w:adjustRightInd w:val="0"/>
        <w:snapToGrid w:val="0"/>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地表水监测时间为</w:t>
      </w:r>
      <w:r>
        <w:rPr>
          <w:rFonts w:ascii="Times New Roman" w:eastAsia="宋体" w:hAnsi="Times New Roman" w:cs="Times New Roman"/>
          <w:sz w:val="24"/>
          <w:szCs w:val="24"/>
        </w:rPr>
        <w:t>202</w:t>
      </w:r>
      <w:r>
        <w:rPr>
          <w:rFonts w:ascii="Times New Roman" w:eastAsia="宋体" w:hAnsi="Times New Roman" w:cs="Times New Roman" w:hint="eastAsia"/>
          <w:sz w:val="24"/>
          <w:szCs w:val="24"/>
        </w:rPr>
        <w:t>2</w:t>
      </w:r>
      <w:r>
        <w:rPr>
          <w:rFonts w:ascii="Times New Roman" w:eastAsia="宋体" w:hAnsi="Times New Roman" w:cs="Times New Roman"/>
          <w:sz w:val="24"/>
          <w:szCs w:val="24"/>
        </w:rPr>
        <w:t>年</w:t>
      </w:r>
      <w:r>
        <w:rPr>
          <w:rFonts w:ascii="Times New Roman" w:eastAsia="宋体" w:hAnsi="Times New Roman" w:cs="Times New Roman" w:hint="eastAsia"/>
          <w:sz w:val="24"/>
          <w:szCs w:val="24"/>
        </w:rPr>
        <w:t>11</w:t>
      </w:r>
      <w:r>
        <w:rPr>
          <w:rFonts w:ascii="Times New Roman" w:eastAsia="宋体" w:hAnsi="Times New Roman" w:cs="Times New Roman"/>
          <w:sz w:val="24"/>
          <w:szCs w:val="24"/>
        </w:rPr>
        <w:t>月</w:t>
      </w:r>
      <w:r>
        <w:rPr>
          <w:rFonts w:ascii="Times New Roman" w:eastAsia="宋体" w:hAnsi="Times New Roman" w:cs="Times New Roman"/>
          <w:sz w:val="24"/>
          <w:szCs w:val="24"/>
        </w:rPr>
        <w:t>19</w:t>
      </w:r>
      <w:r>
        <w:rPr>
          <w:rFonts w:ascii="Times New Roman" w:eastAsia="宋体" w:hAnsi="Times New Roman" w:cs="Times New Roman"/>
          <w:sz w:val="24"/>
          <w:szCs w:val="24"/>
        </w:rPr>
        <w:t>日</w:t>
      </w:r>
      <w:r>
        <w:rPr>
          <w:rFonts w:ascii="Times New Roman" w:eastAsia="宋体" w:hAnsi="Times New Roman" w:cs="Times New Roman"/>
          <w:sz w:val="24"/>
          <w:szCs w:val="24"/>
        </w:rPr>
        <w:t>-21</w:t>
      </w:r>
      <w:r>
        <w:rPr>
          <w:rFonts w:ascii="Times New Roman" w:eastAsia="宋体" w:hAnsi="Times New Roman" w:cs="Times New Roman"/>
          <w:sz w:val="24"/>
          <w:szCs w:val="24"/>
        </w:rPr>
        <w:t>日。</w:t>
      </w:r>
    </w:p>
    <w:p w14:paraId="287BEE55"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3</w:t>
      </w:r>
      <w:r>
        <w:rPr>
          <w:rFonts w:ascii="Times New Roman" w:eastAsia="宋体" w:hAnsi="Times New Roman" w:cs="Times New Roman"/>
          <w:sz w:val="24"/>
          <w:szCs w:val="24"/>
        </w:rPr>
        <w:t>）监测项目及分析方法</w:t>
      </w:r>
      <w:bookmarkEnd w:id="422"/>
    </w:p>
    <w:p w14:paraId="3572EB73" w14:textId="77777777" w:rsidR="00D12939" w:rsidRDefault="004F47F5">
      <w:pPr>
        <w:widowControl/>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地表水的监测项目为：</w:t>
      </w:r>
      <w:r>
        <w:rPr>
          <w:rFonts w:ascii="Times New Roman" w:eastAsia="宋体" w:hAnsi="Times New Roman" w:cs="Times New Roman"/>
          <w:sz w:val="24"/>
          <w:szCs w:val="24"/>
        </w:rPr>
        <w:t xml:space="preserve">pH </w:t>
      </w:r>
      <w:r>
        <w:rPr>
          <w:rFonts w:ascii="Times New Roman" w:eastAsia="宋体" w:hAnsi="Times New Roman" w:cs="Times New Roman"/>
          <w:sz w:val="24"/>
          <w:szCs w:val="24"/>
        </w:rPr>
        <w:t>值、水温、悬浮物、色度、化学需氧量、五日生化需氧量、氨氮、总磷、氯化物、粪大肠菌群、汞、铅、镉、砷、总铬、六价铬、流量共</w:t>
      </w:r>
      <w:r>
        <w:rPr>
          <w:rFonts w:ascii="Times New Roman" w:eastAsia="宋体" w:hAnsi="Times New Roman" w:cs="Times New Roman"/>
          <w:sz w:val="24"/>
          <w:szCs w:val="24"/>
        </w:rPr>
        <w:t xml:space="preserve"> 17 </w:t>
      </w:r>
      <w:r>
        <w:rPr>
          <w:rFonts w:ascii="Times New Roman" w:eastAsia="宋体" w:hAnsi="Times New Roman" w:cs="Times New Roman"/>
          <w:sz w:val="24"/>
          <w:szCs w:val="24"/>
        </w:rPr>
        <w:t>项及水文参数，</w:t>
      </w:r>
      <w:r>
        <w:rPr>
          <w:rFonts w:ascii="Times New Roman" w:eastAsia="宋体" w:hAnsi="Times New Roman" w:cs="Times New Roman"/>
          <w:sz w:val="24"/>
        </w:rPr>
        <w:t>监测</w:t>
      </w:r>
      <w:r>
        <w:rPr>
          <w:rFonts w:ascii="Times New Roman" w:eastAsia="宋体" w:hAnsi="Times New Roman" w:cs="Times New Roman"/>
          <w:spacing w:val="-61"/>
          <w:sz w:val="24"/>
        </w:rPr>
        <w:t xml:space="preserve"> </w:t>
      </w:r>
      <w:r>
        <w:rPr>
          <w:rFonts w:ascii="Times New Roman" w:eastAsia="宋体" w:hAnsi="Times New Roman" w:cs="Times New Roman"/>
          <w:sz w:val="24"/>
        </w:rPr>
        <w:t xml:space="preserve">3 </w:t>
      </w:r>
      <w:r>
        <w:rPr>
          <w:rFonts w:ascii="Times New Roman" w:eastAsia="宋体" w:hAnsi="Times New Roman" w:cs="Times New Roman"/>
          <w:sz w:val="24"/>
        </w:rPr>
        <w:t>天，</w:t>
      </w:r>
      <w:r>
        <w:rPr>
          <w:rFonts w:ascii="Times New Roman" w:eastAsia="宋体" w:hAnsi="Times New Roman" w:cs="Times New Roman"/>
          <w:sz w:val="24"/>
        </w:rPr>
        <w:t xml:space="preserve">1 </w:t>
      </w:r>
      <w:r>
        <w:rPr>
          <w:rFonts w:ascii="Times New Roman" w:eastAsia="宋体" w:hAnsi="Times New Roman" w:cs="Times New Roman"/>
          <w:sz w:val="24"/>
        </w:rPr>
        <w:t>次</w:t>
      </w:r>
      <w:r>
        <w:rPr>
          <w:rFonts w:ascii="Times New Roman" w:eastAsia="宋体" w:hAnsi="Times New Roman" w:cs="Times New Roman"/>
          <w:sz w:val="24"/>
        </w:rPr>
        <w:t>/</w:t>
      </w:r>
      <w:r>
        <w:rPr>
          <w:rFonts w:ascii="Times New Roman" w:eastAsia="宋体" w:hAnsi="Times New Roman" w:cs="Times New Roman"/>
          <w:sz w:val="24"/>
        </w:rPr>
        <w:t>天</w:t>
      </w:r>
      <w:r>
        <w:rPr>
          <w:rFonts w:ascii="Times New Roman" w:eastAsia="宋体" w:hAnsi="Times New Roman" w:cs="Times New Roman"/>
          <w:sz w:val="24"/>
          <w:szCs w:val="24"/>
        </w:rPr>
        <w:t>。监测项目分析方法见表</w:t>
      </w:r>
      <w:r>
        <w:rPr>
          <w:rFonts w:ascii="Times New Roman" w:eastAsia="宋体" w:hAnsi="Times New Roman" w:cs="Times New Roman" w:hint="eastAsia"/>
          <w:sz w:val="24"/>
          <w:szCs w:val="24"/>
        </w:rPr>
        <w:t>5</w:t>
      </w:r>
      <w:r>
        <w:rPr>
          <w:rFonts w:ascii="Times New Roman" w:eastAsia="宋体" w:hAnsi="Times New Roman" w:cs="Times New Roman"/>
          <w:sz w:val="24"/>
          <w:szCs w:val="24"/>
        </w:rPr>
        <w:t>.2-6</w:t>
      </w:r>
      <w:r>
        <w:rPr>
          <w:rFonts w:ascii="Times New Roman" w:eastAsia="宋体" w:hAnsi="Times New Roman" w:cs="Times New Roman"/>
          <w:sz w:val="24"/>
          <w:szCs w:val="24"/>
        </w:rPr>
        <w:t>。</w:t>
      </w:r>
    </w:p>
    <w:p w14:paraId="14BF79F0" w14:textId="77777777" w:rsidR="00D12939" w:rsidRDefault="004F47F5">
      <w:pPr>
        <w:spacing w:line="360" w:lineRule="auto"/>
        <w:ind w:firstLineChars="200" w:firstLine="480"/>
        <w:jc w:val="center"/>
        <w:rPr>
          <w:rFonts w:ascii="黑体" w:eastAsia="黑体" w:hAnsi="黑体"/>
          <w:sz w:val="24"/>
        </w:rPr>
      </w:pPr>
      <w:r>
        <w:rPr>
          <w:rFonts w:ascii="黑体" w:eastAsia="黑体" w:hAnsi="黑体"/>
          <w:sz w:val="24"/>
        </w:rPr>
        <w:t>表</w:t>
      </w:r>
      <w:r>
        <w:rPr>
          <w:rFonts w:ascii="黑体" w:eastAsia="黑体" w:hAnsi="黑体" w:hint="eastAsia"/>
          <w:sz w:val="24"/>
        </w:rPr>
        <w:t>5</w:t>
      </w:r>
      <w:r>
        <w:rPr>
          <w:rFonts w:ascii="黑体" w:eastAsia="黑体" w:hAnsi="黑体"/>
          <w:sz w:val="24"/>
        </w:rPr>
        <w:t>.2-6 地表水水质监测分析方法</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0"/>
        <w:gridCol w:w="1963"/>
        <w:gridCol w:w="4217"/>
        <w:gridCol w:w="2936"/>
      </w:tblGrid>
      <w:tr w:rsidR="00D12939" w14:paraId="21FF81A3" w14:textId="77777777">
        <w:trPr>
          <w:cantSplit/>
          <w:trHeight w:val="297"/>
        </w:trPr>
        <w:tc>
          <w:tcPr>
            <w:tcW w:w="660" w:type="dxa"/>
            <w:vAlign w:val="center"/>
          </w:tcPr>
          <w:p w14:paraId="10B5B9E4"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963" w:type="dxa"/>
            <w:vAlign w:val="center"/>
          </w:tcPr>
          <w:p w14:paraId="26A9212B"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监测因子</w:t>
            </w:r>
          </w:p>
        </w:tc>
        <w:tc>
          <w:tcPr>
            <w:tcW w:w="4217" w:type="dxa"/>
            <w:vAlign w:val="center"/>
          </w:tcPr>
          <w:p w14:paraId="416A3115"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分析方法</w:t>
            </w:r>
            <w:r>
              <w:rPr>
                <w:rFonts w:ascii="Times New Roman" w:eastAsia="宋体" w:hAnsi="Times New Roman" w:cs="Times New Roman"/>
                <w:szCs w:val="21"/>
              </w:rPr>
              <w:t>/</w:t>
            </w:r>
            <w:r>
              <w:rPr>
                <w:rFonts w:ascii="Times New Roman" w:eastAsia="宋体" w:hAnsi="Times New Roman" w:cs="Times New Roman"/>
                <w:szCs w:val="21"/>
              </w:rPr>
              <w:t>依据</w:t>
            </w:r>
          </w:p>
        </w:tc>
        <w:tc>
          <w:tcPr>
            <w:tcW w:w="2936" w:type="dxa"/>
            <w:vAlign w:val="center"/>
          </w:tcPr>
          <w:p w14:paraId="21E9D0E4"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检出限值</w:t>
            </w:r>
          </w:p>
        </w:tc>
      </w:tr>
      <w:tr w:rsidR="00D12939" w14:paraId="08D6B596" w14:textId="77777777">
        <w:trPr>
          <w:cantSplit/>
          <w:trHeight w:val="608"/>
        </w:trPr>
        <w:tc>
          <w:tcPr>
            <w:tcW w:w="660" w:type="dxa"/>
            <w:vAlign w:val="center"/>
          </w:tcPr>
          <w:p w14:paraId="621D16A4"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1963" w:type="dxa"/>
            <w:vAlign w:val="center"/>
          </w:tcPr>
          <w:p w14:paraId="10FA75E9"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 xml:space="preserve">pH </w:t>
            </w:r>
            <w:r>
              <w:rPr>
                <w:rFonts w:ascii="Times New Roman" w:hAnsi="Times New Roman"/>
                <w:sz w:val="21"/>
                <w:szCs w:val="21"/>
              </w:rPr>
              <w:t>值</w:t>
            </w:r>
          </w:p>
        </w:tc>
        <w:tc>
          <w:tcPr>
            <w:tcW w:w="4217" w:type="dxa"/>
            <w:vAlign w:val="center"/>
          </w:tcPr>
          <w:p w14:paraId="738A276F"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pH </w:t>
            </w:r>
            <w:r>
              <w:rPr>
                <w:rFonts w:ascii="Times New Roman" w:hAnsi="Times New Roman"/>
                <w:sz w:val="21"/>
                <w:szCs w:val="21"/>
                <w:lang w:eastAsia="zh-CN"/>
              </w:rPr>
              <w:t>值的测定</w:t>
            </w:r>
            <w:r>
              <w:rPr>
                <w:rFonts w:ascii="Times New Roman" w:hAnsi="Times New Roman"/>
                <w:sz w:val="21"/>
                <w:szCs w:val="21"/>
                <w:lang w:eastAsia="zh-CN"/>
              </w:rPr>
              <w:t xml:space="preserve"> </w:t>
            </w:r>
            <w:r>
              <w:rPr>
                <w:rFonts w:ascii="Times New Roman" w:hAnsi="Times New Roman"/>
                <w:sz w:val="21"/>
                <w:szCs w:val="21"/>
                <w:lang w:eastAsia="zh-CN"/>
              </w:rPr>
              <w:t>电极法</w:t>
            </w:r>
          </w:p>
          <w:p w14:paraId="1617CB95"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HJ 1147-2020</w:t>
            </w:r>
          </w:p>
        </w:tc>
        <w:tc>
          <w:tcPr>
            <w:tcW w:w="2936" w:type="dxa"/>
            <w:vAlign w:val="center"/>
          </w:tcPr>
          <w:p w14:paraId="29E9C927"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w:t>
            </w:r>
          </w:p>
        </w:tc>
      </w:tr>
      <w:tr w:rsidR="00D12939" w14:paraId="16DCF909" w14:textId="77777777">
        <w:trPr>
          <w:cantSplit/>
          <w:trHeight w:val="892"/>
        </w:trPr>
        <w:tc>
          <w:tcPr>
            <w:tcW w:w="660" w:type="dxa"/>
            <w:vAlign w:val="center"/>
          </w:tcPr>
          <w:p w14:paraId="3000FBDB"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2</w:t>
            </w:r>
          </w:p>
        </w:tc>
        <w:tc>
          <w:tcPr>
            <w:tcW w:w="1963" w:type="dxa"/>
            <w:vAlign w:val="center"/>
          </w:tcPr>
          <w:p w14:paraId="30CADB86"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水温</w:t>
            </w:r>
          </w:p>
        </w:tc>
        <w:tc>
          <w:tcPr>
            <w:tcW w:w="4217" w:type="dxa"/>
            <w:vAlign w:val="center"/>
          </w:tcPr>
          <w:p w14:paraId="71546AC9"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水温的测定</w:t>
            </w:r>
          </w:p>
          <w:p w14:paraId="4E918952"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温度计或颠倒温度计测定法</w:t>
            </w:r>
          </w:p>
          <w:p w14:paraId="404DE2A2"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GB 13195-1991</w:t>
            </w:r>
          </w:p>
        </w:tc>
        <w:tc>
          <w:tcPr>
            <w:tcW w:w="2936" w:type="dxa"/>
            <w:vAlign w:val="center"/>
          </w:tcPr>
          <w:p w14:paraId="06FC4483"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w:t>
            </w:r>
          </w:p>
        </w:tc>
      </w:tr>
      <w:tr w:rsidR="00D12939" w14:paraId="608CE704" w14:textId="77777777">
        <w:trPr>
          <w:cantSplit/>
          <w:trHeight w:val="608"/>
        </w:trPr>
        <w:tc>
          <w:tcPr>
            <w:tcW w:w="660" w:type="dxa"/>
            <w:vAlign w:val="center"/>
          </w:tcPr>
          <w:p w14:paraId="364A7E86"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3</w:t>
            </w:r>
          </w:p>
        </w:tc>
        <w:tc>
          <w:tcPr>
            <w:tcW w:w="1963" w:type="dxa"/>
            <w:vAlign w:val="center"/>
          </w:tcPr>
          <w:p w14:paraId="62E4B39E"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悬浮物</w:t>
            </w:r>
          </w:p>
        </w:tc>
        <w:tc>
          <w:tcPr>
            <w:tcW w:w="4217" w:type="dxa"/>
            <w:vAlign w:val="center"/>
          </w:tcPr>
          <w:p w14:paraId="7ACBA589"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悬浮物的测定</w:t>
            </w:r>
            <w:r>
              <w:rPr>
                <w:rFonts w:ascii="Times New Roman" w:hAnsi="Times New Roman"/>
                <w:sz w:val="21"/>
                <w:szCs w:val="21"/>
                <w:lang w:eastAsia="zh-CN"/>
              </w:rPr>
              <w:t xml:space="preserve"> </w:t>
            </w:r>
            <w:r>
              <w:rPr>
                <w:rFonts w:ascii="Times New Roman" w:hAnsi="Times New Roman"/>
                <w:sz w:val="21"/>
                <w:szCs w:val="21"/>
                <w:lang w:eastAsia="zh-CN"/>
              </w:rPr>
              <w:t>重量法</w:t>
            </w:r>
          </w:p>
          <w:p w14:paraId="719A839C"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GB 11901-1989</w:t>
            </w:r>
          </w:p>
        </w:tc>
        <w:tc>
          <w:tcPr>
            <w:tcW w:w="2936" w:type="dxa"/>
            <w:vAlign w:val="center"/>
          </w:tcPr>
          <w:p w14:paraId="4FB7E7D7" w14:textId="77777777" w:rsidR="00D12939" w:rsidRDefault="00D12939">
            <w:pPr>
              <w:pStyle w:val="TableParagraph"/>
              <w:adjustRightInd w:val="0"/>
              <w:ind w:firstLineChars="0" w:firstLine="0"/>
              <w:jc w:val="center"/>
              <w:rPr>
                <w:rFonts w:ascii="Times New Roman" w:hAnsi="Times New Roman"/>
                <w:sz w:val="21"/>
                <w:szCs w:val="21"/>
              </w:rPr>
            </w:pPr>
          </w:p>
          <w:p w14:paraId="5D45F9CC"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4mg/L</w:t>
            </w:r>
          </w:p>
        </w:tc>
      </w:tr>
      <w:tr w:rsidR="00D12939" w14:paraId="5B50FADF" w14:textId="77777777">
        <w:trPr>
          <w:cantSplit/>
          <w:trHeight w:val="594"/>
        </w:trPr>
        <w:tc>
          <w:tcPr>
            <w:tcW w:w="660" w:type="dxa"/>
            <w:vAlign w:val="center"/>
          </w:tcPr>
          <w:p w14:paraId="1887717A"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lastRenderedPageBreak/>
              <w:t>4</w:t>
            </w:r>
          </w:p>
        </w:tc>
        <w:tc>
          <w:tcPr>
            <w:tcW w:w="1963" w:type="dxa"/>
            <w:vAlign w:val="center"/>
          </w:tcPr>
          <w:p w14:paraId="1F1913D0" w14:textId="77777777" w:rsidR="00D12939" w:rsidRDefault="00D12939">
            <w:pPr>
              <w:pStyle w:val="TableParagraph"/>
              <w:adjustRightInd w:val="0"/>
              <w:ind w:firstLineChars="0" w:firstLine="0"/>
              <w:jc w:val="center"/>
              <w:rPr>
                <w:rFonts w:ascii="Times New Roman" w:hAnsi="Times New Roman"/>
                <w:sz w:val="21"/>
                <w:szCs w:val="21"/>
              </w:rPr>
            </w:pPr>
          </w:p>
          <w:p w14:paraId="2019D8C6"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化学需氧量</w:t>
            </w:r>
          </w:p>
        </w:tc>
        <w:tc>
          <w:tcPr>
            <w:tcW w:w="4217" w:type="dxa"/>
            <w:vAlign w:val="center"/>
          </w:tcPr>
          <w:p w14:paraId="1A9DDEFA"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pacing w:val="-2"/>
                <w:sz w:val="21"/>
                <w:szCs w:val="21"/>
                <w:lang w:eastAsia="zh-CN"/>
              </w:rPr>
              <w:t>水质</w:t>
            </w:r>
            <w:r>
              <w:rPr>
                <w:rFonts w:ascii="Times New Roman" w:hAnsi="Times New Roman"/>
                <w:spacing w:val="-2"/>
                <w:sz w:val="21"/>
                <w:szCs w:val="21"/>
                <w:lang w:eastAsia="zh-CN"/>
              </w:rPr>
              <w:t xml:space="preserve"> </w:t>
            </w:r>
            <w:r>
              <w:rPr>
                <w:rFonts w:ascii="Times New Roman" w:hAnsi="Times New Roman"/>
                <w:spacing w:val="-2"/>
                <w:sz w:val="21"/>
                <w:szCs w:val="21"/>
                <w:lang w:eastAsia="zh-CN"/>
              </w:rPr>
              <w:t>化学需氧量的测定</w:t>
            </w:r>
            <w:r>
              <w:rPr>
                <w:rFonts w:ascii="Times New Roman" w:hAnsi="Times New Roman"/>
                <w:sz w:val="21"/>
                <w:szCs w:val="21"/>
                <w:lang w:eastAsia="zh-CN"/>
              </w:rPr>
              <w:t>重铬酸盐法</w:t>
            </w:r>
          </w:p>
          <w:p w14:paraId="357FD564"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HJ</w:t>
            </w:r>
            <w:r>
              <w:rPr>
                <w:rFonts w:ascii="Times New Roman" w:hAnsi="Times New Roman"/>
                <w:spacing w:val="-2"/>
                <w:sz w:val="21"/>
                <w:szCs w:val="21"/>
              </w:rPr>
              <w:t xml:space="preserve"> </w:t>
            </w:r>
            <w:r>
              <w:rPr>
                <w:rFonts w:ascii="Times New Roman" w:hAnsi="Times New Roman"/>
                <w:sz w:val="21"/>
                <w:szCs w:val="21"/>
              </w:rPr>
              <w:t>828-2017</w:t>
            </w:r>
          </w:p>
        </w:tc>
        <w:tc>
          <w:tcPr>
            <w:tcW w:w="2936" w:type="dxa"/>
            <w:vAlign w:val="center"/>
          </w:tcPr>
          <w:p w14:paraId="042A3C7E" w14:textId="77777777" w:rsidR="00D12939" w:rsidRDefault="00D12939">
            <w:pPr>
              <w:pStyle w:val="TableParagraph"/>
              <w:adjustRightInd w:val="0"/>
              <w:ind w:firstLineChars="0" w:firstLine="0"/>
              <w:jc w:val="center"/>
              <w:rPr>
                <w:rFonts w:ascii="Times New Roman" w:hAnsi="Times New Roman"/>
                <w:sz w:val="21"/>
                <w:szCs w:val="21"/>
              </w:rPr>
            </w:pPr>
          </w:p>
          <w:p w14:paraId="635F551C"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4mg/L</w:t>
            </w:r>
          </w:p>
        </w:tc>
      </w:tr>
      <w:tr w:rsidR="00D12939" w14:paraId="5E526397" w14:textId="77777777">
        <w:trPr>
          <w:cantSplit/>
          <w:trHeight w:val="905"/>
        </w:trPr>
        <w:tc>
          <w:tcPr>
            <w:tcW w:w="660" w:type="dxa"/>
            <w:vAlign w:val="center"/>
          </w:tcPr>
          <w:p w14:paraId="4CB525D6"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5</w:t>
            </w:r>
          </w:p>
        </w:tc>
        <w:tc>
          <w:tcPr>
            <w:tcW w:w="1963" w:type="dxa"/>
            <w:vAlign w:val="center"/>
          </w:tcPr>
          <w:p w14:paraId="5C796100" w14:textId="77777777" w:rsidR="00D12939" w:rsidRDefault="00D12939">
            <w:pPr>
              <w:pStyle w:val="TableParagraph"/>
              <w:adjustRightInd w:val="0"/>
              <w:ind w:firstLineChars="0" w:firstLine="0"/>
              <w:jc w:val="center"/>
              <w:rPr>
                <w:rFonts w:ascii="Times New Roman" w:hAnsi="Times New Roman"/>
                <w:sz w:val="21"/>
                <w:szCs w:val="21"/>
              </w:rPr>
            </w:pPr>
          </w:p>
          <w:p w14:paraId="378B2A2C"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五日生化需氧量</w:t>
            </w:r>
          </w:p>
        </w:tc>
        <w:tc>
          <w:tcPr>
            <w:tcW w:w="4217" w:type="dxa"/>
            <w:vAlign w:val="center"/>
          </w:tcPr>
          <w:p w14:paraId="70DDA669"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pacing w:val="-2"/>
                <w:sz w:val="21"/>
                <w:szCs w:val="21"/>
                <w:lang w:eastAsia="zh-CN"/>
              </w:rPr>
              <w:t>水质</w:t>
            </w:r>
            <w:r>
              <w:rPr>
                <w:rFonts w:ascii="Times New Roman" w:hAnsi="Times New Roman"/>
                <w:spacing w:val="-2"/>
                <w:sz w:val="21"/>
                <w:szCs w:val="21"/>
                <w:lang w:eastAsia="zh-CN"/>
              </w:rPr>
              <w:t xml:space="preserve"> </w:t>
            </w:r>
            <w:r>
              <w:rPr>
                <w:rFonts w:ascii="Times New Roman" w:hAnsi="Times New Roman"/>
                <w:spacing w:val="-2"/>
                <w:sz w:val="21"/>
                <w:szCs w:val="21"/>
                <w:lang w:eastAsia="zh-CN"/>
              </w:rPr>
              <w:t>五日生化需氧量的测定</w:t>
            </w:r>
            <w:r>
              <w:rPr>
                <w:rFonts w:ascii="Times New Roman" w:hAnsi="Times New Roman"/>
                <w:sz w:val="21"/>
                <w:szCs w:val="21"/>
                <w:lang w:eastAsia="zh-CN"/>
              </w:rPr>
              <w:t>稀释与接种法</w:t>
            </w:r>
          </w:p>
          <w:p w14:paraId="0245EE7A"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HJ</w:t>
            </w:r>
            <w:r>
              <w:rPr>
                <w:rFonts w:ascii="Times New Roman" w:hAnsi="Times New Roman"/>
                <w:spacing w:val="-2"/>
                <w:sz w:val="21"/>
                <w:szCs w:val="21"/>
              </w:rPr>
              <w:t xml:space="preserve"> </w:t>
            </w:r>
            <w:r>
              <w:rPr>
                <w:rFonts w:ascii="Times New Roman" w:hAnsi="Times New Roman"/>
                <w:sz w:val="21"/>
                <w:szCs w:val="21"/>
              </w:rPr>
              <w:t>505-2009</w:t>
            </w:r>
          </w:p>
        </w:tc>
        <w:tc>
          <w:tcPr>
            <w:tcW w:w="2936" w:type="dxa"/>
            <w:vAlign w:val="center"/>
          </w:tcPr>
          <w:p w14:paraId="4FDA7A30" w14:textId="77777777" w:rsidR="00D12939" w:rsidRDefault="00D12939">
            <w:pPr>
              <w:pStyle w:val="TableParagraph"/>
              <w:adjustRightInd w:val="0"/>
              <w:ind w:firstLineChars="0" w:firstLine="0"/>
              <w:jc w:val="center"/>
              <w:rPr>
                <w:rFonts w:ascii="Times New Roman" w:hAnsi="Times New Roman"/>
                <w:sz w:val="21"/>
                <w:szCs w:val="21"/>
              </w:rPr>
            </w:pPr>
          </w:p>
          <w:p w14:paraId="0B8E624D" w14:textId="77777777" w:rsidR="00D12939" w:rsidRDefault="00D12939">
            <w:pPr>
              <w:pStyle w:val="TableParagraph"/>
              <w:adjustRightInd w:val="0"/>
              <w:ind w:firstLineChars="0" w:firstLine="0"/>
              <w:jc w:val="center"/>
              <w:rPr>
                <w:rFonts w:ascii="Times New Roman" w:hAnsi="Times New Roman"/>
                <w:sz w:val="21"/>
                <w:szCs w:val="21"/>
              </w:rPr>
            </w:pPr>
          </w:p>
          <w:p w14:paraId="705DECCD"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0.5mg/L</w:t>
            </w:r>
          </w:p>
        </w:tc>
      </w:tr>
      <w:tr w:rsidR="00D12939" w14:paraId="38A0307D" w14:textId="77777777">
        <w:trPr>
          <w:cantSplit/>
          <w:trHeight w:val="905"/>
        </w:trPr>
        <w:tc>
          <w:tcPr>
            <w:tcW w:w="660" w:type="dxa"/>
            <w:vAlign w:val="center"/>
          </w:tcPr>
          <w:p w14:paraId="19C38015"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6</w:t>
            </w:r>
          </w:p>
        </w:tc>
        <w:tc>
          <w:tcPr>
            <w:tcW w:w="1963" w:type="dxa"/>
            <w:vAlign w:val="center"/>
          </w:tcPr>
          <w:p w14:paraId="7C157281"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氨氮</w:t>
            </w:r>
          </w:p>
        </w:tc>
        <w:tc>
          <w:tcPr>
            <w:tcW w:w="4217" w:type="dxa"/>
            <w:vAlign w:val="center"/>
          </w:tcPr>
          <w:p w14:paraId="5DD6A6A3"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氨氮的测定</w:t>
            </w:r>
          </w:p>
          <w:p w14:paraId="0EC3AB16"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纳氏试剂分光光度法</w:t>
            </w:r>
          </w:p>
          <w:p w14:paraId="038725BD"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HJ 535-2009</w:t>
            </w:r>
          </w:p>
        </w:tc>
        <w:tc>
          <w:tcPr>
            <w:tcW w:w="2936" w:type="dxa"/>
            <w:vAlign w:val="center"/>
          </w:tcPr>
          <w:p w14:paraId="72BF86B8"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0.025 mg/L</w:t>
            </w:r>
          </w:p>
        </w:tc>
      </w:tr>
      <w:tr w:rsidR="00D12939" w14:paraId="1C0B1E6F" w14:textId="77777777">
        <w:trPr>
          <w:cantSplit/>
          <w:trHeight w:val="905"/>
        </w:trPr>
        <w:tc>
          <w:tcPr>
            <w:tcW w:w="660" w:type="dxa"/>
            <w:vAlign w:val="center"/>
          </w:tcPr>
          <w:p w14:paraId="7470F7C2"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7</w:t>
            </w:r>
          </w:p>
        </w:tc>
        <w:tc>
          <w:tcPr>
            <w:tcW w:w="1963" w:type="dxa"/>
            <w:vAlign w:val="center"/>
          </w:tcPr>
          <w:p w14:paraId="2CDDD134"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总磷</w:t>
            </w:r>
          </w:p>
        </w:tc>
        <w:tc>
          <w:tcPr>
            <w:tcW w:w="4217" w:type="dxa"/>
            <w:vAlign w:val="center"/>
          </w:tcPr>
          <w:p w14:paraId="54AF77F4"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总磷的测定</w:t>
            </w:r>
          </w:p>
          <w:p w14:paraId="6A99B117"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钼酸铵分光光度法</w:t>
            </w:r>
          </w:p>
          <w:p w14:paraId="252BBD50"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GB 11893-1989</w:t>
            </w:r>
          </w:p>
        </w:tc>
        <w:tc>
          <w:tcPr>
            <w:tcW w:w="2936" w:type="dxa"/>
            <w:vAlign w:val="center"/>
          </w:tcPr>
          <w:p w14:paraId="1A0A6681"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0.01mg/L</w:t>
            </w:r>
          </w:p>
        </w:tc>
      </w:tr>
      <w:tr w:rsidR="00D12939" w14:paraId="37970B48" w14:textId="77777777">
        <w:trPr>
          <w:cantSplit/>
          <w:trHeight w:val="1203"/>
        </w:trPr>
        <w:tc>
          <w:tcPr>
            <w:tcW w:w="660" w:type="dxa"/>
            <w:vAlign w:val="center"/>
          </w:tcPr>
          <w:p w14:paraId="719B4B4F"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8</w:t>
            </w:r>
          </w:p>
        </w:tc>
        <w:tc>
          <w:tcPr>
            <w:tcW w:w="1963" w:type="dxa"/>
            <w:vAlign w:val="center"/>
          </w:tcPr>
          <w:p w14:paraId="6DA4FE5F"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氯化物</w:t>
            </w:r>
          </w:p>
        </w:tc>
        <w:tc>
          <w:tcPr>
            <w:tcW w:w="4217" w:type="dxa"/>
            <w:vAlign w:val="center"/>
          </w:tcPr>
          <w:p w14:paraId="6DBF7945" w14:textId="77777777" w:rsidR="00D12939" w:rsidRDefault="004F47F5">
            <w:pPr>
              <w:pStyle w:val="TableParagraph"/>
              <w:adjustRightInd w:val="0"/>
              <w:ind w:firstLineChars="0" w:firstLine="0"/>
              <w:jc w:val="center"/>
              <w:rPr>
                <w:rFonts w:ascii="Times New Roman" w:hAnsi="Times New Roman"/>
                <w:kern w:val="2"/>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无机阴离子</w:t>
            </w:r>
            <w:r>
              <w:rPr>
                <w:rFonts w:ascii="Times New Roman" w:hAnsi="Times New Roman"/>
                <w:position w:val="2"/>
                <w:sz w:val="21"/>
                <w:szCs w:val="21"/>
                <w:lang w:eastAsia="zh-CN"/>
              </w:rPr>
              <w:t>（</w:t>
            </w:r>
            <w:r>
              <w:rPr>
                <w:rFonts w:ascii="Times New Roman" w:hAnsi="Times New Roman"/>
                <w:position w:val="2"/>
                <w:sz w:val="21"/>
                <w:szCs w:val="21"/>
                <w:lang w:eastAsia="zh-CN"/>
              </w:rPr>
              <w:t>F</w:t>
            </w:r>
            <w:r>
              <w:rPr>
                <w:rFonts w:ascii="Times New Roman" w:hAnsi="Times New Roman"/>
                <w:position w:val="2"/>
                <w:sz w:val="21"/>
                <w:szCs w:val="21"/>
                <w:vertAlign w:val="superscript"/>
                <w:lang w:eastAsia="zh-CN"/>
              </w:rPr>
              <w:t>-</w:t>
            </w:r>
            <w:r>
              <w:rPr>
                <w:rFonts w:ascii="Times New Roman" w:hAnsi="Times New Roman"/>
                <w:spacing w:val="-27"/>
                <w:position w:val="2"/>
                <w:sz w:val="21"/>
                <w:szCs w:val="21"/>
                <w:lang w:eastAsia="zh-CN"/>
              </w:rPr>
              <w:t>、</w:t>
            </w:r>
            <w:r>
              <w:rPr>
                <w:rFonts w:ascii="Times New Roman" w:hAnsi="Times New Roman"/>
                <w:position w:val="2"/>
                <w:sz w:val="21"/>
                <w:szCs w:val="21"/>
                <w:lang w:eastAsia="zh-CN"/>
              </w:rPr>
              <w:t>Cl</w:t>
            </w:r>
            <w:r>
              <w:rPr>
                <w:rFonts w:ascii="Times New Roman" w:hAnsi="Times New Roman"/>
                <w:position w:val="2"/>
                <w:sz w:val="21"/>
                <w:szCs w:val="21"/>
                <w:vertAlign w:val="superscript"/>
                <w:lang w:eastAsia="zh-CN"/>
              </w:rPr>
              <w:t>-</w:t>
            </w:r>
            <w:r>
              <w:rPr>
                <w:rFonts w:ascii="Times New Roman" w:hAnsi="Times New Roman"/>
                <w:spacing w:val="-24"/>
                <w:position w:val="2"/>
                <w:sz w:val="21"/>
                <w:szCs w:val="21"/>
                <w:lang w:eastAsia="zh-CN"/>
              </w:rPr>
              <w:t>、</w:t>
            </w:r>
            <w:r>
              <w:rPr>
                <w:rFonts w:ascii="Times New Roman" w:hAnsi="Times New Roman"/>
                <w:position w:val="2"/>
                <w:sz w:val="21"/>
                <w:szCs w:val="21"/>
                <w:lang w:eastAsia="zh-CN"/>
              </w:rPr>
              <w:t>NO</w:t>
            </w:r>
            <w:r>
              <w:rPr>
                <w:rFonts w:ascii="Times New Roman" w:hAnsi="Times New Roman"/>
                <w:position w:val="2"/>
                <w:sz w:val="21"/>
                <w:szCs w:val="21"/>
                <w:vertAlign w:val="subscript"/>
                <w:lang w:eastAsia="zh-CN"/>
              </w:rPr>
              <w:t>2</w:t>
            </w:r>
            <w:r>
              <w:rPr>
                <w:rFonts w:ascii="Times New Roman" w:hAnsi="Times New Roman"/>
                <w:spacing w:val="-9"/>
                <w:position w:val="2"/>
                <w:sz w:val="21"/>
                <w:szCs w:val="21"/>
                <w:lang w:eastAsia="zh-CN"/>
              </w:rPr>
              <w:t xml:space="preserve"> </w:t>
            </w:r>
            <w:r>
              <w:rPr>
                <w:rFonts w:ascii="Times New Roman" w:hAnsi="Times New Roman"/>
                <w:spacing w:val="-24"/>
                <w:position w:val="2"/>
                <w:sz w:val="21"/>
                <w:szCs w:val="21"/>
                <w:lang w:eastAsia="zh-CN"/>
              </w:rPr>
              <w:t>、</w:t>
            </w:r>
            <w:r>
              <w:rPr>
                <w:rFonts w:ascii="Times New Roman" w:hAnsi="Times New Roman"/>
                <w:position w:val="2"/>
                <w:sz w:val="21"/>
                <w:szCs w:val="21"/>
                <w:lang w:eastAsia="zh-CN"/>
              </w:rPr>
              <w:t>Br</w:t>
            </w:r>
            <w:r>
              <w:rPr>
                <w:rFonts w:ascii="Times New Roman" w:hAnsi="Times New Roman"/>
                <w:spacing w:val="-7"/>
                <w:position w:val="2"/>
                <w:sz w:val="21"/>
                <w:szCs w:val="21"/>
                <w:lang w:eastAsia="zh-CN"/>
              </w:rPr>
              <w:t xml:space="preserve"> </w:t>
            </w:r>
            <w:r>
              <w:rPr>
                <w:rFonts w:ascii="Times New Roman" w:hAnsi="Times New Roman"/>
                <w:spacing w:val="-24"/>
                <w:position w:val="2"/>
                <w:sz w:val="21"/>
                <w:szCs w:val="21"/>
                <w:lang w:eastAsia="zh-CN"/>
              </w:rPr>
              <w:t>、</w:t>
            </w:r>
            <w:r>
              <w:rPr>
                <w:rFonts w:ascii="Times New Roman" w:hAnsi="Times New Roman"/>
                <w:position w:val="2"/>
                <w:sz w:val="21"/>
                <w:szCs w:val="21"/>
                <w:lang w:eastAsia="zh-CN"/>
              </w:rPr>
              <w:t>NO</w:t>
            </w:r>
            <w:r>
              <w:rPr>
                <w:rFonts w:ascii="Times New Roman" w:hAnsi="Times New Roman"/>
                <w:position w:val="2"/>
                <w:sz w:val="21"/>
                <w:szCs w:val="21"/>
                <w:vertAlign w:val="subscript"/>
                <w:lang w:eastAsia="zh-CN"/>
              </w:rPr>
              <w:t>3</w:t>
            </w:r>
            <w:r>
              <w:rPr>
                <w:rFonts w:ascii="Times New Roman" w:hAnsi="Times New Roman"/>
                <w:spacing w:val="-8"/>
                <w:position w:val="2"/>
                <w:sz w:val="21"/>
                <w:szCs w:val="21"/>
                <w:lang w:eastAsia="zh-CN"/>
              </w:rPr>
              <w:t xml:space="preserve"> </w:t>
            </w:r>
            <w:r>
              <w:rPr>
                <w:rFonts w:ascii="Times New Roman" w:hAnsi="Times New Roman"/>
                <w:spacing w:val="-24"/>
                <w:position w:val="2"/>
                <w:sz w:val="21"/>
                <w:szCs w:val="21"/>
                <w:lang w:eastAsia="zh-CN"/>
              </w:rPr>
              <w:t>、</w:t>
            </w:r>
            <w:r>
              <w:rPr>
                <w:rFonts w:ascii="Times New Roman" w:hAnsi="Times New Roman"/>
                <w:position w:val="2"/>
                <w:sz w:val="21"/>
                <w:szCs w:val="21"/>
                <w:lang w:eastAsia="zh-CN"/>
              </w:rPr>
              <w:t>PO</w:t>
            </w:r>
            <w:r>
              <w:rPr>
                <w:rFonts w:ascii="Times New Roman" w:hAnsi="Times New Roman"/>
                <w:position w:val="2"/>
                <w:sz w:val="21"/>
                <w:szCs w:val="21"/>
                <w:vertAlign w:val="subscript"/>
                <w:lang w:eastAsia="zh-CN"/>
              </w:rPr>
              <w:t>4</w:t>
            </w:r>
            <w:r>
              <w:rPr>
                <w:rFonts w:ascii="Times New Roman" w:hAnsi="Times New Roman"/>
                <w:spacing w:val="10"/>
                <w:position w:val="2"/>
                <w:sz w:val="21"/>
                <w:szCs w:val="21"/>
                <w:lang w:eastAsia="zh-CN"/>
              </w:rPr>
              <w:t xml:space="preserve"> </w:t>
            </w:r>
            <w:r>
              <w:rPr>
                <w:rFonts w:ascii="Times New Roman" w:hAnsi="Times New Roman"/>
                <w:spacing w:val="-11"/>
                <w:position w:val="2"/>
                <w:sz w:val="21"/>
                <w:szCs w:val="21"/>
                <w:lang w:eastAsia="zh-CN"/>
              </w:rPr>
              <w:t>、</w:t>
            </w:r>
            <w:r>
              <w:rPr>
                <w:rFonts w:ascii="Times New Roman" w:hAnsi="Times New Roman"/>
                <w:sz w:val="21"/>
                <w:szCs w:val="21"/>
                <w:lang w:eastAsia="zh-CN"/>
              </w:rPr>
              <w:t>SO</w:t>
            </w:r>
            <w:r>
              <w:rPr>
                <w:rFonts w:ascii="Times New Roman" w:hAnsi="Times New Roman"/>
                <w:spacing w:val="19"/>
                <w:sz w:val="21"/>
                <w:szCs w:val="21"/>
                <w:lang w:eastAsia="zh-CN"/>
              </w:rPr>
              <w:t xml:space="preserve"> </w:t>
            </w:r>
            <w:r>
              <w:rPr>
                <w:rFonts w:ascii="Times New Roman" w:hAnsi="Times New Roman"/>
                <w:position w:val="8"/>
                <w:sz w:val="21"/>
                <w:szCs w:val="21"/>
                <w:lang w:eastAsia="zh-CN"/>
              </w:rPr>
              <w:t>2-</w:t>
            </w:r>
            <w:r>
              <w:rPr>
                <w:rFonts w:ascii="Times New Roman" w:hAnsi="Times New Roman"/>
                <w:sz w:val="21"/>
                <w:szCs w:val="21"/>
                <w:lang w:eastAsia="zh-CN"/>
              </w:rPr>
              <w:t>、</w:t>
            </w:r>
            <w:r>
              <w:rPr>
                <w:rFonts w:ascii="Times New Roman" w:hAnsi="Times New Roman"/>
                <w:sz w:val="21"/>
                <w:szCs w:val="21"/>
                <w:lang w:eastAsia="zh-CN"/>
              </w:rPr>
              <w:t>SO</w:t>
            </w:r>
            <w:r>
              <w:rPr>
                <w:rFonts w:ascii="Times New Roman" w:hAnsi="Times New Roman"/>
                <w:spacing w:val="20"/>
                <w:sz w:val="21"/>
                <w:szCs w:val="21"/>
                <w:lang w:eastAsia="zh-CN"/>
              </w:rPr>
              <w:t xml:space="preserve"> </w:t>
            </w:r>
            <w:r>
              <w:rPr>
                <w:rFonts w:ascii="Times New Roman" w:hAnsi="Times New Roman"/>
                <w:position w:val="8"/>
                <w:sz w:val="21"/>
                <w:szCs w:val="21"/>
                <w:lang w:eastAsia="zh-CN"/>
              </w:rPr>
              <w:t>2-</w:t>
            </w:r>
            <w:r>
              <w:rPr>
                <w:rFonts w:ascii="Times New Roman" w:hAnsi="Times New Roman"/>
                <w:sz w:val="21"/>
                <w:szCs w:val="21"/>
                <w:lang w:eastAsia="zh-CN"/>
              </w:rPr>
              <w:t>）的测</w:t>
            </w:r>
            <w:r>
              <w:rPr>
                <w:rFonts w:ascii="Times New Roman" w:hAnsi="Times New Roman"/>
                <w:spacing w:val="-13"/>
                <w:sz w:val="21"/>
                <w:szCs w:val="21"/>
                <w:lang w:eastAsia="zh-CN"/>
              </w:rPr>
              <w:t>定</w:t>
            </w:r>
            <w:r>
              <w:rPr>
                <w:rFonts w:ascii="Times New Roman" w:hAnsi="Times New Roman"/>
                <w:sz w:val="21"/>
                <w:szCs w:val="21"/>
                <w:lang w:eastAsia="zh-CN"/>
              </w:rPr>
              <w:t xml:space="preserve"> </w:t>
            </w:r>
            <w:r>
              <w:rPr>
                <w:rFonts w:ascii="Times New Roman" w:hAnsi="Times New Roman"/>
                <w:sz w:val="21"/>
                <w:szCs w:val="21"/>
                <w:lang w:eastAsia="zh-CN"/>
              </w:rPr>
              <w:t>离子色谱法</w:t>
            </w:r>
            <w:r>
              <w:rPr>
                <w:rFonts w:ascii="Times New Roman" w:hAnsi="Times New Roman"/>
                <w:sz w:val="21"/>
                <w:szCs w:val="21"/>
                <w:lang w:eastAsia="zh-CN"/>
              </w:rPr>
              <w:t>HJ 84-2016</w:t>
            </w:r>
          </w:p>
        </w:tc>
        <w:tc>
          <w:tcPr>
            <w:tcW w:w="2936" w:type="dxa"/>
            <w:vAlign w:val="center"/>
          </w:tcPr>
          <w:p w14:paraId="659C4885"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0.007mg/L</w:t>
            </w:r>
          </w:p>
        </w:tc>
      </w:tr>
      <w:tr w:rsidR="00D12939" w14:paraId="7040462A" w14:textId="77777777">
        <w:trPr>
          <w:cantSplit/>
          <w:trHeight w:val="608"/>
        </w:trPr>
        <w:tc>
          <w:tcPr>
            <w:tcW w:w="660" w:type="dxa"/>
            <w:vAlign w:val="center"/>
          </w:tcPr>
          <w:p w14:paraId="38989163"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9</w:t>
            </w:r>
          </w:p>
        </w:tc>
        <w:tc>
          <w:tcPr>
            <w:tcW w:w="1963" w:type="dxa"/>
            <w:vAlign w:val="center"/>
          </w:tcPr>
          <w:p w14:paraId="500E60B3" w14:textId="77777777" w:rsidR="00D12939" w:rsidRDefault="004F47F5">
            <w:pPr>
              <w:pStyle w:val="TableParagraph"/>
              <w:adjustRightInd w:val="0"/>
              <w:ind w:firstLineChars="0" w:firstLine="0"/>
              <w:jc w:val="center"/>
              <w:rPr>
                <w:rFonts w:ascii="Times New Roman" w:hAnsi="Times New Roman"/>
                <w:sz w:val="21"/>
                <w:szCs w:val="21"/>
              </w:rPr>
            </w:pPr>
            <w:r>
              <w:rPr>
                <w:rFonts w:ascii="Times New Roman" w:hAnsi="Times New Roman"/>
                <w:sz w:val="21"/>
                <w:szCs w:val="21"/>
              </w:rPr>
              <w:t>粪大肠菌群</w:t>
            </w:r>
          </w:p>
        </w:tc>
        <w:tc>
          <w:tcPr>
            <w:tcW w:w="4217" w:type="dxa"/>
            <w:vAlign w:val="center"/>
          </w:tcPr>
          <w:p w14:paraId="52A095C8" w14:textId="77777777" w:rsidR="00D12939" w:rsidRDefault="004F47F5">
            <w:pPr>
              <w:pStyle w:val="TableParagraph"/>
              <w:adjustRightInd w:val="0"/>
              <w:ind w:firstLineChars="0" w:firstLine="0"/>
              <w:jc w:val="center"/>
              <w:rPr>
                <w:rFonts w:ascii="Times New Roman" w:hAnsi="Times New Roman"/>
                <w:kern w:val="2"/>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粪大肠菌群的测定多管发酵法（</w:t>
            </w:r>
            <w:r>
              <w:rPr>
                <w:rFonts w:ascii="Times New Roman" w:hAnsi="Times New Roman"/>
                <w:sz w:val="21"/>
                <w:szCs w:val="21"/>
                <w:lang w:eastAsia="zh-CN"/>
              </w:rPr>
              <w:t xml:space="preserve">15 </w:t>
            </w:r>
            <w:r>
              <w:rPr>
                <w:rFonts w:ascii="Times New Roman" w:hAnsi="Times New Roman"/>
                <w:sz w:val="21"/>
                <w:szCs w:val="21"/>
                <w:lang w:eastAsia="zh-CN"/>
              </w:rPr>
              <w:t>管法）</w:t>
            </w:r>
            <w:r>
              <w:rPr>
                <w:rFonts w:ascii="Times New Roman" w:hAnsi="Times New Roman"/>
                <w:sz w:val="21"/>
                <w:szCs w:val="21"/>
                <w:lang w:eastAsia="zh-CN"/>
              </w:rPr>
              <w:t xml:space="preserve"> HJ 347.2-2018</w:t>
            </w:r>
          </w:p>
        </w:tc>
        <w:tc>
          <w:tcPr>
            <w:tcW w:w="2936" w:type="dxa"/>
            <w:vAlign w:val="center"/>
          </w:tcPr>
          <w:p w14:paraId="759F02ED"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20MPN/L</w:t>
            </w:r>
          </w:p>
        </w:tc>
      </w:tr>
      <w:tr w:rsidR="00D12939" w14:paraId="1428A5A2" w14:textId="77777777">
        <w:trPr>
          <w:cantSplit/>
          <w:trHeight w:val="905"/>
        </w:trPr>
        <w:tc>
          <w:tcPr>
            <w:tcW w:w="660" w:type="dxa"/>
            <w:vAlign w:val="center"/>
          </w:tcPr>
          <w:p w14:paraId="6CD0B410"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10</w:t>
            </w:r>
          </w:p>
        </w:tc>
        <w:tc>
          <w:tcPr>
            <w:tcW w:w="1963" w:type="dxa"/>
            <w:vAlign w:val="center"/>
          </w:tcPr>
          <w:p w14:paraId="1D98BEEE" w14:textId="77777777" w:rsidR="00D12939" w:rsidRDefault="004F47F5">
            <w:pPr>
              <w:pStyle w:val="TableParagraph"/>
              <w:adjustRightInd w:val="0"/>
              <w:ind w:firstLineChars="0" w:firstLine="0"/>
              <w:jc w:val="center"/>
              <w:rPr>
                <w:rFonts w:ascii="Times New Roman" w:hAnsi="Times New Roman"/>
                <w:sz w:val="21"/>
                <w:szCs w:val="21"/>
              </w:rPr>
            </w:pPr>
            <w:r>
              <w:rPr>
                <w:rFonts w:ascii="Times New Roman" w:hAnsi="Times New Roman"/>
                <w:sz w:val="21"/>
                <w:szCs w:val="21"/>
              </w:rPr>
              <w:t>汞</w:t>
            </w:r>
          </w:p>
        </w:tc>
        <w:tc>
          <w:tcPr>
            <w:tcW w:w="4217" w:type="dxa"/>
            <w:vAlign w:val="center"/>
          </w:tcPr>
          <w:p w14:paraId="07E16058"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pacing w:val="-2"/>
                <w:sz w:val="21"/>
                <w:szCs w:val="21"/>
                <w:lang w:eastAsia="zh-CN"/>
              </w:rPr>
              <w:t>水质</w:t>
            </w:r>
            <w:r>
              <w:rPr>
                <w:rFonts w:ascii="Times New Roman" w:hAnsi="Times New Roman"/>
                <w:spacing w:val="-2"/>
                <w:sz w:val="21"/>
                <w:szCs w:val="21"/>
                <w:lang w:eastAsia="zh-CN"/>
              </w:rPr>
              <w:t xml:space="preserve"> </w:t>
            </w:r>
            <w:r>
              <w:rPr>
                <w:rFonts w:ascii="Times New Roman" w:hAnsi="Times New Roman"/>
                <w:spacing w:val="-2"/>
                <w:sz w:val="21"/>
                <w:szCs w:val="21"/>
                <w:lang w:eastAsia="zh-CN"/>
              </w:rPr>
              <w:t>汞、砷、硒、铋和锑的测定</w:t>
            </w:r>
            <w:r>
              <w:rPr>
                <w:rFonts w:ascii="Times New Roman" w:hAnsi="Times New Roman"/>
                <w:sz w:val="21"/>
                <w:szCs w:val="21"/>
                <w:lang w:eastAsia="zh-CN"/>
              </w:rPr>
              <w:t>原子荧光法</w:t>
            </w:r>
          </w:p>
          <w:p w14:paraId="6C39C611"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HJ</w:t>
            </w:r>
            <w:r>
              <w:rPr>
                <w:rFonts w:ascii="Times New Roman" w:hAnsi="Times New Roman"/>
                <w:spacing w:val="-2"/>
                <w:sz w:val="21"/>
                <w:szCs w:val="21"/>
              </w:rPr>
              <w:t xml:space="preserve"> </w:t>
            </w:r>
            <w:r>
              <w:rPr>
                <w:rFonts w:ascii="Times New Roman" w:hAnsi="Times New Roman"/>
                <w:sz w:val="21"/>
                <w:szCs w:val="21"/>
              </w:rPr>
              <w:t>694-2014</w:t>
            </w:r>
          </w:p>
        </w:tc>
        <w:tc>
          <w:tcPr>
            <w:tcW w:w="2936" w:type="dxa"/>
            <w:vAlign w:val="center"/>
          </w:tcPr>
          <w:p w14:paraId="7F70598E"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0.00004mg/L</w:t>
            </w:r>
          </w:p>
        </w:tc>
      </w:tr>
      <w:tr w:rsidR="00D12939" w14:paraId="5CF8B4ED" w14:textId="77777777">
        <w:trPr>
          <w:cantSplit/>
          <w:trHeight w:val="594"/>
        </w:trPr>
        <w:tc>
          <w:tcPr>
            <w:tcW w:w="660" w:type="dxa"/>
            <w:vAlign w:val="center"/>
          </w:tcPr>
          <w:p w14:paraId="7666F3DE"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11</w:t>
            </w:r>
          </w:p>
        </w:tc>
        <w:tc>
          <w:tcPr>
            <w:tcW w:w="1963" w:type="dxa"/>
            <w:vAlign w:val="center"/>
          </w:tcPr>
          <w:p w14:paraId="66A67871" w14:textId="77777777" w:rsidR="00D12939" w:rsidRDefault="00D12939">
            <w:pPr>
              <w:pStyle w:val="TableParagraph"/>
              <w:adjustRightInd w:val="0"/>
              <w:ind w:firstLineChars="0" w:firstLine="0"/>
              <w:jc w:val="center"/>
              <w:rPr>
                <w:rFonts w:ascii="Times New Roman" w:hAnsi="Times New Roman"/>
                <w:sz w:val="21"/>
                <w:szCs w:val="21"/>
              </w:rPr>
            </w:pPr>
          </w:p>
          <w:p w14:paraId="1B677D5D" w14:textId="77777777" w:rsidR="00D12939" w:rsidRDefault="004F47F5">
            <w:pPr>
              <w:pStyle w:val="TableParagraph"/>
              <w:adjustRightInd w:val="0"/>
              <w:ind w:firstLineChars="0" w:firstLine="0"/>
              <w:jc w:val="center"/>
              <w:rPr>
                <w:rFonts w:ascii="Times New Roman" w:hAnsi="Times New Roman"/>
                <w:sz w:val="21"/>
                <w:szCs w:val="21"/>
              </w:rPr>
            </w:pPr>
            <w:r>
              <w:rPr>
                <w:rFonts w:ascii="Times New Roman" w:hAnsi="Times New Roman"/>
                <w:sz w:val="21"/>
                <w:szCs w:val="21"/>
              </w:rPr>
              <w:t>铅</w:t>
            </w:r>
          </w:p>
        </w:tc>
        <w:tc>
          <w:tcPr>
            <w:tcW w:w="4217" w:type="dxa"/>
            <w:vMerge w:val="restart"/>
            <w:vAlign w:val="center"/>
          </w:tcPr>
          <w:p w14:paraId="6C412B5B" w14:textId="77777777" w:rsidR="00D12939" w:rsidRDefault="004F47F5">
            <w:pPr>
              <w:pStyle w:val="TableParagraph"/>
              <w:adjustRightInd w:val="0"/>
              <w:ind w:firstLineChars="0" w:firstLine="0"/>
              <w:jc w:val="center"/>
              <w:rPr>
                <w:rFonts w:ascii="Times New Roman" w:hAnsi="Times New Roman"/>
                <w:spacing w:val="-2"/>
                <w:sz w:val="21"/>
                <w:szCs w:val="21"/>
                <w:lang w:eastAsia="zh-CN"/>
              </w:rPr>
            </w:pPr>
            <w:r>
              <w:rPr>
                <w:rFonts w:ascii="Times New Roman" w:hAnsi="Times New Roman"/>
                <w:spacing w:val="-2"/>
                <w:sz w:val="21"/>
                <w:szCs w:val="21"/>
                <w:lang w:eastAsia="zh-CN"/>
              </w:rPr>
              <w:t>水质</w:t>
            </w:r>
            <w:r>
              <w:rPr>
                <w:rFonts w:ascii="Times New Roman" w:hAnsi="Times New Roman"/>
                <w:spacing w:val="-2"/>
                <w:sz w:val="21"/>
                <w:szCs w:val="21"/>
                <w:lang w:eastAsia="zh-CN"/>
              </w:rPr>
              <w:t xml:space="preserve"> </w:t>
            </w:r>
            <w:r>
              <w:rPr>
                <w:rFonts w:ascii="Times New Roman" w:hAnsi="Times New Roman"/>
                <w:spacing w:val="-2"/>
                <w:sz w:val="21"/>
                <w:szCs w:val="21"/>
                <w:lang w:eastAsia="zh-CN"/>
              </w:rPr>
              <w:t>铜、锌、铅、镉的测定原子吸收分光光度法第二部分</w:t>
            </w:r>
            <w:r>
              <w:rPr>
                <w:rFonts w:ascii="Times New Roman" w:hAnsi="Times New Roman"/>
                <w:spacing w:val="-2"/>
                <w:sz w:val="21"/>
                <w:szCs w:val="21"/>
                <w:lang w:eastAsia="zh-CN"/>
              </w:rPr>
              <w:t xml:space="preserve"> </w:t>
            </w:r>
            <w:r>
              <w:rPr>
                <w:rFonts w:ascii="Times New Roman" w:hAnsi="Times New Roman"/>
                <w:spacing w:val="-2"/>
                <w:sz w:val="21"/>
                <w:szCs w:val="21"/>
                <w:lang w:eastAsia="zh-CN"/>
              </w:rPr>
              <w:t>螯合萃取法</w:t>
            </w:r>
          </w:p>
          <w:p w14:paraId="1B292258"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pacing w:val="-2"/>
                <w:sz w:val="21"/>
                <w:szCs w:val="21"/>
              </w:rPr>
              <w:t>GB 7475-1987</w:t>
            </w:r>
          </w:p>
        </w:tc>
        <w:tc>
          <w:tcPr>
            <w:tcW w:w="2936" w:type="dxa"/>
            <w:vAlign w:val="center"/>
          </w:tcPr>
          <w:p w14:paraId="14174D2F"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0.003mg/L</w:t>
            </w:r>
          </w:p>
        </w:tc>
      </w:tr>
      <w:tr w:rsidR="00D12939" w14:paraId="3F4448D1" w14:textId="77777777">
        <w:trPr>
          <w:cantSplit/>
          <w:trHeight w:val="297"/>
        </w:trPr>
        <w:tc>
          <w:tcPr>
            <w:tcW w:w="660" w:type="dxa"/>
            <w:vAlign w:val="center"/>
          </w:tcPr>
          <w:p w14:paraId="4C41D26C"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12</w:t>
            </w:r>
          </w:p>
        </w:tc>
        <w:tc>
          <w:tcPr>
            <w:tcW w:w="1963" w:type="dxa"/>
            <w:vAlign w:val="center"/>
          </w:tcPr>
          <w:p w14:paraId="14324969"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镉</w:t>
            </w:r>
          </w:p>
        </w:tc>
        <w:tc>
          <w:tcPr>
            <w:tcW w:w="4217" w:type="dxa"/>
            <w:vMerge/>
            <w:vAlign w:val="center"/>
          </w:tcPr>
          <w:p w14:paraId="68370241" w14:textId="77777777" w:rsidR="00D12939" w:rsidRDefault="00D12939">
            <w:pPr>
              <w:adjustRightInd w:val="0"/>
              <w:jc w:val="center"/>
              <w:rPr>
                <w:rFonts w:ascii="Times New Roman" w:eastAsia="宋体" w:hAnsi="Times New Roman" w:cs="Times New Roman"/>
                <w:szCs w:val="21"/>
              </w:rPr>
            </w:pPr>
          </w:p>
        </w:tc>
        <w:tc>
          <w:tcPr>
            <w:tcW w:w="2936" w:type="dxa"/>
            <w:vAlign w:val="center"/>
          </w:tcPr>
          <w:p w14:paraId="215E71E6"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0.0003mg/L</w:t>
            </w:r>
          </w:p>
        </w:tc>
      </w:tr>
      <w:tr w:rsidR="00D12939" w14:paraId="118A8CEA" w14:textId="77777777">
        <w:trPr>
          <w:cantSplit/>
          <w:trHeight w:val="608"/>
        </w:trPr>
        <w:tc>
          <w:tcPr>
            <w:tcW w:w="660" w:type="dxa"/>
            <w:vAlign w:val="center"/>
          </w:tcPr>
          <w:p w14:paraId="39AA3F9C"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13</w:t>
            </w:r>
          </w:p>
        </w:tc>
        <w:tc>
          <w:tcPr>
            <w:tcW w:w="1963" w:type="dxa"/>
            <w:vAlign w:val="center"/>
          </w:tcPr>
          <w:p w14:paraId="53571AAA" w14:textId="77777777" w:rsidR="00D12939" w:rsidRDefault="00D12939">
            <w:pPr>
              <w:pStyle w:val="TableParagraph"/>
              <w:adjustRightInd w:val="0"/>
              <w:ind w:firstLineChars="0" w:firstLine="0"/>
              <w:jc w:val="center"/>
              <w:rPr>
                <w:rFonts w:ascii="Times New Roman" w:hAnsi="Times New Roman"/>
                <w:sz w:val="21"/>
                <w:szCs w:val="21"/>
              </w:rPr>
            </w:pPr>
          </w:p>
          <w:p w14:paraId="4FA6C12D"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砷</w:t>
            </w:r>
          </w:p>
        </w:tc>
        <w:tc>
          <w:tcPr>
            <w:tcW w:w="4217" w:type="dxa"/>
            <w:vAlign w:val="center"/>
          </w:tcPr>
          <w:p w14:paraId="4B4DB7E2" w14:textId="77777777" w:rsidR="00D12939" w:rsidRDefault="004F47F5">
            <w:pPr>
              <w:pStyle w:val="TableParagraph"/>
              <w:adjustRightInd w:val="0"/>
              <w:ind w:firstLineChars="0" w:firstLine="0"/>
              <w:jc w:val="center"/>
              <w:rPr>
                <w:rFonts w:ascii="Times New Roman" w:hAnsi="Times New Roman"/>
                <w:kern w:val="2"/>
                <w:sz w:val="21"/>
                <w:szCs w:val="21"/>
                <w:lang w:eastAsia="zh-CN"/>
              </w:rPr>
            </w:pPr>
            <w:r>
              <w:rPr>
                <w:rFonts w:ascii="Times New Roman" w:hAnsi="Times New Roman"/>
                <w:spacing w:val="-2"/>
                <w:sz w:val="21"/>
                <w:szCs w:val="21"/>
                <w:lang w:eastAsia="zh-CN"/>
              </w:rPr>
              <w:t>水质</w:t>
            </w:r>
            <w:r>
              <w:rPr>
                <w:rFonts w:ascii="Times New Roman" w:hAnsi="Times New Roman"/>
                <w:spacing w:val="-2"/>
                <w:sz w:val="21"/>
                <w:szCs w:val="21"/>
                <w:lang w:eastAsia="zh-CN"/>
              </w:rPr>
              <w:t xml:space="preserve"> </w:t>
            </w:r>
            <w:r>
              <w:rPr>
                <w:rFonts w:ascii="Times New Roman" w:hAnsi="Times New Roman"/>
                <w:spacing w:val="-2"/>
                <w:sz w:val="21"/>
                <w:szCs w:val="21"/>
                <w:lang w:eastAsia="zh-CN"/>
              </w:rPr>
              <w:t>汞、砷、硒、铋和锑的测定</w:t>
            </w:r>
            <w:r>
              <w:rPr>
                <w:rFonts w:ascii="Times New Roman" w:hAnsi="Times New Roman"/>
                <w:sz w:val="21"/>
                <w:szCs w:val="21"/>
                <w:lang w:eastAsia="zh-CN"/>
              </w:rPr>
              <w:t>原子荧光法</w:t>
            </w:r>
            <w:r>
              <w:rPr>
                <w:rFonts w:ascii="Times New Roman" w:hAnsi="Times New Roman"/>
                <w:sz w:val="21"/>
                <w:szCs w:val="21"/>
                <w:lang w:eastAsia="zh-CN"/>
              </w:rPr>
              <w:t xml:space="preserve"> HJ</w:t>
            </w:r>
            <w:r>
              <w:rPr>
                <w:rFonts w:ascii="Times New Roman" w:hAnsi="Times New Roman"/>
                <w:spacing w:val="-5"/>
                <w:sz w:val="21"/>
                <w:szCs w:val="21"/>
                <w:lang w:eastAsia="zh-CN"/>
              </w:rPr>
              <w:t xml:space="preserve"> </w:t>
            </w:r>
            <w:r>
              <w:rPr>
                <w:rFonts w:ascii="Times New Roman" w:hAnsi="Times New Roman"/>
                <w:sz w:val="21"/>
                <w:szCs w:val="21"/>
                <w:lang w:eastAsia="zh-CN"/>
              </w:rPr>
              <w:t>694-2014</w:t>
            </w:r>
          </w:p>
        </w:tc>
        <w:tc>
          <w:tcPr>
            <w:tcW w:w="2936" w:type="dxa"/>
            <w:vAlign w:val="center"/>
          </w:tcPr>
          <w:p w14:paraId="7F943F73" w14:textId="77777777" w:rsidR="00D12939" w:rsidRDefault="00D12939">
            <w:pPr>
              <w:pStyle w:val="TableParagraph"/>
              <w:adjustRightInd w:val="0"/>
              <w:ind w:firstLineChars="0" w:firstLine="0"/>
              <w:jc w:val="center"/>
              <w:rPr>
                <w:rFonts w:ascii="Times New Roman" w:hAnsi="Times New Roman"/>
                <w:sz w:val="21"/>
                <w:szCs w:val="21"/>
                <w:lang w:eastAsia="zh-CN"/>
              </w:rPr>
            </w:pPr>
          </w:p>
          <w:p w14:paraId="7553239F"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0.0003mg/L</w:t>
            </w:r>
          </w:p>
        </w:tc>
      </w:tr>
      <w:tr w:rsidR="00D12939" w14:paraId="6ED38170" w14:textId="77777777">
        <w:trPr>
          <w:cantSplit/>
          <w:trHeight w:val="905"/>
        </w:trPr>
        <w:tc>
          <w:tcPr>
            <w:tcW w:w="660" w:type="dxa"/>
            <w:vAlign w:val="center"/>
          </w:tcPr>
          <w:p w14:paraId="0B4CB41E"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14</w:t>
            </w:r>
          </w:p>
        </w:tc>
        <w:tc>
          <w:tcPr>
            <w:tcW w:w="1963" w:type="dxa"/>
            <w:vAlign w:val="center"/>
          </w:tcPr>
          <w:p w14:paraId="18A6A4D7" w14:textId="77777777" w:rsidR="00D12939" w:rsidRDefault="00D12939">
            <w:pPr>
              <w:pStyle w:val="TableParagraph"/>
              <w:adjustRightInd w:val="0"/>
              <w:ind w:firstLineChars="0" w:firstLine="0"/>
              <w:jc w:val="center"/>
              <w:rPr>
                <w:rFonts w:ascii="Times New Roman" w:hAnsi="Times New Roman"/>
                <w:sz w:val="21"/>
                <w:szCs w:val="21"/>
              </w:rPr>
            </w:pPr>
          </w:p>
          <w:p w14:paraId="4C0E7996"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总铬</w:t>
            </w:r>
          </w:p>
        </w:tc>
        <w:tc>
          <w:tcPr>
            <w:tcW w:w="4217" w:type="dxa"/>
            <w:vAlign w:val="center"/>
          </w:tcPr>
          <w:p w14:paraId="625B5325"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总铬的测定</w:t>
            </w:r>
            <w:r>
              <w:rPr>
                <w:rFonts w:ascii="Times New Roman" w:hAnsi="Times New Roman"/>
                <w:sz w:val="21"/>
                <w:szCs w:val="21"/>
                <w:lang w:eastAsia="zh-CN"/>
              </w:rPr>
              <w:t xml:space="preserve"> </w:t>
            </w:r>
            <w:r>
              <w:rPr>
                <w:rFonts w:ascii="Times New Roman" w:hAnsi="Times New Roman"/>
                <w:sz w:val="21"/>
                <w:szCs w:val="21"/>
                <w:lang w:eastAsia="zh-CN"/>
              </w:rPr>
              <w:t>第一篇</w:t>
            </w:r>
          </w:p>
          <w:p w14:paraId="6491A29B"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高锰酸钾氧化</w:t>
            </w:r>
            <w:r>
              <w:rPr>
                <w:rFonts w:ascii="Times New Roman" w:hAnsi="Times New Roman"/>
                <w:sz w:val="21"/>
                <w:szCs w:val="21"/>
                <w:lang w:eastAsia="zh-CN"/>
              </w:rPr>
              <w:t>-</w:t>
            </w:r>
            <w:r>
              <w:rPr>
                <w:rFonts w:ascii="Times New Roman" w:hAnsi="Times New Roman"/>
                <w:sz w:val="21"/>
                <w:szCs w:val="21"/>
                <w:lang w:eastAsia="zh-CN"/>
              </w:rPr>
              <w:t>二苯碳酰二肼分光</w:t>
            </w:r>
          </w:p>
          <w:p w14:paraId="4218114A"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光度法</w:t>
            </w:r>
            <w:r>
              <w:rPr>
                <w:rFonts w:ascii="Times New Roman" w:hAnsi="Times New Roman"/>
                <w:sz w:val="21"/>
                <w:szCs w:val="21"/>
              </w:rPr>
              <w:t xml:space="preserve"> GB 7466-1987</w:t>
            </w:r>
          </w:p>
        </w:tc>
        <w:tc>
          <w:tcPr>
            <w:tcW w:w="2936" w:type="dxa"/>
            <w:vAlign w:val="center"/>
          </w:tcPr>
          <w:p w14:paraId="305C1CD3" w14:textId="77777777" w:rsidR="00D12939" w:rsidRDefault="00D12939">
            <w:pPr>
              <w:pStyle w:val="TableParagraph"/>
              <w:adjustRightInd w:val="0"/>
              <w:ind w:firstLineChars="0" w:firstLine="0"/>
              <w:jc w:val="center"/>
              <w:rPr>
                <w:rFonts w:ascii="Times New Roman" w:hAnsi="Times New Roman"/>
                <w:sz w:val="21"/>
                <w:szCs w:val="21"/>
              </w:rPr>
            </w:pPr>
          </w:p>
          <w:p w14:paraId="58CA956E"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0.004mg/L</w:t>
            </w:r>
          </w:p>
        </w:tc>
      </w:tr>
      <w:tr w:rsidR="00D12939" w14:paraId="3111EAA5" w14:textId="77777777">
        <w:trPr>
          <w:cantSplit/>
          <w:trHeight w:val="905"/>
        </w:trPr>
        <w:tc>
          <w:tcPr>
            <w:tcW w:w="660" w:type="dxa"/>
            <w:vAlign w:val="center"/>
          </w:tcPr>
          <w:p w14:paraId="431995C8"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15</w:t>
            </w:r>
          </w:p>
        </w:tc>
        <w:tc>
          <w:tcPr>
            <w:tcW w:w="1963" w:type="dxa"/>
            <w:vAlign w:val="center"/>
          </w:tcPr>
          <w:p w14:paraId="4793E94E" w14:textId="77777777" w:rsidR="00D12939" w:rsidRDefault="00D12939">
            <w:pPr>
              <w:pStyle w:val="TableParagraph"/>
              <w:adjustRightInd w:val="0"/>
              <w:ind w:firstLineChars="0" w:firstLine="0"/>
              <w:jc w:val="center"/>
              <w:rPr>
                <w:rFonts w:ascii="Times New Roman" w:hAnsi="Times New Roman"/>
                <w:sz w:val="21"/>
                <w:szCs w:val="21"/>
              </w:rPr>
            </w:pPr>
          </w:p>
          <w:p w14:paraId="106A3266"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六价铬</w:t>
            </w:r>
          </w:p>
        </w:tc>
        <w:tc>
          <w:tcPr>
            <w:tcW w:w="4217" w:type="dxa"/>
            <w:vAlign w:val="center"/>
          </w:tcPr>
          <w:p w14:paraId="551C3D75"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六价铬的测定二苯碳酰二肼分光光度法</w:t>
            </w:r>
          </w:p>
          <w:p w14:paraId="376E9981"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GB 7467-1987</w:t>
            </w:r>
          </w:p>
        </w:tc>
        <w:tc>
          <w:tcPr>
            <w:tcW w:w="2936" w:type="dxa"/>
            <w:vAlign w:val="center"/>
          </w:tcPr>
          <w:p w14:paraId="2903C833" w14:textId="77777777" w:rsidR="00D12939" w:rsidRDefault="00D12939">
            <w:pPr>
              <w:pStyle w:val="TableParagraph"/>
              <w:adjustRightInd w:val="0"/>
              <w:ind w:firstLineChars="0" w:firstLine="0"/>
              <w:jc w:val="center"/>
              <w:rPr>
                <w:rFonts w:ascii="Times New Roman" w:hAnsi="Times New Roman"/>
                <w:sz w:val="21"/>
                <w:szCs w:val="21"/>
              </w:rPr>
            </w:pPr>
          </w:p>
          <w:p w14:paraId="11241A4E"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0.004mg/L</w:t>
            </w:r>
          </w:p>
        </w:tc>
      </w:tr>
      <w:tr w:rsidR="00D12939" w14:paraId="076D0726" w14:textId="77777777">
        <w:trPr>
          <w:cantSplit/>
          <w:trHeight w:val="905"/>
        </w:trPr>
        <w:tc>
          <w:tcPr>
            <w:tcW w:w="660" w:type="dxa"/>
            <w:vAlign w:val="center"/>
          </w:tcPr>
          <w:p w14:paraId="17637A49"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16</w:t>
            </w:r>
          </w:p>
        </w:tc>
        <w:tc>
          <w:tcPr>
            <w:tcW w:w="1963" w:type="dxa"/>
            <w:vAlign w:val="center"/>
          </w:tcPr>
          <w:p w14:paraId="5E56FACA" w14:textId="77777777" w:rsidR="00D12939" w:rsidRDefault="00D12939">
            <w:pPr>
              <w:pStyle w:val="TableParagraph"/>
              <w:adjustRightInd w:val="0"/>
              <w:ind w:firstLineChars="0" w:firstLine="0"/>
              <w:jc w:val="center"/>
              <w:rPr>
                <w:rFonts w:ascii="Times New Roman" w:hAnsi="Times New Roman"/>
                <w:sz w:val="21"/>
                <w:szCs w:val="21"/>
              </w:rPr>
            </w:pPr>
          </w:p>
          <w:p w14:paraId="49E00108"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流量</w:t>
            </w:r>
          </w:p>
        </w:tc>
        <w:tc>
          <w:tcPr>
            <w:tcW w:w="4217" w:type="dxa"/>
            <w:vAlign w:val="center"/>
          </w:tcPr>
          <w:p w14:paraId="31946E18"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水污染物排放总量监测技术规范</w:t>
            </w:r>
          </w:p>
          <w:p w14:paraId="26504E8F" w14:textId="77777777" w:rsidR="00D12939" w:rsidRDefault="004F47F5">
            <w:pPr>
              <w:pStyle w:val="TableParagraph"/>
              <w:adjustRightInd w:val="0"/>
              <w:ind w:firstLineChars="0" w:firstLine="0"/>
              <w:jc w:val="center"/>
              <w:rPr>
                <w:rFonts w:ascii="Times New Roman" w:hAnsi="Times New Roman"/>
                <w:sz w:val="21"/>
                <w:szCs w:val="21"/>
              </w:rPr>
            </w:pPr>
            <w:r>
              <w:rPr>
                <w:rFonts w:ascii="Times New Roman" w:hAnsi="Times New Roman"/>
                <w:sz w:val="21"/>
                <w:szCs w:val="21"/>
              </w:rPr>
              <w:t>（流速仪法）</w:t>
            </w:r>
          </w:p>
          <w:p w14:paraId="71E2947F"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HJ/T</w:t>
            </w:r>
            <w:r>
              <w:rPr>
                <w:rFonts w:ascii="Times New Roman" w:hAnsi="Times New Roman"/>
                <w:spacing w:val="-7"/>
                <w:sz w:val="21"/>
                <w:szCs w:val="21"/>
              </w:rPr>
              <w:t xml:space="preserve"> </w:t>
            </w:r>
            <w:r>
              <w:rPr>
                <w:rFonts w:ascii="Times New Roman" w:hAnsi="Times New Roman"/>
                <w:sz w:val="21"/>
                <w:szCs w:val="21"/>
              </w:rPr>
              <w:t>92-2002</w:t>
            </w:r>
          </w:p>
        </w:tc>
        <w:tc>
          <w:tcPr>
            <w:tcW w:w="2936" w:type="dxa"/>
            <w:vAlign w:val="center"/>
          </w:tcPr>
          <w:p w14:paraId="1C67B018" w14:textId="77777777" w:rsidR="00D12939" w:rsidRDefault="00D12939">
            <w:pPr>
              <w:pStyle w:val="TableParagraph"/>
              <w:adjustRightInd w:val="0"/>
              <w:ind w:firstLineChars="0" w:firstLine="0"/>
              <w:jc w:val="center"/>
              <w:rPr>
                <w:rFonts w:ascii="Times New Roman" w:hAnsi="Times New Roman"/>
                <w:sz w:val="21"/>
                <w:szCs w:val="21"/>
              </w:rPr>
            </w:pPr>
          </w:p>
          <w:p w14:paraId="50DB482F"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w:t>
            </w:r>
          </w:p>
        </w:tc>
      </w:tr>
      <w:tr w:rsidR="00D12939" w14:paraId="1BEE3528" w14:textId="77777777">
        <w:trPr>
          <w:cantSplit/>
          <w:trHeight w:val="594"/>
        </w:trPr>
        <w:tc>
          <w:tcPr>
            <w:tcW w:w="660" w:type="dxa"/>
            <w:vAlign w:val="center"/>
          </w:tcPr>
          <w:p w14:paraId="7CB7E8A2" w14:textId="77777777" w:rsidR="00D12939" w:rsidRDefault="004F47F5">
            <w:pPr>
              <w:adjustRightInd w:val="0"/>
              <w:jc w:val="center"/>
              <w:rPr>
                <w:rFonts w:ascii="Times New Roman" w:eastAsia="宋体" w:hAnsi="Times New Roman" w:cs="Times New Roman"/>
                <w:szCs w:val="21"/>
              </w:rPr>
            </w:pPr>
            <w:r>
              <w:rPr>
                <w:rFonts w:ascii="Times New Roman" w:eastAsia="宋体" w:hAnsi="Times New Roman" w:cs="Times New Roman"/>
                <w:szCs w:val="21"/>
              </w:rPr>
              <w:t>17</w:t>
            </w:r>
          </w:p>
        </w:tc>
        <w:tc>
          <w:tcPr>
            <w:tcW w:w="1963" w:type="dxa"/>
            <w:vAlign w:val="center"/>
          </w:tcPr>
          <w:p w14:paraId="36649905" w14:textId="77777777" w:rsidR="00D12939" w:rsidRDefault="00D12939">
            <w:pPr>
              <w:pStyle w:val="TableParagraph"/>
              <w:adjustRightInd w:val="0"/>
              <w:ind w:firstLineChars="0" w:firstLine="0"/>
              <w:jc w:val="center"/>
              <w:rPr>
                <w:rFonts w:ascii="Times New Roman" w:hAnsi="Times New Roman"/>
                <w:sz w:val="21"/>
                <w:szCs w:val="21"/>
              </w:rPr>
            </w:pPr>
          </w:p>
          <w:p w14:paraId="4C4F2C8F"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色度</w:t>
            </w:r>
          </w:p>
        </w:tc>
        <w:tc>
          <w:tcPr>
            <w:tcW w:w="4217" w:type="dxa"/>
            <w:vAlign w:val="center"/>
          </w:tcPr>
          <w:p w14:paraId="146D3854" w14:textId="77777777" w:rsidR="00D12939" w:rsidRDefault="004F47F5">
            <w:pPr>
              <w:pStyle w:val="TableParagraph"/>
              <w:adjustRightInd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色度的测定</w:t>
            </w:r>
            <w:r>
              <w:rPr>
                <w:rFonts w:ascii="Times New Roman" w:hAnsi="Times New Roman"/>
                <w:sz w:val="21"/>
                <w:szCs w:val="21"/>
                <w:lang w:eastAsia="zh-CN"/>
              </w:rPr>
              <w:t xml:space="preserve"> </w:t>
            </w:r>
            <w:r>
              <w:rPr>
                <w:rFonts w:ascii="Times New Roman" w:hAnsi="Times New Roman"/>
                <w:sz w:val="21"/>
                <w:szCs w:val="21"/>
                <w:lang w:eastAsia="zh-CN"/>
              </w:rPr>
              <w:t>铂钴比色法</w:t>
            </w:r>
          </w:p>
          <w:p w14:paraId="3D16A1D8"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GB 11903- 1989</w:t>
            </w:r>
          </w:p>
        </w:tc>
        <w:tc>
          <w:tcPr>
            <w:tcW w:w="2936" w:type="dxa"/>
            <w:vAlign w:val="center"/>
          </w:tcPr>
          <w:p w14:paraId="284B9F35" w14:textId="77777777" w:rsidR="00D12939" w:rsidRDefault="00D12939">
            <w:pPr>
              <w:pStyle w:val="TableParagraph"/>
              <w:adjustRightInd w:val="0"/>
              <w:ind w:firstLineChars="0" w:firstLine="0"/>
              <w:jc w:val="center"/>
              <w:rPr>
                <w:rFonts w:ascii="Times New Roman" w:hAnsi="Times New Roman"/>
                <w:sz w:val="21"/>
                <w:szCs w:val="21"/>
              </w:rPr>
            </w:pPr>
          </w:p>
          <w:p w14:paraId="78276F85" w14:textId="77777777" w:rsidR="00D12939" w:rsidRDefault="004F47F5">
            <w:pPr>
              <w:pStyle w:val="TableParagraph"/>
              <w:adjustRightInd w:val="0"/>
              <w:ind w:firstLineChars="0" w:firstLine="0"/>
              <w:jc w:val="center"/>
              <w:rPr>
                <w:rFonts w:ascii="Times New Roman" w:hAnsi="Times New Roman"/>
                <w:kern w:val="2"/>
                <w:sz w:val="21"/>
                <w:szCs w:val="21"/>
              </w:rPr>
            </w:pPr>
            <w:r>
              <w:rPr>
                <w:rFonts w:ascii="Times New Roman" w:hAnsi="Times New Roman"/>
                <w:sz w:val="21"/>
                <w:szCs w:val="21"/>
              </w:rPr>
              <w:t>/</w:t>
            </w:r>
          </w:p>
        </w:tc>
      </w:tr>
    </w:tbl>
    <w:p w14:paraId="1C7A127B"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4</w:t>
      </w:r>
      <w:r>
        <w:rPr>
          <w:rFonts w:ascii="Times New Roman" w:eastAsia="宋体" w:hAnsi="Times New Roman" w:cs="Times New Roman"/>
          <w:sz w:val="24"/>
          <w:szCs w:val="24"/>
        </w:rPr>
        <w:t>）监测结果汇总及评价</w:t>
      </w:r>
    </w:p>
    <w:p w14:paraId="1223AF16" w14:textId="77777777" w:rsidR="00D12939" w:rsidRDefault="004F47F5">
      <w:pPr>
        <w:widowControl/>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地表水监测结果统计情况详见表</w:t>
      </w:r>
      <w:r>
        <w:rPr>
          <w:rFonts w:ascii="Times New Roman" w:eastAsia="宋体" w:hAnsi="Times New Roman" w:cs="Times New Roman" w:hint="eastAsia"/>
          <w:sz w:val="24"/>
          <w:szCs w:val="24"/>
        </w:rPr>
        <w:t>5</w:t>
      </w:r>
      <w:r>
        <w:rPr>
          <w:rFonts w:ascii="Times New Roman" w:eastAsia="宋体" w:hAnsi="Times New Roman" w:cs="Times New Roman"/>
          <w:sz w:val="24"/>
          <w:szCs w:val="24"/>
        </w:rPr>
        <w:t>.2-7</w:t>
      </w:r>
      <w:r>
        <w:rPr>
          <w:rFonts w:ascii="Times New Roman" w:eastAsia="宋体" w:hAnsi="Times New Roman" w:cs="Times New Roman"/>
          <w:sz w:val="24"/>
          <w:szCs w:val="24"/>
        </w:rPr>
        <w:t>。</w:t>
      </w:r>
    </w:p>
    <w:p w14:paraId="7E008D85" w14:textId="77777777" w:rsidR="00D12939" w:rsidRDefault="004F47F5">
      <w:pPr>
        <w:spacing w:line="360" w:lineRule="auto"/>
        <w:ind w:firstLineChars="200" w:firstLine="480"/>
        <w:jc w:val="right"/>
        <w:rPr>
          <w:rFonts w:ascii="黑体" w:eastAsia="黑体" w:hAnsi="黑体"/>
          <w:sz w:val="24"/>
        </w:rPr>
      </w:pPr>
      <w:r>
        <w:rPr>
          <w:rFonts w:ascii="黑体" w:eastAsia="黑体" w:hAnsi="黑体"/>
          <w:sz w:val="24"/>
        </w:rPr>
        <w:t>表</w:t>
      </w:r>
      <w:r>
        <w:rPr>
          <w:rFonts w:ascii="黑体" w:eastAsia="黑体" w:hAnsi="黑体" w:hint="eastAsia"/>
          <w:sz w:val="24"/>
        </w:rPr>
        <w:t>5</w:t>
      </w:r>
      <w:r>
        <w:rPr>
          <w:rFonts w:ascii="黑体" w:eastAsia="黑体" w:hAnsi="黑体"/>
          <w:sz w:val="24"/>
        </w:rPr>
        <w:t>.2-7  地表水现状监测结果        单位：mg/L（pH除外）</w:t>
      </w:r>
    </w:p>
    <w:tbl>
      <w:tblPr>
        <w:tblW w:w="10365"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991"/>
        <w:gridCol w:w="116"/>
        <w:gridCol w:w="880"/>
        <w:gridCol w:w="1129"/>
        <w:gridCol w:w="2166"/>
        <w:gridCol w:w="535"/>
        <w:gridCol w:w="65"/>
        <w:gridCol w:w="1041"/>
        <w:gridCol w:w="87"/>
        <w:gridCol w:w="17"/>
        <w:gridCol w:w="1927"/>
        <w:gridCol w:w="1411"/>
      </w:tblGrid>
      <w:tr w:rsidR="002A4A5F" w14:paraId="69587508" w14:textId="77777777" w:rsidTr="002A4A5F">
        <w:trPr>
          <w:jc w:val="center"/>
        </w:trPr>
        <w:tc>
          <w:tcPr>
            <w:tcW w:w="1107" w:type="dxa"/>
            <w:gridSpan w:val="2"/>
            <w:tcBorders>
              <w:bottom w:val="single" w:sz="4" w:space="0" w:color="000000"/>
              <w:right w:val="single" w:sz="4" w:space="0" w:color="000000"/>
            </w:tcBorders>
            <w:vAlign w:val="center"/>
          </w:tcPr>
          <w:p w14:paraId="177AFED8"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bookmarkStart w:id="423" w:name="_Toc8528"/>
            <w:r>
              <w:rPr>
                <w:rFonts w:ascii="Times New Roman" w:eastAsia="宋体" w:hAnsi="Times New Roman" w:cs="Times New Roman"/>
                <w:b/>
                <w:color w:val="FF0000"/>
                <w:szCs w:val="21"/>
                <w:lang w:eastAsia="en-US" w:bidi="en-US"/>
              </w:rPr>
              <w:t>监测点位</w:t>
            </w:r>
          </w:p>
        </w:tc>
        <w:tc>
          <w:tcPr>
            <w:tcW w:w="4775" w:type="dxa"/>
            <w:gridSpan w:val="5"/>
            <w:tcBorders>
              <w:left w:val="single" w:sz="4" w:space="0" w:color="000000"/>
              <w:bottom w:val="single" w:sz="4" w:space="0" w:color="000000"/>
              <w:right w:val="single" w:sz="4" w:space="0" w:color="000000"/>
            </w:tcBorders>
            <w:vAlign w:val="center"/>
          </w:tcPr>
          <w:p w14:paraId="648F54A5"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color w:val="FF0000"/>
                <w:szCs w:val="21"/>
                <w:lang w:bidi="en-US"/>
              </w:rPr>
              <w:t>1#</w:t>
            </w:r>
            <w:r>
              <w:rPr>
                <w:rFonts w:ascii="Times New Roman" w:eastAsia="宋体" w:hAnsi="Times New Roman" w:cs="Times New Roman"/>
                <w:color w:val="FF0000"/>
                <w:szCs w:val="21"/>
                <w:lang w:bidi="en-US"/>
              </w:rPr>
              <w:t>断面小六里沟与峡沟磨河交汇处上游</w:t>
            </w:r>
            <w:r>
              <w:rPr>
                <w:rFonts w:ascii="Times New Roman" w:eastAsia="宋体" w:hAnsi="Times New Roman" w:cs="Times New Roman"/>
                <w:color w:val="FF0000"/>
                <w:szCs w:val="21"/>
                <w:lang w:bidi="en-US"/>
              </w:rPr>
              <w:t xml:space="preserve"> 500m </w:t>
            </w:r>
            <w:r>
              <w:rPr>
                <w:rFonts w:ascii="Times New Roman" w:eastAsia="宋体" w:hAnsi="Times New Roman" w:cs="Times New Roman"/>
                <w:color w:val="FF0000"/>
                <w:szCs w:val="21"/>
                <w:lang w:bidi="en-US"/>
              </w:rPr>
              <w:t>处</w:t>
            </w:r>
          </w:p>
        </w:tc>
        <w:tc>
          <w:tcPr>
            <w:tcW w:w="1145" w:type="dxa"/>
            <w:gridSpan w:val="3"/>
            <w:tcBorders>
              <w:left w:val="single" w:sz="4" w:space="0" w:color="000000"/>
              <w:bottom w:val="single" w:sz="4" w:space="0" w:color="000000"/>
              <w:right w:val="single" w:sz="4" w:space="0" w:color="000000"/>
            </w:tcBorders>
            <w:vAlign w:val="center"/>
          </w:tcPr>
          <w:p w14:paraId="69AF3646"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r>
              <w:rPr>
                <w:rFonts w:ascii="Times New Roman" w:eastAsia="宋体" w:hAnsi="Times New Roman" w:cs="Times New Roman"/>
                <w:b/>
                <w:color w:val="FF0000"/>
                <w:szCs w:val="21"/>
                <w:lang w:eastAsia="en-US" w:bidi="en-US"/>
              </w:rPr>
              <w:t>样品描述</w:t>
            </w:r>
          </w:p>
        </w:tc>
        <w:tc>
          <w:tcPr>
            <w:tcW w:w="1927" w:type="dxa"/>
            <w:tcBorders>
              <w:left w:val="single" w:sz="4" w:space="0" w:color="000000"/>
              <w:bottom w:val="single" w:sz="4" w:space="0" w:color="000000"/>
            </w:tcBorders>
            <w:vAlign w:val="center"/>
          </w:tcPr>
          <w:p w14:paraId="01C210B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无色、无味、清澈</w:t>
            </w:r>
          </w:p>
        </w:tc>
        <w:tc>
          <w:tcPr>
            <w:tcW w:w="1411" w:type="dxa"/>
            <w:vMerge w:val="restart"/>
            <w:tcBorders>
              <w:left w:val="single" w:sz="4" w:space="0" w:color="000000"/>
            </w:tcBorders>
            <w:vAlign w:val="center"/>
          </w:tcPr>
          <w:p w14:paraId="0D073A69"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标准值</w:t>
            </w:r>
          </w:p>
        </w:tc>
      </w:tr>
      <w:tr w:rsidR="002A4A5F" w14:paraId="7BFC2A6B" w14:textId="77777777" w:rsidTr="002A4A5F">
        <w:trPr>
          <w:jc w:val="center"/>
        </w:trPr>
        <w:tc>
          <w:tcPr>
            <w:tcW w:w="1987" w:type="dxa"/>
            <w:gridSpan w:val="3"/>
            <w:vMerge w:val="restart"/>
            <w:tcBorders>
              <w:top w:val="single" w:sz="4" w:space="0" w:color="000000"/>
              <w:bottom w:val="single" w:sz="4" w:space="0" w:color="000000"/>
              <w:right w:val="single" w:sz="4" w:space="0" w:color="000000"/>
            </w:tcBorders>
            <w:vAlign w:val="center"/>
          </w:tcPr>
          <w:p w14:paraId="018EAF28"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r>
              <w:rPr>
                <w:rFonts w:ascii="Times New Roman" w:eastAsia="宋体" w:hAnsi="Times New Roman" w:cs="Times New Roman"/>
                <w:b/>
                <w:color w:val="FF0000"/>
                <w:szCs w:val="21"/>
                <w:lang w:eastAsia="en-US" w:bidi="en-US"/>
              </w:rPr>
              <w:t>分析项目</w:t>
            </w:r>
          </w:p>
        </w:tc>
        <w:tc>
          <w:tcPr>
            <w:tcW w:w="1129" w:type="dxa"/>
            <w:vMerge w:val="restart"/>
            <w:tcBorders>
              <w:top w:val="single" w:sz="4" w:space="0" w:color="000000"/>
              <w:left w:val="single" w:sz="4" w:space="0" w:color="000000"/>
              <w:bottom w:val="single" w:sz="4" w:space="0" w:color="000000"/>
              <w:right w:val="single" w:sz="4" w:space="0" w:color="000000"/>
            </w:tcBorders>
            <w:vAlign w:val="center"/>
          </w:tcPr>
          <w:p w14:paraId="59E2545E"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r>
              <w:rPr>
                <w:rFonts w:ascii="Times New Roman" w:eastAsia="宋体" w:hAnsi="Times New Roman" w:cs="Times New Roman"/>
                <w:b/>
                <w:color w:val="FF0000"/>
                <w:szCs w:val="21"/>
                <w:lang w:eastAsia="en-US" w:bidi="en-US"/>
              </w:rPr>
              <w:t>单位</w:t>
            </w:r>
          </w:p>
        </w:tc>
        <w:tc>
          <w:tcPr>
            <w:tcW w:w="5838" w:type="dxa"/>
            <w:gridSpan w:val="7"/>
            <w:tcBorders>
              <w:top w:val="single" w:sz="4" w:space="0" w:color="000000"/>
              <w:left w:val="single" w:sz="4" w:space="0" w:color="000000"/>
              <w:bottom w:val="single" w:sz="4" w:space="0" w:color="000000"/>
            </w:tcBorders>
            <w:vAlign w:val="center"/>
          </w:tcPr>
          <w:p w14:paraId="5ACB74E3"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r>
              <w:rPr>
                <w:rFonts w:ascii="Times New Roman" w:eastAsia="宋体" w:hAnsi="Times New Roman" w:cs="Times New Roman" w:hint="eastAsia"/>
                <w:b/>
                <w:color w:val="FF0000"/>
                <w:szCs w:val="21"/>
                <w:lang w:eastAsia="en-US" w:bidi="en-US"/>
              </w:rPr>
              <w:t>监测日期</w:t>
            </w:r>
          </w:p>
        </w:tc>
        <w:tc>
          <w:tcPr>
            <w:tcW w:w="1411" w:type="dxa"/>
            <w:vMerge/>
            <w:tcBorders>
              <w:left w:val="single" w:sz="4" w:space="0" w:color="000000"/>
            </w:tcBorders>
            <w:vAlign w:val="center"/>
          </w:tcPr>
          <w:p w14:paraId="4A500C7E"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p>
        </w:tc>
      </w:tr>
      <w:tr w:rsidR="002A4A5F" w14:paraId="252C5EE4" w14:textId="77777777" w:rsidTr="002A4A5F">
        <w:trPr>
          <w:jc w:val="center"/>
        </w:trPr>
        <w:tc>
          <w:tcPr>
            <w:tcW w:w="1987" w:type="dxa"/>
            <w:gridSpan w:val="3"/>
            <w:vMerge/>
            <w:tcBorders>
              <w:top w:val="nil"/>
              <w:bottom w:val="single" w:sz="4" w:space="0" w:color="000000"/>
              <w:right w:val="single" w:sz="4" w:space="0" w:color="000000"/>
            </w:tcBorders>
            <w:vAlign w:val="center"/>
          </w:tcPr>
          <w:p w14:paraId="13F43340" w14:textId="77777777" w:rsidR="002A4A5F" w:rsidRDefault="002A4A5F" w:rsidP="00747ECF">
            <w:pPr>
              <w:autoSpaceDE w:val="0"/>
              <w:autoSpaceDN w:val="0"/>
              <w:jc w:val="center"/>
              <w:rPr>
                <w:rFonts w:ascii="Times New Roman" w:eastAsia="宋体" w:hAnsi="Times New Roman" w:cs="Times New Roman"/>
                <w:color w:val="FF0000"/>
                <w:kern w:val="0"/>
                <w:szCs w:val="21"/>
                <w:lang w:eastAsia="en-US" w:bidi="en-US"/>
              </w:rPr>
            </w:pPr>
          </w:p>
        </w:tc>
        <w:tc>
          <w:tcPr>
            <w:tcW w:w="1129" w:type="dxa"/>
            <w:vMerge/>
            <w:tcBorders>
              <w:top w:val="nil"/>
              <w:left w:val="single" w:sz="4" w:space="0" w:color="000000"/>
              <w:bottom w:val="single" w:sz="4" w:space="0" w:color="000000"/>
              <w:right w:val="single" w:sz="4" w:space="0" w:color="000000"/>
            </w:tcBorders>
            <w:vAlign w:val="center"/>
          </w:tcPr>
          <w:p w14:paraId="1A5ED2C7" w14:textId="77777777" w:rsidR="002A4A5F" w:rsidRDefault="002A4A5F" w:rsidP="00747ECF">
            <w:pPr>
              <w:autoSpaceDE w:val="0"/>
              <w:autoSpaceDN w:val="0"/>
              <w:jc w:val="center"/>
              <w:rPr>
                <w:rFonts w:ascii="Times New Roman" w:eastAsia="宋体" w:hAnsi="Times New Roman" w:cs="Times New Roman"/>
                <w:color w:val="FF0000"/>
                <w:kern w:val="0"/>
                <w:szCs w:val="21"/>
                <w:lang w:eastAsia="en-US" w:bidi="en-US"/>
              </w:rPr>
            </w:pPr>
          </w:p>
        </w:tc>
        <w:tc>
          <w:tcPr>
            <w:tcW w:w="2166" w:type="dxa"/>
            <w:tcBorders>
              <w:top w:val="single" w:sz="4" w:space="0" w:color="000000"/>
              <w:left w:val="single" w:sz="4" w:space="0" w:color="000000"/>
              <w:bottom w:val="single" w:sz="4" w:space="0" w:color="000000"/>
              <w:right w:val="single" w:sz="4" w:space="0" w:color="000000"/>
            </w:tcBorders>
            <w:vAlign w:val="center"/>
          </w:tcPr>
          <w:p w14:paraId="42C8DC6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 xml:space="preserve">2022 </w:t>
            </w:r>
            <w:r>
              <w:rPr>
                <w:rFonts w:ascii="Times New Roman" w:eastAsia="宋体" w:hAnsi="Times New Roman" w:cs="Times New Roman"/>
                <w:color w:val="FF0000"/>
                <w:szCs w:val="21"/>
                <w:lang w:eastAsia="en-US" w:bidi="en-US"/>
              </w:rPr>
              <w:t>年</w:t>
            </w:r>
            <w:r>
              <w:rPr>
                <w:rFonts w:ascii="Times New Roman" w:eastAsia="宋体" w:hAnsi="Times New Roman" w:cs="Times New Roman"/>
                <w:color w:val="FF0000"/>
                <w:szCs w:val="21"/>
                <w:lang w:eastAsia="en-US" w:bidi="en-US"/>
              </w:rPr>
              <w:t xml:space="preserve"> 11 </w:t>
            </w:r>
            <w:r>
              <w:rPr>
                <w:rFonts w:ascii="Times New Roman" w:eastAsia="宋体" w:hAnsi="Times New Roman" w:cs="Times New Roman"/>
                <w:color w:val="FF0000"/>
                <w:szCs w:val="21"/>
                <w:lang w:eastAsia="en-US" w:bidi="en-US"/>
              </w:rPr>
              <w:t>月</w:t>
            </w:r>
            <w:r>
              <w:rPr>
                <w:rFonts w:ascii="Times New Roman" w:eastAsia="宋体" w:hAnsi="Times New Roman" w:cs="Times New Roman"/>
                <w:color w:val="FF0000"/>
                <w:szCs w:val="21"/>
                <w:lang w:eastAsia="en-US" w:bidi="en-US"/>
              </w:rPr>
              <w:t xml:space="preserve"> 19 </w:t>
            </w:r>
            <w:r>
              <w:rPr>
                <w:rFonts w:ascii="Times New Roman" w:eastAsia="宋体" w:hAnsi="Times New Roman" w:cs="Times New Roman"/>
                <w:color w:val="FF0000"/>
                <w:szCs w:val="21"/>
                <w:lang w:eastAsia="en-US" w:bidi="en-US"/>
              </w:rPr>
              <w:t>日</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2EBD546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 xml:space="preserve">2022 </w:t>
            </w:r>
            <w:r>
              <w:rPr>
                <w:rFonts w:ascii="Times New Roman" w:eastAsia="宋体" w:hAnsi="Times New Roman" w:cs="Times New Roman"/>
                <w:color w:val="FF0000"/>
                <w:spacing w:val="-34"/>
                <w:szCs w:val="21"/>
                <w:lang w:eastAsia="en-US" w:bidi="en-US"/>
              </w:rPr>
              <w:t>年</w:t>
            </w:r>
            <w:r>
              <w:rPr>
                <w:rFonts w:ascii="Times New Roman" w:eastAsia="宋体" w:hAnsi="Times New Roman" w:cs="Times New Roman"/>
                <w:color w:val="FF0000"/>
                <w:spacing w:val="-34"/>
                <w:szCs w:val="21"/>
                <w:lang w:eastAsia="en-US" w:bidi="en-US"/>
              </w:rPr>
              <w:t xml:space="preserve"> </w:t>
            </w:r>
            <w:r>
              <w:rPr>
                <w:rFonts w:ascii="Times New Roman" w:eastAsia="宋体" w:hAnsi="Times New Roman" w:cs="Times New Roman"/>
                <w:color w:val="FF0000"/>
                <w:spacing w:val="-5"/>
                <w:szCs w:val="21"/>
                <w:lang w:eastAsia="en-US" w:bidi="en-US"/>
              </w:rPr>
              <w:t xml:space="preserve">11 </w:t>
            </w:r>
            <w:r>
              <w:rPr>
                <w:rFonts w:ascii="Times New Roman" w:eastAsia="宋体" w:hAnsi="Times New Roman" w:cs="Times New Roman"/>
                <w:color w:val="FF0000"/>
                <w:spacing w:val="-34"/>
                <w:szCs w:val="21"/>
                <w:lang w:eastAsia="en-US" w:bidi="en-US"/>
              </w:rPr>
              <w:t>月</w:t>
            </w:r>
            <w:r>
              <w:rPr>
                <w:rFonts w:ascii="Times New Roman" w:eastAsia="宋体" w:hAnsi="Times New Roman" w:cs="Times New Roman"/>
                <w:color w:val="FF0000"/>
                <w:spacing w:val="-34"/>
                <w:szCs w:val="21"/>
                <w:lang w:eastAsia="en-US" w:bidi="en-US"/>
              </w:rPr>
              <w:t xml:space="preserve"> </w:t>
            </w:r>
            <w:r>
              <w:rPr>
                <w:rFonts w:ascii="Times New Roman" w:eastAsia="宋体" w:hAnsi="Times New Roman" w:cs="Times New Roman"/>
                <w:color w:val="FF0000"/>
                <w:szCs w:val="21"/>
                <w:lang w:eastAsia="en-US" w:bidi="en-US"/>
              </w:rPr>
              <w:t xml:space="preserve">20 </w:t>
            </w:r>
            <w:r>
              <w:rPr>
                <w:rFonts w:ascii="Times New Roman" w:eastAsia="宋体" w:hAnsi="Times New Roman" w:cs="Times New Roman"/>
                <w:color w:val="FF0000"/>
                <w:szCs w:val="21"/>
                <w:lang w:eastAsia="en-US" w:bidi="en-US"/>
              </w:rPr>
              <w:t>日</w:t>
            </w:r>
          </w:p>
        </w:tc>
        <w:tc>
          <w:tcPr>
            <w:tcW w:w="1944" w:type="dxa"/>
            <w:gridSpan w:val="2"/>
            <w:tcBorders>
              <w:top w:val="single" w:sz="4" w:space="0" w:color="000000"/>
              <w:left w:val="single" w:sz="4" w:space="0" w:color="000000"/>
              <w:bottom w:val="single" w:sz="4" w:space="0" w:color="000000"/>
            </w:tcBorders>
            <w:vAlign w:val="center"/>
          </w:tcPr>
          <w:p w14:paraId="305B071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 xml:space="preserve">2022 </w:t>
            </w:r>
            <w:r>
              <w:rPr>
                <w:rFonts w:ascii="Times New Roman" w:eastAsia="宋体" w:hAnsi="Times New Roman" w:cs="Times New Roman"/>
                <w:color w:val="FF0000"/>
                <w:szCs w:val="21"/>
                <w:lang w:eastAsia="en-US" w:bidi="en-US"/>
              </w:rPr>
              <w:t>年</w:t>
            </w:r>
            <w:r>
              <w:rPr>
                <w:rFonts w:ascii="Times New Roman" w:eastAsia="宋体" w:hAnsi="Times New Roman" w:cs="Times New Roman"/>
                <w:color w:val="FF0000"/>
                <w:szCs w:val="21"/>
                <w:lang w:eastAsia="en-US" w:bidi="en-US"/>
              </w:rPr>
              <w:t xml:space="preserve"> 11 </w:t>
            </w:r>
            <w:r>
              <w:rPr>
                <w:rFonts w:ascii="Times New Roman" w:eastAsia="宋体" w:hAnsi="Times New Roman" w:cs="Times New Roman"/>
                <w:color w:val="FF0000"/>
                <w:szCs w:val="21"/>
                <w:lang w:eastAsia="en-US" w:bidi="en-US"/>
              </w:rPr>
              <w:t>月</w:t>
            </w:r>
            <w:r>
              <w:rPr>
                <w:rFonts w:ascii="Times New Roman" w:eastAsia="宋体" w:hAnsi="Times New Roman" w:cs="Times New Roman"/>
                <w:color w:val="FF0000"/>
                <w:szCs w:val="21"/>
                <w:lang w:eastAsia="en-US" w:bidi="en-US"/>
              </w:rPr>
              <w:t xml:space="preserve"> 21 </w:t>
            </w:r>
            <w:r>
              <w:rPr>
                <w:rFonts w:ascii="Times New Roman" w:eastAsia="宋体" w:hAnsi="Times New Roman" w:cs="Times New Roman"/>
                <w:color w:val="FF0000"/>
                <w:szCs w:val="21"/>
                <w:lang w:eastAsia="en-US" w:bidi="en-US"/>
              </w:rPr>
              <w:lastRenderedPageBreak/>
              <w:t>日</w:t>
            </w:r>
          </w:p>
        </w:tc>
        <w:tc>
          <w:tcPr>
            <w:tcW w:w="1411" w:type="dxa"/>
            <w:vMerge/>
            <w:tcBorders>
              <w:left w:val="single" w:sz="4" w:space="0" w:color="000000"/>
              <w:bottom w:val="single" w:sz="4" w:space="0" w:color="000000"/>
            </w:tcBorders>
            <w:vAlign w:val="center"/>
          </w:tcPr>
          <w:p w14:paraId="2F2B24B7" w14:textId="77777777" w:rsidR="002A4A5F" w:rsidRDefault="002A4A5F" w:rsidP="00747ECF">
            <w:pPr>
              <w:autoSpaceDE w:val="0"/>
              <w:autoSpaceDN w:val="0"/>
              <w:jc w:val="center"/>
              <w:rPr>
                <w:rFonts w:ascii="Times New Roman" w:eastAsia="宋体" w:hAnsi="Times New Roman" w:cs="Times New Roman"/>
                <w:color w:val="FF0000"/>
                <w:szCs w:val="21"/>
                <w:lang w:bidi="en-US"/>
              </w:rPr>
            </w:pPr>
          </w:p>
        </w:tc>
      </w:tr>
      <w:tr w:rsidR="002A4A5F" w14:paraId="442F1871"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241259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lastRenderedPageBreak/>
              <w:t>pH</w:t>
            </w:r>
          </w:p>
        </w:tc>
        <w:tc>
          <w:tcPr>
            <w:tcW w:w="1129" w:type="dxa"/>
            <w:tcBorders>
              <w:top w:val="single" w:sz="4" w:space="0" w:color="000000"/>
              <w:left w:val="single" w:sz="4" w:space="0" w:color="000000"/>
              <w:bottom w:val="single" w:sz="4" w:space="0" w:color="000000"/>
              <w:right w:val="single" w:sz="4" w:space="0" w:color="000000"/>
            </w:tcBorders>
            <w:vAlign w:val="center"/>
          </w:tcPr>
          <w:p w14:paraId="084B3C9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无量纲</w:t>
            </w:r>
          </w:p>
        </w:tc>
        <w:tc>
          <w:tcPr>
            <w:tcW w:w="2166" w:type="dxa"/>
            <w:tcBorders>
              <w:top w:val="single" w:sz="4" w:space="0" w:color="000000"/>
              <w:left w:val="single" w:sz="4" w:space="0" w:color="000000"/>
              <w:bottom w:val="single" w:sz="4" w:space="0" w:color="000000"/>
              <w:right w:val="single" w:sz="4" w:space="0" w:color="000000"/>
            </w:tcBorders>
            <w:vAlign w:val="center"/>
          </w:tcPr>
          <w:p w14:paraId="49602B9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6.8</w:t>
            </w:r>
            <w:r>
              <w:rPr>
                <w:rFonts w:ascii="Times New Roman" w:eastAsia="宋体" w:hAnsi="Times New Roman" w:cs="Times New Roman"/>
                <w:color w:val="FF0000"/>
                <w:szCs w:val="21"/>
                <w:lang w:eastAsia="en-US" w:bidi="en-US"/>
              </w:rPr>
              <w:t>（</w:t>
            </w:r>
            <w:r>
              <w:rPr>
                <w:rFonts w:ascii="Times New Roman" w:eastAsia="宋体" w:hAnsi="Times New Roman" w:cs="Times New Roman"/>
                <w:color w:val="FF0000"/>
                <w:szCs w:val="21"/>
                <w:lang w:eastAsia="en-US" w:bidi="en-US"/>
              </w:rPr>
              <w:t>12.1℃</w:t>
            </w:r>
            <w:r>
              <w:rPr>
                <w:rFonts w:ascii="Times New Roman" w:eastAsia="宋体" w:hAnsi="Times New Roman" w:cs="Times New Roman"/>
                <w:color w:val="FF0000"/>
                <w:szCs w:val="21"/>
                <w:lang w:eastAsia="en-US" w:bidi="en-US"/>
              </w:rPr>
              <w:t>）</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09745B2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6.9</w:t>
            </w:r>
            <w:r>
              <w:rPr>
                <w:rFonts w:ascii="Times New Roman" w:eastAsia="宋体" w:hAnsi="Times New Roman" w:cs="Times New Roman"/>
                <w:color w:val="FF0000"/>
                <w:szCs w:val="21"/>
                <w:lang w:eastAsia="en-US" w:bidi="en-US"/>
              </w:rPr>
              <w:t>（</w:t>
            </w:r>
            <w:r>
              <w:rPr>
                <w:rFonts w:ascii="Times New Roman" w:eastAsia="宋体" w:hAnsi="Times New Roman" w:cs="Times New Roman"/>
                <w:color w:val="FF0000"/>
                <w:szCs w:val="21"/>
                <w:lang w:eastAsia="en-US" w:bidi="en-US"/>
              </w:rPr>
              <w:t>11.9℃</w:t>
            </w:r>
            <w:r>
              <w:rPr>
                <w:rFonts w:ascii="Times New Roman" w:eastAsia="宋体" w:hAnsi="Times New Roman" w:cs="Times New Roman"/>
                <w:color w:val="FF0000"/>
                <w:szCs w:val="21"/>
                <w:lang w:eastAsia="en-US" w:bidi="en-US"/>
              </w:rPr>
              <w:t>）</w:t>
            </w:r>
          </w:p>
        </w:tc>
        <w:tc>
          <w:tcPr>
            <w:tcW w:w="1944" w:type="dxa"/>
            <w:gridSpan w:val="2"/>
            <w:tcBorders>
              <w:top w:val="single" w:sz="4" w:space="0" w:color="000000"/>
              <w:left w:val="single" w:sz="4" w:space="0" w:color="000000"/>
              <w:bottom w:val="single" w:sz="4" w:space="0" w:color="000000"/>
            </w:tcBorders>
            <w:vAlign w:val="center"/>
          </w:tcPr>
          <w:p w14:paraId="4FD9BC3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7.0</w:t>
            </w:r>
            <w:r>
              <w:rPr>
                <w:rFonts w:ascii="Times New Roman" w:eastAsia="宋体" w:hAnsi="Times New Roman" w:cs="Times New Roman"/>
                <w:color w:val="FF0000"/>
                <w:szCs w:val="21"/>
                <w:lang w:eastAsia="en-US" w:bidi="en-US"/>
              </w:rPr>
              <w:t>（</w:t>
            </w:r>
            <w:r>
              <w:rPr>
                <w:rFonts w:ascii="Times New Roman" w:eastAsia="宋体" w:hAnsi="Times New Roman" w:cs="Times New Roman"/>
                <w:color w:val="FF0000"/>
                <w:szCs w:val="21"/>
                <w:lang w:eastAsia="en-US" w:bidi="en-US"/>
              </w:rPr>
              <w:t>11.9℃</w:t>
            </w:r>
            <w:r>
              <w:rPr>
                <w:rFonts w:ascii="Times New Roman" w:eastAsia="宋体" w:hAnsi="Times New Roman" w:cs="Times New Roman"/>
                <w:color w:val="FF0000"/>
                <w:szCs w:val="21"/>
                <w:lang w:eastAsia="en-US" w:bidi="en-US"/>
              </w:rPr>
              <w:t>）</w:t>
            </w:r>
          </w:p>
        </w:tc>
        <w:tc>
          <w:tcPr>
            <w:tcW w:w="1411" w:type="dxa"/>
            <w:tcBorders>
              <w:top w:val="single" w:sz="4" w:space="0" w:color="000000"/>
              <w:left w:val="single" w:sz="4" w:space="0" w:color="000000"/>
              <w:bottom w:val="single" w:sz="4" w:space="0" w:color="000000"/>
            </w:tcBorders>
            <w:vAlign w:val="center"/>
          </w:tcPr>
          <w:p w14:paraId="6F1643AC"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6~9</w:t>
            </w:r>
          </w:p>
        </w:tc>
      </w:tr>
      <w:tr w:rsidR="002A4A5F" w14:paraId="78C26FE1"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5DC983B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水温</w:t>
            </w:r>
          </w:p>
        </w:tc>
        <w:tc>
          <w:tcPr>
            <w:tcW w:w="1129" w:type="dxa"/>
            <w:tcBorders>
              <w:top w:val="single" w:sz="4" w:space="0" w:color="000000"/>
              <w:left w:val="single" w:sz="4" w:space="0" w:color="000000"/>
              <w:bottom w:val="single" w:sz="4" w:space="0" w:color="000000"/>
              <w:right w:val="single" w:sz="4" w:space="0" w:color="000000"/>
            </w:tcBorders>
            <w:vAlign w:val="center"/>
          </w:tcPr>
          <w:p w14:paraId="16CFB79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w:t>
            </w:r>
          </w:p>
        </w:tc>
        <w:tc>
          <w:tcPr>
            <w:tcW w:w="2166" w:type="dxa"/>
            <w:tcBorders>
              <w:top w:val="single" w:sz="4" w:space="0" w:color="000000"/>
              <w:left w:val="single" w:sz="4" w:space="0" w:color="000000"/>
              <w:bottom w:val="single" w:sz="4" w:space="0" w:color="000000"/>
              <w:right w:val="single" w:sz="4" w:space="0" w:color="000000"/>
            </w:tcBorders>
            <w:vAlign w:val="center"/>
          </w:tcPr>
          <w:p w14:paraId="39C2CBB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12.1</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010EC7C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11.9</w:t>
            </w:r>
          </w:p>
        </w:tc>
        <w:tc>
          <w:tcPr>
            <w:tcW w:w="1944" w:type="dxa"/>
            <w:gridSpan w:val="2"/>
            <w:tcBorders>
              <w:top w:val="single" w:sz="4" w:space="0" w:color="000000"/>
              <w:left w:val="single" w:sz="4" w:space="0" w:color="000000"/>
              <w:bottom w:val="single" w:sz="4" w:space="0" w:color="000000"/>
            </w:tcBorders>
            <w:vAlign w:val="center"/>
          </w:tcPr>
          <w:p w14:paraId="2F123CD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11.9</w:t>
            </w:r>
          </w:p>
        </w:tc>
        <w:tc>
          <w:tcPr>
            <w:tcW w:w="1411" w:type="dxa"/>
            <w:tcBorders>
              <w:top w:val="single" w:sz="4" w:space="0" w:color="000000"/>
              <w:left w:val="single" w:sz="4" w:space="0" w:color="000000"/>
              <w:bottom w:val="single" w:sz="4" w:space="0" w:color="000000"/>
            </w:tcBorders>
            <w:vAlign w:val="center"/>
          </w:tcPr>
          <w:p w14:paraId="69B5A687"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周平均最大温升≤</w:t>
            </w:r>
            <w:r>
              <w:rPr>
                <w:rFonts w:ascii="Times New Roman" w:eastAsia="宋体" w:hAnsi="Times New Roman" w:cs="Times New Roman" w:hint="eastAsia"/>
                <w:color w:val="FF0000"/>
                <w:szCs w:val="21"/>
                <w:lang w:bidi="en-US"/>
              </w:rPr>
              <w:t>1</w:t>
            </w:r>
            <w:r>
              <w:rPr>
                <w:rFonts w:ascii="Times New Roman" w:eastAsia="宋体" w:hAnsi="Times New Roman" w:cs="Times New Roman" w:hint="eastAsia"/>
                <w:color w:val="FF0000"/>
                <w:szCs w:val="21"/>
                <w:lang w:bidi="en-US"/>
              </w:rPr>
              <w:t>；周平均最大温降≤</w:t>
            </w:r>
            <w:r>
              <w:rPr>
                <w:rFonts w:ascii="Times New Roman" w:eastAsia="宋体" w:hAnsi="Times New Roman" w:cs="Times New Roman" w:hint="eastAsia"/>
                <w:color w:val="FF0000"/>
                <w:szCs w:val="21"/>
                <w:lang w:bidi="en-US"/>
              </w:rPr>
              <w:t>2</w:t>
            </w:r>
          </w:p>
        </w:tc>
      </w:tr>
      <w:tr w:rsidR="002A4A5F" w14:paraId="4EDC9FFE"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564B035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悬浮物</w:t>
            </w:r>
          </w:p>
        </w:tc>
        <w:tc>
          <w:tcPr>
            <w:tcW w:w="1129" w:type="dxa"/>
            <w:tcBorders>
              <w:top w:val="single" w:sz="4" w:space="0" w:color="000000"/>
              <w:left w:val="single" w:sz="4" w:space="0" w:color="000000"/>
              <w:bottom w:val="single" w:sz="4" w:space="0" w:color="000000"/>
              <w:right w:val="single" w:sz="4" w:space="0" w:color="000000"/>
            </w:tcBorders>
            <w:vAlign w:val="center"/>
          </w:tcPr>
          <w:p w14:paraId="16CD3E7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5AE109E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0644E99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w:t>
            </w:r>
          </w:p>
        </w:tc>
        <w:tc>
          <w:tcPr>
            <w:tcW w:w="1944" w:type="dxa"/>
            <w:gridSpan w:val="2"/>
            <w:tcBorders>
              <w:top w:val="single" w:sz="4" w:space="0" w:color="000000"/>
              <w:left w:val="single" w:sz="4" w:space="0" w:color="000000"/>
              <w:bottom w:val="single" w:sz="4" w:space="0" w:color="000000"/>
            </w:tcBorders>
            <w:vAlign w:val="center"/>
          </w:tcPr>
          <w:p w14:paraId="1CC2DC9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w:t>
            </w:r>
          </w:p>
        </w:tc>
        <w:tc>
          <w:tcPr>
            <w:tcW w:w="1411" w:type="dxa"/>
            <w:tcBorders>
              <w:top w:val="single" w:sz="4" w:space="0" w:color="000000"/>
              <w:left w:val="single" w:sz="4" w:space="0" w:color="000000"/>
              <w:bottom w:val="single" w:sz="4" w:space="0" w:color="000000"/>
            </w:tcBorders>
            <w:vAlign w:val="center"/>
          </w:tcPr>
          <w:p w14:paraId="7A955B4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54BE28D6"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00F2B96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化学需氧量</w:t>
            </w:r>
          </w:p>
        </w:tc>
        <w:tc>
          <w:tcPr>
            <w:tcW w:w="1129" w:type="dxa"/>
            <w:tcBorders>
              <w:top w:val="single" w:sz="4" w:space="0" w:color="000000"/>
              <w:left w:val="single" w:sz="4" w:space="0" w:color="000000"/>
              <w:bottom w:val="single" w:sz="4" w:space="0" w:color="000000"/>
              <w:right w:val="single" w:sz="4" w:space="0" w:color="000000"/>
            </w:tcBorders>
            <w:vAlign w:val="center"/>
          </w:tcPr>
          <w:p w14:paraId="7ABF6DF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1CEBB7B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11</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19F3B20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10</w:t>
            </w:r>
          </w:p>
        </w:tc>
        <w:tc>
          <w:tcPr>
            <w:tcW w:w="1944" w:type="dxa"/>
            <w:gridSpan w:val="2"/>
            <w:tcBorders>
              <w:top w:val="single" w:sz="4" w:space="0" w:color="000000"/>
              <w:left w:val="single" w:sz="4" w:space="0" w:color="000000"/>
              <w:bottom w:val="single" w:sz="4" w:space="0" w:color="000000"/>
            </w:tcBorders>
            <w:vAlign w:val="center"/>
          </w:tcPr>
          <w:p w14:paraId="3501D2D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12</w:t>
            </w:r>
          </w:p>
        </w:tc>
        <w:tc>
          <w:tcPr>
            <w:tcW w:w="1411" w:type="dxa"/>
            <w:tcBorders>
              <w:top w:val="single" w:sz="4" w:space="0" w:color="000000"/>
              <w:left w:val="single" w:sz="4" w:space="0" w:color="000000"/>
              <w:bottom w:val="single" w:sz="4" w:space="0" w:color="000000"/>
            </w:tcBorders>
            <w:vAlign w:val="center"/>
          </w:tcPr>
          <w:p w14:paraId="22027E90"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15</w:t>
            </w:r>
          </w:p>
        </w:tc>
      </w:tr>
      <w:tr w:rsidR="002A4A5F" w14:paraId="7D76384E"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1E31815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五日生化需氧量</w:t>
            </w:r>
          </w:p>
        </w:tc>
        <w:tc>
          <w:tcPr>
            <w:tcW w:w="1129" w:type="dxa"/>
            <w:tcBorders>
              <w:top w:val="single" w:sz="4" w:space="0" w:color="000000"/>
              <w:left w:val="single" w:sz="4" w:space="0" w:color="000000"/>
              <w:bottom w:val="single" w:sz="4" w:space="0" w:color="000000"/>
              <w:right w:val="single" w:sz="4" w:space="0" w:color="000000"/>
            </w:tcBorders>
            <w:vAlign w:val="center"/>
          </w:tcPr>
          <w:p w14:paraId="6C3CD50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74C469B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2.2</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2E198AE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2.2</w:t>
            </w:r>
          </w:p>
        </w:tc>
        <w:tc>
          <w:tcPr>
            <w:tcW w:w="1944" w:type="dxa"/>
            <w:gridSpan w:val="2"/>
            <w:tcBorders>
              <w:top w:val="single" w:sz="4" w:space="0" w:color="000000"/>
              <w:left w:val="single" w:sz="4" w:space="0" w:color="000000"/>
              <w:bottom w:val="single" w:sz="4" w:space="0" w:color="000000"/>
            </w:tcBorders>
            <w:vAlign w:val="center"/>
          </w:tcPr>
          <w:p w14:paraId="24F24A2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2.2</w:t>
            </w:r>
          </w:p>
        </w:tc>
        <w:tc>
          <w:tcPr>
            <w:tcW w:w="1411" w:type="dxa"/>
            <w:tcBorders>
              <w:top w:val="single" w:sz="4" w:space="0" w:color="000000"/>
              <w:left w:val="single" w:sz="4" w:space="0" w:color="000000"/>
              <w:bottom w:val="single" w:sz="4" w:space="0" w:color="000000"/>
            </w:tcBorders>
            <w:vAlign w:val="center"/>
          </w:tcPr>
          <w:p w14:paraId="7E14C27D"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3</w:t>
            </w:r>
          </w:p>
        </w:tc>
      </w:tr>
      <w:tr w:rsidR="002A4A5F" w14:paraId="645D5A93"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B5B152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氨氮</w:t>
            </w:r>
          </w:p>
        </w:tc>
        <w:tc>
          <w:tcPr>
            <w:tcW w:w="1129" w:type="dxa"/>
            <w:tcBorders>
              <w:top w:val="single" w:sz="4" w:space="0" w:color="000000"/>
              <w:left w:val="single" w:sz="4" w:space="0" w:color="000000"/>
              <w:bottom w:val="single" w:sz="4" w:space="0" w:color="000000"/>
              <w:right w:val="single" w:sz="4" w:space="0" w:color="000000"/>
            </w:tcBorders>
            <w:vAlign w:val="center"/>
          </w:tcPr>
          <w:p w14:paraId="3046522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14CA80BB"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0.192</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37B9424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0.198</w:t>
            </w:r>
          </w:p>
        </w:tc>
        <w:tc>
          <w:tcPr>
            <w:tcW w:w="1944" w:type="dxa"/>
            <w:gridSpan w:val="2"/>
            <w:tcBorders>
              <w:top w:val="single" w:sz="4" w:space="0" w:color="000000"/>
              <w:left w:val="single" w:sz="4" w:space="0" w:color="000000"/>
              <w:bottom w:val="single" w:sz="4" w:space="0" w:color="000000"/>
            </w:tcBorders>
            <w:vAlign w:val="center"/>
          </w:tcPr>
          <w:p w14:paraId="592F738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0.186</w:t>
            </w:r>
          </w:p>
        </w:tc>
        <w:tc>
          <w:tcPr>
            <w:tcW w:w="1411" w:type="dxa"/>
            <w:tcBorders>
              <w:top w:val="single" w:sz="4" w:space="0" w:color="000000"/>
              <w:left w:val="single" w:sz="4" w:space="0" w:color="000000"/>
              <w:bottom w:val="single" w:sz="4" w:space="0" w:color="000000"/>
            </w:tcBorders>
            <w:vAlign w:val="center"/>
          </w:tcPr>
          <w:p w14:paraId="0C70F46B"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0.5</w:t>
            </w:r>
          </w:p>
        </w:tc>
      </w:tr>
      <w:tr w:rsidR="002A4A5F" w14:paraId="401D88A1"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6C68B1F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总磷</w:t>
            </w:r>
          </w:p>
        </w:tc>
        <w:tc>
          <w:tcPr>
            <w:tcW w:w="1129" w:type="dxa"/>
            <w:tcBorders>
              <w:top w:val="single" w:sz="4" w:space="0" w:color="000000"/>
              <w:left w:val="single" w:sz="4" w:space="0" w:color="000000"/>
              <w:bottom w:val="single" w:sz="4" w:space="0" w:color="000000"/>
              <w:right w:val="single" w:sz="4" w:space="0" w:color="000000"/>
            </w:tcBorders>
            <w:vAlign w:val="center"/>
          </w:tcPr>
          <w:p w14:paraId="07800E2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56AC85B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0.05</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3392FEF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0.07</w:t>
            </w:r>
          </w:p>
        </w:tc>
        <w:tc>
          <w:tcPr>
            <w:tcW w:w="1944" w:type="dxa"/>
            <w:gridSpan w:val="2"/>
            <w:tcBorders>
              <w:top w:val="single" w:sz="4" w:space="0" w:color="000000"/>
              <w:left w:val="single" w:sz="4" w:space="0" w:color="000000"/>
              <w:bottom w:val="single" w:sz="4" w:space="0" w:color="000000"/>
            </w:tcBorders>
            <w:vAlign w:val="center"/>
          </w:tcPr>
          <w:p w14:paraId="294B639B"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0.06</w:t>
            </w:r>
          </w:p>
        </w:tc>
        <w:tc>
          <w:tcPr>
            <w:tcW w:w="1411" w:type="dxa"/>
            <w:tcBorders>
              <w:top w:val="single" w:sz="4" w:space="0" w:color="000000"/>
              <w:left w:val="single" w:sz="4" w:space="0" w:color="000000"/>
              <w:bottom w:val="single" w:sz="4" w:space="0" w:color="000000"/>
            </w:tcBorders>
            <w:vAlign w:val="center"/>
          </w:tcPr>
          <w:p w14:paraId="4C38F50B"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0.1</w:t>
            </w:r>
          </w:p>
        </w:tc>
      </w:tr>
      <w:tr w:rsidR="002A4A5F" w14:paraId="667C08F6"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480F55F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氯化物</w:t>
            </w:r>
          </w:p>
        </w:tc>
        <w:tc>
          <w:tcPr>
            <w:tcW w:w="1129" w:type="dxa"/>
            <w:tcBorders>
              <w:top w:val="single" w:sz="4" w:space="0" w:color="000000"/>
              <w:left w:val="single" w:sz="4" w:space="0" w:color="000000"/>
              <w:bottom w:val="single" w:sz="4" w:space="0" w:color="000000"/>
              <w:right w:val="single" w:sz="4" w:space="0" w:color="000000"/>
            </w:tcBorders>
            <w:vAlign w:val="center"/>
          </w:tcPr>
          <w:p w14:paraId="0F61B78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32CA84D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9.94</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1E5815C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10.3</w:t>
            </w:r>
          </w:p>
        </w:tc>
        <w:tc>
          <w:tcPr>
            <w:tcW w:w="1944" w:type="dxa"/>
            <w:gridSpan w:val="2"/>
            <w:tcBorders>
              <w:top w:val="single" w:sz="4" w:space="0" w:color="000000"/>
              <w:left w:val="single" w:sz="4" w:space="0" w:color="000000"/>
              <w:bottom w:val="single" w:sz="4" w:space="0" w:color="000000"/>
            </w:tcBorders>
            <w:vAlign w:val="center"/>
          </w:tcPr>
          <w:p w14:paraId="3448916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9.52</w:t>
            </w:r>
          </w:p>
        </w:tc>
        <w:tc>
          <w:tcPr>
            <w:tcW w:w="1411" w:type="dxa"/>
            <w:tcBorders>
              <w:top w:val="single" w:sz="4" w:space="0" w:color="000000"/>
              <w:left w:val="single" w:sz="4" w:space="0" w:color="000000"/>
              <w:bottom w:val="single" w:sz="4" w:space="0" w:color="000000"/>
            </w:tcBorders>
            <w:vAlign w:val="center"/>
          </w:tcPr>
          <w:p w14:paraId="5EFE8D35"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250</w:t>
            </w:r>
          </w:p>
        </w:tc>
      </w:tr>
      <w:tr w:rsidR="002A4A5F" w14:paraId="7A5AD360"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F70B5F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粪大肠菌群</w:t>
            </w:r>
          </w:p>
        </w:tc>
        <w:tc>
          <w:tcPr>
            <w:tcW w:w="1129" w:type="dxa"/>
            <w:tcBorders>
              <w:top w:val="single" w:sz="4" w:space="0" w:color="000000"/>
              <w:left w:val="single" w:sz="4" w:space="0" w:color="000000"/>
              <w:bottom w:val="single" w:sz="4" w:space="0" w:color="000000"/>
              <w:right w:val="single" w:sz="4" w:space="0" w:color="000000"/>
            </w:tcBorders>
            <w:vAlign w:val="center"/>
          </w:tcPr>
          <w:p w14:paraId="62025E9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MPN/L</w:t>
            </w:r>
          </w:p>
        </w:tc>
        <w:tc>
          <w:tcPr>
            <w:tcW w:w="2166" w:type="dxa"/>
            <w:tcBorders>
              <w:top w:val="single" w:sz="4" w:space="0" w:color="000000"/>
              <w:left w:val="single" w:sz="4" w:space="0" w:color="000000"/>
              <w:bottom w:val="single" w:sz="4" w:space="0" w:color="000000"/>
              <w:right w:val="single" w:sz="4" w:space="0" w:color="000000"/>
            </w:tcBorders>
            <w:vAlign w:val="center"/>
          </w:tcPr>
          <w:p w14:paraId="0FF46D4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50</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2F0FFD4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60</w:t>
            </w:r>
          </w:p>
        </w:tc>
        <w:tc>
          <w:tcPr>
            <w:tcW w:w="1944" w:type="dxa"/>
            <w:gridSpan w:val="2"/>
            <w:tcBorders>
              <w:top w:val="single" w:sz="4" w:space="0" w:color="000000"/>
              <w:left w:val="single" w:sz="4" w:space="0" w:color="000000"/>
              <w:bottom w:val="single" w:sz="4" w:space="0" w:color="000000"/>
            </w:tcBorders>
            <w:vAlign w:val="center"/>
          </w:tcPr>
          <w:p w14:paraId="13745C2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50</w:t>
            </w:r>
          </w:p>
        </w:tc>
        <w:tc>
          <w:tcPr>
            <w:tcW w:w="1411" w:type="dxa"/>
            <w:tcBorders>
              <w:top w:val="single" w:sz="4" w:space="0" w:color="000000"/>
              <w:left w:val="single" w:sz="4" w:space="0" w:color="000000"/>
              <w:bottom w:val="single" w:sz="4" w:space="0" w:color="000000"/>
            </w:tcBorders>
            <w:vAlign w:val="center"/>
          </w:tcPr>
          <w:p w14:paraId="71FFB8A0"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2000</w:t>
            </w:r>
          </w:p>
        </w:tc>
      </w:tr>
      <w:tr w:rsidR="002A4A5F" w14:paraId="66A1D247"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096BF07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汞</w:t>
            </w:r>
          </w:p>
        </w:tc>
        <w:tc>
          <w:tcPr>
            <w:tcW w:w="1129" w:type="dxa"/>
            <w:tcBorders>
              <w:top w:val="single" w:sz="4" w:space="0" w:color="000000"/>
              <w:left w:val="single" w:sz="4" w:space="0" w:color="000000"/>
              <w:bottom w:val="single" w:sz="4" w:space="0" w:color="000000"/>
              <w:right w:val="single" w:sz="4" w:space="0" w:color="000000"/>
            </w:tcBorders>
            <w:vAlign w:val="center"/>
          </w:tcPr>
          <w:p w14:paraId="0CF45F3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15F6A3D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0.00004ND</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31F8528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0.00004ND</w:t>
            </w:r>
          </w:p>
        </w:tc>
        <w:tc>
          <w:tcPr>
            <w:tcW w:w="1944" w:type="dxa"/>
            <w:gridSpan w:val="2"/>
            <w:tcBorders>
              <w:top w:val="single" w:sz="4" w:space="0" w:color="000000"/>
              <w:left w:val="single" w:sz="4" w:space="0" w:color="000000"/>
              <w:bottom w:val="single" w:sz="4" w:space="0" w:color="000000"/>
            </w:tcBorders>
            <w:vAlign w:val="center"/>
          </w:tcPr>
          <w:p w14:paraId="1E832D0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0.00004ND</w:t>
            </w:r>
          </w:p>
        </w:tc>
        <w:tc>
          <w:tcPr>
            <w:tcW w:w="1411" w:type="dxa"/>
            <w:tcBorders>
              <w:top w:val="single" w:sz="4" w:space="0" w:color="000000"/>
              <w:left w:val="single" w:sz="4" w:space="0" w:color="000000"/>
              <w:bottom w:val="single" w:sz="4" w:space="0" w:color="000000"/>
            </w:tcBorders>
            <w:vAlign w:val="center"/>
          </w:tcPr>
          <w:p w14:paraId="29636EE3"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0.00005</w:t>
            </w:r>
          </w:p>
        </w:tc>
      </w:tr>
      <w:tr w:rsidR="002A4A5F" w14:paraId="70136CE1"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690CE97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铅</w:t>
            </w:r>
          </w:p>
        </w:tc>
        <w:tc>
          <w:tcPr>
            <w:tcW w:w="1129" w:type="dxa"/>
            <w:tcBorders>
              <w:top w:val="single" w:sz="4" w:space="0" w:color="000000"/>
              <w:left w:val="single" w:sz="4" w:space="0" w:color="000000"/>
              <w:bottom w:val="single" w:sz="4" w:space="0" w:color="000000"/>
              <w:right w:val="single" w:sz="4" w:space="0" w:color="000000"/>
            </w:tcBorders>
            <w:vAlign w:val="center"/>
          </w:tcPr>
          <w:p w14:paraId="2F66A91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1070DBA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0.003ND</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54A74D6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0.003ND</w:t>
            </w:r>
          </w:p>
        </w:tc>
        <w:tc>
          <w:tcPr>
            <w:tcW w:w="1944" w:type="dxa"/>
            <w:gridSpan w:val="2"/>
            <w:tcBorders>
              <w:top w:val="single" w:sz="4" w:space="0" w:color="000000"/>
              <w:left w:val="single" w:sz="4" w:space="0" w:color="000000"/>
              <w:bottom w:val="single" w:sz="4" w:space="0" w:color="000000"/>
            </w:tcBorders>
            <w:vAlign w:val="center"/>
          </w:tcPr>
          <w:p w14:paraId="3151BAB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0.003ND</w:t>
            </w:r>
          </w:p>
        </w:tc>
        <w:tc>
          <w:tcPr>
            <w:tcW w:w="1411" w:type="dxa"/>
            <w:tcBorders>
              <w:top w:val="single" w:sz="4" w:space="0" w:color="000000"/>
              <w:left w:val="single" w:sz="4" w:space="0" w:color="000000"/>
              <w:bottom w:val="single" w:sz="4" w:space="0" w:color="000000"/>
            </w:tcBorders>
            <w:vAlign w:val="center"/>
          </w:tcPr>
          <w:p w14:paraId="2775DFB2"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0.01</w:t>
            </w:r>
          </w:p>
        </w:tc>
      </w:tr>
      <w:tr w:rsidR="002A4A5F" w14:paraId="7B153B5C"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444DCF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镉</w:t>
            </w:r>
          </w:p>
        </w:tc>
        <w:tc>
          <w:tcPr>
            <w:tcW w:w="1129" w:type="dxa"/>
            <w:tcBorders>
              <w:top w:val="single" w:sz="4" w:space="0" w:color="000000"/>
              <w:left w:val="single" w:sz="4" w:space="0" w:color="000000"/>
              <w:bottom w:val="single" w:sz="4" w:space="0" w:color="000000"/>
              <w:right w:val="single" w:sz="4" w:space="0" w:color="000000"/>
            </w:tcBorders>
            <w:vAlign w:val="center"/>
          </w:tcPr>
          <w:p w14:paraId="50DCBDE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3F6F05A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2139190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944" w:type="dxa"/>
            <w:gridSpan w:val="2"/>
            <w:tcBorders>
              <w:top w:val="single" w:sz="4" w:space="0" w:color="000000"/>
              <w:left w:val="single" w:sz="4" w:space="0" w:color="000000"/>
              <w:bottom w:val="single" w:sz="4" w:space="0" w:color="000000"/>
            </w:tcBorders>
            <w:vAlign w:val="center"/>
          </w:tcPr>
          <w:p w14:paraId="2683272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411" w:type="dxa"/>
            <w:tcBorders>
              <w:top w:val="single" w:sz="4" w:space="0" w:color="000000"/>
              <w:left w:val="single" w:sz="4" w:space="0" w:color="000000"/>
              <w:bottom w:val="single" w:sz="4" w:space="0" w:color="000000"/>
            </w:tcBorders>
            <w:vAlign w:val="center"/>
          </w:tcPr>
          <w:p w14:paraId="10828AD8"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0.005</w:t>
            </w:r>
          </w:p>
        </w:tc>
      </w:tr>
      <w:tr w:rsidR="002A4A5F" w14:paraId="0ECC17EC"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78932FC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砷</w:t>
            </w:r>
          </w:p>
        </w:tc>
        <w:tc>
          <w:tcPr>
            <w:tcW w:w="1129" w:type="dxa"/>
            <w:tcBorders>
              <w:top w:val="single" w:sz="4" w:space="0" w:color="000000"/>
              <w:left w:val="single" w:sz="4" w:space="0" w:color="000000"/>
              <w:bottom w:val="single" w:sz="4" w:space="0" w:color="000000"/>
              <w:right w:val="single" w:sz="4" w:space="0" w:color="000000"/>
            </w:tcBorders>
            <w:vAlign w:val="center"/>
          </w:tcPr>
          <w:p w14:paraId="419CF32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3D28335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4A46A88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944" w:type="dxa"/>
            <w:gridSpan w:val="2"/>
            <w:tcBorders>
              <w:top w:val="single" w:sz="4" w:space="0" w:color="000000"/>
              <w:left w:val="single" w:sz="4" w:space="0" w:color="000000"/>
              <w:bottom w:val="single" w:sz="4" w:space="0" w:color="000000"/>
            </w:tcBorders>
            <w:vAlign w:val="center"/>
          </w:tcPr>
          <w:p w14:paraId="13BD5DE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411" w:type="dxa"/>
            <w:tcBorders>
              <w:top w:val="single" w:sz="4" w:space="0" w:color="000000"/>
              <w:left w:val="single" w:sz="4" w:space="0" w:color="000000"/>
              <w:bottom w:val="single" w:sz="4" w:space="0" w:color="000000"/>
            </w:tcBorders>
            <w:vAlign w:val="center"/>
          </w:tcPr>
          <w:p w14:paraId="62C731BD"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0.05</w:t>
            </w:r>
          </w:p>
        </w:tc>
      </w:tr>
      <w:tr w:rsidR="002A4A5F" w14:paraId="4D8663AF"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46BE80A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总铬</w:t>
            </w:r>
          </w:p>
        </w:tc>
        <w:tc>
          <w:tcPr>
            <w:tcW w:w="1129" w:type="dxa"/>
            <w:tcBorders>
              <w:top w:val="single" w:sz="4" w:space="0" w:color="000000"/>
              <w:left w:val="single" w:sz="4" w:space="0" w:color="000000"/>
              <w:bottom w:val="single" w:sz="4" w:space="0" w:color="000000"/>
              <w:right w:val="single" w:sz="4" w:space="0" w:color="000000"/>
            </w:tcBorders>
            <w:vAlign w:val="center"/>
          </w:tcPr>
          <w:p w14:paraId="155AE1F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5A9C4D6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0.102</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3953100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0.098</w:t>
            </w:r>
          </w:p>
        </w:tc>
        <w:tc>
          <w:tcPr>
            <w:tcW w:w="1944" w:type="dxa"/>
            <w:gridSpan w:val="2"/>
            <w:tcBorders>
              <w:top w:val="single" w:sz="4" w:space="0" w:color="000000"/>
              <w:left w:val="single" w:sz="4" w:space="0" w:color="000000"/>
              <w:bottom w:val="single" w:sz="4" w:space="0" w:color="000000"/>
            </w:tcBorders>
            <w:vAlign w:val="center"/>
          </w:tcPr>
          <w:p w14:paraId="429A0C8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0.100</w:t>
            </w:r>
          </w:p>
        </w:tc>
        <w:tc>
          <w:tcPr>
            <w:tcW w:w="1411" w:type="dxa"/>
            <w:tcBorders>
              <w:top w:val="single" w:sz="4" w:space="0" w:color="000000"/>
              <w:left w:val="single" w:sz="4" w:space="0" w:color="000000"/>
              <w:bottom w:val="single" w:sz="4" w:space="0" w:color="000000"/>
            </w:tcBorders>
            <w:vAlign w:val="center"/>
          </w:tcPr>
          <w:p w14:paraId="2ADF247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763DD8C5"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7AB1FD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六价铬</w:t>
            </w:r>
          </w:p>
        </w:tc>
        <w:tc>
          <w:tcPr>
            <w:tcW w:w="1129" w:type="dxa"/>
            <w:tcBorders>
              <w:top w:val="single" w:sz="4" w:space="0" w:color="000000"/>
              <w:left w:val="single" w:sz="4" w:space="0" w:color="000000"/>
              <w:bottom w:val="single" w:sz="4" w:space="0" w:color="000000"/>
              <w:right w:val="single" w:sz="4" w:space="0" w:color="000000"/>
            </w:tcBorders>
            <w:vAlign w:val="center"/>
          </w:tcPr>
          <w:p w14:paraId="3AF1713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5B9048D4"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0.018</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4946D9A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0.017</w:t>
            </w:r>
          </w:p>
        </w:tc>
        <w:tc>
          <w:tcPr>
            <w:tcW w:w="1944" w:type="dxa"/>
            <w:gridSpan w:val="2"/>
            <w:tcBorders>
              <w:top w:val="single" w:sz="4" w:space="0" w:color="000000"/>
              <w:left w:val="single" w:sz="4" w:space="0" w:color="000000"/>
              <w:bottom w:val="single" w:sz="4" w:space="0" w:color="000000"/>
            </w:tcBorders>
            <w:vAlign w:val="center"/>
          </w:tcPr>
          <w:p w14:paraId="3E1910C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0.020</w:t>
            </w:r>
          </w:p>
        </w:tc>
        <w:tc>
          <w:tcPr>
            <w:tcW w:w="1411" w:type="dxa"/>
            <w:tcBorders>
              <w:top w:val="single" w:sz="4" w:space="0" w:color="000000"/>
              <w:left w:val="single" w:sz="4" w:space="0" w:color="000000"/>
              <w:bottom w:val="single" w:sz="4" w:space="0" w:color="000000"/>
            </w:tcBorders>
            <w:vAlign w:val="center"/>
          </w:tcPr>
          <w:p w14:paraId="62A53061"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0.05</w:t>
            </w:r>
          </w:p>
        </w:tc>
      </w:tr>
      <w:tr w:rsidR="002A4A5F" w14:paraId="3F32266C"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DB1EE1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流量</w:t>
            </w:r>
          </w:p>
        </w:tc>
        <w:tc>
          <w:tcPr>
            <w:tcW w:w="1129" w:type="dxa"/>
            <w:tcBorders>
              <w:top w:val="single" w:sz="4" w:space="0" w:color="000000"/>
              <w:left w:val="single" w:sz="4" w:space="0" w:color="000000"/>
              <w:bottom w:val="single" w:sz="4" w:space="0" w:color="000000"/>
              <w:right w:val="single" w:sz="4" w:space="0" w:color="000000"/>
            </w:tcBorders>
            <w:vAlign w:val="center"/>
          </w:tcPr>
          <w:p w14:paraId="6E087B6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w:t>
            </w:r>
            <w:r>
              <w:rPr>
                <w:rFonts w:ascii="Times New Roman" w:eastAsia="宋体" w:hAnsi="Times New Roman" w:cs="Times New Roman"/>
                <w:color w:val="FF0000"/>
                <w:szCs w:val="21"/>
                <w:vertAlign w:val="superscript"/>
                <w:lang w:eastAsia="en-US" w:bidi="en-US"/>
              </w:rPr>
              <w:t>3</w:t>
            </w:r>
            <w:r>
              <w:rPr>
                <w:rFonts w:ascii="Times New Roman" w:eastAsia="宋体" w:hAnsi="Times New Roman" w:cs="Times New Roman"/>
                <w:color w:val="FF0000"/>
                <w:szCs w:val="21"/>
                <w:lang w:eastAsia="en-US" w:bidi="en-US"/>
              </w:rPr>
              <w:t>/s</w:t>
            </w:r>
          </w:p>
        </w:tc>
        <w:tc>
          <w:tcPr>
            <w:tcW w:w="2166" w:type="dxa"/>
            <w:tcBorders>
              <w:top w:val="single" w:sz="4" w:space="0" w:color="000000"/>
              <w:left w:val="single" w:sz="4" w:space="0" w:color="000000"/>
              <w:bottom w:val="single" w:sz="4" w:space="0" w:color="000000"/>
              <w:right w:val="single" w:sz="4" w:space="0" w:color="000000"/>
            </w:tcBorders>
            <w:vAlign w:val="center"/>
          </w:tcPr>
          <w:p w14:paraId="56738A24"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0.0032</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2987720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0.0030</w:t>
            </w:r>
          </w:p>
        </w:tc>
        <w:tc>
          <w:tcPr>
            <w:tcW w:w="1944" w:type="dxa"/>
            <w:gridSpan w:val="2"/>
            <w:tcBorders>
              <w:top w:val="single" w:sz="4" w:space="0" w:color="000000"/>
              <w:left w:val="single" w:sz="4" w:space="0" w:color="000000"/>
              <w:bottom w:val="single" w:sz="4" w:space="0" w:color="000000"/>
            </w:tcBorders>
            <w:vAlign w:val="center"/>
          </w:tcPr>
          <w:p w14:paraId="4C2D4B8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0.0030</w:t>
            </w:r>
          </w:p>
        </w:tc>
        <w:tc>
          <w:tcPr>
            <w:tcW w:w="1411" w:type="dxa"/>
            <w:tcBorders>
              <w:top w:val="single" w:sz="4" w:space="0" w:color="000000"/>
              <w:left w:val="single" w:sz="4" w:space="0" w:color="000000"/>
              <w:bottom w:val="single" w:sz="4" w:space="0" w:color="000000"/>
            </w:tcBorders>
            <w:vAlign w:val="center"/>
          </w:tcPr>
          <w:p w14:paraId="00B87376"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w:t>
            </w:r>
          </w:p>
        </w:tc>
      </w:tr>
      <w:tr w:rsidR="002A4A5F" w14:paraId="53332091" w14:textId="77777777" w:rsidTr="002A4A5F">
        <w:trPr>
          <w:jc w:val="center"/>
        </w:trPr>
        <w:tc>
          <w:tcPr>
            <w:tcW w:w="991" w:type="dxa"/>
            <w:vMerge w:val="restart"/>
            <w:tcBorders>
              <w:top w:val="single" w:sz="4" w:space="0" w:color="000000"/>
              <w:bottom w:val="single" w:sz="4" w:space="0" w:color="000000"/>
              <w:right w:val="single" w:sz="4" w:space="0" w:color="000000"/>
            </w:tcBorders>
            <w:vAlign w:val="center"/>
          </w:tcPr>
          <w:p w14:paraId="01F8CBB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色度</w:t>
            </w:r>
          </w:p>
        </w:tc>
        <w:tc>
          <w:tcPr>
            <w:tcW w:w="996" w:type="dxa"/>
            <w:gridSpan w:val="2"/>
            <w:tcBorders>
              <w:top w:val="single" w:sz="4" w:space="0" w:color="000000"/>
              <w:left w:val="single" w:sz="4" w:space="0" w:color="000000"/>
              <w:bottom w:val="single" w:sz="4" w:space="0" w:color="000000"/>
              <w:right w:val="single" w:sz="4" w:space="0" w:color="000000"/>
            </w:tcBorders>
            <w:vAlign w:val="center"/>
          </w:tcPr>
          <w:p w14:paraId="40AAE4B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色度</w:t>
            </w:r>
          </w:p>
        </w:tc>
        <w:tc>
          <w:tcPr>
            <w:tcW w:w="1129" w:type="dxa"/>
            <w:tcBorders>
              <w:top w:val="single" w:sz="4" w:space="0" w:color="000000"/>
              <w:left w:val="single" w:sz="4" w:space="0" w:color="000000"/>
              <w:bottom w:val="single" w:sz="4" w:space="0" w:color="000000"/>
              <w:right w:val="single" w:sz="4" w:space="0" w:color="000000"/>
            </w:tcBorders>
            <w:vAlign w:val="center"/>
          </w:tcPr>
          <w:p w14:paraId="77145EA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度</w:t>
            </w:r>
          </w:p>
        </w:tc>
        <w:tc>
          <w:tcPr>
            <w:tcW w:w="2166" w:type="dxa"/>
            <w:tcBorders>
              <w:top w:val="single" w:sz="4" w:space="0" w:color="000000"/>
              <w:left w:val="single" w:sz="4" w:space="0" w:color="000000"/>
              <w:bottom w:val="single" w:sz="4" w:space="0" w:color="000000"/>
              <w:right w:val="single" w:sz="4" w:space="0" w:color="000000"/>
            </w:tcBorders>
            <w:vAlign w:val="center"/>
          </w:tcPr>
          <w:p w14:paraId="637F086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1B73117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w:t>
            </w:r>
          </w:p>
        </w:tc>
        <w:tc>
          <w:tcPr>
            <w:tcW w:w="1944" w:type="dxa"/>
            <w:gridSpan w:val="2"/>
            <w:tcBorders>
              <w:top w:val="single" w:sz="4" w:space="0" w:color="000000"/>
              <w:left w:val="single" w:sz="4" w:space="0" w:color="000000"/>
              <w:bottom w:val="single" w:sz="4" w:space="0" w:color="000000"/>
            </w:tcBorders>
            <w:vAlign w:val="center"/>
          </w:tcPr>
          <w:p w14:paraId="2870FFB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w:t>
            </w:r>
          </w:p>
        </w:tc>
        <w:tc>
          <w:tcPr>
            <w:tcW w:w="1411" w:type="dxa"/>
            <w:vMerge w:val="restart"/>
            <w:tcBorders>
              <w:top w:val="single" w:sz="4" w:space="0" w:color="000000"/>
              <w:left w:val="single" w:sz="4" w:space="0" w:color="000000"/>
            </w:tcBorders>
            <w:vAlign w:val="center"/>
          </w:tcPr>
          <w:p w14:paraId="120E8C90"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w:t>
            </w:r>
          </w:p>
        </w:tc>
      </w:tr>
      <w:tr w:rsidR="002A4A5F" w14:paraId="47D2A2F8" w14:textId="77777777" w:rsidTr="002A4A5F">
        <w:trPr>
          <w:jc w:val="center"/>
        </w:trPr>
        <w:tc>
          <w:tcPr>
            <w:tcW w:w="991" w:type="dxa"/>
            <w:vMerge/>
            <w:tcBorders>
              <w:top w:val="nil"/>
              <w:bottom w:val="single" w:sz="4" w:space="0" w:color="000000"/>
              <w:right w:val="single" w:sz="4" w:space="0" w:color="000000"/>
            </w:tcBorders>
            <w:vAlign w:val="center"/>
          </w:tcPr>
          <w:p w14:paraId="6B75339D" w14:textId="77777777" w:rsidR="002A4A5F" w:rsidRDefault="002A4A5F" w:rsidP="00747ECF">
            <w:pPr>
              <w:autoSpaceDE w:val="0"/>
              <w:autoSpaceDN w:val="0"/>
              <w:jc w:val="center"/>
              <w:rPr>
                <w:rFonts w:ascii="Times New Roman" w:eastAsia="宋体" w:hAnsi="Times New Roman" w:cs="Times New Roman"/>
                <w:color w:val="FF0000"/>
                <w:kern w:val="0"/>
                <w:szCs w:val="21"/>
                <w:lang w:eastAsia="en-US" w:bidi="en-US"/>
              </w:rPr>
            </w:pPr>
          </w:p>
        </w:tc>
        <w:tc>
          <w:tcPr>
            <w:tcW w:w="996" w:type="dxa"/>
            <w:gridSpan w:val="2"/>
            <w:tcBorders>
              <w:top w:val="single" w:sz="4" w:space="0" w:color="000000"/>
              <w:left w:val="single" w:sz="4" w:space="0" w:color="000000"/>
              <w:bottom w:val="single" w:sz="4" w:space="0" w:color="000000"/>
              <w:right w:val="single" w:sz="4" w:space="0" w:color="000000"/>
            </w:tcBorders>
            <w:vAlign w:val="center"/>
          </w:tcPr>
          <w:p w14:paraId="0A49FF2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 xml:space="preserve">pH </w:t>
            </w:r>
            <w:r>
              <w:rPr>
                <w:rFonts w:ascii="Times New Roman" w:eastAsia="宋体" w:hAnsi="Times New Roman" w:cs="Times New Roman"/>
                <w:color w:val="FF0000"/>
                <w:szCs w:val="21"/>
                <w:lang w:eastAsia="en-US" w:bidi="en-US"/>
              </w:rPr>
              <w:t>值</w:t>
            </w:r>
          </w:p>
        </w:tc>
        <w:tc>
          <w:tcPr>
            <w:tcW w:w="1129" w:type="dxa"/>
            <w:tcBorders>
              <w:top w:val="single" w:sz="4" w:space="0" w:color="000000"/>
              <w:left w:val="single" w:sz="4" w:space="0" w:color="000000"/>
              <w:bottom w:val="single" w:sz="4" w:space="0" w:color="000000"/>
              <w:right w:val="single" w:sz="4" w:space="0" w:color="000000"/>
            </w:tcBorders>
            <w:vAlign w:val="center"/>
          </w:tcPr>
          <w:p w14:paraId="53CF45F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无量纲</w:t>
            </w:r>
          </w:p>
        </w:tc>
        <w:tc>
          <w:tcPr>
            <w:tcW w:w="2166" w:type="dxa"/>
            <w:tcBorders>
              <w:top w:val="single" w:sz="4" w:space="0" w:color="000000"/>
              <w:left w:val="single" w:sz="4" w:space="0" w:color="000000"/>
              <w:bottom w:val="single" w:sz="4" w:space="0" w:color="000000"/>
              <w:right w:val="single" w:sz="4" w:space="0" w:color="000000"/>
            </w:tcBorders>
            <w:vAlign w:val="center"/>
          </w:tcPr>
          <w:p w14:paraId="51BC5F7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6.9</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42A805D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6.8</w:t>
            </w:r>
          </w:p>
        </w:tc>
        <w:tc>
          <w:tcPr>
            <w:tcW w:w="1944" w:type="dxa"/>
            <w:gridSpan w:val="2"/>
            <w:tcBorders>
              <w:top w:val="single" w:sz="4" w:space="0" w:color="000000"/>
              <w:left w:val="single" w:sz="4" w:space="0" w:color="000000"/>
              <w:bottom w:val="single" w:sz="4" w:space="0" w:color="000000"/>
            </w:tcBorders>
            <w:vAlign w:val="center"/>
          </w:tcPr>
          <w:p w14:paraId="42F400B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6.8</w:t>
            </w:r>
          </w:p>
        </w:tc>
        <w:tc>
          <w:tcPr>
            <w:tcW w:w="1411" w:type="dxa"/>
            <w:vMerge/>
            <w:tcBorders>
              <w:left w:val="single" w:sz="4" w:space="0" w:color="000000"/>
            </w:tcBorders>
            <w:vAlign w:val="center"/>
          </w:tcPr>
          <w:p w14:paraId="25CD160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3D455586"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76C2E62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流速</w:t>
            </w:r>
          </w:p>
        </w:tc>
        <w:tc>
          <w:tcPr>
            <w:tcW w:w="1129" w:type="dxa"/>
            <w:tcBorders>
              <w:top w:val="single" w:sz="4" w:space="0" w:color="000000"/>
              <w:left w:val="single" w:sz="4" w:space="0" w:color="000000"/>
              <w:bottom w:val="single" w:sz="4" w:space="0" w:color="000000"/>
              <w:right w:val="single" w:sz="4" w:space="0" w:color="000000"/>
            </w:tcBorders>
            <w:vAlign w:val="center"/>
          </w:tcPr>
          <w:p w14:paraId="2E051D4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m/s</w:t>
            </w:r>
          </w:p>
        </w:tc>
        <w:tc>
          <w:tcPr>
            <w:tcW w:w="2166" w:type="dxa"/>
            <w:tcBorders>
              <w:top w:val="single" w:sz="4" w:space="0" w:color="000000"/>
              <w:left w:val="single" w:sz="4" w:space="0" w:color="000000"/>
              <w:bottom w:val="single" w:sz="4" w:space="0" w:color="000000"/>
              <w:right w:val="single" w:sz="4" w:space="0" w:color="000000"/>
            </w:tcBorders>
            <w:vAlign w:val="center"/>
          </w:tcPr>
          <w:p w14:paraId="1540C08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1.6</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7025BF9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1.5</w:t>
            </w:r>
          </w:p>
        </w:tc>
        <w:tc>
          <w:tcPr>
            <w:tcW w:w="1944" w:type="dxa"/>
            <w:gridSpan w:val="2"/>
            <w:tcBorders>
              <w:top w:val="single" w:sz="4" w:space="0" w:color="000000"/>
              <w:left w:val="single" w:sz="4" w:space="0" w:color="000000"/>
              <w:bottom w:val="single" w:sz="4" w:space="0" w:color="000000"/>
            </w:tcBorders>
            <w:vAlign w:val="center"/>
          </w:tcPr>
          <w:p w14:paraId="7333326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1.5</w:t>
            </w:r>
          </w:p>
        </w:tc>
        <w:tc>
          <w:tcPr>
            <w:tcW w:w="1411" w:type="dxa"/>
            <w:vMerge/>
            <w:tcBorders>
              <w:left w:val="single" w:sz="4" w:space="0" w:color="000000"/>
            </w:tcBorders>
            <w:vAlign w:val="center"/>
          </w:tcPr>
          <w:p w14:paraId="0E21AF0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271C27DB"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27EEBA5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水深</w:t>
            </w:r>
          </w:p>
        </w:tc>
        <w:tc>
          <w:tcPr>
            <w:tcW w:w="1129" w:type="dxa"/>
            <w:tcBorders>
              <w:top w:val="single" w:sz="4" w:space="0" w:color="000000"/>
              <w:left w:val="single" w:sz="4" w:space="0" w:color="000000"/>
              <w:bottom w:val="single" w:sz="4" w:space="0" w:color="000000"/>
              <w:right w:val="single" w:sz="4" w:space="0" w:color="000000"/>
            </w:tcBorders>
            <w:vAlign w:val="center"/>
          </w:tcPr>
          <w:p w14:paraId="0C6E779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w:t>
            </w:r>
          </w:p>
        </w:tc>
        <w:tc>
          <w:tcPr>
            <w:tcW w:w="5838" w:type="dxa"/>
            <w:gridSpan w:val="7"/>
            <w:tcBorders>
              <w:top w:val="single" w:sz="4" w:space="0" w:color="000000"/>
              <w:left w:val="single" w:sz="4" w:space="0" w:color="000000"/>
              <w:bottom w:val="single" w:sz="4" w:space="0" w:color="000000"/>
            </w:tcBorders>
            <w:vAlign w:val="center"/>
          </w:tcPr>
          <w:p w14:paraId="04EE9E3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w:t>
            </w:r>
          </w:p>
        </w:tc>
        <w:tc>
          <w:tcPr>
            <w:tcW w:w="1411" w:type="dxa"/>
            <w:vMerge/>
            <w:tcBorders>
              <w:left w:val="single" w:sz="4" w:space="0" w:color="000000"/>
            </w:tcBorders>
            <w:vAlign w:val="center"/>
          </w:tcPr>
          <w:p w14:paraId="513987D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5CF969DB"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7E31C89B"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河宽</w:t>
            </w:r>
          </w:p>
        </w:tc>
        <w:tc>
          <w:tcPr>
            <w:tcW w:w="1129" w:type="dxa"/>
            <w:tcBorders>
              <w:top w:val="single" w:sz="4" w:space="0" w:color="000000"/>
              <w:left w:val="single" w:sz="4" w:space="0" w:color="000000"/>
              <w:bottom w:val="single" w:sz="4" w:space="0" w:color="000000"/>
              <w:right w:val="single" w:sz="4" w:space="0" w:color="000000"/>
            </w:tcBorders>
            <w:vAlign w:val="center"/>
          </w:tcPr>
          <w:p w14:paraId="56E9F08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w:t>
            </w:r>
          </w:p>
        </w:tc>
        <w:tc>
          <w:tcPr>
            <w:tcW w:w="5838" w:type="dxa"/>
            <w:gridSpan w:val="7"/>
            <w:tcBorders>
              <w:top w:val="single" w:sz="4" w:space="0" w:color="000000"/>
              <w:left w:val="single" w:sz="4" w:space="0" w:color="000000"/>
              <w:bottom w:val="single" w:sz="4" w:space="0" w:color="000000"/>
            </w:tcBorders>
            <w:vAlign w:val="center"/>
          </w:tcPr>
          <w:p w14:paraId="67BD153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w:t>
            </w:r>
          </w:p>
        </w:tc>
        <w:tc>
          <w:tcPr>
            <w:tcW w:w="1411" w:type="dxa"/>
            <w:vMerge/>
            <w:tcBorders>
              <w:left w:val="single" w:sz="4" w:space="0" w:color="000000"/>
            </w:tcBorders>
            <w:vAlign w:val="center"/>
          </w:tcPr>
          <w:p w14:paraId="5BE4360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107A0093" w14:textId="77777777" w:rsidTr="002A4A5F">
        <w:trPr>
          <w:jc w:val="center"/>
        </w:trPr>
        <w:tc>
          <w:tcPr>
            <w:tcW w:w="1107" w:type="dxa"/>
            <w:gridSpan w:val="2"/>
            <w:tcBorders>
              <w:bottom w:val="single" w:sz="4" w:space="0" w:color="000000"/>
              <w:right w:val="single" w:sz="4" w:space="0" w:color="000000"/>
            </w:tcBorders>
            <w:vAlign w:val="center"/>
          </w:tcPr>
          <w:p w14:paraId="27F8DF24"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r>
              <w:rPr>
                <w:rFonts w:ascii="Times New Roman" w:eastAsia="宋体" w:hAnsi="Times New Roman" w:cs="Times New Roman"/>
                <w:b/>
                <w:color w:val="FF0000"/>
                <w:szCs w:val="21"/>
                <w:lang w:eastAsia="en-US" w:bidi="en-US"/>
              </w:rPr>
              <w:t>监测点位</w:t>
            </w:r>
          </w:p>
        </w:tc>
        <w:tc>
          <w:tcPr>
            <w:tcW w:w="4710" w:type="dxa"/>
            <w:gridSpan w:val="4"/>
            <w:tcBorders>
              <w:left w:val="single" w:sz="4" w:space="0" w:color="000000"/>
              <w:bottom w:val="single" w:sz="4" w:space="0" w:color="000000"/>
              <w:right w:val="single" w:sz="4" w:space="0" w:color="000000"/>
            </w:tcBorders>
            <w:vAlign w:val="center"/>
          </w:tcPr>
          <w:p w14:paraId="119528BF"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color w:val="FF0000"/>
                <w:szCs w:val="21"/>
                <w:lang w:bidi="en-US"/>
              </w:rPr>
              <w:t>2#</w:t>
            </w:r>
            <w:r>
              <w:rPr>
                <w:rFonts w:ascii="Times New Roman" w:eastAsia="宋体" w:hAnsi="Times New Roman" w:cs="Times New Roman"/>
                <w:color w:val="FF0000"/>
                <w:szCs w:val="21"/>
                <w:lang w:bidi="en-US"/>
              </w:rPr>
              <w:t>断面小六里沟与峡沟磨河交汇处下游</w:t>
            </w:r>
            <w:r>
              <w:rPr>
                <w:rFonts w:ascii="Times New Roman" w:eastAsia="宋体" w:hAnsi="Times New Roman" w:cs="Times New Roman"/>
                <w:color w:val="FF0000"/>
                <w:szCs w:val="21"/>
                <w:lang w:bidi="en-US"/>
              </w:rPr>
              <w:t xml:space="preserve"> 500m</w:t>
            </w:r>
            <w:r>
              <w:rPr>
                <w:rFonts w:ascii="Times New Roman" w:eastAsia="宋体" w:hAnsi="Times New Roman" w:cs="Times New Roman"/>
                <w:color w:val="FF0000"/>
                <w:szCs w:val="21"/>
                <w:lang w:bidi="en-US"/>
              </w:rPr>
              <w:t>处</w:t>
            </w:r>
          </w:p>
        </w:tc>
        <w:tc>
          <w:tcPr>
            <w:tcW w:w="1106" w:type="dxa"/>
            <w:gridSpan w:val="2"/>
            <w:tcBorders>
              <w:left w:val="single" w:sz="4" w:space="0" w:color="000000"/>
              <w:bottom w:val="single" w:sz="4" w:space="0" w:color="000000"/>
              <w:right w:val="single" w:sz="4" w:space="0" w:color="000000"/>
            </w:tcBorders>
            <w:vAlign w:val="center"/>
          </w:tcPr>
          <w:p w14:paraId="2248D180"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r>
              <w:rPr>
                <w:rFonts w:ascii="Times New Roman" w:eastAsia="宋体" w:hAnsi="Times New Roman" w:cs="Times New Roman"/>
                <w:b/>
                <w:color w:val="FF0000"/>
                <w:szCs w:val="21"/>
                <w:lang w:eastAsia="en-US" w:bidi="en-US"/>
              </w:rPr>
              <w:t>样品描述</w:t>
            </w:r>
          </w:p>
        </w:tc>
        <w:tc>
          <w:tcPr>
            <w:tcW w:w="2031" w:type="dxa"/>
            <w:gridSpan w:val="3"/>
            <w:tcBorders>
              <w:left w:val="single" w:sz="4" w:space="0" w:color="000000"/>
              <w:bottom w:val="single" w:sz="4" w:space="0" w:color="000000"/>
            </w:tcBorders>
            <w:vAlign w:val="center"/>
          </w:tcPr>
          <w:p w14:paraId="5E99D21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无色、无味、清澈</w:t>
            </w:r>
          </w:p>
        </w:tc>
        <w:tc>
          <w:tcPr>
            <w:tcW w:w="1411" w:type="dxa"/>
            <w:tcBorders>
              <w:left w:val="single" w:sz="4" w:space="0" w:color="000000"/>
              <w:bottom w:val="single" w:sz="4" w:space="0" w:color="000000"/>
            </w:tcBorders>
            <w:vAlign w:val="center"/>
          </w:tcPr>
          <w:p w14:paraId="4E1ED90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4CB0CAC1"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374BF0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pH</w:t>
            </w:r>
          </w:p>
        </w:tc>
        <w:tc>
          <w:tcPr>
            <w:tcW w:w="1129" w:type="dxa"/>
            <w:tcBorders>
              <w:top w:val="single" w:sz="4" w:space="0" w:color="000000"/>
              <w:left w:val="single" w:sz="4" w:space="0" w:color="000000"/>
              <w:bottom w:val="single" w:sz="4" w:space="0" w:color="000000"/>
              <w:right w:val="single" w:sz="4" w:space="0" w:color="000000"/>
            </w:tcBorders>
            <w:vAlign w:val="center"/>
          </w:tcPr>
          <w:p w14:paraId="20D0344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无量纲</w:t>
            </w:r>
          </w:p>
        </w:tc>
        <w:tc>
          <w:tcPr>
            <w:tcW w:w="2166" w:type="dxa"/>
            <w:tcBorders>
              <w:top w:val="single" w:sz="4" w:space="0" w:color="000000"/>
              <w:left w:val="single" w:sz="4" w:space="0" w:color="000000"/>
              <w:bottom w:val="single" w:sz="4" w:space="0" w:color="000000"/>
              <w:right w:val="single" w:sz="4" w:space="0" w:color="000000"/>
            </w:tcBorders>
            <w:vAlign w:val="center"/>
          </w:tcPr>
          <w:p w14:paraId="6E73248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6.9</w:t>
            </w:r>
            <w:r>
              <w:rPr>
                <w:rFonts w:ascii="Times New Roman" w:eastAsia="宋体" w:hAnsi="Times New Roman" w:cs="Times New Roman"/>
                <w:color w:val="FF0000"/>
                <w:szCs w:val="21"/>
                <w:lang w:eastAsia="en-US" w:bidi="en-US"/>
              </w:rPr>
              <w:t>（</w:t>
            </w:r>
            <w:r>
              <w:rPr>
                <w:rFonts w:ascii="Times New Roman" w:eastAsia="宋体" w:hAnsi="Times New Roman" w:cs="Times New Roman"/>
                <w:color w:val="FF0000"/>
                <w:szCs w:val="21"/>
                <w:lang w:eastAsia="en-US" w:bidi="en-US"/>
              </w:rPr>
              <w:t>11.9℃</w:t>
            </w:r>
            <w:r>
              <w:rPr>
                <w:rFonts w:ascii="Times New Roman" w:eastAsia="宋体" w:hAnsi="Times New Roman" w:cs="Times New Roman"/>
                <w:color w:val="FF0000"/>
                <w:szCs w:val="21"/>
                <w:lang w:eastAsia="en-US" w:bidi="en-US"/>
              </w:rPr>
              <w:t>）</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524CE52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6.8</w:t>
            </w:r>
            <w:r>
              <w:rPr>
                <w:rFonts w:ascii="Times New Roman" w:eastAsia="宋体" w:hAnsi="Times New Roman" w:cs="Times New Roman"/>
                <w:color w:val="FF0000"/>
                <w:szCs w:val="21"/>
                <w:lang w:eastAsia="en-US" w:bidi="en-US"/>
              </w:rPr>
              <w:t>（</w:t>
            </w:r>
            <w:r>
              <w:rPr>
                <w:rFonts w:ascii="Times New Roman" w:eastAsia="宋体" w:hAnsi="Times New Roman" w:cs="Times New Roman"/>
                <w:color w:val="FF0000"/>
                <w:szCs w:val="21"/>
                <w:lang w:eastAsia="en-US" w:bidi="en-US"/>
              </w:rPr>
              <w:t>12.1℃</w:t>
            </w:r>
            <w:r>
              <w:rPr>
                <w:rFonts w:ascii="Times New Roman" w:eastAsia="宋体" w:hAnsi="Times New Roman" w:cs="Times New Roman"/>
                <w:color w:val="FF0000"/>
                <w:szCs w:val="21"/>
                <w:lang w:eastAsia="en-US" w:bidi="en-US"/>
              </w:rPr>
              <w:t>）</w:t>
            </w:r>
          </w:p>
        </w:tc>
        <w:tc>
          <w:tcPr>
            <w:tcW w:w="1944" w:type="dxa"/>
            <w:gridSpan w:val="2"/>
            <w:tcBorders>
              <w:top w:val="single" w:sz="4" w:space="0" w:color="000000"/>
              <w:left w:val="single" w:sz="4" w:space="0" w:color="000000"/>
              <w:bottom w:val="single" w:sz="4" w:space="0" w:color="000000"/>
            </w:tcBorders>
            <w:vAlign w:val="center"/>
          </w:tcPr>
          <w:p w14:paraId="6AFFACC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6.9</w:t>
            </w:r>
            <w:r>
              <w:rPr>
                <w:rFonts w:ascii="Times New Roman" w:eastAsia="宋体" w:hAnsi="Times New Roman" w:cs="Times New Roman"/>
                <w:color w:val="FF0000"/>
                <w:szCs w:val="21"/>
                <w:lang w:eastAsia="en-US" w:bidi="en-US"/>
              </w:rPr>
              <w:t>（</w:t>
            </w:r>
            <w:r>
              <w:rPr>
                <w:rFonts w:ascii="Times New Roman" w:eastAsia="宋体" w:hAnsi="Times New Roman" w:cs="Times New Roman"/>
                <w:color w:val="FF0000"/>
                <w:szCs w:val="21"/>
                <w:lang w:eastAsia="en-US" w:bidi="en-US"/>
              </w:rPr>
              <w:t>11.9℃</w:t>
            </w:r>
            <w:r>
              <w:rPr>
                <w:rFonts w:ascii="Times New Roman" w:eastAsia="宋体" w:hAnsi="Times New Roman" w:cs="Times New Roman"/>
                <w:color w:val="FF0000"/>
                <w:szCs w:val="21"/>
                <w:lang w:eastAsia="en-US" w:bidi="en-US"/>
              </w:rPr>
              <w:t>）</w:t>
            </w:r>
          </w:p>
        </w:tc>
        <w:tc>
          <w:tcPr>
            <w:tcW w:w="1411" w:type="dxa"/>
            <w:tcBorders>
              <w:top w:val="single" w:sz="4" w:space="0" w:color="000000"/>
              <w:left w:val="single" w:sz="4" w:space="0" w:color="000000"/>
              <w:bottom w:val="single" w:sz="4" w:space="0" w:color="000000"/>
            </w:tcBorders>
            <w:vAlign w:val="center"/>
          </w:tcPr>
          <w:p w14:paraId="6D93730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6~9</w:t>
            </w:r>
          </w:p>
        </w:tc>
      </w:tr>
      <w:tr w:rsidR="002A4A5F" w14:paraId="78052E74"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55F27A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水温</w:t>
            </w:r>
          </w:p>
        </w:tc>
        <w:tc>
          <w:tcPr>
            <w:tcW w:w="1129" w:type="dxa"/>
            <w:tcBorders>
              <w:top w:val="single" w:sz="4" w:space="0" w:color="000000"/>
              <w:left w:val="single" w:sz="4" w:space="0" w:color="000000"/>
              <w:bottom w:val="single" w:sz="4" w:space="0" w:color="000000"/>
              <w:right w:val="single" w:sz="4" w:space="0" w:color="000000"/>
            </w:tcBorders>
            <w:vAlign w:val="center"/>
          </w:tcPr>
          <w:p w14:paraId="1E810DD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w:t>
            </w:r>
          </w:p>
        </w:tc>
        <w:tc>
          <w:tcPr>
            <w:tcW w:w="2166" w:type="dxa"/>
            <w:tcBorders>
              <w:top w:val="single" w:sz="4" w:space="0" w:color="000000"/>
              <w:left w:val="single" w:sz="4" w:space="0" w:color="000000"/>
              <w:bottom w:val="single" w:sz="4" w:space="0" w:color="000000"/>
              <w:right w:val="single" w:sz="4" w:space="0" w:color="000000"/>
            </w:tcBorders>
            <w:vAlign w:val="center"/>
          </w:tcPr>
          <w:p w14:paraId="57FC67E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11.9</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092A628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12.1</w:t>
            </w:r>
          </w:p>
        </w:tc>
        <w:tc>
          <w:tcPr>
            <w:tcW w:w="1944" w:type="dxa"/>
            <w:gridSpan w:val="2"/>
            <w:tcBorders>
              <w:top w:val="single" w:sz="4" w:space="0" w:color="000000"/>
              <w:left w:val="single" w:sz="4" w:space="0" w:color="000000"/>
              <w:bottom w:val="single" w:sz="4" w:space="0" w:color="000000"/>
            </w:tcBorders>
            <w:vAlign w:val="center"/>
          </w:tcPr>
          <w:p w14:paraId="3A13BB6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11.9</w:t>
            </w:r>
          </w:p>
        </w:tc>
        <w:tc>
          <w:tcPr>
            <w:tcW w:w="1411" w:type="dxa"/>
            <w:tcBorders>
              <w:top w:val="single" w:sz="4" w:space="0" w:color="000000"/>
              <w:left w:val="single" w:sz="4" w:space="0" w:color="000000"/>
              <w:bottom w:val="single" w:sz="4" w:space="0" w:color="000000"/>
            </w:tcBorders>
            <w:vAlign w:val="center"/>
          </w:tcPr>
          <w:p w14:paraId="220A1646"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周平均最大温升≤</w:t>
            </w:r>
            <w:r>
              <w:rPr>
                <w:rFonts w:ascii="Times New Roman" w:eastAsia="宋体" w:hAnsi="Times New Roman" w:cs="Times New Roman" w:hint="eastAsia"/>
                <w:color w:val="FF0000"/>
                <w:szCs w:val="21"/>
                <w:lang w:bidi="en-US"/>
              </w:rPr>
              <w:t>1</w:t>
            </w:r>
            <w:r>
              <w:rPr>
                <w:rFonts w:ascii="Times New Roman" w:eastAsia="宋体" w:hAnsi="Times New Roman" w:cs="Times New Roman" w:hint="eastAsia"/>
                <w:color w:val="FF0000"/>
                <w:szCs w:val="21"/>
                <w:lang w:bidi="en-US"/>
              </w:rPr>
              <w:t>；周平均最大温降≤</w:t>
            </w:r>
            <w:r>
              <w:rPr>
                <w:rFonts w:ascii="Times New Roman" w:eastAsia="宋体" w:hAnsi="Times New Roman" w:cs="Times New Roman" w:hint="eastAsia"/>
                <w:color w:val="FF0000"/>
                <w:szCs w:val="21"/>
                <w:lang w:bidi="en-US"/>
              </w:rPr>
              <w:t>2</w:t>
            </w:r>
          </w:p>
        </w:tc>
      </w:tr>
      <w:tr w:rsidR="002A4A5F" w14:paraId="2C196845"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79D40CB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悬浮物</w:t>
            </w:r>
          </w:p>
        </w:tc>
        <w:tc>
          <w:tcPr>
            <w:tcW w:w="1129" w:type="dxa"/>
            <w:tcBorders>
              <w:top w:val="single" w:sz="4" w:space="0" w:color="000000"/>
              <w:left w:val="single" w:sz="4" w:space="0" w:color="000000"/>
              <w:bottom w:val="single" w:sz="4" w:space="0" w:color="000000"/>
              <w:right w:val="single" w:sz="4" w:space="0" w:color="000000"/>
            </w:tcBorders>
            <w:vAlign w:val="center"/>
          </w:tcPr>
          <w:p w14:paraId="56F92DA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305A84F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1BACC5C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w:t>
            </w:r>
          </w:p>
        </w:tc>
        <w:tc>
          <w:tcPr>
            <w:tcW w:w="1944" w:type="dxa"/>
            <w:gridSpan w:val="2"/>
            <w:tcBorders>
              <w:top w:val="single" w:sz="4" w:space="0" w:color="000000"/>
              <w:left w:val="single" w:sz="4" w:space="0" w:color="000000"/>
              <w:bottom w:val="single" w:sz="4" w:space="0" w:color="000000"/>
            </w:tcBorders>
            <w:vAlign w:val="center"/>
          </w:tcPr>
          <w:p w14:paraId="4E2B9A3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8</w:t>
            </w:r>
          </w:p>
        </w:tc>
        <w:tc>
          <w:tcPr>
            <w:tcW w:w="1411" w:type="dxa"/>
            <w:tcBorders>
              <w:top w:val="single" w:sz="4" w:space="0" w:color="000000"/>
              <w:left w:val="single" w:sz="4" w:space="0" w:color="000000"/>
              <w:bottom w:val="single" w:sz="4" w:space="0" w:color="000000"/>
            </w:tcBorders>
            <w:vAlign w:val="center"/>
          </w:tcPr>
          <w:p w14:paraId="79C8EC2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23EF2530"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65C1E48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化学需氧量</w:t>
            </w:r>
          </w:p>
        </w:tc>
        <w:tc>
          <w:tcPr>
            <w:tcW w:w="1129" w:type="dxa"/>
            <w:tcBorders>
              <w:top w:val="single" w:sz="4" w:space="0" w:color="000000"/>
              <w:left w:val="single" w:sz="4" w:space="0" w:color="000000"/>
              <w:bottom w:val="single" w:sz="4" w:space="0" w:color="000000"/>
              <w:right w:val="single" w:sz="4" w:space="0" w:color="000000"/>
            </w:tcBorders>
            <w:vAlign w:val="center"/>
          </w:tcPr>
          <w:p w14:paraId="5A68D12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022BC0C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14</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638F20F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13</w:t>
            </w:r>
          </w:p>
        </w:tc>
        <w:tc>
          <w:tcPr>
            <w:tcW w:w="1944" w:type="dxa"/>
            <w:gridSpan w:val="2"/>
            <w:tcBorders>
              <w:top w:val="single" w:sz="4" w:space="0" w:color="000000"/>
              <w:left w:val="single" w:sz="4" w:space="0" w:color="000000"/>
              <w:bottom w:val="single" w:sz="4" w:space="0" w:color="000000"/>
            </w:tcBorders>
            <w:vAlign w:val="center"/>
          </w:tcPr>
          <w:p w14:paraId="04F107B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15</w:t>
            </w:r>
          </w:p>
        </w:tc>
        <w:tc>
          <w:tcPr>
            <w:tcW w:w="1411" w:type="dxa"/>
            <w:tcBorders>
              <w:top w:val="single" w:sz="4" w:space="0" w:color="000000"/>
              <w:left w:val="single" w:sz="4" w:space="0" w:color="000000"/>
              <w:bottom w:val="single" w:sz="4" w:space="0" w:color="000000"/>
            </w:tcBorders>
            <w:vAlign w:val="center"/>
          </w:tcPr>
          <w:p w14:paraId="2DC2C43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15</w:t>
            </w:r>
          </w:p>
        </w:tc>
      </w:tr>
      <w:tr w:rsidR="002A4A5F" w14:paraId="7984C58D"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287271C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五日生化需氧量</w:t>
            </w:r>
          </w:p>
        </w:tc>
        <w:tc>
          <w:tcPr>
            <w:tcW w:w="1129" w:type="dxa"/>
            <w:tcBorders>
              <w:top w:val="single" w:sz="4" w:space="0" w:color="000000"/>
              <w:left w:val="single" w:sz="4" w:space="0" w:color="000000"/>
              <w:bottom w:val="single" w:sz="4" w:space="0" w:color="000000"/>
              <w:right w:val="single" w:sz="4" w:space="0" w:color="000000"/>
            </w:tcBorders>
            <w:vAlign w:val="center"/>
          </w:tcPr>
          <w:p w14:paraId="4984139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6AEFA2E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2.4</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064A449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2.5</w:t>
            </w:r>
          </w:p>
        </w:tc>
        <w:tc>
          <w:tcPr>
            <w:tcW w:w="1944" w:type="dxa"/>
            <w:gridSpan w:val="2"/>
            <w:tcBorders>
              <w:top w:val="single" w:sz="4" w:space="0" w:color="000000"/>
              <w:left w:val="single" w:sz="4" w:space="0" w:color="000000"/>
              <w:bottom w:val="single" w:sz="4" w:space="0" w:color="000000"/>
            </w:tcBorders>
            <w:vAlign w:val="center"/>
          </w:tcPr>
          <w:p w14:paraId="6A368E0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2.5</w:t>
            </w:r>
          </w:p>
        </w:tc>
        <w:tc>
          <w:tcPr>
            <w:tcW w:w="1411" w:type="dxa"/>
            <w:tcBorders>
              <w:top w:val="single" w:sz="4" w:space="0" w:color="000000"/>
              <w:left w:val="single" w:sz="4" w:space="0" w:color="000000"/>
              <w:bottom w:val="single" w:sz="4" w:space="0" w:color="000000"/>
            </w:tcBorders>
            <w:vAlign w:val="center"/>
          </w:tcPr>
          <w:p w14:paraId="49F28FD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3</w:t>
            </w:r>
          </w:p>
        </w:tc>
      </w:tr>
      <w:tr w:rsidR="002A4A5F" w14:paraId="157FF5E3"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759BB6F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氨氮</w:t>
            </w:r>
          </w:p>
        </w:tc>
        <w:tc>
          <w:tcPr>
            <w:tcW w:w="1129" w:type="dxa"/>
            <w:tcBorders>
              <w:top w:val="single" w:sz="4" w:space="0" w:color="000000"/>
              <w:left w:val="single" w:sz="4" w:space="0" w:color="000000"/>
              <w:bottom w:val="single" w:sz="4" w:space="0" w:color="000000"/>
              <w:right w:val="single" w:sz="4" w:space="0" w:color="000000"/>
            </w:tcBorders>
            <w:vAlign w:val="center"/>
          </w:tcPr>
          <w:p w14:paraId="71C8296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26E858D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0.117</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3AA5DC0B"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0.112</w:t>
            </w:r>
          </w:p>
        </w:tc>
        <w:tc>
          <w:tcPr>
            <w:tcW w:w="1944" w:type="dxa"/>
            <w:gridSpan w:val="2"/>
            <w:tcBorders>
              <w:top w:val="single" w:sz="4" w:space="0" w:color="000000"/>
              <w:left w:val="single" w:sz="4" w:space="0" w:color="000000"/>
              <w:bottom w:val="single" w:sz="4" w:space="0" w:color="000000"/>
            </w:tcBorders>
            <w:vAlign w:val="center"/>
          </w:tcPr>
          <w:p w14:paraId="07F76FF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0.111</w:t>
            </w:r>
          </w:p>
        </w:tc>
        <w:tc>
          <w:tcPr>
            <w:tcW w:w="1411" w:type="dxa"/>
            <w:tcBorders>
              <w:top w:val="single" w:sz="4" w:space="0" w:color="000000"/>
              <w:left w:val="single" w:sz="4" w:space="0" w:color="000000"/>
              <w:bottom w:val="single" w:sz="4" w:space="0" w:color="000000"/>
            </w:tcBorders>
            <w:vAlign w:val="center"/>
          </w:tcPr>
          <w:p w14:paraId="3A8EDB4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0.5</w:t>
            </w:r>
          </w:p>
        </w:tc>
      </w:tr>
      <w:tr w:rsidR="002A4A5F" w14:paraId="56E2DA2F"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6908C1E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总磷</w:t>
            </w:r>
          </w:p>
        </w:tc>
        <w:tc>
          <w:tcPr>
            <w:tcW w:w="1129" w:type="dxa"/>
            <w:tcBorders>
              <w:top w:val="single" w:sz="4" w:space="0" w:color="000000"/>
              <w:left w:val="single" w:sz="4" w:space="0" w:color="000000"/>
              <w:bottom w:val="single" w:sz="4" w:space="0" w:color="000000"/>
              <w:right w:val="single" w:sz="4" w:space="0" w:color="000000"/>
            </w:tcBorders>
            <w:vAlign w:val="center"/>
          </w:tcPr>
          <w:p w14:paraId="1004B7B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200851F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0.03</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7A3DB8A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0.05</w:t>
            </w:r>
          </w:p>
        </w:tc>
        <w:tc>
          <w:tcPr>
            <w:tcW w:w="1944" w:type="dxa"/>
            <w:gridSpan w:val="2"/>
            <w:tcBorders>
              <w:top w:val="single" w:sz="4" w:space="0" w:color="000000"/>
              <w:left w:val="single" w:sz="4" w:space="0" w:color="000000"/>
              <w:bottom w:val="single" w:sz="4" w:space="0" w:color="000000"/>
            </w:tcBorders>
            <w:vAlign w:val="center"/>
          </w:tcPr>
          <w:p w14:paraId="2CE136B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0.04</w:t>
            </w:r>
          </w:p>
        </w:tc>
        <w:tc>
          <w:tcPr>
            <w:tcW w:w="1411" w:type="dxa"/>
            <w:tcBorders>
              <w:top w:val="single" w:sz="4" w:space="0" w:color="000000"/>
              <w:left w:val="single" w:sz="4" w:space="0" w:color="000000"/>
              <w:bottom w:val="single" w:sz="4" w:space="0" w:color="000000"/>
            </w:tcBorders>
            <w:vAlign w:val="center"/>
          </w:tcPr>
          <w:p w14:paraId="56FD84F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0.1</w:t>
            </w:r>
          </w:p>
        </w:tc>
      </w:tr>
      <w:tr w:rsidR="002A4A5F" w14:paraId="5C44FA69"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57D930D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氯化物</w:t>
            </w:r>
          </w:p>
        </w:tc>
        <w:tc>
          <w:tcPr>
            <w:tcW w:w="1129" w:type="dxa"/>
            <w:tcBorders>
              <w:top w:val="single" w:sz="4" w:space="0" w:color="000000"/>
              <w:left w:val="single" w:sz="4" w:space="0" w:color="000000"/>
              <w:bottom w:val="single" w:sz="4" w:space="0" w:color="000000"/>
              <w:right w:val="single" w:sz="4" w:space="0" w:color="000000"/>
            </w:tcBorders>
            <w:vAlign w:val="center"/>
          </w:tcPr>
          <w:p w14:paraId="423373E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4AF36AC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8.58</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7753E45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8.53</w:t>
            </w:r>
          </w:p>
        </w:tc>
        <w:tc>
          <w:tcPr>
            <w:tcW w:w="1944" w:type="dxa"/>
            <w:gridSpan w:val="2"/>
            <w:tcBorders>
              <w:top w:val="single" w:sz="4" w:space="0" w:color="000000"/>
              <w:left w:val="single" w:sz="4" w:space="0" w:color="000000"/>
              <w:bottom w:val="single" w:sz="4" w:space="0" w:color="000000"/>
            </w:tcBorders>
            <w:vAlign w:val="center"/>
          </w:tcPr>
          <w:p w14:paraId="686B3F6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8.61</w:t>
            </w:r>
          </w:p>
        </w:tc>
        <w:tc>
          <w:tcPr>
            <w:tcW w:w="1411" w:type="dxa"/>
            <w:tcBorders>
              <w:top w:val="single" w:sz="4" w:space="0" w:color="000000"/>
              <w:left w:val="single" w:sz="4" w:space="0" w:color="000000"/>
              <w:bottom w:val="single" w:sz="4" w:space="0" w:color="000000"/>
            </w:tcBorders>
            <w:vAlign w:val="center"/>
          </w:tcPr>
          <w:p w14:paraId="756C715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250</w:t>
            </w:r>
          </w:p>
        </w:tc>
      </w:tr>
      <w:tr w:rsidR="002A4A5F" w14:paraId="2BEFEB88"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5D4765E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粪大肠菌群</w:t>
            </w:r>
          </w:p>
        </w:tc>
        <w:tc>
          <w:tcPr>
            <w:tcW w:w="1129" w:type="dxa"/>
            <w:tcBorders>
              <w:top w:val="single" w:sz="4" w:space="0" w:color="000000"/>
              <w:left w:val="single" w:sz="4" w:space="0" w:color="000000"/>
              <w:bottom w:val="single" w:sz="4" w:space="0" w:color="000000"/>
              <w:right w:val="single" w:sz="4" w:space="0" w:color="000000"/>
            </w:tcBorders>
            <w:vAlign w:val="center"/>
          </w:tcPr>
          <w:p w14:paraId="171C83D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MPN/L</w:t>
            </w:r>
          </w:p>
        </w:tc>
        <w:tc>
          <w:tcPr>
            <w:tcW w:w="2166" w:type="dxa"/>
            <w:tcBorders>
              <w:top w:val="single" w:sz="4" w:space="0" w:color="000000"/>
              <w:left w:val="single" w:sz="4" w:space="0" w:color="000000"/>
              <w:bottom w:val="single" w:sz="4" w:space="0" w:color="000000"/>
              <w:right w:val="single" w:sz="4" w:space="0" w:color="000000"/>
            </w:tcBorders>
            <w:vAlign w:val="center"/>
          </w:tcPr>
          <w:p w14:paraId="3BFAA8C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20</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1A2A5DD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40</w:t>
            </w:r>
          </w:p>
        </w:tc>
        <w:tc>
          <w:tcPr>
            <w:tcW w:w="1944" w:type="dxa"/>
            <w:gridSpan w:val="2"/>
            <w:tcBorders>
              <w:top w:val="single" w:sz="4" w:space="0" w:color="000000"/>
              <w:left w:val="single" w:sz="4" w:space="0" w:color="000000"/>
              <w:bottom w:val="single" w:sz="4" w:space="0" w:color="000000"/>
            </w:tcBorders>
            <w:vAlign w:val="center"/>
          </w:tcPr>
          <w:p w14:paraId="665F091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40</w:t>
            </w:r>
          </w:p>
        </w:tc>
        <w:tc>
          <w:tcPr>
            <w:tcW w:w="1411" w:type="dxa"/>
            <w:tcBorders>
              <w:top w:val="single" w:sz="4" w:space="0" w:color="000000"/>
              <w:left w:val="single" w:sz="4" w:space="0" w:color="000000"/>
              <w:bottom w:val="single" w:sz="4" w:space="0" w:color="000000"/>
            </w:tcBorders>
            <w:vAlign w:val="center"/>
          </w:tcPr>
          <w:p w14:paraId="66ECF7EB"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2000</w:t>
            </w:r>
          </w:p>
        </w:tc>
      </w:tr>
      <w:tr w:rsidR="002A4A5F" w14:paraId="4538F1B1"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2E2B8F3B"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汞</w:t>
            </w:r>
          </w:p>
        </w:tc>
        <w:tc>
          <w:tcPr>
            <w:tcW w:w="1129" w:type="dxa"/>
            <w:tcBorders>
              <w:top w:val="single" w:sz="4" w:space="0" w:color="000000"/>
              <w:left w:val="single" w:sz="4" w:space="0" w:color="000000"/>
              <w:bottom w:val="single" w:sz="4" w:space="0" w:color="000000"/>
              <w:right w:val="single" w:sz="4" w:space="0" w:color="000000"/>
            </w:tcBorders>
            <w:vAlign w:val="center"/>
          </w:tcPr>
          <w:p w14:paraId="5822A79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44835D6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0.00004ND</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7EA3690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0.00004ND</w:t>
            </w:r>
          </w:p>
        </w:tc>
        <w:tc>
          <w:tcPr>
            <w:tcW w:w="1944" w:type="dxa"/>
            <w:gridSpan w:val="2"/>
            <w:tcBorders>
              <w:top w:val="single" w:sz="4" w:space="0" w:color="000000"/>
              <w:left w:val="single" w:sz="4" w:space="0" w:color="000000"/>
              <w:bottom w:val="single" w:sz="4" w:space="0" w:color="000000"/>
            </w:tcBorders>
            <w:vAlign w:val="center"/>
          </w:tcPr>
          <w:p w14:paraId="5E00E9E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0.00004ND</w:t>
            </w:r>
          </w:p>
        </w:tc>
        <w:tc>
          <w:tcPr>
            <w:tcW w:w="1411" w:type="dxa"/>
            <w:tcBorders>
              <w:top w:val="single" w:sz="4" w:space="0" w:color="000000"/>
              <w:left w:val="single" w:sz="4" w:space="0" w:color="000000"/>
              <w:bottom w:val="single" w:sz="4" w:space="0" w:color="000000"/>
            </w:tcBorders>
            <w:vAlign w:val="center"/>
          </w:tcPr>
          <w:p w14:paraId="64199A1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0.00005</w:t>
            </w:r>
          </w:p>
        </w:tc>
      </w:tr>
      <w:tr w:rsidR="002A4A5F" w14:paraId="6F4F0B04"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49CF9E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铅</w:t>
            </w:r>
          </w:p>
        </w:tc>
        <w:tc>
          <w:tcPr>
            <w:tcW w:w="1129" w:type="dxa"/>
            <w:tcBorders>
              <w:top w:val="single" w:sz="4" w:space="0" w:color="000000"/>
              <w:left w:val="single" w:sz="4" w:space="0" w:color="000000"/>
              <w:bottom w:val="single" w:sz="4" w:space="0" w:color="000000"/>
              <w:right w:val="single" w:sz="4" w:space="0" w:color="000000"/>
            </w:tcBorders>
            <w:vAlign w:val="center"/>
          </w:tcPr>
          <w:p w14:paraId="052AF9C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5CBCA38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0.003ND</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4BDB3FC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0.003ND</w:t>
            </w:r>
          </w:p>
        </w:tc>
        <w:tc>
          <w:tcPr>
            <w:tcW w:w="1944" w:type="dxa"/>
            <w:gridSpan w:val="2"/>
            <w:tcBorders>
              <w:top w:val="single" w:sz="4" w:space="0" w:color="000000"/>
              <w:left w:val="single" w:sz="4" w:space="0" w:color="000000"/>
              <w:bottom w:val="single" w:sz="4" w:space="0" w:color="000000"/>
            </w:tcBorders>
            <w:vAlign w:val="center"/>
          </w:tcPr>
          <w:p w14:paraId="352A69D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0.003ND</w:t>
            </w:r>
          </w:p>
        </w:tc>
        <w:tc>
          <w:tcPr>
            <w:tcW w:w="1411" w:type="dxa"/>
            <w:tcBorders>
              <w:top w:val="single" w:sz="4" w:space="0" w:color="000000"/>
              <w:left w:val="single" w:sz="4" w:space="0" w:color="000000"/>
              <w:bottom w:val="single" w:sz="4" w:space="0" w:color="000000"/>
            </w:tcBorders>
            <w:vAlign w:val="center"/>
          </w:tcPr>
          <w:p w14:paraId="372A5D6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0.01</w:t>
            </w:r>
          </w:p>
        </w:tc>
      </w:tr>
      <w:tr w:rsidR="002A4A5F" w14:paraId="3857933A"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4666924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镉</w:t>
            </w:r>
          </w:p>
        </w:tc>
        <w:tc>
          <w:tcPr>
            <w:tcW w:w="1129" w:type="dxa"/>
            <w:tcBorders>
              <w:top w:val="single" w:sz="4" w:space="0" w:color="000000"/>
              <w:left w:val="single" w:sz="4" w:space="0" w:color="000000"/>
              <w:bottom w:val="single" w:sz="4" w:space="0" w:color="000000"/>
              <w:right w:val="single" w:sz="4" w:space="0" w:color="000000"/>
            </w:tcBorders>
            <w:vAlign w:val="center"/>
          </w:tcPr>
          <w:p w14:paraId="6806E1D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6B1307D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541FA96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944" w:type="dxa"/>
            <w:gridSpan w:val="2"/>
            <w:tcBorders>
              <w:top w:val="single" w:sz="4" w:space="0" w:color="000000"/>
              <w:left w:val="single" w:sz="4" w:space="0" w:color="000000"/>
              <w:bottom w:val="single" w:sz="4" w:space="0" w:color="000000"/>
            </w:tcBorders>
            <w:vAlign w:val="center"/>
          </w:tcPr>
          <w:p w14:paraId="5DB3A5F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411" w:type="dxa"/>
            <w:tcBorders>
              <w:top w:val="single" w:sz="4" w:space="0" w:color="000000"/>
              <w:left w:val="single" w:sz="4" w:space="0" w:color="000000"/>
              <w:bottom w:val="single" w:sz="4" w:space="0" w:color="000000"/>
            </w:tcBorders>
            <w:vAlign w:val="center"/>
          </w:tcPr>
          <w:p w14:paraId="4FF3001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0.005</w:t>
            </w:r>
          </w:p>
        </w:tc>
      </w:tr>
      <w:tr w:rsidR="002A4A5F" w14:paraId="68EFA07F"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12B7F13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砷</w:t>
            </w:r>
          </w:p>
        </w:tc>
        <w:tc>
          <w:tcPr>
            <w:tcW w:w="1129" w:type="dxa"/>
            <w:tcBorders>
              <w:top w:val="single" w:sz="4" w:space="0" w:color="000000"/>
              <w:left w:val="single" w:sz="4" w:space="0" w:color="000000"/>
              <w:bottom w:val="single" w:sz="4" w:space="0" w:color="000000"/>
              <w:right w:val="single" w:sz="4" w:space="0" w:color="000000"/>
            </w:tcBorders>
            <w:vAlign w:val="center"/>
          </w:tcPr>
          <w:p w14:paraId="35AE6A7B"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7F37C8C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1A1F2B54"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944" w:type="dxa"/>
            <w:gridSpan w:val="2"/>
            <w:tcBorders>
              <w:top w:val="single" w:sz="4" w:space="0" w:color="000000"/>
              <w:left w:val="single" w:sz="4" w:space="0" w:color="000000"/>
              <w:bottom w:val="single" w:sz="4" w:space="0" w:color="000000"/>
            </w:tcBorders>
            <w:vAlign w:val="center"/>
          </w:tcPr>
          <w:p w14:paraId="38CDFAA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0.0003ND</w:t>
            </w:r>
          </w:p>
        </w:tc>
        <w:tc>
          <w:tcPr>
            <w:tcW w:w="1411" w:type="dxa"/>
            <w:tcBorders>
              <w:top w:val="single" w:sz="4" w:space="0" w:color="000000"/>
              <w:left w:val="single" w:sz="4" w:space="0" w:color="000000"/>
              <w:bottom w:val="single" w:sz="4" w:space="0" w:color="000000"/>
            </w:tcBorders>
            <w:vAlign w:val="center"/>
          </w:tcPr>
          <w:p w14:paraId="51168B6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0.05</w:t>
            </w:r>
          </w:p>
        </w:tc>
      </w:tr>
      <w:tr w:rsidR="002A4A5F" w14:paraId="0B0A68F9"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4BED286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总铬</w:t>
            </w:r>
          </w:p>
        </w:tc>
        <w:tc>
          <w:tcPr>
            <w:tcW w:w="1129" w:type="dxa"/>
            <w:tcBorders>
              <w:top w:val="single" w:sz="4" w:space="0" w:color="000000"/>
              <w:left w:val="single" w:sz="4" w:space="0" w:color="000000"/>
              <w:bottom w:val="single" w:sz="4" w:space="0" w:color="000000"/>
              <w:right w:val="single" w:sz="4" w:space="0" w:color="000000"/>
            </w:tcBorders>
            <w:vAlign w:val="center"/>
          </w:tcPr>
          <w:p w14:paraId="6434432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4400DE1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0.060</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70544D80"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0.062</w:t>
            </w:r>
          </w:p>
        </w:tc>
        <w:tc>
          <w:tcPr>
            <w:tcW w:w="1944" w:type="dxa"/>
            <w:gridSpan w:val="2"/>
            <w:tcBorders>
              <w:top w:val="single" w:sz="4" w:space="0" w:color="000000"/>
              <w:left w:val="single" w:sz="4" w:space="0" w:color="000000"/>
              <w:bottom w:val="single" w:sz="4" w:space="0" w:color="000000"/>
            </w:tcBorders>
            <w:vAlign w:val="center"/>
          </w:tcPr>
          <w:p w14:paraId="6D2E161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0.057</w:t>
            </w:r>
          </w:p>
        </w:tc>
        <w:tc>
          <w:tcPr>
            <w:tcW w:w="1411" w:type="dxa"/>
            <w:tcBorders>
              <w:top w:val="single" w:sz="4" w:space="0" w:color="000000"/>
              <w:left w:val="single" w:sz="4" w:space="0" w:color="000000"/>
              <w:bottom w:val="single" w:sz="4" w:space="0" w:color="000000"/>
            </w:tcBorders>
            <w:vAlign w:val="center"/>
          </w:tcPr>
          <w:p w14:paraId="1C12747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55475082"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2969E25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六价铬</w:t>
            </w:r>
          </w:p>
        </w:tc>
        <w:tc>
          <w:tcPr>
            <w:tcW w:w="1129" w:type="dxa"/>
            <w:tcBorders>
              <w:top w:val="single" w:sz="4" w:space="0" w:color="000000"/>
              <w:left w:val="single" w:sz="4" w:space="0" w:color="000000"/>
              <w:bottom w:val="single" w:sz="4" w:space="0" w:color="000000"/>
              <w:right w:val="single" w:sz="4" w:space="0" w:color="000000"/>
            </w:tcBorders>
            <w:vAlign w:val="center"/>
          </w:tcPr>
          <w:p w14:paraId="5E1CDAD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mg/L</w:t>
            </w:r>
          </w:p>
        </w:tc>
        <w:tc>
          <w:tcPr>
            <w:tcW w:w="2166" w:type="dxa"/>
            <w:tcBorders>
              <w:top w:val="single" w:sz="4" w:space="0" w:color="000000"/>
              <w:left w:val="single" w:sz="4" w:space="0" w:color="000000"/>
              <w:bottom w:val="single" w:sz="4" w:space="0" w:color="000000"/>
              <w:right w:val="single" w:sz="4" w:space="0" w:color="000000"/>
            </w:tcBorders>
            <w:vAlign w:val="center"/>
          </w:tcPr>
          <w:p w14:paraId="1403CBD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0.012</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70AF9BE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0.014</w:t>
            </w:r>
          </w:p>
        </w:tc>
        <w:tc>
          <w:tcPr>
            <w:tcW w:w="1944" w:type="dxa"/>
            <w:gridSpan w:val="2"/>
            <w:tcBorders>
              <w:top w:val="single" w:sz="4" w:space="0" w:color="000000"/>
              <w:left w:val="single" w:sz="4" w:space="0" w:color="000000"/>
              <w:bottom w:val="single" w:sz="4" w:space="0" w:color="000000"/>
            </w:tcBorders>
            <w:vAlign w:val="center"/>
          </w:tcPr>
          <w:p w14:paraId="1BFC8127"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0.013</w:t>
            </w:r>
          </w:p>
        </w:tc>
        <w:tc>
          <w:tcPr>
            <w:tcW w:w="1411" w:type="dxa"/>
            <w:tcBorders>
              <w:top w:val="single" w:sz="4" w:space="0" w:color="000000"/>
              <w:left w:val="single" w:sz="4" w:space="0" w:color="000000"/>
              <w:bottom w:val="single" w:sz="4" w:space="0" w:color="000000"/>
            </w:tcBorders>
            <w:vAlign w:val="center"/>
          </w:tcPr>
          <w:p w14:paraId="40F36A7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0.05</w:t>
            </w:r>
          </w:p>
        </w:tc>
      </w:tr>
      <w:tr w:rsidR="002A4A5F" w14:paraId="4C7D5757"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2BE874C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流量</w:t>
            </w:r>
          </w:p>
        </w:tc>
        <w:tc>
          <w:tcPr>
            <w:tcW w:w="1129" w:type="dxa"/>
            <w:tcBorders>
              <w:top w:val="single" w:sz="4" w:space="0" w:color="000000"/>
              <w:left w:val="single" w:sz="4" w:space="0" w:color="000000"/>
              <w:bottom w:val="single" w:sz="4" w:space="0" w:color="000000"/>
              <w:right w:val="single" w:sz="4" w:space="0" w:color="000000"/>
            </w:tcBorders>
            <w:vAlign w:val="center"/>
          </w:tcPr>
          <w:p w14:paraId="0FD5B3B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w:t>
            </w:r>
            <w:r>
              <w:rPr>
                <w:rFonts w:ascii="Times New Roman" w:eastAsia="宋体" w:hAnsi="Times New Roman" w:cs="Times New Roman"/>
                <w:color w:val="FF0000"/>
                <w:szCs w:val="21"/>
                <w:vertAlign w:val="superscript"/>
                <w:lang w:eastAsia="en-US" w:bidi="en-US"/>
              </w:rPr>
              <w:t>3</w:t>
            </w:r>
            <w:r>
              <w:rPr>
                <w:rFonts w:ascii="Times New Roman" w:eastAsia="宋体" w:hAnsi="Times New Roman" w:cs="Times New Roman"/>
                <w:color w:val="FF0000"/>
                <w:szCs w:val="21"/>
                <w:lang w:eastAsia="en-US" w:bidi="en-US"/>
              </w:rPr>
              <w:t>/s</w:t>
            </w:r>
          </w:p>
        </w:tc>
        <w:tc>
          <w:tcPr>
            <w:tcW w:w="2166" w:type="dxa"/>
            <w:tcBorders>
              <w:top w:val="single" w:sz="4" w:space="0" w:color="000000"/>
              <w:left w:val="single" w:sz="4" w:space="0" w:color="000000"/>
              <w:bottom w:val="single" w:sz="4" w:space="0" w:color="000000"/>
              <w:right w:val="single" w:sz="4" w:space="0" w:color="000000"/>
            </w:tcBorders>
            <w:vAlign w:val="center"/>
          </w:tcPr>
          <w:p w14:paraId="145B5144"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0.0038</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0E494784"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0.0035</w:t>
            </w:r>
          </w:p>
        </w:tc>
        <w:tc>
          <w:tcPr>
            <w:tcW w:w="1944" w:type="dxa"/>
            <w:gridSpan w:val="2"/>
            <w:tcBorders>
              <w:top w:val="single" w:sz="4" w:space="0" w:color="000000"/>
              <w:left w:val="single" w:sz="4" w:space="0" w:color="000000"/>
              <w:bottom w:val="single" w:sz="4" w:space="0" w:color="000000"/>
            </w:tcBorders>
            <w:vAlign w:val="center"/>
          </w:tcPr>
          <w:p w14:paraId="2C495411"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0.0038</w:t>
            </w:r>
          </w:p>
        </w:tc>
        <w:tc>
          <w:tcPr>
            <w:tcW w:w="1411" w:type="dxa"/>
            <w:tcBorders>
              <w:top w:val="single" w:sz="4" w:space="0" w:color="000000"/>
              <w:left w:val="single" w:sz="4" w:space="0" w:color="000000"/>
              <w:bottom w:val="single" w:sz="4" w:space="0" w:color="000000"/>
            </w:tcBorders>
            <w:vAlign w:val="center"/>
          </w:tcPr>
          <w:p w14:paraId="142AE41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hint="eastAsia"/>
                <w:color w:val="FF0000"/>
                <w:szCs w:val="21"/>
                <w:lang w:bidi="en-US"/>
              </w:rPr>
              <w:t>/</w:t>
            </w:r>
          </w:p>
        </w:tc>
      </w:tr>
      <w:tr w:rsidR="002A4A5F" w14:paraId="0EFB5B26" w14:textId="77777777" w:rsidTr="002A4A5F">
        <w:trPr>
          <w:jc w:val="center"/>
        </w:trPr>
        <w:tc>
          <w:tcPr>
            <w:tcW w:w="991" w:type="dxa"/>
            <w:vMerge w:val="restart"/>
            <w:tcBorders>
              <w:top w:val="single" w:sz="4" w:space="0" w:color="000000"/>
              <w:bottom w:val="single" w:sz="4" w:space="0" w:color="000000"/>
              <w:right w:val="single" w:sz="4" w:space="0" w:color="000000"/>
            </w:tcBorders>
            <w:vAlign w:val="center"/>
          </w:tcPr>
          <w:p w14:paraId="7F8C90A6" w14:textId="77777777" w:rsidR="002A4A5F" w:rsidRDefault="002A4A5F" w:rsidP="00747ECF">
            <w:pPr>
              <w:autoSpaceDE w:val="0"/>
              <w:autoSpaceDN w:val="0"/>
              <w:jc w:val="center"/>
              <w:rPr>
                <w:rFonts w:ascii="Times New Roman" w:eastAsia="宋体" w:hAnsi="Times New Roman" w:cs="Times New Roman"/>
                <w:b/>
                <w:color w:val="FF0000"/>
                <w:szCs w:val="21"/>
                <w:lang w:eastAsia="en-US" w:bidi="en-US"/>
              </w:rPr>
            </w:pPr>
          </w:p>
          <w:p w14:paraId="4E962DA9"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色度</w:t>
            </w:r>
          </w:p>
        </w:tc>
        <w:tc>
          <w:tcPr>
            <w:tcW w:w="996" w:type="dxa"/>
            <w:gridSpan w:val="2"/>
            <w:tcBorders>
              <w:top w:val="single" w:sz="4" w:space="0" w:color="000000"/>
              <w:left w:val="single" w:sz="4" w:space="0" w:color="000000"/>
              <w:bottom w:val="single" w:sz="4" w:space="0" w:color="000000"/>
              <w:right w:val="single" w:sz="4" w:space="0" w:color="000000"/>
            </w:tcBorders>
            <w:vAlign w:val="center"/>
          </w:tcPr>
          <w:p w14:paraId="726281E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色度</w:t>
            </w:r>
          </w:p>
        </w:tc>
        <w:tc>
          <w:tcPr>
            <w:tcW w:w="1129" w:type="dxa"/>
            <w:tcBorders>
              <w:top w:val="single" w:sz="4" w:space="0" w:color="000000"/>
              <w:left w:val="single" w:sz="4" w:space="0" w:color="000000"/>
              <w:bottom w:val="single" w:sz="4" w:space="0" w:color="000000"/>
              <w:right w:val="single" w:sz="4" w:space="0" w:color="000000"/>
            </w:tcBorders>
            <w:vAlign w:val="center"/>
          </w:tcPr>
          <w:p w14:paraId="481DC4F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度</w:t>
            </w:r>
          </w:p>
        </w:tc>
        <w:tc>
          <w:tcPr>
            <w:tcW w:w="2166" w:type="dxa"/>
            <w:tcBorders>
              <w:top w:val="single" w:sz="4" w:space="0" w:color="000000"/>
              <w:left w:val="single" w:sz="4" w:space="0" w:color="000000"/>
              <w:bottom w:val="single" w:sz="4" w:space="0" w:color="000000"/>
              <w:right w:val="single" w:sz="4" w:space="0" w:color="000000"/>
            </w:tcBorders>
            <w:vAlign w:val="center"/>
          </w:tcPr>
          <w:p w14:paraId="391A405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3F228F03"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w:t>
            </w:r>
          </w:p>
        </w:tc>
        <w:tc>
          <w:tcPr>
            <w:tcW w:w="1944" w:type="dxa"/>
            <w:gridSpan w:val="2"/>
            <w:tcBorders>
              <w:top w:val="single" w:sz="4" w:space="0" w:color="000000"/>
              <w:left w:val="single" w:sz="4" w:space="0" w:color="000000"/>
              <w:bottom w:val="single" w:sz="4" w:space="0" w:color="000000"/>
            </w:tcBorders>
            <w:vAlign w:val="center"/>
          </w:tcPr>
          <w:p w14:paraId="2BD53E4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5</w:t>
            </w:r>
          </w:p>
        </w:tc>
        <w:tc>
          <w:tcPr>
            <w:tcW w:w="1411" w:type="dxa"/>
            <w:vMerge w:val="restart"/>
            <w:tcBorders>
              <w:top w:val="single" w:sz="4" w:space="0" w:color="000000"/>
              <w:left w:val="single" w:sz="4" w:space="0" w:color="000000"/>
            </w:tcBorders>
            <w:vAlign w:val="center"/>
          </w:tcPr>
          <w:p w14:paraId="2EC321FB" w14:textId="77777777" w:rsidR="002A4A5F" w:rsidRDefault="002A4A5F" w:rsidP="00747ECF">
            <w:pPr>
              <w:autoSpaceDE w:val="0"/>
              <w:autoSpaceDN w:val="0"/>
              <w:jc w:val="center"/>
              <w:rPr>
                <w:rFonts w:ascii="Times New Roman" w:eastAsia="宋体" w:hAnsi="Times New Roman" w:cs="Times New Roman"/>
                <w:color w:val="FF0000"/>
                <w:szCs w:val="21"/>
                <w:lang w:bidi="en-US"/>
              </w:rPr>
            </w:pPr>
            <w:r>
              <w:rPr>
                <w:rFonts w:ascii="Times New Roman" w:eastAsia="宋体" w:hAnsi="Times New Roman" w:cs="Times New Roman" w:hint="eastAsia"/>
                <w:color w:val="FF0000"/>
                <w:szCs w:val="21"/>
                <w:lang w:bidi="en-US"/>
              </w:rPr>
              <w:t>/</w:t>
            </w:r>
          </w:p>
        </w:tc>
      </w:tr>
      <w:tr w:rsidR="002A4A5F" w14:paraId="7F223F9D" w14:textId="77777777" w:rsidTr="002A4A5F">
        <w:trPr>
          <w:jc w:val="center"/>
        </w:trPr>
        <w:tc>
          <w:tcPr>
            <w:tcW w:w="991" w:type="dxa"/>
            <w:vMerge/>
            <w:tcBorders>
              <w:top w:val="nil"/>
              <w:bottom w:val="single" w:sz="4" w:space="0" w:color="000000"/>
              <w:right w:val="single" w:sz="4" w:space="0" w:color="000000"/>
            </w:tcBorders>
            <w:vAlign w:val="center"/>
          </w:tcPr>
          <w:p w14:paraId="5BE486C9" w14:textId="77777777" w:rsidR="002A4A5F" w:rsidRDefault="002A4A5F" w:rsidP="00747ECF">
            <w:pPr>
              <w:autoSpaceDE w:val="0"/>
              <w:autoSpaceDN w:val="0"/>
              <w:jc w:val="center"/>
              <w:rPr>
                <w:rFonts w:ascii="Times New Roman" w:eastAsia="宋体" w:hAnsi="Times New Roman" w:cs="Times New Roman"/>
                <w:color w:val="FF0000"/>
                <w:kern w:val="0"/>
                <w:szCs w:val="21"/>
                <w:lang w:eastAsia="en-US" w:bidi="en-US"/>
              </w:rPr>
            </w:pPr>
          </w:p>
        </w:tc>
        <w:tc>
          <w:tcPr>
            <w:tcW w:w="996" w:type="dxa"/>
            <w:gridSpan w:val="2"/>
            <w:tcBorders>
              <w:top w:val="single" w:sz="4" w:space="0" w:color="000000"/>
              <w:left w:val="single" w:sz="4" w:space="0" w:color="000000"/>
              <w:bottom w:val="single" w:sz="4" w:space="0" w:color="000000"/>
              <w:right w:val="single" w:sz="4" w:space="0" w:color="000000"/>
            </w:tcBorders>
            <w:vAlign w:val="center"/>
          </w:tcPr>
          <w:p w14:paraId="6913BFE2"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 xml:space="preserve">pH </w:t>
            </w:r>
            <w:r>
              <w:rPr>
                <w:rFonts w:ascii="Times New Roman" w:eastAsia="宋体" w:hAnsi="Times New Roman" w:cs="Times New Roman"/>
                <w:color w:val="FF0000"/>
                <w:szCs w:val="21"/>
                <w:lang w:eastAsia="en-US" w:bidi="en-US"/>
              </w:rPr>
              <w:t>值</w:t>
            </w:r>
          </w:p>
        </w:tc>
        <w:tc>
          <w:tcPr>
            <w:tcW w:w="1129" w:type="dxa"/>
            <w:tcBorders>
              <w:top w:val="single" w:sz="4" w:space="0" w:color="000000"/>
              <w:left w:val="single" w:sz="4" w:space="0" w:color="000000"/>
              <w:bottom w:val="single" w:sz="4" w:space="0" w:color="000000"/>
              <w:right w:val="single" w:sz="4" w:space="0" w:color="000000"/>
            </w:tcBorders>
            <w:vAlign w:val="center"/>
          </w:tcPr>
          <w:p w14:paraId="35B52C6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无量纲</w:t>
            </w:r>
          </w:p>
        </w:tc>
        <w:tc>
          <w:tcPr>
            <w:tcW w:w="2166" w:type="dxa"/>
            <w:tcBorders>
              <w:top w:val="single" w:sz="4" w:space="0" w:color="000000"/>
              <w:left w:val="single" w:sz="4" w:space="0" w:color="000000"/>
              <w:bottom w:val="single" w:sz="4" w:space="0" w:color="000000"/>
              <w:right w:val="single" w:sz="4" w:space="0" w:color="000000"/>
            </w:tcBorders>
            <w:vAlign w:val="center"/>
          </w:tcPr>
          <w:p w14:paraId="02752318"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6.9</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62D0019F"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6.8</w:t>
            </w:r>
          </w:p>
        </w:tc>
        <w:tc>
          <w:tcPr>
            <w:tcW w:w="1944" w:type="dxa"/>
            <w:gridSpan w:val="2"/>
            <w:tcBorders>
              <w:top w:val="single" w:sz="4" w:space="0" w:color="000000"/>
              <w:left w:val="single" w:sz="4" w:space="0" w:color="000000"/>
              <w:bottom w:val="single" w:sz="4" w:space="0" w:color="000000"/>
            </w:tcBorders>
            <w:vAlign w:val="center"/>
          </w:tcPr>
          <w:p w14:paraId="60DB098D"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6.8</w:t>
            </w:r>
          </w:p>
        </w:tc>
        <w:tc>
          <w:tcPr>
            <w:tcW w:w="1411" w:type="dxa"/>
            <w:vMerge/>
            <w:tcBorders>
              <w:left w:val="single" w:sz="4" w:space="0" w:color="000000"/>
            </w:tcBorders>
            <w:vAlign w:val="center"/>
          </w:tcPr>
          <w:p w14:paraId="4E0A606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43449A0E"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5FEF5A34"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流速</w:t>
            </w:r>
          </w:p>
        </w:tc>
        <w:tc>
          <w:tcPr>
            <w:tcW w:w="1129" w:type="dxa"/>
            <w:tcBorders>
              <w:top w:val="single" w:sz="4" w:space="0" w:color="000000"/>
              <w:left w:val="single" w:sz="4" w:space="0" w:color="000000"/>
              <w:bottom w:val="single" w:sz="4" w:space="0" w:color="000000"/>
              <w:right w:val="single" w:sz="4" w:space="0" w:color="000000"/>
            </w:tcBorders>
            <w:vAlign w:val="center"/>
          </w:tcPr>
          <w:p w14:paraId="7C645394"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m/s</w:t>
            </w:r>
          </w:p>
        </w:tc>
        <w:tc>
          <w:tcPr>
            <w:tcW w:w="2166" w:type="dxa"/>
            <w:tcBorders>
              <w:top w:val="single" w:sz="4" w:space="0" w:color="000000"/>
              <w:left w:val="single" w:sz="4" w:space="0" w:color="000000"/>
              <w:bottom w:val="single" w:sz="4" w:space="0" w:color="000000"/>
              <w:right w:val="single" w:sz="4" w:space="0" w:color="000000"/>
            </w:tcBorders>
            <w:vAlign w:val="center"/>
          </w:tcPr>
          <w:p w14:paraId="2FE75B0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1.5</w:t>
            </w:r>
          </w:p>
        </w:tc>
        <w:tc>
          <w:tcPr>
            <w:tcW w:w="1728" w:type="dxa"/>
            <w:gridSpan w:val="4"/>
            <w:tcBorders>
              <w:top w:val="single" w:sz="4" w:space="0" w:color="000000"/>
              <w:left w:val="single" w:sz="4" w:space="0" w:color="000000"/>
              <w:bottom w:val="single" w:sz="4" w:space="0" w:color="000000"/>
              <w:right w:val="single" w:sz="4" w:space="0" w:color="000000"/>
            </w:tcBorders>
            <w:vAlign w:val="center"/>
          </w:tcPr>
          <w:p w14:paraId="599C554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1.4</w:t>
            </w:r>
          </w:p>
        </w:tc>
        <w:tc>
          <w:tcPr>
            <w:tcW w:w="1944" w:type="dxa"/>
            <w:gridSpan w:val="2"/>
            <w:tcBorders>
              <w:top w:val="single" w:sz="4" w:space="0" w:color="000000"/>
              <w:left w:val="single" w:sz="4" w:space="0" w:color="000000"/>
              <w:bottom w:val="single" w:sz="4" w:space="0" w:color="000000"/>
            </w:tcBorders>
            <w:vAlign w:val="center"/>
          </w:tcPr>
          <w:p w14:paraId="5D80DCBC"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1.5</w:t>
            </w:r>
          </w:p>
        </w:tc>
        <w:tc>
          <w:tcPr>
            <w:tcW w:w="1411" w:type="dxa"/>
            <w:vMerge/>
            <w:tcBorders>
              <w:left w:val="single" w:sz="4" w:space="0" w:color="000000"/>
            </w:tcBorders>
            <w:vAlign w:val="center"/>
          </w:tcPr>
          <w:p w14:paraId="33A104D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5DB9C447"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9D6EA0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水深</w:t>
            </w:r>
          </w:p>
        </w:tc>
        <w:tc>
          <w:tcPr>
            <w:tcW w:w="1129" w:type="dxa"/>
            <w:tcBorders>
              <w:top w:val="single" w:sz="4" w:space="0" w:color="000000"/>
              <w:left w:val="single" w:sz="4" w:space="0" w:color="000000"/>
              <w:bottom w:val="single" w:sz="4" w:space="0" w:color="000000"/>
              <w:right w:val="single" w:sz="4" w:space="0" w:color="000000"/>
            </w:tcBorders>
            <w:vAlign w:val="center"/>
          </w:tcPr>
          <w:p w14:paraId="04DCA0FB"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w:t>
            </w:r>
          </w:p>
        </w:tc>
        <w:tc>
          <w:tcPr>
            <w:tcW w:w="5838" w:type="dxa"/>
            <w:gridSpan w:val="7"/>
            <w:tcBorders>
              <w:top w:val="single" w:sz="4" w:space="0" w:color="000000"/>
              <w:left w:val="single" w:sz="4" w:space="0" w:color="000000"/>
              <w:bottom w:val="single" w:sz="4" w:space="0" w:color="000000"/>
            </w:tcBorders>
            <w:vAlign w:val="center"/>
          </w:tcPr>
          <w:p w14:paraId="1F186486"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0.1</w:t>
            </w:r>
          </w:p>
        </w:tc>
        <w:tc>
          <w:tcPr>
            <w:tcW w:w="1411" w:type="dxa"/>
            <w:vMerge/>
            <w:tcBorders>
              <w:left w:val="single" w:sz="4" w:space="0" w:color="000000"/>
            </w:tcBorders>
            <w:vAlign w:val="center"/>
          </w:tcPr>
          <w:p w14:paraId="05D52A05"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r w:rsidR="002A4A5F" w14:paraId="574A24BA" w14:textId="77777777" w:rsidTr="002A4A5F">
        <w:trPr>
          <w:jc w:val="center"/>
        </w:trPr>
        <w:tc>
          <w:tcPr>
            <w:tcW w:w="1987" w:type="dxa"/>
            <w:gridSpan w:val="3"/>
            <w:tcBorders>
              <w:top w:val="single" w:sz="4" w:space="0" w:color="000000"/>
              <w:bottom w:val="single" w:sz="4" w:space="0" w:color="000000"/>
              <w:right w:val="single" w:sz="4" w:space="0" w:color="000000"/>
            </w:tcBorders>
            <w:vAlign w:val="center"/>
          </w:tcPr>
          <w:p w14:paraId="3AABB60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河宽</w:t>
            </w:r>
          </w:p>
        </w:tc>
        <w:tc>
          <w:tcPr>
            <w:tcW w:w="1129" w:type="dxa"/>
            <w:tcBorders>
              <w:top w:val="single" w:sz="4" w:space="0" w:color="000000"/>
              <w:left w:val="single" w:sz="4" w:space="0" w:color="000000"/>
              <w:bottom w:val="single" w:sz="4" w:space="0" w:color="000000"/>
              <w:right w:val="single" w:sz="4" w:space="0" w:color="000000"/>
            </w:tcBorders>
            <w:vAlign w:val="center"/>
          </w:tcPr>
          <w:p w14:paraId="6873FDE4"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m</w:t>
            </w:r>
          </w:p>
        </w:tc>
        <w:tc>
          <w:tcPr>
            <w:tcW w:w="5838" w:type="dxa"/>
            <w:gridSpan w:val="7"/>
            <w:tcBorders>
              <w:top w:val="single" w:sz="4" w:space="0" w:color="000000"/>
              <w:left w:val="single" w:sz="4" w:space="0" w:color="000000"/>
              <w:bottom w:val="single" w:sz="4" w:space="0" w:color="000000"/>
            </w:tcBorders>
            <w:vAlign w:val="center"/>
          </w:tcPr>
          <w:p w14:paraId="44E0069E"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r>
              <w:rPr>
                <w:rFonts w:ascii="Times New Roman" w:eastAsia="宋体" w:hAnsi="Times New Roman" w:cs="Times New Roman"/>
                <w:color w:val="FF0000"/>
                <w:szCs w:val="21"/>
                <w:lang w:eastAsia="en-US" w:bidi="en-US"/>
              </w:rPr>
              <w:t>2.5</w:t>
            </w:r>
          </w:p>
        </w:tc>
        <w:tc>
          <w:tcPr>
            <w:tcW w:w="1411" w:type="dxa"/>
            <w:vMerge/>
            <w:tcBorders>
              <w:left w:val="single" w:sz="4" w:space="0" w:color="000000"/>
            </w:tcBorders>
            <w:vAlign w:val="center"/>
          </w:tcPr>
          <w:p w14:paraId="616ABFBA" w14:textId="77777777" w:rsidR="002A4A5F" w:rsidRDefault="002A4A5F" w:rsidP="00747ECF">
            <w:pPr>
              <w:autoSpaceDE w:val="0"/>
              <w:autoSpaceDN w:val="0"/>
              <w:jc w:val="center"/>
              <w:rPr>
                <w:rFonts w:ascii="Times New Roman" w:eastAsia="宋体" w:hAnsi="Times New Roman" w:cs="Times New Roman"/>
                <w:color w:val="FF0000"/>
                <w:szCs w:val="21"/>
                <w:lang w:eastAsia="en-US" w:bidi="en-US"/>
              </w:rPr>
            </w:pPr>
          </w:p>
        </w:tc>
      </w:tr>
    </w:tbl>
    <w:p w14:paraId="28219A77" w14:textId="1C131DE0" w:rsidR="00D12939" w:rsidRDefault="004F47F5">
      <w:pPr>
        <w:pStyle w:val="affffffffe"/>
        <w:ind w:firstLine="496"/>
        <w:rPr>
          <w:color w:val="auto"/>
        </w:rPr>
      </w:pPr>
      <w:r>
        <w:rPr>
          <w:color w:val="auto"/>
        </w:rPr>
        <w:t>从表</w:t>
      </w:r>
      <w:r>
        <w:rPr>
          <w:color w:val="auto"/>
        </w:rPr>
        <w:t>4.2-7</w:t>
      </w:r>
      <w:r>
        <w:rPr>
          <w:color w:val="auto"/>
        </w:rPr>
        <w:t>可以看出，</w:t>
      </w:r>
      <w:r>
        <w:rPr>
          <w:rFonts w:hint="eastAsia"/>
          <w:color w:val="auto"/>
        </w:rPr>
        <w:t>场区东侧河流各项监测指标</w:t>
      </w:r>
      <w:r>
        <w:rPr>
          <w:color w:val="auto"/>
        </w:rPr>
        <w:t>均满足《地表水环境质量标准》（</w:t>
      </w:r>
      <w:r>
        <w:rPr>
          <w:color w:val="auto"/>
        </w:rPr>
        <w:t>GB3838-2002</w:t>
      </w:r>
      <w:r>
        <w:rPr>
          <w:color w:val="auto"/>
        </w:rPr>
        <w:t>）</w:t>
      </w:r>
      <w:r>
        <w:rPr>
          <w:color w:val="auto"/>
        </w:rPr>
        <w:t>Ⅱ</w:t>
      </w:r>
      <w:r>
        <w:rPr>
          <w:color w:val="auto"/>
        </w:rPr>
        <w:t>类标准要求。</w:t>
      </w:r>
      <w:bookmarkEnd w:id="423"/>
    </w:p>
    <w:p w14:paraId="2C2F89B2"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24" w:name="_Toc121411752"/>
      <w:r>
        <w:rPr>
          <w:rFonts w:ascii="Times New Roman" w:eastAsia="黑体" w:hAnsi="Times New Roman" w:cs="Times New Roman"/>
          <w:b w:val="0"/>
          <w:sz w:val="24"/>
        </w:rPr>
        <w:t xml:space="preserve">5.2.3 </w:t>
      </w:r>
      <w:r>
        <w:rPr>
          <w:rFonts w:ascii="Times New Roman" w:eastAsia="黑体" w:hAnsi="Times New Roman" w:cs="Times New Roman"/>
          <w:b w:val="0"/>
          <w:sz w:val="24"/>
        </w:rPr>
        <w:t>地下水</w:t>
      </w:r>
      <w:r>
        <w:rPr>
          <w:rFonts w:ascii="Times New Roman" w:eastAsia="黑体" w:hAnsi="Times New Roman" w:cs="Times New Roman" w:hint="eastAsia"/>
          <w:b w:val="0"/>
          <w:sz w:val="24"/>
        </w:rPr>
        <w:t>环境</w:t>
      </w:r>
      <w:r>
        <w:rPr>
          <w:rFonts w:ascii="Times New Roman" w:eastAsia="黑体" w:hAnsi="Times New Roman" w:cs="Times New Roman"/>
          <w:b w:val="0"/>
          <w:sz w:val="24"/>
        </w:rPr>
        <w:t>质量</w:t>
      </w:r>
      <w:bookmarkEnd w:id="416"/>
      <w:bookmarkEnd w:id="417"/>
      <w:r>
        <w:rPr>
          <w:rFonts w:ascii="Times New Roman" w:eastAsia="黑体" w:hAnsi="Times New Roman" w:cs="Times New Roman"/>
          <w:b w:val="0"/>
          <w:sz w:val="24"/>
        </w:rPr>
        <w:t>现状调查与评价</w:t>
      </w:r>
      <w:bookmarkEnd w:id="418"/>
      <w:bookmarkEnd w:id="419"/>
      <w:bookmarkEnd w:id="420"/>
      <w:bookmarkEnd w:id="424"/>
    </w:p>
    <w:p w14:paraId="36C22990"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本次地下水质量现状评价委托陕西速跑环境检测技术研究有限公司于</w:t>
      </w:r>
      <w:r>
        <w:rPr>
          <w:rFonts w:ascii="Times New Roman" w:eastAsia="宋体" w:hAnsi="Times New Roman" w:cs="Times New Roman"/>
          <w:sz w:val="24"/>
          <w:szCs w:val="24"/>
        </w:rPr>
        <w:t>2022</w:t>
      </w:r>
      <w:r>
        <w:rPr>
          <w:rFonts w:ascii="Times New Roman" w:eastAsia="宋体" w:hAnsi="Times New Roman" w:cs="Times New Roman"/>
          <w:sz w:val="24"/>
          <w:szCs w:val="24"/>
        </w:rPr>
        <w:t>年</w:t>
      </w:r>
      <w:r>
        <w:rPr>
          <w:rFonts w:ascii="Times New Roman" w:eastAsia="宋体" w:hAnsi="Times New Roman" w:cs="Times New Roman"/>
          <w:sz w:val="24"/>
          <w:szCs w:val="24"/>
        </w:rPr>
        <w:t>11</w:t>
      </w:r>
      <w:r>
        <w:rPr>
          <w:rFonts w:ascii="Times New Roman" w:eastAsia="宋体" w:hAnsi="Times New Roman" w:cs="Times New Roman"/>
          <w:sz w:val="24"/>
          <w:szCs w:val="24"/>
        </w:rPr>
        <w:t>月</w:t>
      </w:r>
      <w:r>
        <w:rPr>
          <w:rFonts w:ascii="Times New Roman" w:eastAsia="宋体" w:hAnsi="Times New Roman" w:cs="Times New Roman"/>
          <w:sz w:val="24"/>
          <w:szCs w:val="24"/>
        </w:rPr>
        <w:t>19</w:t>
      </w:r>
      <w:r>
        <w:rPr>
          <w:rFonts w:ascii="Times New Roman" w:eastAsia="宋体" w:hAnsi="Times New Roman" w:cs="Times New Roman"/>
          <w:sz w:val="24"/>
          <w:szCs w:val="24"/>
        </w:rPr>
        <w:t>日对项目周边地下水进行了监测，监测报告见附件。</w:t>
      </w:r>
    </w:p>
    <w:p w14:paraId="51C1401E"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）监测点位</w:t>
      </w:r>
    </w:p>
    <w:p w14:paraId="7DC5B1AF" w14:textId="0C5A479E" w:rsidR="00D12939" w:rsidRDefault="002A4A5F">
      <w:pPr>
        <w:spacing w:line="360" w:lineRule="auto"/>
        <w:ind w:firstLine="480"/>
        <w:rPr>
          <w:rFonts w:ascii="Times New Roman" w:eastAsia="宋体" w:hAnsi="Times New Roman" w:cs="Times New Roman"/>
          <w:sz w:val="24"/>
          <w:szCs w:val="24"/>
        </w:rPr>
      </w:pPr>
      <w:r>
        <w:rPr>
          <w:rFonts w:ascii="Times New Roman" w:eastAsia="宋体" w:hAnsi="Times New Roman" w:cs="Times New Roman"/>
          <w:color w:val="FF0000"/>
          <w:sz w:val="24"/>
          <w:szCs w:val="24"/>
        </w:rPr>
        <w:t>本次地下水质量补充监测共布设</w:t>
      </w:r>
      <w:r>
        <w:rPr>
          <w:rFonts w:ascii="Times New Roman" w:eastAsia="宋体" w:hAnsi="Times New Roman" w:cs="Times New Roman"/>
          <w:color w:val="FF0000"/>
          <w:sz w:val="24"/>
          <w:szCs w:val="24"/>
        </w:rPr>
        <w:t>5</w:t>
      </w:r>
      <w:r>
        <w:rPr>
          <w:rFonts w:ascii="Times New Roman" w:eastAsia="宋体" w:hAnsi="Times New Roman" w:cs="Times New Roman"/>
          <w:color w:val="FF0000"/>
          <w:sz w:val="24"/>
          <w:szCs w:val="24"/>
        </w:rPr>
        <w:t>个水质监测点位，分别为</w:t>
      </w:r>
      <w:r>
        <w:rPr>
          <w:rFonts w:ascii="Times New Roman" w:eastAsia="宋体" w:hAnsi="Times New Roman" w:cs="Times New Roman"/>
          <w:color w:val="FF0000"/>
          <w:sz w:val="24"/>
          <w:szCs w:val="24"/>
        </w:rPr>
        <w:t>1#</w:t>
      </w:r>
      <w:r>
        <w:rPr>
          <w:rFonts w:ascii="Times New Roman" w:eastAsia="宋体" w:hAnsi="Times New Roman" w:cs="Times New Roman"/>
          <w:color w:val="FF0000"/>
          <w:sz w:val="24"/>
          <w:szCs w:val="24"/>
        </w:rPr>
        <w:t>笔架山附近泉水露头、</w:t>
      </w:r>
      <w:r>
        <w:rPr>
          <w:rFonts w:ascii="Times New Roman" w:eastAsia="宋体" w:hAnsi="Times New Roman" w:cs="Times New Roman"/>
          <w:color w:val="FF0000"/>
          <w:sz w:val="24"/>
          <w:szCs w:val="24"/>
        </w:rPr>
        <w:t>2#</w:t>
      </w:r>
      <w:r>
        <w:rPr>
          <w:rFonts w:ascii="Times New Roman" w:eastAsia="宋体" w:hAnsi="Times New Roman" w:cs="Times New Roman"/>
          <w:color w:val="FF0000"/>
          <w:sz w:val="24"/>
          <w:szCs w:val="24"/>
        </w:rPr>
        <w:t>大六里沟附近泉水露头、</w:t>
      </w:r>
      <w:r>
        <w:rPr>
          <w:rFonts w:ascii="Times New Roman" w:eastAsia="宋体" w:hAnsi="Times New Roman" w:cs="Times New Roman"/>
          <w:color w:val="FF0000"/>
          <w:sz w:val="24"/>
          <w:szCs w:val="24"/>
        </w:rPr>
        <w:t>3#</w:t>
      </w:r>
      <w:r>
        <w:rPr>
          <w:rFonts w:ascii="Times New Roman" w:eastAsia="宋体" w:hAnsi="Times New Roman" w:cs="Times New Roman"/>
          <w:color w:val="FF0000"/>
          <w:sz w:val="24"/>
          <w:szCs w:val="24"/>
        </w:rPr>
        <w:t>小六里沟附近泉水露头、</w:t>
      </w:r>
      <w:r>
        <w:rPr>
          <w:rFonts w:ascii="Times New Roman" w:eastAsia="宋体" w:hAnsi="Times New Roman" w:cs="Times New Roman"/>
          <w:color w:val="FF0000"/>
          <w:sz w:val="24"/>
          <w:szCs w:val="24"/>
        </w:rPr>
        <w:t xml:space="preserve">4# </w:t>
      </w:r>
      <w:r>
        <w:rPr>
          <w:rFonts w:ascii="Times New Roman" w:eastAsia="宋体" w:hAnsi="Times New Roman" w:cs="Times New Roman"/>
          <w:color w:val="FF0000"/>
          <w:sz w:val="24"/>
          <w:szCs w:val="24"/>
        </w:rPr>
        <w:t>皮条沟附近泉水露头、</w:t>
      </w:r>
      <w:r>
        <w:rPr>
          <w:rFonts w:ascii="Times New Roman" w:eastAsia="宋体" w:hAnsi="Times New Roman" w:cs="Times New Roman"/>
          <w:color w:val="FF0000"/>
          <w:sz w:val="24"/>
          <w:szCs w:val="24"/>
        </w:rPr>
        <w:t>5#</w:t>
      </w:r>
      <w:r>
        <w:rPr>
          <w:rFonts w:ascii="Times New Roman" w:eastAsia="宋体" w:hAnsi="Times New Roman" w:cs="Times New Roman"/>
          <w:color w:val="FF0000"/>
          <w:sz w:val="24"/>
          <w:szCs w:val="24"/>
        </w:rPr>
        <w:t>松林村附近泉水露头；</w:t>
      </w:r>
      <w:r>
        <w:rPr>
          <w:rFonts w:ascii="Times New Roman" w:eastAsia="宋体" w:hAnsi="Times New Roman" w:cs="Times New Roman"/>
          <w:color w:val="FF0000"/>
          <w:sz w:val="24"/>
          <w:szCs w:val="24"/>
        </w:rPr>
        <w:t>5</w:t>
      </w:r>
      <w:r>
        <w:rPr>
          <w:rFonts w:ascii="Times New Roman" w:eastAsia="宋体" w:hAnsi="Times New Roman" w:cs="Times New Roman"/>
          <w:color w:val="FF0000"/>
          <w:sz w:val="24"/>
          <w:szCs w:val="24"/>
        </w:rPr>
        <w:t>个水位监测点位，</w:t>
      </w:r>
      <w:r>
        <w:rPr>
          <w:rFonts w:ascii="Times New Roman" w:eastAsia="宋体" w:hAnsi="Times New Roman" w:cs="Times New Roman"/>
          <w:color w:val="FF0000"/>
          <w:sz w:val="24"/>
          <w:szCs w:val="24"/>
        </w:rPr>
        <w:t>6#</w:t>
      </w:r>
      <w:r>
        <w:rPr>
          <w:rFonts w:ascii="Times New Roman" w:eastAsia="宋体" w:hAnsi="Times New Roman" w:cs="Times New Roman"/>
          <w:color w:val="FF0000"/>
          <w:sz w:val="24"/>
          <w:szCs w:val="24"/>
        </w:rPr>
        <w:t>鞍子凹附近泉水露头、</w:t>
      </w:r>
      <w:r>
        <w:rPr>
          <w:rFonts w:ascii="Times New Roman" w:eastAsia="宋体" w:hAnsi="Times New Roman" w:cs="Times New Roman"/>
          <w:color w:val="FF0000"/>
          <w:sz w:val="24"/>
          <w:szCs w:val="24"/>
        </w:rPr>
        <w:t>7#</w:t>
      </w:r>
      <w:r>
        <w:rPr>
          <w:rFonts w:ascii="Times New Roman" w:eastAsia="宋体" w:hAnsi="Times New Roman" w:cs="Times New Roman"/>
          <w:color w:val="FF0000"/>
          <w:sz w:val="24"/>
          <w:szCs w:val="24"/>
        </w:rPr>
        <w:t>倒角湾附近泉水露头、</w:t>
      </w:r>
      <w:r>
        <w:rPr>
          <w:rFonts w:ascii="Times New Roman" w:eastAsia="宋体" w:hAnsi="Times New Roman" w:cs="Times New Roman"/>
          <w:color w:val="FF0000"/>
          <w:sz w:val="24"/>
          <w:szCs w:val="24"/>
        </w:rPr>
        <w:t xml:space="preserve">8# </w:t>
      </w:r>
      <w:r>
        <w:rPr>
          <w:rFonts w:ascii="Times New Roman" w:eastAsia="宋体" w:hAnsi="Times New Roman" w:cs="Times New Roman"/>
          <w:color w:val="FF0000"/>
          <w:sz w:val="24"/>
          <w:szCs w:val="24"/>
        </w:rPr>
        <w:t>李家沟附近泉水露头、</w:t>
      </w:r>
      <w:r>
        <w:rPr>
          <w:rFonts w:ascii="Times New Roman" w:eastAsia="宋体" w:hAnsi="Times New Roman" w:cs="Times New Roman"/>
          <w:color w:val="FF0000"/>
          <w:sz w:val="24"/>
          <w:szCs w:val="24"/>
        </w:rPr>
        <w:t>9#</w:t>
      </w:r>
      <w:r>
        <w:rPr>
          <w:rFonts w:ascii="Times New Roman" w:eastAsia="宋体" w:hAnsi="Times New Roman" w:cs="Times New Roman"/>
          <w:color w:val="FF0000"/>
          <w:sz w:val="24"/>
          <w:szCs w:val="24"/>
        </w:rPr>
        <w:t>松林沟附近泉水露头、</w:t>
      </w:r>
      <w:r>
        <w:rPr>
          <w:rFonts w:ascii="Times New Roman" w:eastAsia="宋体" w:hAnsi="Times New Roman" w:cs="Times New Roman"/>
          <w:color w:val="FF0000"/>
          <w:sz w:val="24"/>
          <w:szCs w:val="24"/>
        </w:rPr>
        <w:t>10#</w:t>
      </w:r>
      <w:r>
        <w:rPr>
          <w:rFonts w:ascii="Times New Roman" w:eastAsia="宋体" w:hAnsi="Times New Roman" w:cs="Times New Roman"/>
          <w:color w:val="FF0000"/>
          <w:sz w:val="24"/>
          <w:szCs w:val="24"/>
        </w:rPr>
        <w:t>娘娘庙附近泉水露头。</w:t>
      </w:r>
      <w:r w:rsidR="004F47F5">
        <w:rPr>
          <w:rFonts w:ascii="Times New Roman" w:eastAsia="宋体" w:hAnsi="Times New Roman" w:cs="Times New Roman"/>
          <w:sz w:val="24"/>
          <w:szCs w:val="24"/>
        </w:rPr>
        <w:t>具体检测及引用见表</w:t>
      </w:r>
      <w:r w:rsidR="004F47F5">
        <w:rPr>
          <w:rFonts w:ascii="Times New Roman" w:eastAsia="宋体" w:hAnsi="Times New Roman" w:cs="Times New Roman"/>
          <w:sz w:val="24"/>
          <w:szCs w:val="24"/>
        </w:rPr>
        <w:t>5.2-</w:t>
      </w:r>
      <w:r w:rsidR="004F47F5">
        <w:rPr>
          <w:rFonts w:ascii="Times New Roman" w:eastAsia="宋体" w:hAnsi="Times New Roman" w:cs="Times New Roman" w:hint="eastAsia"/>
          <w:sz w:val="24"/>
          <w:szCs w:val="24"/>
        </w:rPr>
        <w:t>8</w:t>
      </w:r>
      <w:r w:rsidR="004F47F5">
        <w:rPr>
          <w:rFonts w:ascii="Times New Roman" w:eastAsia="宋体" w:hAnsi="Times New Roman" w:cs="Times New Roman"/>
          <w:sz w:val="24"/>
          <w:szCs w:val="24"/>
        </w:rPr>
        <w:t>，监测点布设见图</w:t>
      </w:r>
      <w:r w:rsidR="004F47F5">
        <w:rPr>
          <w:rFonts w:ascii="Times New Roman" w:eastAsia="宋体" w:hAnsi="Times New Roman" w:cs="Times New Roman"/>
          <w:sz w:val="24"/>
          <w:szCs w:val="24"/>
        </w:rPr>
        <w:t>5.2-2</w:t>
      </w:r>
      <w:r w:rsidR="004F47F5">
        <w:rPr>
          <w:rFonts w:ascii="Times New Roman" w:eastAsia="宋体" w:hAnsi="Times New Roman" w:cs="Times New Roman"/>
          <w:sz w:val="24"/>
          <w:szCs w:val="24"/>
        </w:rPr>
        <w:t>。</w:t>
      </w:r>
    </w:p>
    <w:p w14:paraId="0F57BFF0" w14:textId="77777777" w:rsidR="00D12939" w:rsidRDefault="004F47F5">
      <w:pPr>
        <w:jc w:val="center"/>
        <w:rPr>
          <w:rFonts w:ascii="黑体" w:eastAsia="黑体" w:hAnsi="黑体"/>
          <w:bCs/>
          <w:sz w:val="24"/>
          <w:szCs w:val="18"/>
        </w:rPr>
      </w:pPr>
      <w:r>
        <w:rPr>
          <w:rFonts w:ascii="黑体" w:eastAsia="黑体" w:hAnsi="黑体"/>
          <w:bCs/>
          <w:sz w:val="24"/>
          <w:szCs w:val="18"/>
        </w:rPr>
        <w:t>表5.3-5    地下水监测点位一览表</w:t>
      </w:r>
    </w:p>
    <w:tbl>
      <w:tblPr>
        <w:tblW w:w="959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94"/>
        <w:gridCol w:w="2917"/>
        <w:gridCol w:w="5788"/>
      </w:tblGrid>
      <w:tr w:rsidR="00D12939" w14:paraId="17084D82" w14:textId="77777777">
        <w:trPr>
          <w:cantSplit/>
          <w:trHeight w:val="210"/>
        </w:trPr>
        <w:tc>
          <w:tcPr>
            <w:tcW w:w="894" w:type="dxa"/>
            <w:vAlign w:val="center"/>
          </w:tcPr>
          <w:p w14:paraId="346B12AF"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编号</w:t>
            </w:r>
          </w:p>
        </w:tc>
        <w:tc>
          <w:tcPr>
            <w:tcW w:w="2917" w:type="dxa"/>
            <w:vAlign w:val="center"/>
          </w:tcPr>
          <w:p w14:paraId="0AB89BC5"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监测点位</w:t>
            </w:r>
          </w:p>
        </w:tc>
        <w:tc>
          <w:tcPr>
            <w:tcW w:w="5788" w:type="dxa"/>
            <w:vAlign w:val="center"/>
          </w:tcPr>
          <w:p w14:paraId="673C8006"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监测因子</w:t>
            </w:r>
          </w:p>
        </w:tc>
      </w:tr>
      <w:tr w:rsidR="00D12939" w14:paraId="640A0432" w14:textId="77777777">
        <w:trPr>
          <w:cantSplit/>
          <w:trHeight w:val="53"/>
        </w:trPr>
        <w:tc>
          <w:tcPr>
            <w:tcW w:w="894" w:type="dxa"/>
            <w:vAlign w:val="center"/>
          </w:tcPr>
          <w:p w14:paraId="34923A36"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1#</w:t>
            </w:r>
          </w:p>
        </w:tc>
        <w:tc>
          <w:tcPr>
            <w:tcW w:w="2917" w:type="dxa"/>
            <w:vAlign w:val="center"/>
          </w:tcPr>
          <w:p w14:paraId="68CFF61E"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笔架山附近泉水露头</w:t>
            </w:r>
          </w:p>
        </w:tc>
        <w:tc>
          <w:tcPr>
            <w:tcW w:w="5788" w:type="dxa"/>
            <w:vMerge w:val="restart"/>
            <w:vAlign w:val="center"/>
          </w:tcPr>
          <w:p w14:paraId="0D21C833"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bCs/>
                <w:szCs w:val="21"/>
              </w:rPr>
              <w:t>K</w:t>
            </w:r>
            <w:r>
              <w:rPr>
                <w:rFonts w:ascii="Times New Roman" w:eastAsia="宋体" w:hAnsi="Times New Roman" w:cs="Times New Roman"/>
                <w:bCs/>
                <w:szCs w:val="21"/>
                <w:vertAlign w:val="superscript"/>
              </w:rPr>
              <w:t>+</w:t>
            </w:r>
            <w:r>
              <w:rPr>
                <w:rFonts w:ascii="Times New Roman" w:eastAsia="宋体" w:hAnsi="Times New Roman" w:cs="Times New Roman"/>
                <w:bCs/>
                <w:szCs w:val="21"/>
              </w:rPr>
              <w:t>、</w:t>
            </w:r>
            <w:r>
              <w:rPr>
                <w:rFonts w:ascii="Times New Roman" w:eastAsia="宋体" w:hAnsi="Times New Roman" w:cs="Times New Roman"/>
                <w:bCs/>
                <w:szCs w:val="21"/>
              </w:rPr>
              <w:t>Na</w:t>
            </w:r>
            <w:r>
              <w:rPr>
                <w:rFonts w:ascii="Times New Roman" w:eastAsia="宋体" w:hAnsi="Times New Roman" w:cs="Times New Roman"/>
                <w:bCs/>
                <w:szCs w:val="21"/>
                <w:vertAlign w:val="superscript"/>
              </w:rPr>
              <w:t>+</w:t>
            </w:r>
            <w:r>
              <w:rPr>
                <w:rFonts w:ascii="Times New Roman" w:eastAsia="宋体" w:hAnsi="Times New Roman" w:cs="Times New Roman"/>
                <w:bCs/>
                <w:szCs w:val="21"/>
              </w:rPr>
              <w:t>、</w:t>
            </w:r>
            <w:r>
              <w:rPr>
                <w:rFonts w:ascii="Times New Roman" w:eastAsia="宋体" w:hAnsi="Times New Roman" w:cs="Times New Roman"/>
                <w:bCs/>
                <w:szCs w:val="21"/>
              </w:rPr>
              <w:t>Ca</w:t>
            </w:r>
            <w:r>
              <w:rPr>
                <w:rFonts w:ascii="Times New Roman" w:eastAsia="宋体" w:hAnsi="Times New Roman" w:cs="Times New Roman"/>
                <w:bCs/>
                <w:szCs w:val="21"/>
                <w:vertAlign w:val="superscript"/>
              </w:rPr>
              <w:t>2+</w:t>
            </w:r>
            <w:r>
              <w:rPr>
                <w:rFonts w:ascii="Times New Roman" w:eastAsia="宋体" w:hAnsi="Times New Roman" w:cs="Times New Roman"/>
                <w:bCs/>
                <w:szCs w:val="21"/>
              </w:rPr>
              <w:t>、</w:t>
            </w:r>
            <w:r>
              <w:rPr>
                <w:rFonts w:ascii="Times New Roman" w:eastAsia="宋体" w:hAnsi="Times New Roman" w:cs="Times New Roman"/>
                <w:bCs/>
                <w:szCs w:val="21"/>
              </w:rPr>
              <w:t>Mg</w:t>
            </w:r>
            <w:r>
              <w:rPr>
                <w:rFonts w:ascii="Times New Roman" w:eastAsia="宋体" w:hAnsi="Times New Roman" w:cs="Times New Roman"/>
                <w:bCs/>
                <w:szCs w:val="21"/>
                <w:vertAlign w:val="superscript"/>
              </w:rPr>
              <w:t>2+</w:t>
            </w:r>
            <w:r>
              <w:rPr>
                <w:rFonts w:ascii="Times New Roman" w:eastAsia="宋体" w:hAnsi="Times New Roman" w:cs="Times New Roman"/>
                <w:bCs/>
                <w:szCs w:val="21"/>
              </w:rPr>
              <w:t>、</w:t>
            </w:r>
            <w:r>
              <w:rPr>
                <w:rFonts w:ascii="Times New Roman" w:eastAsia="宋体" w:hAnsi="Times New Roman" w:cs="Times New Roman"/>
                <w:bCs/>
                <w:szCs w:val="21"/>
              </w:rPr>
              <w:t>CO</w:t>
            </w:r>
            <w:r>
              <w:rPr>
                <w:rFonts w:ascii="Times New Roman" w:eastAsia="宋体" w:hAnsi="Times New Roman" w:cs="Times New Roman"/>
                <w:bCs/>
                <w:szCs w:val="21"/>
                <w:vertAlign w:val="subscript"/>
              </w:rPr>
              <w:t>3</w:t>
            </w:r>
            <w:r>
              <w:rPr>
                <w:rFonts w:ascii="Times New Roman" w:eastAsia="宋体" w:hAnsi="Times New Roman" w:cs="Times New Roman"/>
                <w:bCs/>
                <w:szCs w:val="21"/>
                <w:vertAlign w:val="superscript"/>
              </w:rPr>
              <w:t>2-</w:t>
            </w:r>
            <w:r>
              <w:rPr>
                <w:rFonts w:ascii="Times New Roman" w:eastAsia="宋体" w:hAnsi="Times New Roman" w:cs="Times New Roman"/>
                <w:bCs/>
                <w:szCs w:val="21"/>
              </w:rPr>
              <w:t>、</w:t>
            </w:r>
            <w:r>
              <w:rPr>
                <w:rFonts w:ascii="Times New Roman" w:eastAsia="宋体" w:hAnsi="Times New Roman" w:cs="Times New Roman"/>
                <w:bCs/>
                <w:szCs w:val="21"/>
              </w:rPr>
              <w:t>HCO</w:t>
            </w:r>
            <w:r>
              <w:rPr>
                <w:rFonts w:ascii="Times New Roman" w:eastAsia="宋体" w:hAnsi="Times New Roman" w:cs="Times New Roman"/>
                <w:bCs/>
                <w:szCs w:val="21"/>
                <w:vertAlign w:val="subscript"/>
              </w:rPr>
              <w:t>3</w:t>
            </w:r>
            <w:r>
              <w:rPr>
                <w:rFonts w:ascii="Times New Roman" w:eastAsia="宋体" w:hAnsi="Times New Roman" w:cs="Times New Roman"/>
                <w:bCs/>
                <w:szCs w:val="21"/>
                <w:vertAlign w:val="superscript"/>
              </w:rPr>
              <w:t>-</w:t>
            </w:r>
            <w:r>
              <w:rPr>
                <w:rFonts w:ascii="Times New Roman" w:eastAsia="宋体" w:hAnsi="Times New Roman" w:cs="Times New Roman"/>
                <w:bCs/>
                <w:szCs w:val="21"/>
              </w:rPr>
              <w:t>、</w:t>
            </w:r>
            <w:r>
              <w:rPr>
                <w:rFonts w:ascii="Times New Roman" w:eastAsia="宋体" w:hAnsi="Times New Roman" w:cs="Times New Roman"/>
                <w:bCs/>
                <w:szCs w:val="21"/>
              </w:rPr>
              <w:t>Cl</w:t>
            </w:r>
            <w:r>
              <w:rPr>
                <w:rFonts w:ascii="Times New Roman" w:eastAsia="宋体" w:hAnsi="Times New Roman" w:cs="Times New Roman"/>
                <w:bCs/>
                <w:szCs w:val="21"/>
                <w:vertAlign w:val="superscript"/>
              </w:rPr>
              <w:t>-</w:t>
            </w:r>
            <w:r>
              <w:rPr>
                <w:rFonts w:ascii="Times New Roman" w:eastAsia="宋体" w:hAnsi="Times New Roman" w:cs="Times New Roman"/>
                <w:bCs/>
                <w:szCs w:val="21"/>
              </w:rPr>
              <w:t>、</w:t>
            </w:r>
            <w:r>
              <w:rPr>
                <w:rFonts w:ascii="Times New Roman" w:eastAsia="宋体" w:hAnsi="Times New Roman" w:cs="Times New Roman"/>
                <w:bCs/>
                <w:szCs w:val="21"/>
              </w:rPr>
              <w:t>SO</w:t>
            </w:r>
            <w:r>
              <w:rPr>
                <w:rFonts w:ascii="Times New Roman" w:eastAsia="宋体" w:hAnsi="Times New Roman" w:cs="Times New Roman"/>
                <w:bCs/>
                <w:strike/>
                <w:szCs w:val="21"/>
                <w:vertAlign w:val="subscript"/>
              </w:rPr>
              <w:t>4</w:t>
            </w:r>
            <w:r>
              <w:rPr>
                <w:rFonts w:ascii="Times New Roman" w:eastAsia="宋体" w:hAnsi="Times New Roman" w:cs="Times New Roman"/>
                <w:bCs/>
                <w:szCs w:val="21"/>
                <w:vertAlign w:val="superscript"/>
              </w:rPr>
              <w:t>2-</w:t>
            </w:r>
            <w:r>
              <w:rPr>
                <w:rFonts w:ascii="Times New Roman" w:eastAsia="宋体" w:hAnsi="Times New Roman" w:cs="Times New Roman"/>
                <w:bCs/>
                <w:szCs w:val="21"/>
              </w:rPr>
              <w:t>、</w:t>
            </w:r>
            <w:r>
              <w:rPr>
                <w:rFonts w:ascii="Times New Roman" w:eastAsia="宋体" w:hAnsi="Times New Roman" w:cs="Times New Roman"/>
                <w:szCs w:val="20"/>
              </w:rPr>
              <w:t>pH</w:t>
            </w:r>
            <w:r>
              <w:rPr>
                <w:rFonts w:ascii="Times New Roman" w:eastAsia="宋体" w:hAnsi="Times New Roman" w:cs="Times New Roman"/>
                <w:szCs w:val="20"/>
              </w:rPr>
              <w:t>值、</w:t>
            </w:r>
            <w:r>
              <w:rPr>
                <w:rFonts w:ascii="Times New Roman" w:eastAsia="宋体" w:hAnsi="Times New Roman" w:cs="Times New Roman"/>
                <w:szCs w:val="21"/>
              </w:rPr>
              <w:t>氨氮、硝酸盐（</w:t>
            </w:r>
            <w:r>
              <w:rPr>
                <w:rFonts w:ascii="Times New Roman" w:eastAsia="宋体" w:hAnsi="Times New Roman" w:cs="Times New Roman"/>
                <w:spacing w:val="-30"/>
                <w:szCs w:val="21"/>
              </w:rPr>
              <w:t>以</w:t>
            </w:r>
            <w:r>
              <w:rPr>
                <w:rFonts w:ascii="Times New Roman" w:eastAsia="宋体" w:hAnsi="Times New Roman" w:cs="Times New Roman"/>
                <w:spacing w:val="-30"/>
                <w:szCs w:val="21"/>
              </w:rPr>
              <w:t xml:space="preserve"> </w:t>
            </w:r>
            <w:r>
              <w:rPr>
                <w:rFonts w:ascii="Times New Roman" w:eastAsia="宋体" w:hAnsi="Times New Roman" w:cs="Times New Roman"/>
                <w:szCs w:val="21"/>
              </w:rPr>
              <w:t>N</w:t>
            </w:r>
            <w:r>
              <w:rPr>
                <w:rFonts w:ascii="Times New Roman" w:eastAsia="宋体" w:hAnsi="Times New Roman" w:cs="Times New Roman"/>
                <w:spacing w:val="-1"/>
                <w:szCs w:val="21"/>
              </w:rPr>
              <w:t xml:space="preserve"> </w:t>
            </w:r>
            <w:r>
              <w:rPr>
                <w:rFonts w:ascii="Times New Roman" w:eastAsia="宋体" w:hAnsi="Times New Roman" w:cs="Times New Roman"/>
                <w:szCs w:val="21"/>
              </w:rPr>
              <w:t>计）、亚硝酸盐（</w:t>
            </w:r>
            <w:r>
              <w:rPr>
                <w:rFonts w:ascii="Times New Roman" w:eastAsia="宋体" w:hAnsi="Times New Roman" w:cs="Times New Roman"/>
                <w:spacing w:val="-30"/>
                <w:szCs w:val="21"/>
              </w:rPr>
              <w:t>以</w:t>
            </w:r>
            <w:r>
              <w:rPr>
                <w:rFonts w:ascii="Times New Roman" w:eastAsia="宋体" w:hAnsi="Times New Roman" w:cs="Times New Roman"/>
                <w:spacing w:val="-30"/>
                <w:szCs w:val="21"/>
              </w:rPr>
              <w:t xml:space="preserve"> </w:t>
            </w:r>
            <w:r>
              <w:rPr>
                <w:rFonts w:ascii="Times New Roman" w:eastAsia="宋体" w:hAnsi="Times New Roman" w:cs="Times New Roman"/>
                <w:szCs w:val="21"/>
              </w:rPr>
              <w:t>N</w:t>
            </w:r>
            <w:r>
              <w:rPr>
                <w:rFonts w:ascii="Times New Roman" w:eastAsia="宋体" w:hAnsi="Times New Roman" w:cs="Times New Roman"/>
                <w:spacing w:val="-1"/>
                <w:szCs w:val="21"/>
              </w:rPr>
              <w:t xml:space="preserve"> </w:t>
            </w:r>
            <w:r>
              <w:rPr>
                <w:rFonts w:ascii="Times New Roman" w:eastAsia="宋体" w:hAnsi="Times New Roman" w:cs="Times New Roman"/>
                <w:szCs w:val="21"/>
              </w:rPr>
              <w:t>计）、挥发性酚类（以苯</w:t>
            </w:r>
            <w:r>
              <w:rPr>
                <w:rFonts w:ascii="Times New Roman" w:eastAsia="宋体" w:hAnsi="Times New Roman" w:cs="Times New Roman"/>
                <w:position w:val="2"/>
                <w:szCs w:val="21"/>
              </w:rPr>
              <w:t>酚计）</w:t>
            </w:r>
            <w:r>
              <w:rPr>
                <w:rFonts w:ascii="Times New Roman" w:eastAsia="宋体" w:hAnsi="Times New Roman" w:cs="Times New Roman"/>
                <w:spacing w:val="-3"/>
                <w:position w:val="2"/>
                <w:szCs w:val="21"/>
              </w:rPr>
              <w:t>、氰化物、砷、汞、铬</w:t>
            </w:r>
            <w:r>
              <w:rPr>
                <w:rFonts w:ascii="Times New Roman" w:eastAsia="宋体" w:hAnsi="Times New Roman" w:cs="Times New Roman"/>
                <w:position w:val="2"/>
                <w:szCs w:val="21"/>
              </w:rPr>
              <w:t>（六价）</w:t>
            </w:r>
            <w:r>
              <w:rPr>
                <w:rFonts w:ascii="Times New Roman" w:eastAsia="宋体" w:hAnsi="Times New Roman" w:cs="Times New Roman"/>
                <w:spacing w:val="-2"/>
                <w:position w:val="2"/>
                <w:szCs w:val="21"/>
              </w:rPr>
              <w:t>、总硬度</w:t>
            </w:r>
            <w:r>
              <w:rPr>
                <w:rFonts w:ascii="Times New Roman" w:eastAsia="宋体" w:hAnsi="Times New Roman" w:cs="Times New Roman"/>
                <w:position w:val="2"/>
                <w:szCs w:val="21"/>
              </w:rPr>
              <w:t>（</w:t>
            </w:r>
            <w:r>
              <w:rPr>
                <w:rFonts w:ascii="Times New Roman" w:eastAsia="宋体" w:hAnsi="Times New Roman" w:cs="Times New Roman"/>
                <w:spacing w:val="-30"/>
                <w:position w:val="2"/>
                <w:szCs w:val="21"/>
              </w:rPr>
              <w:t>以</w:t>
            </w:r>
            <w:r>
              <w:rPr>
                <w:rFonts w:ascii="Times New Roman" w:eastAsia="宋体" w:hAnsi="Times New Roman" w:cs="Times New Roman"/>
                <w:spacing w:val="-30"/>
                <w:position w:val="2"/>
                <w:szCs w:val="21"/>
              </w:rPr>
              <w:t xml:space="preserve"> </w:t>
            </w:r>
            <w:r>
              <w:rPr>
                <w:rFonts w:ascii="Times New Roman" w:eastAsia="宋体" w:hAnsi="Times New Roman" w:cs="Times New Roman"/>
                <w:position w:val="2"/>
                <w:szCs w:val="21"/>
              </w:rPr>
              <w:t>CaCO</w:t>
            </w:r>
            <w:r>
              <w:rPr>
                <w:rFonts w:ascii="Times New Roman" w:eastAsia="宋体" w:hAnsi="Times New Roman" w:cs="Times New Roman"/>
                <w:position w:val="2"/>
                <w:szCs w:val="21"/>
                <w:vertAlign w:val="subscript"/>
              </w:rPr>
              <w:t>3</w:t>
            </w:r>
            <w:r>
              <w:rPr>
                <w:rFonts w:ascii="Times New Roman" w:eastAsia="宋体" w:hAnsi="Times New Roman" w:cs="Times New Roman"/>
                <w:spacing w:val="-23"/>
                <w:position w:val="2"/>
                <w:szCs w:val="21"/>
              </w:rPr>
              <w:t xml:space="preserve"> </w:t>
            </w:r>
            <w:r>
              <w:rPr>
                <w:rFonts w:ascii="Times New Roman" w:eastAsia="宋体" w:hAnsi="Times New Roman" w:cs="Times New Roman"/>
                <w:position w:val="2"/>
                <w:szCs w:val="21"/>
              </w:rPr>
              <w:t>计）</w:t>
            </w:r>
            <w:r>
              <w:rPr>
                <w:rFonts w:ascii="Times New Roman" w:eastAsia="宋体" w:hAnsi="Times New Roman" w:cs="Times New Roman"/>
                <w:spacing w:val="-6"/>
                <w:position w:val="2"/>
                <w:szCs w:val="21"/>
              </w:rPr>
              <w:t>、铅、</w:t>
            </w:r>
            <w:r>
              <w:rPr>
                <w:rFonts w:ascii="Times New Roman" w:eastAsia="宋体" w:hAnsi="Times New Roman" w:cs="Times New Roman"/>
                <w:position w:val="2"/>
                <w:szCs w:val="21"/>
              </w:rPr>
              <w:t>溶解性总固体、耗氧量（</w:t>
            </w:r>
            <w:r>
              <w:rPr>
                <w:rFonts w:ascii="Times New Roman" w:eastAsia="宋体" w:hAnsi="Times New Roman" w:cs="Times New Roman"/>
                <w:spacing w:val="-30"/>
                <w:position w:val="2"/>
                <w:szCs w:val="21"/>
              </w:rPr>
              <w:t>以</w:t>
            </w:r>
            <w:r>
              <w:rPr>
                <w:rFonts w:ascii="Times New Roman" w:eastAsia="宋体" w:hAnsi="Times New Roman" w:cs="Times New Roman"/>
                <w:spacing w:val="-30"/>
                <w:position w:val="2"/>
                <w:szCs w:val="21"/>
              </w:rPr>
              <w:t xml:space="preserve"> </w:t>
            </w:r>
            <w:r>
              <w:rPr>
                <w:rFonts w:ascii="Times New Roman" w:eastAsia="宋体" w:hAnsi="Times New Roman" w:cs="Times New Roman"/>
                <w:position w:val="2"/>
                <w:szCs w:val="21"/>
              </w:rPr>
              <w:t>O</w:t>
            </w:r>
            <w:r>
              <w:rPr>
                <w:rFonts w:ascii="Times New Roman" w:eastAsia="宋体" w:hAnsi="Times New Roman" w:cs="Times New Roman"/>
                <w:position w:val="2"/>
                <w:szCs w:val="21"/>
                <w:vertAlign w:val="subscript"/>
              </w:rPr>
              <w:t>2</w:t>
            </w:r>
            <w:r>
              <w:rPr>
                <w:rFonts w:ascii="Times New Roman" w:eastAsia="宋体" w:hAnsi="Times New Roman" w:cs="Times New Roman"/>
                <w:spacing w:val="-23"/>
                <w:position w:val="2"/>
                <w:szCs w:val="21"/>
              </w:rPr>
              <w:t xml:space="preserve"> </w:t>
            </w:r>
            <w:r>
              <w:rPr>
                <w:rFonts w:ascii="Times New Roman" w:eastAsia="宋体" w:hAnsi="Times New Roman" w:cs="Times New Roman"/>
                <w:position w:val="2"/>
                <w:szCs w:val="21"/>
              </w:rPr>
              <w:t>计）、总大肠菌群、菌落总数、氟化物以及水位</w:t>
            </w:r>
          </w:p>
        </w:tc>
      </w:tr>
      <w:tr w:rsidR="00D12939" w14:paraId="5E50B30C" w14:textId="77777777">
        <w:trPr>
          <w:cantSplit/>
          <w:trHeight w:val="53"/>
        </w:trPr>
        <w:tc>
          <w:tcPr>
            <w:tcW w:w="894" w:type="dxa"/>
            <w:vAlign w:val="center"/>
          </w:tcPr>
          <w:p w14:paraId="6F4FF0CA"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2#</w:t>
            </w:r>
          </w:p>
        </w:tc>
        <w:tc>
          <w:tcPr>
            <w:tcW w:w="2917" w:type="dxa"/>
            <w:vAlign w:val="center"/>
          </w:tcPr>
          <w:p w14:paraId="68D57489"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大六里沟附近泉水露头</w:t>
            </w:r>
          </w:p>
        </w:tc>
        <w:tc>
          <w:tcPr>
            <w:tcW w:w="5788" w:type="dxa"/>
            <w:vMerge/>
            <w:vAlign w:val="center"/>
          </w:tcPr>
          <w:p w14:paraId="5FE48F0C" w14:textId="77777777" w:rsidR="00D12939" w:rsidRDefault="00D12939">
            <w:pPr>
              <w:overflowPunct w:val="0"/>
              <w:jc w:val="center"/>
              <w:textAlignment w:val="baseline"/>
              <w:rPr>
                <w:rFonts w:ascii="Times New Roman" w:eastAsia="宋体" w:hAnsi="Times New Roman" w:cs="Times New Roman"/>
                <w:szCs w:val="20"/>
              </w:rPr>
            </w:pPr>
          </w:p>
        </w:tc>
      </w:tr>
      <w:tr w:rsidR="00D12939" w14:paraId="046724A4" w14:textId="77777777">
        <w:trPr>
          <w:cantSplit/>
          <w:trHeight w:val="79"/>
        </w:trPr>
        <w:tc>
          <w:tcPr>
            <w:tcW w:w="894" w:type="dxa"/>
            <w:vAlign w:val="center"/>
          </w:tcPr>
          <w:p w14:paraId="58F1BE95"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3#</w:t>
            </w:r>
          </w:p>
        </w:tc>
        <w:tc>
          <w:tcPr>
            <w:tcW w:w="2917" w:type="dxa"/>
            <w:vAlign w:val="center"/>
          </w:tcPr>
          <w:p w14:paraId="4D293132"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小六里沟附近泉水露头</w:t>
            </w:r>
          </w:p>
        </w:tc>
        <w:tc>
          <w:tcPr>
            <w:tcW w:w="5788" w:type="dxa"/>
            <w:vMerge/>
            <w:vAlign w:val="center"/>
          </w:tcPr>
          <w:p w14:paraId="4051278D" w14:textId="77777777" w:rsidR="00D12939" w:rsidRDefault="00D12939">
            <w:pPr>
              <w:overflowPunct w:val="0"/>
              <w:jc w:val="center"/>
              <w:textAlignment w:val="baseline"/>
              <w:rPr>
                <w:rFonts w:ascii="Times New Roman" w:eastAsia="宋体" w:hAnsi="Times New Roman" w:cs="Times New Roman"/>
                <w:szCs w:val="20"/>
              </w:rPr>
            </w:pPr>
          </w:p>
        </w:tc>
      </w:tr>
      <w:tr w:rsidR="00D12939" w14:paraId="04EAD5D4" w14:textId="77777777">
        <w:trPr>
          <w:cantSplit/>
          <w:trHeight w:val="71"/>
        </w:trPr>
        <w:tc>
          <w:tcPr>
            <w:tcW w:w="894" w:type="dxa"/>
            <w:vAlign w:val="center"/>
          </w:tcPr>
          <w:p w14:paraId="03F567F2"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4#</w:t>
            </w:r>
          </w:p>
        </w:tc>
        <w:tc>
          <w:tcPr>
            <w:tcW w:w="2917" w:type="dxa"/>
            <w:vAlign w:val="center"/>
          </w:tcPr>
          <w:p w14:paraId="78A16383"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皮条沟附近泉水露头</w:t>
            </w:r>
          </w:p>
        </w:tc>
        <w:tc>
          <w:tcPr>
            <w:tcW w:w="5788" w:type="dxa"/>
            <w:vMerge/>
            <w:vAlign w:val="center"/>
          </w:tcPr>
          <w:p w14:paraId="6273860F" w14:textId="77777777" w:rsidR="00D12939" w:rsidRDefault="00D12939">
            <w:pPr>
              <w:overflowPunct w:val="0"/>
              <w:jc w:val="center"/>
              <w:textAlignment w:val="baseline"/>
              <w:rPr>
                <w:rFonts w:ascii="Times New Roman" w:eastAsia="宋体" w:hAnsi="Times New Roman" w:cs="Times New Roman"/>
                <w:szCs w:val="20"/>
              </w:rPr>
            </w:pPr>
          </w:p>
        </w:tc>
      </w:tr>
      <w:tr w:rsidR="00D12939" w14:paraId="1E52FDB3" w14:textId="77777777">
        <w:trPr>
          <w:cantSplit/>
          <w:trHeight w:val="193"/>
        </w:trPr>
        <w:tc>
          <w:tcPr>
            <w:tcW w:w="894" w:type="dxa"/>
            <w:vAlign w:val="center"/>
          </w:tcPr>
          <w:p w14:paraId="4019DA77"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5#</w:t>
            </w:r>
          </w:p>
        </w:tc>
        <w:tc>
          <w:tcPr>
            <w:tcW w:w="2917" w:type="dxa"/>
            <w:vAlign w:val="center"/>
          </w:tcPr>
          <w:p w14:paraId="3ADEE6C4"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松林村附近泉水露头</w:t>
            </w:r>
          </w:p>
        </w:tc>
        <w:tc>
          <w:tcPr>
            <w:tcW w:w="5788" w:type="dxa"/>
            <w:vMerge/>
            <w:vAlign w:val="center"/>
          </w:tcPr>
          <w:p w14:paraId="1447B763" w14:textId="77777777" w:rsidR="00D12939" w:rsidRDefault="00D12939">
            <w:pPr>
              <w:overflowPunct w:val="0"/>
              <w:jc w:val="center"/>
              <w:textAlignment w:val="baseline"/>
              <w:rPr>
                <w:rFonts w:ascii="Times New Roman" w:eastAsia="宋体" w:hAnsi="Times New Roman" w:cs="Times New Roman"/>
                <w:szCs w:val="20"/>
              </w:rPr>
            </w:pPr>
          </w:p>
        </w:tc>
      </w:tr>
      <w:tr w:rsidR="00D12939" w14:paraId="52FB8E9D" w14:textId="77777777">
        <w:trPr>
          <w:cantSplit/>
          <w:trHeight w:val="53"/>
        </w:trPr>
        <w:tc>
          <w:tcPr>
            <w:tcW w:w="894" w:type="dxa"/>
            <w:vAlign w:val="center"/>
          </w:tcPr>
          <w:p w14:paraId="70DB805C"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6#</w:t>
            </w:r>
          </w:p>
        </w:tc>
        <w:tc>
          <w:tcPr>
            <w:tcW w:w="2917" w:type="dxa"/>
            <w:vAlign w:val="center"/>
          </w:tcPr>
          <w:p w14:paraId="2FD83C70"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鞍子凹附近泉水露头</w:t>
            </w:r>
          </w:p>
        </w:tc>
        <w:tc>
          <w:tcPr>
            <w:tcW w:w="5788" w:type="dxa"/>
            <w:vMerge w:val="restart"/>
            <w:vAlign w:val="center"/>
          </w:tcPr>
          <w:p w14:paraId="159367A3"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水位</w:t>
            </w:r>
          </w:p>
        </w:tc>
      </w:tr>
      <w:tr w:rsidR="00D12939" w14:paraId="7E066097" w14:textId="77777777">
        <w:trPr>
          <w:cantSplit/>
          <w:trHeight w:val="53"/>
        </w:trPr>
        <w:tc>
          <w:tcPr>
            <w:tcW w:w="894" w:type="dxa"/>
            <w:vAlign w:val="center"/>
          </w:tcPr>
          <w:p w14:paraId="179AF1EF"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7#</w:t>
            </w:r>
          </w:p>
        </w:tc>
        <w:tc>
          <w:tcPr>
            <w:tcW w:w="2917" w:type="dxa"/>
            <w:vAlign w:val="center"/>
          </w:tcPr>
          <w:p w14:paraId="2E400995"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倒角湾附近泉水露头</w:t>
            </w:r>
          </w:p>
        </w:tc>
        <w:tc>
          <w:tcPr>
            <w:tcW w:w="5788" w:type="dxa"/>
            <w:vMerge/>
            <w:vAlign w:val="center"/>
          </w:tcPr>
          <w:p w14:paraId="69BC75F6" w14:textId="77777777" w:rsidR="00D12939" w:rsidRDefault="00D12939">
            <w:pPr>
              <w:overflowPunct w:val="0"/>
              <w:jc w:val="center"/>
              <w:textAlignment w:val="baseline"/>
              <w:rPr>
                <w:rFonts w:ascii="Times New Roman" w:eastAsia="宋体" w:hAnsi="Times New Roman" w:cs="Times New Roman"/>
                <w:szCs w:val="20"/>
              </w:rPr>
            </w:pPr>
          </w:p>
        </w:tc>
      </w:tr>
      <w:tr w:rsidR="00D12939" w14:paraId="001162C0" w14:textId="77777777">
        <w:trPr>
          <w:cantSplit/>
          <w:trHeight w:val="53"/>
        </w:trPr>
        <w:tc>
          <w:tcPr>
            <w:tcW w:w="894" w:type="dxa"/>
            <w:vAlign w:val="center"/>
          </w:tcPr>
          <w:p w14:paraId="55B47538"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8#</w:t>
            </w:r>
          </w:p>
        </w:tc>
        <w:tc>
          <w:tcPr>
            <w:tcW w:w="2917" w:type="dxa"/>
            <w:vAlign w:val="center"/>
          </w:tcPr>
          <w:p w14:paraId="0701C2A2"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李家沟附近泉水露头</w:t>
            </w:r>
          </w:p>
        </w:tc>
        <w:tc>
          <w:tcPr>
            <w:tcW w:w="5788" w:type="dxa"/>
            <w:vMerge/>
            <w:vAlign w:val="center"/>
          </w:tcPr>
          <w:p w14:paraId="699479CB" w14:textId="77777777" w:rsidR="00D12939" w:rsidRDefault="00D12939">
            <w:pPr>
              <w:overflowPunct w:val="0"/>
              <w:jc w:val="center"/>
              <w:textAlignment w:val="baseline"/>
              <w:rPr>
                <w:rFonts w:ascii="Times New Roman" w:eastAsia="宋体" w:hAnsi="Times New Roman" w:cs="Times New Roman"/>
                <w:szCs w:val="20"/>
              </w:rPr>
            </w:pPr>
          </w:p>
        </w:tc>
      </w:tr>
      <w:tr w:rsidR="00D12939" w14:paraId="2D859368" w14:textId="77777777">
        <w:trPr>
          <w:cantSplit/>
          <w:trHeight w:val="53"/>
        </w:trPr>
        <w:tc>
          <w:tcPr>
            <w:tcW w:w="894" w:type="dxa"/>
            <w:vAlign w:val="center"/>
          </w:tcPr>
          <w:p w14:paraId="360618D9"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9#</w:t>
            </w:r>
          </w:p>
        </w:tc>
        <w:tc>
          <w:tcPr>
            <w:tcW w:w="2917" w:type="dxa"/>
            <w:vAlign w:val="center"/>
          </w:tcPr>
          <w:p w14:paraId="22F4000C"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松林沟附近泉水露头</w:t>
            </w:r>
          </w:p>
        </w:tc>
        <w:tc>
          <w:tcPr>
            <w:tcW w:w="5788" w:type="dxa"/>
            <w:vMerge/>
            <w:vAlign w:val="center"/>
          </w:tcPr>
          <w:p w14:paraId="05B28ADA" w14:textId="77777777" w:rsidR="00D12939" w:rsidRDefault="00D12939">
            <w:pPr>
              <w:overflowPunct w:val="0"/>
              <w:jc w:val="center"/>
              <w:textAlignment w:val="baseline"/>
              <w:rPr>
                <w:rFonts w:ascii="Times New Roman" w:eastAsia="宋体" w:hAnsi="Times New Roman" w:cs="Times New Roman"/>
                <w:szCs w:val="20"/>
              </w:rPr>
            </w:pPr>
          </w:p>
        </w:tc>
      </w:tr>
      <w:tr w:rsidR="00D12939" w14:paraId="05ACC13E" w14:textId="77777777">
        <w:trPr>
          <w:cantSplit/>
          <w:trHeight w:val="53"/>
        </w:trPr>
        <w:tc>
          <w:tcPr>
            <w:tcW w:w="894" w:type="dxa"/>
            <w:vAlign w:val="center"/>
          </w:tcPr>
          <w:p w14:paraId="7874B7D2"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10#</w:t>
            </w:r>
          </w:p>
        </w:tc>
        <w:tc>
          <w:tcPr>
            <w:tcW w:w="2917" w:type="dxa"/>
            <w:vAlign w:val="center"/>
          </w:tcPr>
          <w:p w14:paraId="30BCF896" w14:textId="77777777" w:rsidR="00D12939" w:rsidRDefault="004F47F5">
            <w:pPr>
              <w:overflowPunct w:val="0"/>
              <w:jc w:val="center"/>
              <w:textAlignment w:val="baseline"/>
              <w:rPr>
                <w:rFonts w:ascii="Times New Roman" w:eastAsia="宋体" w:hAnsi="Times New Roman" w:cs="Times New Roman"/>
                <w:szCs w:val="20"/>
              </w:rPr>
            </w:pPr>
            <w:r>
              <w:rPr>
                <w:rFonts w:ascii="Times New Roman" w:eastAsia="宋体" w:hAnsi="Times New Roman" w:cs="Times New Roman"/>
                <w:szCs w:val="20"/>
              </w:rPr>
              <w:t>娘娘庙附近泉水露头</w:t>
            </w:r>
          </w:p>
        </w:tc>
        <w:tc>
          <w:tcPr>
            <w:tcW w:w="5788" w:type="dxa"/>
            <w:vMerge/>
            <w:vAlign w:val="center"/>
          </w:tcPr>
          <w:p w14:paraId="5C9971BA" w14:textId="77777777" w:rsidR="00D12939" w:rsidRDefault="00D12939">
            <w:pPr>
              <w:overflowPunct w:val="0"/>
              <w:jc w:val="center"/>
              <w:textAlignment w:val="baseline"/>
              <w:rPr>
                <w:rFonts w:ascii="Times New Roman" w:eastAsia="宋体" w:hAnsi="Times New Roman" w:cs="Times New Roman"/>
                <w:szCs w:val="20"/>
              </w:rPr>
            </w:pPr>
          </w:p>
        </w:tc>
      </w:tr>
    </w:tbl>
    <w:p w14:paraId="4F7E24BD"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）监测时间及频次</w:t>
      </w:r>
    </w:p>
    <w:p w14:paraId="35544FDC" w14:textId="77777777" w:rsidR="00D12939" w:rsidRDefault="004F47F5">
      <w:pPr>
        <w:spacing w:line="360" w:lineRule="auto"/>
        <w:ind w:firstLineChars="427" w:firstLine="1025"/>
        <w:rPr>
          <w:rFonts w:ascii="Times New Roman" w:eastAsia="宋体" w:hAnsi="Times New Roman" w:cs="Times New Roman"/>
          <w:sz w:val="24"/>
          <w:szCs w:val="24"/>
        </w:rPr>
      </w:pPr>
      <w:r>
        <w:rPr>
          <w:rFonts w:ascii="Times New Roman" w:eastAsia="宋体" w:hAnsi="Times New Roman" w:cs="Times New Roman"/>
          <w:sz w:val="24"/>
          <w:szCs w:val="24"/>
        </w:rPr>
        <w:t>2022</w:t>
      </w:r>
      <w:r>
        <w:rPr>
          <w:rFonts w:ascii="Times New Roman" w:eastAsia="宋体" w:hAnsi="Times New Roman" w:cs="Times New Roman"/>
          <w:sz w:val="24"/>
          <w:szCs w:val="24"/>
        </w:rPr>
        <w:t>年</w:t>
      </w:r>
      <w:r>
        <w:rPr>
          <w:rFonts w:ascii="Times New Roman" w:eastAsia="宋体" w:hAnsi="Times New Roman" w:cs="Times New Roman"/>
          <w:sz w:val="24"/>
          <w:szCs w:val="24"/>
        </w:rPr>
        <w:t>11</w:t>
      </w:r>
      <w:r>
        <w:rPr>
          <w:rFonts w:ascii="Times New Roman" w:eastAsia="宋体" w:hAnsi="Times New Roman" w:cs="Times New Roman"/>
          <w:sz w:val="24"/>
          <w:szCs w:val="24"/>
        </w:rPr>
        <w:t>月</w:t>
      </w:r>
      <w:r>
        <w:rPr>
          <w:rFonts w:ascii="Times New Roman" w:eastAsia="宋体" w:hAnsi="Times New Roman" w:cs="Times New Roman"/>
          <w:sz w:val="24"/>
          <w:szCs w:val="24"/>
        </w:rPr>
        <w:t>19</w:t>
      </w:r>
      <w:r>
        <w:rPr>
          <w:rFonts w:ascii="Times New Roman" w:eastAsia="宋体" w:hAnsi="Times New Roman" w:cs="Times New Roman"/>
          <w:sz w:val="24"/>
          <w:szCs w:val="24"/>
        </w:rPr>
        <w:t>日监测</w:t>
      </w:r>
      <w:r>
        <w:rPr>
          <w:rFonts w:ascii="Times New Roman" w:eastAsia="宋体" w:hAnsi="Times New Roman" w:cs="Times New Roman"/>
          <w:sz w:val="24"/>
          <w:szCs w:val="24"/>
        </w:rPr>
        <w:t>1</w:t>
      </w:r>
      <w:r>
        <w:rPr>
          <w:rFonts w:ascii="Times New Roman" w:eastAsia="宋体" w:hAnsi="Times New Roman" w:cs="Times New Roman"/>
          <w:sz w:val="24"/>
          <w:szCs w:val="24"/>
        </w:rPr>
        <w:t>天，每天每项目采样</w:t>
      </w:r>
      <w:r>
        <w:rPr>
          <w:rFonts w:ascii="Times New Roman" w:eastAsia="宋体" w:hAnsi="Times New Roman" w:cs="Times New Roman"/>
          <w:sz w:val="24"/>
          <w:szCs w:val="24"/>
        </w:rPr>
        <w:t>1</w:t>
      </w:r>
      <w:r>
        <w:rPr>
          <w:rFonts w:ascii="Times New Roman" w:eastAsia="宋体" w:hAnsi="Times New Roman" w:cs="Times New Roman"/>
          <w:sz w:val="24"/>
          <w:szCs w:val="24"/>
        </w:rPr>
        <w:t>次。</w:t>
      </w:r>
    </w:p>
    <w:p w14:paraId="7E8885A8" w14:textId="77777777" w:rsidR="00D12939" w:rsidRDefault="004F47F5">
      <w:pPr>
        <w:tabs>
          <w:tab w:val="left" w:pos="720"/>
        </w:tabs>
        <w:spacing w:line="360" w:lineRule="auto"/>
        <w:ind w:firstLine="448"/>
        <w:rPr>
          <w:rFonts w:ascii="Times New Roman" w:eastAsia="宋体" w:hAnsi="Times New Roman" w:cs="Times New Roman"/>
          <w:spacing w:val="-8"/>
          <w:sz w:val="24"/>
        </w:rPr>
      </w:pPr>
      <w:r>
        <w:rPr>
          <w:rFonts w:ascii="Times New Roman" w:eastAsia="宋体" w:hAnsi="Times New Roman" w:cs="Times New Roman"/>
          <w:spacing w:val="-8"/>
          <w:sz w:val="24"/>
        </w:rPr>
        <w:t>（</w:t>
      </w:r>
      <w:r>
        <w:rPr>
          <w:rFonts w:ascii="Times New Roman" w:eastAsia="宋体" w:hAnsi="Times New Roman" w:cs="Times New Roman"/>
          <w:spacing w:val="-8"/>
          <w:sz w:val="24"/>
        </w:rPr>
        <w:t>3</w:t>
      </w:r>
      <w:r>
        <w:rPr>
          <w:rFonts w:ascii="Times New Roman" w:eastAsia="宋体" w:hAnsi="Times New Roman" w:cs="Times New Roman"/>
          <w:spacing w:val="-8"/>
          <w:sz w:val="24"/>
        </w:rPr>
        <w:t>）监测分析方法</w:t>
      </w:r>
    </w:p>
    <w:p w14:paraId="567C7CF5" w14:textId="77777777" w:rsidR="00D12939" w:rsidRDefault="004F47F5">
      <w:pPr>
        <w:tabs>
          <w:tab w:val="left" w:pos="720"/>
        </w:tabs>
        <w:spacing w:line="360" w:lineRule="auto"/>
        <w:ind w:firstLine="448"/>
        <w:rPr>
          <w:rFonts w:ascii="Times New Roman" w:eastAsia="宋体" w:hAnsi="Times New Roman" w:cs="Times New Roman"/>
          <w:spacing w:val="-8"/>
          <w:sz w:val="24"/>
        </w:rPr>
      </w:pPr>
      <w:r>
        <w:rPr>
          <w:rFonts w:ascii="Times New Roman" w:eastAsia="宋体" w:hAnsi="Times New Roman" w:cs="Times New Roman"/>
          <w:spacing w:val="-8"/>
          <w:sz w:val="24"/>
        </w:rPr>
        <w:t>监测分析方法见表</w:t>
      </w:r>
      <w:r>
        <w:rPr>
          <w:rFonts w:ascii="Times New Roman" w:eastAsia="宋体" w:hAnsi="Times New Roman" w:cs="Times New Roman"/>
          <w:spacing w:val="-8"/>
          <w:sz w:val="24"/>
        </w:rPr>
        <w:t>5.2-</w:t>
      </w:r>
      <w:r>
        <w:rPr>
          <w:rFonts w:ascii="Times New Roman" w:eastAsia="宋体" w:hAnsi="Times New Roman" w:cs="Times New Roman" w:hint="eastAsia"/>
          <w:spacing w:val="-8"/>
          <w:sz w:val="24"/>
        </w:rPr>
        <w:t>9</w:t>
      </w:r>
      <w:r>
        <w:rPr>
          <w:rFonts w:ascii="Times New Roman" w:eastAsia="宋体" w:hAnsi="Times New Roman" w:cs="Times New Roman"/>
          <w:spacing w:val="-8"/>
          <w:sz w:val="24"/>
        </w:rPr>
        <w:t>。</w:t>
      </w:r>
    </w:p>
    <w:p w14:paraId="00D2B7D2" w14:textId="77777777" w:rsidR="00D12939" w:rsidRDefault="004F47F5">
      <w:pPr>
        <w:jc w:val="center"/>
        <w:rPr>
          <w:rFonts w:ascii="黑体" w:eastAsia="黑体" w:hAnsi="黑体"/>
          <w:bCs/>
          <w:sz w:val="24"/>
          <w:szCs w:val="18"/>
        </w:rPr>
      </w:pPr>
      <w:r>
        <w:rPr>
          <w:rFonts w:ascii="黑体" w:eastAsia="黑体" w:hAnsi="黑体"/>
          <w:bCs/>
          <w:sz w:val="24"/>
          <w:szCs w:val="18"/>
        </w:rPr>
        <w:t>表5.2-9    地下水监测分析方法</w:t>
      </w:r>
    </w:p>
    <w:tbl>
      <w:tblPr>
        <w:tblW w:w="10065" w:type="dxa"/>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1665"/>
        <w:gridCol w:w="4050"/>
        <w:gridCol w:w="1812"/>
        <w:gridCol w:w="2538"/>
      </w:tblGrid>
      <w:tr w:rsidR="00D12939" w14:paraId="2D5AEDBA" w14:textId="77777777">
        <w:tc>
          <w:tcPr>
            <w:tcW w:w="1665" w:type="dxa"/>
            <w:tcBorders>
              <w:top w:val="single" w:sz="4" w:space="0" w:color="auto"/>
              <w:left w:val="single" w:sz="4" w:space="0" w:color="auto"/>
              <w:bottom w:val="single" w:sz="4" w:space="0" w:color="auto"/>
              <w:right w:val="single" w:sz="4" w:space="0" w:color="auto"/>
            </w:tcBorders>
            <w:vAlign w:val="center"/>
          </w:tcPr>
          <w:p w14:paraId="2EE2AD96" w14:textId="77777777" w:rsidR="00D12939" w:rsidRDefault="004F47F5">
            <w:pPr>
              <w:overflowPunct w:val="0"/>
              <w:autoSpaceDE w:val="0"/>
              <w:autoSpaceDN w:val="0"/>
              <w:jc w:val="center"/>
              <w:rPr>
                <w:rFonts w:ascii="Times New Roman" w:eastAsia="宋体" w:hAnsi="Times New Roman" w:cs="Times New Roman"/>
                <w:b/>
                <w:szCs w:val="21"/>
                <w:lang w:eastAsia="en-US" w:bidi="en-US"/>
              </w:rPr>
            </w:pPr>
            <w:r>
              <w:rPr>
                <w:rFonts w:ascii="Times New Roman" w:eastAsia="宋体" w:hAnsi="Times New Roman" w:cs="Times New Roman"/>
                <w:b/>
                <w:szCs w:val="21"/>
                <w:lang w:eastAsia="en-US" w:bidi="en-US"/>
              </w:rPr>
              <w:t>分析项目</w:t>
            </w:r>
          </w:p>
        </w:tc>
        <w:tc>
          <w:tcPr>
            <w:tcW w:w="4050" w:type="dxa"/>
            <w:tcBorders>
              <w:top w:val="single" w:sz="4" w:space="0" w:color="auto"/>
              <w:left w:val="single" w:sz="4" w:space="0" w:color="auto"/>
              <w:bottom w:val="single" w:sz="4" w:space="0" w:color="auto"/>
              <w:right w:val="single" w:sz="4" w:space="0" w:color="auto"/>
            </w:tcBorders>
            <w:vAlign w:val="center"/>
          </w:tcPr>
          <w:p w14:paraId="492A131B" w14:textId="77777777" w:rsidR="00D12939" w:rsidRDefault="004F47F5">
            <w:pPr>
              <w:overflowPunct w:val="0"/>
              <w:autoSpaceDE w:val="0"/>
              <w:autoSpaceDN w:val="0"/>
              <w:jc w:val="center"/>
              <w:rPr>
                <w:rFonts w:ascii="Times New Roman" w:eastAsia="宋体" w:hAnsi="Times New Roman" w:cs="Times New Roman"/>
                <w:b/>
                <w:szCs w:val="21"/>
                <w:lang w:eastAsia="en-US" w:bidi="en-US"/>
              </w:rPr>
            </w:pPr>
            <w:r>
              <w:rPr>
                <w:rFonts w:ascii="Times New Roman" w:eastAsia="宋体" w:hAnsi="Times New Roman" w:cs="Times New Roman"/>
                <w:b/>
                <w:szCs w:val="21"/>
                <w:lang w:eastAsia="en-US" w:bidi="en-US"/>
              </w:rPr>
              <w:t>分析依据及方法</w:t>
            </w:r>
          </w:p>
        </w:tc>
        <w:tc>
          <w:tcPr>
            <w:tcW w:w="1812" w:type="dxa"/>
            <w:tcBorders>
              <w:top w:val="single" w:sz="4" w:space="0" w:color="auto"/>
              <w:left w:val="single" w:sz="4" w:space="0" w:color="auto"/>
              <w:bottom w:val="single" w:sz="4" w:space="0" w:color="auto"/>
              <w:right w:val="single" w:sz="4" w:space="0" w:color="auto"/>
            </w:tcBorders>
            <w:vAlign w:val="center"/>
          </w:tcPr>
          <w:p w14:paraId="6E2BE050" w14:textId="77777777" w:rsidR="00D12939" w:rsidRDefault="004F47F5">
            <w:pPr>
              <w:overflowPunct w:val="0"/>
              <w:autoSpaceDE w:val="0"/>
              <w:autoSpaceDN w:val="0"/>
              <w:jc w:val="center"/>
              <w:rPr>
                <w:rFonts w:ascii="Times New Roman" w:eastAsia="宋体" w:hAnsi="Times New Roman" w:cs="Times New Roman"/>
                <w:b/>
                <w:szCs w:val="21"/>
                <w:lang w:eastAsia="en-US" w:bidi="en-US"/>
              </w:rPr>
            </w:pPr>
            <w:r>
              <w:rPr>
                <w:rFonts w:ascii="Times New Roman" w:eastAsia="宋体" w:hAnsi="Times New Roman" w:cs="Times New Roman"/>
                <w:b/>
                <w:szCs w:val="21"/>
                <w:lang w:eastAsia="en-US" w:bidi="en-US"/>
              </w:rPr>
              <w:t>检出限</w:t>
            </w:r>
          </w:p>
        </w:tc>
        <w:tc>
          <w:tcPr>
            <w:tcW w:w="2538" w:type="dxa"/>
            <w:tcBorders>
              <w:top w:val="single" w:sz="4" w:space="0" w:color="auto"/>
              <w:left w:val="single" w:sz="4" w:space="0" w:color="auto"/>
              <w:bottom w:val="single" w:sz="4" w:space="0" w:color="auto"/>
              <w:right w:val="single" w:sz="4" w:space="0" w:color="auto"/>
            </w:tcBorders>
            <w:vAlign w:val="center"/>
          </w:tcPr>
          <w:p w14:paraId="24495BFE" w14:textId="77777777" w:rsidR="00D12939" w:rsidRDefault="004F47F5">
            <w:pPr>
              <w:overflowPunct w:val="0"/>
              <w:autoSpaceDE w:val="0"/>
              <w:autoSpaceDN w:val="0"/>
              <w:jc w:val="center"/>
              <w:rPr>
                <w:rFonts w:ascii="Times New Roman" w:eastAsia="宋体" w:hAnsi="Times New Roman" w:cs="Times New Roman"/>
                <w:b/>
                <w:szCs w:val="21"/>
                <w:lang w:eastAsia="en-US" w:bidi="en-US"/>
              </w:rPr>
            </w:pPr>
            <w:r>
              <w:rPr>
                <w:rFonts w:ascii="Times New Roman" w:eastAsia="宋体" w:hAnsi="Times New Roman" w:cs="Times New Roman"/>
                <w:b/>
                <w:szCs w:val="21"/>
                <w:lang w:eastAsia="en-US" w:bidi="en-US"/>
              </w:rPr>
              <w:t>仪器设备及编号</w:t>
            </w:r>
          </w:p>
        </w:tc>
      </w:tr>
      <w:tr w:rsidR="00D12939" w14:paraId="4777E379" w14:textId="77777777">
        <w:tc>
          <w:tcPr>
            <w:tcW w:w="1665" w:type="dxa"/>
            <w:tcBorders>
              <w:top w:val="single" w:sz="4" w:space="0" w:color="auto"/>
              <w:left w:val="single" w:sz="4" w:space="0" w:color="auto"/>
              <w:bottom w:val="single" w:sz="4" w:space="0" w:color="auto"/>
              <w:right w:val="single" w:sz="4" w:space="0" w:color="auto"/>
            </w:tcBorders>
            <w:vAlign w:val="center"/>
          </w:tcPr>
          <w:p w14:paraId="145EB2DE"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t xml:space="preserve">pH </w:t>
            </w:r>
            <w:r>
              <w:rPr>
                <w:rFonts w:ascii="Times New Roman" w:eastAsia="宋体" w:hAnsi="Times New Roman" w:cs="Times New Roman"/>
                <w:szCs w:val="21"/>
                <w:lang w:eastAsia="en-US" w:bidi="en-US"/>
              </w:rPr>
              <w:t>值</w:t>
            </w:r>
          </w:p>
        </w:tc>
        <w:tc>
          <w:tcPr>
            <w:tcW w:w="4050" w:type="dxa"/>
            <w:tcBorders>
              <w:top w:val="single" w:sz="4" w:space="0" w:color="auto"/>
              <w:left w:val="single" w:sz="4" w:space="0" w:color="auto"/>
              <w:bottom w:val="single" w:sz="4" w:space="0" w:color="auto"/>
              <w:right w:val="single" w:sz="4" w:space="0" w:color="auto"/>
            </w:tcBorders>
            <w:vAlign w:val="center"/>
          </w:tcPr>
          <w:p w14:paraId="1000AE44" w14:textId="77777777" w:rsidR="00D12939" w:rsidRDefault="004F47F5">
            <w:pPr>
              <w:overflowPunct w:val="0"/>
              <w:autoSpaceDE w:val="0"/>
              <w:autoSpaceDN w:val="0"/>
              <w:jc w:val="center"/>
              <w:rPr>
                <w:rFonts w:ascii="Times New Roman" w:eastAsia="宋体" w:hAnsi="Times New Roman" w:cs="Times New Roman"/>
                <w:szCs w:val="21"/>
                <w:lang w:bidi="en-US"/>
              </w:rPr>
            </w:pPr>
            <w:r>
              <w:rPr>
                <w:rFonts w:ascii="Times New Roman" w:eastAsia="宋体" w:hAnsi="Times New Roman" w:cs="Times New Roman"/>
                <w:szCs w:val="21"/>
                <w:lang w:bidi="en-US"/>
              </w:rPr>
              <w:t>水质</w:t>
            </w:r>
            <w:r>
              <w:rPr>
                <w:rFonts w:ascii="Times New Roman" w:eastAsia="宋体" w:hAnsi="Times New Roman" w:cs="Times New Roman"/>
                <w:szCs w:val="21"/>
                <w:lang w:bidi="en-US"/>
              </w:rPr>
              <w:t xml:space="preserve"> pH </w:t>
            </w:r>
            <w:r>
              <w:rPr>
                <w:rFonts w:ascii="Times New Roman" w:eastAsia="宋体" w:hAnsi="Times New Roman" w:cs="Times New Roman"/>
                <w:szCs w:val="21"/>
                <w:lang w:bidi="en-US"/>
              </w:rPr>
              <w:t>值的测定</w:t>
            </w:r>
            <w:r>
              <w:rPr>
                <w:rFonts w:ascii="Times New Roman" w:eastAsia="宋体" w:hAnsi="Times New Roman" w:cs="Times New Roman"/>
                <w:szCs w:val="21"/>
                <w:lang w:bidi="en-US"/>
              </w:rPr>
              <w:t xml:space="preserve"> </w:t>
            </w:r>
            <w:r>
              <w:rPr>
                <w:rFonts w:ascii="Times New Roman" w:eastAsia="宋体" w:hAnsi="Times New Roman" w:cs="Times New Roman"/>
                <w:szCs w:val="21"/>
                <w:lang w:bidi="en-US"/>
              </w:rPr>
              <w:t>电极法</w:t>
            </w:r>
          </w:p>
          <w:p w14:paraId="052A225A"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lastRenderedPageBreak/>
              <w:t>HJ 1147-2020</w:t>
            </w:r>
          </w:p>
        </w:tc>
        <w:tc>
          <w:tcPr>
            <w:tcW w:w="1812" w:type="dxa"/>
            <w:tcBorders>
              <w:top w:val="single" w:sz="4" w:space="0" w:color="auto"/>
              <w:left w:val="single" w:sz="4" w:space="0" w:color="auto"/>
              <w:bottom w:val="single" w:sz="4" w:space="0" w:color="auto"/>
              <w:right w:val="single" w:sz="4" w:space="0" w:color="auto"/>
            </w:tcBorders>
            <w:vAlign w:val="center"/>
          </w:tcPr>
          <w:p w14:paraId="3C747A49" w14:textId="77777777" w:rsidR="00D12939" w:rsidRDefault="00D12939">
            <w:pPr>
              <w:overflowPunct w:val="0"/>
              <w:autoSpaceDE w:val="0"/>
              <w:autoSpaceDN w:val="0"/>
              <w:jc w:val="center"/>
              <w:rPr>
                <w:rFonts w:ascii="Times New Roman" w:eastAsia="宋体" w:hAnsi="Times New Roman" w:cs="Times New Roman"/>
                <w:szCs w:val="21"/>
                <w:lang w:eastAsia="en-US" w:bidi="en-US"/>
              </w:rPr>
            </w:pPr>
          </w:p>
          <w:p w14:paraId="5B842712"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lastRenderedPageBreak/>
              <w:t>/</w:t>
            </w:r>
          </w:p>
        </w:tc>
        <w:tc>
          <w:tcPr>
            <w:tcW w:w="2538" w:type="dxa"/>
            <w:tcBorders>
              <w:top w:val="single" w:sz="4" w:space="0" w:color="auto"/>
              <w:left w:val="single" w:sz="4" w:space="0" w:color="auto"/>
              <w:bottom w:val="single" w:sz="4" w:space="0" w:color="auto"/>
              <w:right w:val="single" w:sz="4" w:space="0" w:color="auto"/>
            </w:tcBorders>
            <w:vAlign w:val="center"/>
          </w:tcPr>
          <w:p w14:paraId="77DBD499"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lastRenderedPageBreak/>
              <w:t xml:space="preserve">testo206-pH1 </w:t>
            </w:r>
            <w:r>
              <w:rPr>
                <w:rFonts w:ascii="Times New Roman" w:eastAsia="宋体" w:hAnsi="Times New Roman" w:cs="Times New Roman"/>
                <w:szCs w:val="21"/>
                <w:lang w:eastAsia="en-US" w:bidi="en-US"/>
              </w:rPr>
              <w:t>便携式</w:t>
            </w:r>
            <w:r>
              <w:rPr>
                <w:rFonts w:ascii="Times New Roman" w:eastAsia="宋体" w:hAnsi="Times New Roman" w:cs="Times New Roman"/>
                <w:szCs w:val="21"/>
                <w:lang w:eastAsia="en-US" w:bidi="en-US"/>
              </w:rPr>
              <w:t xml:space="preserve"> pH </w:t>
            </w:r>
            <w:r>
              <w:rPr>
                <w:rFonts w:ascii="Times New Roman" w:eastAsia="宋体" w:hAnsi="Times New Roman" w:cs="Times New Roman"/>
                <w:szCs w:val="21"/>
                <w:lang w:eastAsia="en-US" w:bidi="en-US"/>
              </w:rPr>
              <w:lastRenderedPageBreak/>
              <w:t>计</w:t>
            </w:r>
            <w:r>
              <w:rPr>
                <w:rFonts w:ascii="Times New Roman" w:eastAsia="宋体" w:hAnsi="Times New Roman" w:cs="Times New Roman"/>
                <w:szCs w:val="21"/>
                <w:lang w:eastAsia="en-US" w:bidi="en-US"/>
              </w:rPr>
              <w:t>/SPC-025</w:t>
            </w:r>
          </w:p>
        </w:tc>
      </w:tr>
      <w:tr w:rsidR="00D12939" w14:paraId="0FEE9760" w14:textId="77777777">
        <w:tc>
          <w:tcPr>
            <w:tcW w:w="1665" w:type="dxa"/>
            <w:tcBorders>
              <w:top w:val="single" w:sz="4" w:space="0" w:color="auto"/>
              <w:left w:val="single" w:sz="4" w:space="0" w:color="auto"/>
              <w:bottom w:val="single" w:sz="4" w:space="0" w:color="auto"/>
              <w:right w:val="single" w:sz="4" w:space="0" w:color="auto"/>
            </w:tcBorders>
            <w:vAlign w:val="center"/>
          </w:tcPr>
          <w:p w14:paraId="5D5E7664"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position w:val="-7"/>
                <w:szCs w:val="21"/>
                <w:lang w:eastAsia="en-US" w:bidi="en-US"/>
              </w:rPr>
              <w:lastRenderedPageBreak/>
              <w:t>K</w:t>
            </w:r>
            <w:r>
              <w:rPr>
                <w:rFonts w:ascii="Times New Roman" w:eastAsia="宋体" w:hAnsi="Times New Roman" w:cs="Times New Roman"/>
                <w:szCs w:val="21"/>
                <w:lang w:eastAsia="en-US" w:bidi="en-US"/>
              </w:rPr>
              <w:t>+</w:t>
            </w:r>
          </w:p>
        </w:tc>
        <w:tc>
          <w:tcPr>
            <w:tcW w:w="4050" w:type="dxa"/>
            <w:vMerge w:val="restart"/>
            <w:tcBorders>
              <w:top w:val="single" w:sz="4" w:space="0" w:color="auto"/>
              <w:left w:val="single" w:sz="4" w:space="0" w:color="auto"/>
              <w:bottom w:val="single" w:sz="4" w:space="0" w:color="auto"/>
              <w:right w:val="single" w:sz="4" w:space="0" w:color="auto"/>
            </w:tcBorders>
            <w:vAlign w:val="center"/>
          </w:tcPr>
          <w:p w14:paraId="0BF0C794" w14:textId="77777777" w:rsidR="00D12939" w:rsidRDefault="004F47F5">
            <w:pPr>
              <w:overflowPunct w:val="0"/>
              <w:autoSpaceDE w:val="0"/>
              <w:autoSpaceDN w:val="0"/>
              <w:jc w:val="center"/>
              <w:rPr>
                <w:rFonts w:ascii="Times New Roman" w:eastAsia="宋体" w:hAnsi="Times New Roman" w:cs="Times New Roman"/>
                <w:szCs w:val="21"/>
                <w:lang w:bidi="en-US"/>
              </w:rPr>
            </w:pPr>
            <w:r>
              <w:rPr>
                <w:rFonts w:ascii="Times New Roman" w:eastAsia="宋体" w:hAnsi="Times New Roman" w:cs="Times New Roman"/>
                <w:spacing w:val="-9"/>
                <w:szCs w:val="21"/>
                <w:lang w:bidi="en-US"/>
              </w:rPr>
              <w:t>水质</w:t>
            </w:r>
            <w:r>
              <w:rPr>
                <w:rFonts w:ascii="Times New Roman" w:eastAsia="宋体" w:hAnsi="Times New Roman" w:cs="Times New Roman"/>
                <w:spacing w:val="-9"/>
                <w:szCs w:val="21"/>
                <w:lang w:bidi="en-US"/>
              </w:rPr>
              <w:t xml:space="preserve"> </w:t>
            </w:r>
            <w:r>
              <w:rPr>
                <w:rFonts w:ascii="Times New Roman" w:eastAsia="宋体" w:hAnsi="Times New Roman" w:cs="Times New Roman"/>
                <w:spacing w:val="-9"/>
                <w:szCs w:val="21"/>
                <w:lang w:bidi="en-US"/>
              </w:rPr>
              <w:t>可溶性阳离子</w:t>
            </w:r>
            <w:r>
              <w:rPr>
                <w:rFonts w:ascii="Times New Roman" w:eastAsia="宋体" w:hAnsi="Times New Roman" w:cs="Times New Roman"/>
                <w:szCs w:val="21"/>
                <w:lang w:bidi="en-US"/>
              </w:rPr>
              <w:t>（</w:t>
            </w:r>
            <w:r>
              <w:rPr>
                <w:rFonts w:ascii="Times New Roman" w:eastAsia="宋体" w:hAnsi="Times New Roman" w:cs="Times New Roman"/>
                <w:szCs w:val="21"/>
                <w:lang w:bidi="en-US"/>
              </w:rPr>
              <w:t>Li</w:t>
            </w:r>
            <w:r>
              <w:rPr>
                <w:rFonts w:ascii="Times New Roman" w:eastAsia="宋体" w:hAnsi="Times New Roman" w:cs="Times New Roman"/>
                <w:position w:val="8"/>
                <w:szCs w:val="21"/>
                <w:lang w:bidi="en-US"/>
              </w:rPr>
              <w:t>+</w:t>
            </w:r>
            <w:r>
              <w:rPr>
                <w:rFonts w:ascii="Times New Roman" w:eastAsia="宋体" w:hAnsi="Times New Roman" w:cs="Times New Roman"/>
                <w:spacing w:val="-77"/>
                <w:szCs w:val="21"/>
                <w:lang w:bidi="en-US"/>
              </w:rPr>
              <w:t>、</w:t>
            </w:r>
            <w:r>
              <w:rPr>
                <w:rFonts w:ascii="Times New Roman" w:eastAsia="宋体" w:hAnsi="Times New Roman" w:cs="Times New Roman"/>
                <w:szCs w:val="21"/>
                <w:lang w:bidi="en-US"/>
              </w:rPr>
              <w:t>Na</w:t>
            </w:r>
            <w:r>
              <w:rPr>
                <w:rFonts w:ascii="Times New Roman" w:eastAsia="宋体" w:hAnsi="Times New Roman" w:cs="Times New Roman"/>
                <w:position w:val="8"/>
                <w:szCs w:val="21"/>
                <w:lang w:bidi="en-US"/>
              </w:rPr>
              <w:t>+</w:t>
            </w:r>
            <w:r>
              <w:rPr>
                <w:rFonts w:ascii="Times New Roman" w:eastAsia="宋体" w:hAnsi="Times New Roman" w:cs="Times New Roman"/>
                <w:spacing w:val="-75"/>
                <w:szCs w:val="21"/>
                <w:lang w:bidi="en-US"/>
              </w:rPr>
              <w:t>、</w:t>
            </w:r>
            <w:r>
              <w:rPr>
                <w:rFonts w:ascii="Times New Roman" w:eastAsia="宋体" w:hAnsi="Times New Roman" w:cs="Times New Roman"/>
                <w:szCs w:val="21"/>
                <w:lang w:bidi="en-US"/>
              </w:rPr>
              <w:t>NH</w:t>
            </w:r>
            <w:r>
              <w:rPr>
                <w:rFonts w:ascii="Times New Roman" w:eastAsia="宋体" w:hAnsi="Times New Roman" w:cs="Times New Roman"/>
                <w:spacing w:val="19"/>
                <w:szCs w:val="21"/>
                <w:lang w:bidi="en-US"/>
              </w:rPr>
              <w:t xml:space="preserve"> </w:t>
            </w:r>
            <w:r>
              <w:rPr>
                <w:rFonts w:ascii="Times New Roman" w:eastAsia="宋体" w:hAnsi="Times New Roman" w:cs="Times New Roman"/>
                <w:position w:val="8"/>
                <w:szCs w:val="21"/>
                <w:lang w:bidi="en-US"/>
              </w:rPr>
              <w:t>+</w:t>
            </w:r>
            <w:r>
              <w:rPr>
                <w:rFonts w:ascii="Times New Roman" w:eastAsia="宋体" w:hAnsi="Times New Roman" w:cs="Times New Roman"/>
                <w:szCs w:val="21"/>
                <w:lang w:bidi="en-US"/>
              </w:rPr>
              <w:t>、</w:t>
            </w:r>
            <w:r>
              <w:rPr>
                <w:rFonts w:ascii="Times New Roman" w:eastAsia="宋体" w:hAnsi="Times New Roman" w:cs="Times New Roman"/>
                <w:szCs w:val="21"/>
                <w:lang w:bidi="en-US"/>
              </w:rPr>
              <w:t>K</w:t>
            </w:r>
            <w:r>
              <w:rPr>
                <w:rFonts w:ascii="Times New Roman" w:eastAsia="宋体" w:hAnsi="Times New Roman" w:cs="Times New Roman"/>
                <w:position w:val="8"/>
                <w:szCs w:val="21"/>
                <w:lang w:bidi="en-US"/>
              </w:rPr>
              <w:t>+</w:t>
            </w:r>
            <w:r>
              <w:rPr>
                <w:rFonts w:ascii="Times New Roman" w:eastAsia="宋体" w:hAnsi="Times New Roman" w:cs="Times New Roman"/>
                <w:szCs w:val="21"/>
                <w:lang w:bidi="en-US"/>
              </w:rPr>
              <w:t>、</w:t>
            </w:r>
            <w:r>
              <w:rPr>
                <w:rFonts w:ascii="Times New Roman" w:eastAsia="宋体" w:hAnsi="Times New Roman" w:cs="Times New Roman"/>
                <w:szCs w:val="21"/>
                <w:lang w:bidi="en-US"/>
              </w:rPr>
              <w:t>Ca</w:t>
            </w:r>
            <w:r>
              <w:rPr>
                <w:rFonts w:ascii="Times New Roman" w:eastAsia="宋体" w:hAnsi="Times New Roman" w:cs="Times New Roman"/>
                <w:position w:val="8"/>
                <w:szCs w:val="21"/>
                <w:lang w:bidi="en-US"/>
              </w:rPr>
              <w:t>2+</w:t>
            </w:r>
            <w:r>
              <w:rPr>
                <w:rFonts w:ascii="Times New Roman" w:eastAsia="宋体" w:hAnsi="Times New Roman" w:cs="Times New Roman"/>
                <w:szCs w:val="21"/>
                <w:lang w:bidi="en-US"/>
              </w:rPr>
              <w:t>、</w:t>
            </w:r>
            <w:r>
              <w:rPr>
                <w:rFonts w:ascii="Times New Roman" w:eastAsia="宋体" w:hAnsi="Times New Roman" w:cs="Times New Roman"/>
                <w:szCs w:val="21"/>
                <w:lang w:bidi="en-US"/>
              </w:rPr>
              <w:t>Mg</w:t>
            </w:r>
            <w:r>
              <w:rPr>
                <w:rFonts w:ascii="Times New Roman" w:eastAsia="宋体" w:hAnsi="Times New Roman" w:cs="Times New Roman"/>
                <w:position w:val="8"/>
                <w:szCs w:val="21"/>
                <w:lang w:bidi="en-US"/>
              </w:rPr>
              <w:t>2+</w:t>
            </w:r>
            <w:r>
              <w:rPr>
                <w:rFonts w:ascii="Times New Roman" w:eastAsia="宋体" w:hAnsi="Times New Roman" w:cs="Times New Roman"/>
                <w:szCs w:val="21"/>
                <w:lang w:bidi="en-US"/>
              </w:rPr>
              <w:t>）的测定离子色谱法</w:t>
            </w:r>
            <w:r>
              <w:rPr>
                <w:rFonts w:ascii="Times New Roman" w:eastAsia="宋体" w:hAnsi="Times New Roman" w:cs="Times New Roman"/>
                <w:szCs w:val="21"/>
                <w:lang w:bidi="en-US"/>
              </w:rPr>
              <w:t xml:space="preserve"> HJ 812-2016</w:t>
            </w:r>
          </w:p>
        </w:tc>
        <w:tc>
          <w:tcPr>
            <w:tcW w:w="1812" w:type="dxa"/>
            <w:tcBorders>
              <w:top w:val="single" w:sz="4" w:space="0" w:color="auto"/>
              <w:left w:val="single" w:sz="4" w:space="0" w:color="auto"/>
              <w:bottom w:val="single" w:sz="4" w:space="0" w:color="auto"/>
              <w:right w:val="single" w:sz="4" w:space="0" w:color="auto"/>
            </w:tcBorders>
            <w:vAlign w:val="center"/>
          </w:tcPr>
          <w:p w14:paraId="2F2525CD" w14:textId="77777777" w:rsidR="00D12939" w:rsidRDefault="00D12939">
            <w:pPr>
              <w:overflowPunct w:val="0"/>
              <w:autoSpaceDE w:val="0"/>
              <w:autoSpaceDN w:val="0"/>
              <w:jc w:val="center"/>
              <w:rPr>
                <w:rFonts w:ascii="Times New Roman" w:eastAsia="宋体" w:hAnsi="Times New Roman" w:cs="Times New Roman"/>
                <w:szCs w:val="21"/>
                <w:lang w:bidi="en-US"/>
              </w:rPr>
            </w:pPr>
          </w:p>
          <w:p w14:paraId="3F27E351"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t>0.02mg/L</w:t>
            </w:r>
          </w:p>
        </w:tc>
        <w:tc>
          <w:tcPr>
            <w:tcW w:w="2538" w:type="dxa"/>
            <w:vMerge w:val="restart"/>
            <w:tcBorders>
              <w:top w:val="single" w:sz="4" w:space="0" w:color="auto"/>
              <w:left w:val="single" w:sz="4" w:space="0" w:color="auto"/>
              <w:bottom w:val="single" w:sz="4" w:space="0" w:color="auto"/>
              <w:right w:val="single" w:sz="4" w:space="0" w:color="auto"/>
            </w:tcBorders>
            <w:vAlign w:val="center"/>
          </w:tcPr>
          <w:p w14:paraId="78487CF4"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t xml:space="preserve">PIC-10A </w:t>
            </w:r>
            <w:r>
              <w:rPr>
                <w:rFonts w:ascii="Times New Roman" w:eastAsia="宋体" w:hAnsi="Times New Roman" w:cs="Times New Roman"/>
                <w:szCs w:val="21"/>
                <w:lang w:eastAsia="en-US" w:bidi="en-US"/>
              </w:rPr>
              <w:t>离子色谱仪</w:t>
            </w:r>
            <w:r>
              <w:rPr>
                <w:rFonts w:ascii="Times New Roman" w:eastAsia="宋体" w:hAnsi="Times New Roman" w:cs="Times New Roman"/>
                <w:szCs w:val="21"/>
                <w:lang w:eastAsia="en-US" w:bidi="en-US"/>
              </w:rPr>
              <w:t>/SPS-008</w:t>
            </w:r>
          </w:p>
        </w:tc>
      </w:tr>
      <w:tr w:rsidR="00D12939" w14:paraId="2DA993E1" w14:textId="77777777">
        <w:tc>
          <w:tcPr>
            <w:tcW w:w="1665" w:type="dxa"/>
            <w:tcBorders>
              <w:top w:val="single" w:sz="4" w:space="0" w:color="auto"/>
              <w:left w:val="single" w:sz="4" w:space="0" w:color="auto"/>
              <w:bottom w:val="single" w:sz="4" w:space="0" w:color="auto"/>
              <w:right w:val="single" w:sz="4" w:space="0" w:color="auto"/>
            </w:tcBorders>
            <w:vAlign w:val="center"/>
          </w:tcPr>
          <w:p w14:paraId="4F3205BB"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t>Na</w:t>
            </w:r>
            <w:r>
              <w:rPr>
                <w:rFonts w:ascii="Times New Roman" w:eastAsia="宋体" w:hAnsi="Times New Roman" w:cs="Times New Roman"/>
                <w:position w:val="8"/>
                <w:szCs w:val="21"/>
                <w:lang w:eastAsia="en-US" w:bidi="en-US"/>
              </w:rPr>
              <w:t>+</w:t>
            </w:r>
          </w:p>
        </w:tc>
        <w:tc>
          <w:tcPr>
            <w:tcW w:w="4050" w:type="dxa"/>
            <w:vMerge/>
            <w:tcBorders>
              <w:top w:val="single" w:sz="4" w:space="0" w:color="auto"/>
              <w:left w:val="single" w:sz="4" w:space="0" w:color="auto"/>
              <w:bottom w:val="single" w:sz="4" w:space="0" w:color="auto"/>
              <w:right w:val="single" w:sz="4" w:space="0" w:color="auto"/>
            </w:tcBorders>
            <w:vAlign w:val="center"/>
          </w:tcPr>
          <w:p w14:paraId="4D12B831" w14:textId="77777777" w:rsidR="00D12939" w:rsidRDefault="00D12939">
            <w:pPr>
              <w:overflowPunct w:val="0"/>
              <w:autoSpaceDE w:val="0"/>
              <w:autoSpaceDN w:val="0"/>
              <w:jc w:val="center"/>
              <w:rPr>
                <w:rFonts w:ascii="Times New Roman" w:eastAsia="宋体" w:hAnsi="Times New Roman" w:cs="Times New Roman"/>
                <w:kern w:val="0"/>
                <w:szCs w:val="21"/>
                <w:lang w:eastAsia="en-US" w:bidi="en-US"/>
              </w:rPr>
            </w:pPr>
          </w:p>
        </w:tc>
        <w:tc>
          <w:tcPr>
            <w:tcW w:w="1812" w:type="dxa"/>
            <w:tcBorders>
              <w:top w:val="single" w:sz="4" w:space="0" w:color="auto"/>
              <w:left w:val="single" w:sz="4" w:space="0" w:color="auto"/>
              <w:bottom w:val="single" w:sz="4" w:space="0" w:color="auto"/>
              <w:right w:val="single" w:sz="4" w:space="0" w:color="auto"/>
            </w:tcBorders>
            <w:vAlign w:val="center"/>
          </w:tcPr>
          <w:p w14:paraId="623100CC" w14:textId="77777777" w:rsidR="00D12939" w:rsidRDefault="00D12939">
            <w:pPr>
              <w:overflowPunct w:val="0"/>
              <w:autoSpaceDE w:val="0"/>
              <w:autoSpaceDN w:val="0"/>
              <w:jc w:val="center"/>
              <w:rPr>
                <w:rFonts w:ascii="Times New Roman" w:eastAsia="宋体" w:hAnsi="Times New Roman" w:cs="Times New Roman"/>
                <w:szCs w:val="21"/>
                <w:lang w:eastAsia="en-US" w:bidi="en-US"/>
              </w:rPr>
            </w:pPr>
          </w:p>
          <w:p w14:paraId="0CF87984"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t>0.02mg/L</w:t>
            </w:r>
          </w:p>
        </w:tc>
        <w:tc>
          <w:tcPr>
            <w:tcW w:w="2538" w:type="dxa"/>
            <w:vMerge/>
            <w:tcBorders>
              <w:top w:val="single" w:sz="4" w:space="0" w:color="auto"/>
              <w:left w:val="single" w:sz="4" w:space="0" w:color="auto"/>
              <w:bottom w:val="single" w:sz="4" w:space="0" w:color="auto"/>
              <w:right w:val="single" w:sz="4" w:space="0" w:color="auto"/>
            </w:tcBorders>
            <w:vAlign w:val="center"/>
          </w:tcPr>
          <w:p w14:paraId="335A638B" w14:textId="77777777" w:rsidR="00D12939" w:rsidRDefault="00D12939">
            <w:pPr>
              <w:overflowPunct w:val="0"/>
              <w:autoSpaceDE w:val="0"/>
              <w:autoSpaceDN w:val="0"/>
              <w:jc w:val="center"/>
              <w:rPr>
                <w:rFonts w:ascii="Times New Roman" w:eastAsia="宋体" w:hAnsi="Times New Roman" w:cs="Times New Roman"/>
                <w:kern w:val="0"/>
                <w:szCs w:val="21"/>
                <w:lang w:eastAsia="en-US" w:bidi="en-US"/>
              </w:rPr>
            </w:pPr>
          </w:p>
        </w:tc>
      </w:tr>
      <w:tr w:rsidR="00D12939" w14:paraId="5F8529A7" w14:textId="77777777">
        <w:tc>
          <w:tcPr>
            <w:tcW w:w="1665" w:type="dxa"/>
            <w:tcBorders>
              <w:top w:val="single" w:sz="4" w:space="0" w:color="auto"/>
              <w:left w:val="single" w:sz="4" w:space="0" w:color="auto"/>
              <w:bottom w:val="single" w:sz="4" w:space="0" w:color="auto"/>
              <w:right w:val="single" w:sz="4" w:space="0" w:color="auto"/>
            </w:tcBorders>
            <w:vAlign w:val="center"/>
          </w:tcPr>
          <w:p w14:paraId="5D9AE40C"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position w:val="-7"/>
                <w:szCs w:val="21"/>
                <w:lang w:eastAsia="en-US" w:bidi="en-US"/>
              </w:rPr>
              <w:t>Ca</w:t>
            </w:r>
            <w:r>
              <w:rPr>
                <w:rFonts w:ascii="Times New Roman" w:eastAsia="宋体" w:hAnsi="Times New Roman" w:cs="Times New Roman"/>
                <w:szCs w:val="21"/>
                <w:lang w:eastAsia="en-US" w:bidi="en-US"/>
              </w:rPr>
              <w:t>2+</w:t>
            </w:r>
          </w:p>
        </w:tc>
        <w:tc>
          <w:tcPr>
            <w:tcW w:w="4050" w:type="dxa"/>
            <w:vMerge/>
            <w:tcBorders>
              <w:top w:val="single" w:sz="4" w:space="0" w:color="auto"/>
              <w:left w:val="single" w:sz="4" w:space="0" w:color="auto"/>
              <w:bottom w:val="single" w:sz="4" w:space="0" w:color="auto"/>
              <w:right w:val="single" w:sz="4" w:space="0" w:color="auto"/>
            </w:tcBorders>
            <w:vAlign w:val="center"/>
          </w:tcPr>
          <w:p w14:paraId="1A2B7AE0" w14:textId="77777777" w:rsidR="00D12939" w:rsidRDefault="00D12939">
            <w:pPr>
              <w:overflowPunct w:val="0"/>
              <w:autoSpaceDE w:val="0"/>
              <w:autoSpaceDN w:val="0"/>
              <w:jc w:val="center"/>
              <w:rPr>
                <w:rFonts w:ascii="Times New Roman" w:eastAsia="宋体" w:hAnsi="Times New Roman" w:cs="Times New Roman"/>
                <w:kern w:val="0"/>
                <w:szCs w:val="21"/>
                <w:lang w:eastAsia="en-US" w:bidi="en-US"/>
              </w:rPr>
            </w:pPr>
          </w:p>
        </w:tc>
        <w:tc>
          <w:tcPr>
            <w:tcW w:w="1812" w:type="dxa"/>
            <w:tcBorders>
              <w:top w:val="single" w:sz="4" w:space="0" w:color="auto"/>
              <w:left w:val="single" w:sz="4" w:space="0" w:color="auto"/>
              <w:bottom w:val="single" w:sz="4" w:space="0" w:color="auto"/>
              <w:right w:val="single" w:sz="4" w:space="0" w:color="auto"/>
            </w:tcBorders>
            <w:vAlign w:val="center"/>
          </w:tcPr>
          <w:p w14:paraId="1115A70A" w14:textId="77777777" w:rsidR="00D12939" w:rsidRDefault="00D12939">
            <w:pPr>
              <w:overflowPunct w:val="0"/>
              <w:autoSpaceDE w:val="0"/>
              <w:autoSpaceDN w:val="0"/>
              <w:jc w:val="center"/>
              <w:rPr>
                <w:rFonts w:ascii="Times New Roman" w:eastAsia="宋体" w:hAnsi="Times New Roman" w:cs="Times New Roman"/>
                <w:szCs w:val="21"/>
                <w:lang w:eastAsia="en-US" w:bidi="en-US"/>
              </w:rPr>
            </w:pPr>
          </w:p>
          <w:p w14:paraId="06B5DEF0"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t>0.03mg/L</w:t>
            </w:r>
          </w:p>
        </w:tc>
        <w:tc>
          <w:tcPr>
            <w:tcW w:w="2538" w:type="dxa"/>
            <w:vMerge/>
            <w:tcBorders>
              <w:top w:val="single" w:sz="4" w:space="0" w:color="auto"/>
              <w:left w:val="single" w:sz="4" w:space="0" w:color="auto"/>
              <w:bottom w:val="single" w:sz="4" w:space="0" w:color="auto"/>
              <w:right w:val="single" w:sz="4" w:space="0" w:color="auto"/>
            </w:tcBorders>
            <w:vAlign w:val="center"/>
          </w:tcPr>
          <w:p w14:paraId="0A36486D" w14:textId="77777777" w:rsidR="00D12939" w:rsidRDefault="00D12939">
            <w:pPr>
              <w:overflowPunct w:val="0"/>
              <w:autoSpaceDE w:val="0"/>
              <w:autoSpaceDN w:val="0"/>
              <w:jc w:val="center"/>
              <w:rPr>
                <w:rFonts w:ascii="Times New Roman" w:eastAsia="宋体" w:hAnsi="Times New Roman" w:cs="Times New Roman"/>
                <w:kern w:val="0"/>
                <w:szCs w:val="21"/>
                <w:lang w:eastAsia="en-US" w:bidi="en-US"/>
              </w:rPr>
            </w:pPr>
          </w:p>
        </w:tc>
      </w:tr>
      <w:tr w:rsidR="00D12939" w14:paraId="3F877AD9" w14:textId="77777777">
        <w:tc>
          <w:tcPr>
            <w:tcW w:w="1665" w:type="dxa"/>
            <w:tcBorders>
              <w:top w:val="single" w:sz="4" w:space="0" w:color="auto"/>
              <w:left w:val="single" w:sz="4" w:space="0" w:color="auto"/>
              <w:bottom w:val="single" w:sz="4" w:space="0" w:color="auto"/>
              <w:right w:val="single" w:sz="4" w:space="0" w:color="auto"/>
            </w:tcBorders>
            <w:vAlign w:val="center"/>
          </w:tcPr>
          <w:p w14:paraId="129BE461" w14:textId="77777777" w:rsidR="00D12939" w:rsidRDefault="00D12939">
            <w:pPr>
              <w:overflowPunct w:val="0"/>
              <w:autoSpaceDE w:val="0"/>
              <w:autoSpaceDN w:val="0"/>
              <w:jc w:val="center"/>
              <w:rPr>
                <w:rFonts w:ascii="Times New Roman" w:eastAsia="宋体" w:hAnsi="Times New Roman" w:cs="Times New Roman"/>
                <w:szCs w:val="21"/>
                <w:lang w:eastAsia="en-US" w:bidi="en-US"/>
              </w:rPr>
            </w:pPr>
          </w:p>
          <w:p w14:paraId="0195289F"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position w:val="-7"/>
                <w:szCs w:val="21"/>
                <w:lang w:eastAsia="en-US" w:bidi="en-US"/>
              </w:rPr>
              <w:t>Mg</w:t>
            </w:r>
            <w:r>
              <w:rPr>
                <w:rFonts w:ascii="Times New Roman" w:eastAsia="宋体" w:hAnsi="Times New Roman" w:cs="Times New Roman"/>
                <w:szCs w:val="21"/>
                <w:lang w:eastAsia="en-US" w:bidi="en-US"/>
              </w:rPr>
              <w:t>2+</w:t>
            </w:r>
          </w:p>
        </w:tc>
        <w:tc>
          <w:tcPr>
            <w:tcW w:w="4050" w:type="dxa"/>
            <w:vMerge/>
            <w:tcBorders>
              <w:top w:val="single" w:sz="4" w:space="0" w:color="auto"/>
              <w:left w:val="single" w:sz="4" w:space="0" w:color="auto"/>
              <w:bottom w:val="single" w:sz="4" w:space="0" w:color="auto"/>
              <w:right w:val="single" w:sz="4" w:space="0" w:color="auto"/>
            </w:tcBorders>
            <w:vAlign w:val="center"/>
          </w:tcPr>
          <w:p w14:paraId="524404E6" w14:textId="77777777" w:rsidR="00D12939" w:rsidRDefault="00D12939">
            <w:pPr>
              <w:overflowPunct w:val="0"/>
              <w:autoSpaceDE w:val="0"/>
              <w:autoSpaceDN w:val="0"/>
              <w:jc w:val="center"/>
              <w:rPr>
                <w:rFonts w:ascii="Times New Roman" w:eastAsia="宋体" w:hAnsi="Times New Roman" w:cs="Times New Roman"/>
                <w:kern w:val="0"/>
                <w:szCs w:val="21"/>
                <w:lang w:eastAsia="en-US" w:bidi="en-US"/>
              </w:rPr>
            </w:pPr>
          </w:p>
        </w:tc>
        <w:tc>
          <w:tcPr>
            <w:tcW w:w="1812" w:type="dxa"/>
            <w:tcBorders>
              <w:top w:val="single" w:sz="4" w:space="0" w:color="auto"/>
              <w:left w:val="single" w:sz="4" w:space="0" w:color="auto"/>
              <w:bottom w:val="single" w:sz="4" w:space="0" w:color="auto"/>
              <w:right w:val="single" w:sz="4" w:space="0" w:color="auto"/>
            </w:tcBorders>
            <w:vAlign w:val="center"/>
          </w:tcPr>
          <w:p w14:paraId="167CBAAF" w14:textId="77777777" w:rsidR="00D12939" w:rsidRDefault="00D12939">
            <w:pPr>
              <w:overflowPunct w:val="0"/>
              <w:autoSpaceDE w:val="0"/>
              <w:autoSpaceDN w:val="0"/>
              <w:jc w:val="center"/>
              <w:rPr>
                <w:rFonts w:ascii="Times New Roman" w:eastAsia="宋体" w:hAnsi="Times New Roman" w:cs="Times New Roman"/>
                <w:szCs w:val="21"/>
                <w:lang w:eastAsia="en-US" w:bidi="en-US"/>
              </w:rPr>
            </w:pPr>
          </w:p>
          <w:p w14:paraId="4A128352" w14:textId="77777777" w:rsidR="00D12939" w:rsidRDefault="004F47F5">
            <w:pPr>
              <w:overflowPunct w:val="0"/>
              <w:autoSpaceDE w:val="0"/>
              <w:autoSpaceDN w:val="0"/>
              <w:jc w:val="center"/>
              <w:rPr>
                <w:rFonts w:ascii="Times New Roman" w:eastAsia="宋体" w:hAnsi="Times New Roman" w:cs="Times New Roman"/>
                <w:szCs w:val="21"/>
                <w:lang w:eastAsia="en-US" w:bidi="en-US"/>
              </w:rPr>
            </w:pPr>
            <w:r>
              <w:rPr>
                <w:rFonts w:ascii="Times New Roman" w:eastAsia="宋体" w:hAnsi="Times New Roman" w:cs="Times New Roman"/>
                <w:szCs w:val="21"/>
                <w:lang w:eastAsia="en-US" w:bidi="en-US"/>
              </w:rPr>
              <w:t>0.02mg/L</w:t>
            </w:r>
          </w:p>
        </w:tc>
        <w:tc>
          <w:tcPr>
            <w:tcW w:w="2538" w:type="dxa"/>
            <w:vMerge/>
            <w:tcBorders>
              <w:top w:val="single" w:sz="4" w:space="0" w:color="auto"/>
              <w:left w:val="single" w:sz="4" w:space="0" w:color="auto"/>
              <w:bottom w:val="single" w:sz="4" w:space="0" w:color="auto"/>
              <w:right w:val="single" w:sz="4" w:space="0" w:color="auto"/>
            </w:tcBorders>
            <w:vAlign w:val="center"/>
          </w:tcPr>
          <w:p w14:paraId="4344C006" w14:textId="77777777" w:rsidR="00D12939" w:rsidRDefault="00D12939">
            <w:pPr>
              <w:overflowPunct w:val="0"/>
              <w:autoSpaceDE w:val="0"/>
              <w:autoSpaceDN w:val="0"/>
              <w:jc w:val="center"/>
              <w:rPr>
                <w:rFonts w:ascii="Times New Roman" w:eastAsia="宋体" w:hAnsi="Times New Roman" w:cs="Times New Roman"/>
                <w:kern w:val="0"/>
                <w:szCs w:val="21"/>
                <w:lang w:eastAsia="en-US" w:bidi="en-US"/>
              </w:rPr>
            </w:pPr>
          </w:p>
        </w:tc>
      </w:tr>
      <w:tr w:rsidR="00D12939" w14:paraId="41F98F85" w14:textId="77777777">
        <w:tc>
          <w:tcPr>
            <w:tcW w:w="1665" w:type="dxa"/>
            <w:tcBorders>
              <w:top w:val="single" w:sz="4" w:space="0" w:color="auto"/>
              <w:left w:val="single" w:sz="4" w:space="0" w:color="auto"/>
              <w:bottom w:val="single" w:sz="4" w:space="0" w:color="auto"/>
              <w:right w:val="single" w:sz="4" w:space="0" w:color="auto"/>
            </w:tcBorders>
            <w:vAlign w:val="center"/>
          </w:tcPr>
          <w:p w14:paraId="4B80BA69"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碳酸根</w:t>
            </w:r>
          </w:p>
        </w:tc>
        <w:tc>
          <w:tcPr>
            <w:tcW w:w="4050" w:type="dxa"/>
            <w:vMerge w:val="restart"/>
            <w:tcBorders>
              <w:top w:val="single" w:sz="4" w:space="0" w:color="auto"/>
              <w:left w:val="single" w:sz="4" w:space="0" w:color="auto"/>
              <w:right w:val="single" w:sz="4" w:space="0" w:color="auto"/>
            </w:tcBorders>
            <w:vAlign w:val="center"/>
          </w:tcPr>
          <w:p w14:paraId="247C3759"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地下水质检验方法滴定法测定</w:t>
            </w:r>
          </w:p>
          <w:p w14:paraId="4C6405B5"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碳酸根、重碳酸根和氢氧根</w:t>
            </w:r>
          </w:p>
          <w:p w14:paraId="343BC952"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DZ/T 0064.49-2021</w:t>
            </w:r>
          </w:p>
        </w:tc>
        <w:tc>
          <w:tcPr>
            <w:tcW w:w="1812" w:type="dxa"/>
            <w:vMerge w:val="restart"/>
            <w:tcBorders>
              <w:top w:val="single" w:sz="4" w:space="0" w:color="auto"/>
              <w:left w:val="single" w:sz="4" w:space="0" w:color="auto"/>
              <w:right w:val="single" w:sz="4" w:space="0" w:color="auto"/>
            </w:tcBorders>
            <w:vAlign w:val="center"/>
          </w:tcPr>
          <w:p w14:paraId="74A71D16"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1.25mg/L</w:t>
            </w:r>
          </w:p>
        </w:tc>
        <w:tc>
          <w:tcPr>
            <w:tcW w:w="2538" w:type="dxa"/>
            <w:vMerge w:val="restart"/>
            <w:tcBorders>
              <w:top w:val="single" w:sz="4" w:space="0" w:color="auto"/>
              <w:left w:val="single" w:sz="4" w:space="0" w:color="auto"/>
              <w:right w:val="single" w:sz="4" w:space="0" w:color="auto"/>
            </w:tcBorders>
            <w:vAlign w:val="center"/>
          </w:tcPr>
          <w:p w14:paraId="4A13CE13"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25mL</w:t>
            </w:r>
          </w:p>
          <w:p w14:paraId="74D59D1E"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酸式滴定管</w:t>
            </w:r>
          </w:p>
        </w:tc>
      </w:tr>
      <w:tr w:rsidR="00D12939" w14:paraId="59CB9B8D" w14:textId="77777777">
        <w:tc>
          <w:tcPr>
            <w:tcW w:w="1665" w:type="dxa"/>
            <w:tcBorders>
              <w:top w:val="single" w:sz="4" w:space="0" w:color="auto"/>
              <w:left w:val="single" w:sz="4" w:space="0" w:color="auto"/>
              <w:bottom w:val="single" w:sz="4" w:space="0" w:color="auto"/>
              <w:right w:val="single" w:sz="4" w:space="0" w:color="auto"/>
            </w:tcBorders>
            <w:vAlign w:val="center"/>
          </w:tcPr>
          <w:p w14:paraId="1E03B277"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重碳酸根</w:t>
            </w:r>
          </w:p>
        </w:tc>
        <w:tc>
          <w:tcPr>
            <w:tcW w:w="4050" w:type="dxa"/>
            <w:vMerge/>
            <w:tcBorders>
              <w:left w:val="single" w:sz="4" w:space="0" w:color="auto"/>
              <w:bottom w:val="single" w:sz="4" w:space="0" w:color="auto"/>
              <w:right w:val="single" w:sz="4" w:space="0" w:color="auto"/>
            </w:tcBorders>
            <w:vAlign w:val="center"/>
          </w:tcPr>
          <w:p w14:paraId="0EE24E35" w14:textId="77777777" w:rsidR="00D12939" w:rsidRDefault="00D12939">
            <w:pPr>
              <w:overflowPunct w:val="0"/>
              <w:jc w:val="center"/>
              <w:rPr>
                <w:rFonts w:ascii="Times New Roman" w:eastAsia="宋体" w:hAnsi="Times New Roman" w:cs="Times New Roman"/>
                <w:szCs w:val="21"/>
                <w:lang w:eastAsia="en-US"/>
              </w:rPr>
            </w:pPr>
          </w:p>
        </w:tc>
        <w:tc>
          <w:tcPr>
            <w:tcW w:w="1812" w:type="dxa"/>
            <w:vMerge/>
            <w:tcBorders>
              <w:left w:val="single" w:sz="4" w:space="0" w:color="auto"/>
              <w:bottom w:val="single" w:sz="4" w:space="0" w:color="auto"/>
              <w:right w:val="single" w:sz="4" w:space="0" w:color="auto"/>
            </w:tcBorders>
            <w:vAlign w:val="center"/>
          </w:tcPr>
          <w:p w14:paraId="1ADF0BF7" w14:textId="77777777" w:rsidR="00D12939" w:rsidRDefault="00D12939">
            <w:pPr>
              <w:overflowPunct w:val="0"/>
              <w:jc w:val="center"/>
              <w:rPr>
                <w:rFonts w:ascii="Times New Roman" w:eastAsia="宋体" w:hAnsi="Times New Roman" w:cs="Times New Roman"/>
                <w:szCs w:val="21"/>
                <w:lang w:eastAsia="en-US"/>
              </w:rPr>
            </w:pPr>
          </w:p>
        </w:tc>
        <w:tc>
          <w:tcPr>
            <w:tcW w:w="2538" w:type="dxa"/>
            <w:vMerge/>
            <w:tcBorders>
              <w:left w:val="single" w:sz="4" w:space="0" w:color="auto"/>
              <w:bottom w:val="single" w:sz="4" w:space="0" w:color="auto"/>
              <w:right w:val="single" w:sz="4" w:space="0" w:color="auto"/>
            </w:tcBorders>
            <w:vAlign w:val="center"/>
          </w:tcPr>
          <w:p w14:paraId="79DACBDB" w14:textId="77777777" w:rsidR="00D12939" w:rsidRDefault="00D12939">
            <w:pPr>
              <w:overflowPunct w:val="0"/>
              <w:jc w:val="center"/>
              <w:rPr>
                <w:rFonts w:ascii="Times New Roman" w:eastAsia="宋体" w:hAnsi="Times New Roman" w:cs="Times New Roman"/>
                <w:szCs w:val="21"/>
                <w:lang w:eastAsia="en-US"/>
              </w:rPr>
            </w:pPr>
          </w:p>
        </w:tc>
      </w:tr>
      <w:tr w:rsidR="00D12939" w14:paraId="01605B16" w14:textId="77777777">
        <w:tc>
          <w:tcPr>
            <w:tcW w:w="1665" w:type="dxa"/>
            <w:vAlign w:val="center"/>
          </w:tcPr>
          <w:p w14:paraId="731B47F6"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硫酸盐</w:t>
            </w:r>
          </w:p>
        </w:tc>
        <w:tc>
          <w:tcPr>
            <w:tcW w:w="4050" w:type="dxa"/>
            <w:vMerge w:val="restart"/>
            <w:vAlign w:val="center"/>
          </w:tcPr>
          <w:p w14:paraId="78A49D1A"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水质</w:t>
            </w:r>
            <w:r>
              <w:rPr>
                <w:rFonts w:ascii="Times New Roman" w:hAnsi="Times New Roman"/>
                <w:sz w:val="21"/>
                <w:szCs w:val="21"/>
              </w:rPr>
              <w:t xml:space="preserve"> </w:t>
            </w:r>
            <w:r>
              <w:rPr>
                <w:rFonts w:ascii="Times New Roman" w:hAnsi="Times New Roman"/>
                <w:sz w:val="21"/>
                <w:szCs w:val="21"/>
              </w:rPr>
              <w:t>无机阴离子（</w:t>
            </w:r>
            <w:r>
              <w:rPr>
                <w:rFonts w:ascii="Times New Roman" w:hAnsi="Times New Roman"/>
                <w:sz w:val="21"/>
                <w:szCs w:val="21"/>
              </w:rPr>
              <w:t>F</w:t>
            </w:r>
            <w:r>
              <w:rPr>
                <w:rFonts w:ascii="Times New Roman" w:hAnsi="Times New Roman"/>
                <w:position w:val="8"/>
                <w:sz w:val="21"/>
                <w:szCs w:val="21"/>
              </w:rPr>
              <w:t>-</w:t>
            </w:r>
            <w:r>
              <w:rPr>
                <w:rFonts w:ascii="Times New Roman" w:hAnsi="Times New Roman"/>
                <w:spacing w:val="-80"/>
                <w:sz w:val="21"/>
                <w:szCs w:val="21"/>
              </w:rPr>
              <w:t>、</w:t>
            </w:r>
            <w:r>
              <w:rPr>
                <w:rFonts w:ascii="Times New Roman" w:hAnsi="Times New Roman"/>
                <w:sz w:val="21"/>
                <w:szCs w:val="21"/>
              </w:rPr>
              <w:t>Cl</w:t>
            </w:r>
            <w:r>
              <w:rPr>
                <w:rFonts w:ascii="Times New Roman" w:hAnsi="Times New Roman"/>
                <w:position w:val="8"/>
                <w:sz w:val="21"/>
                <w:szCs w:val="21"/>
              </w:rPr>
              <w:t>-</w:t>
            </w:r>
            <w:r>
              <w:rPr>
                <w:rFonts w:ascii="Times New Roman" w:hAnsi="Times New Roman"/>
                <w:spacing w:val="-80"/>
                <w:sz w:val="21"/>
                <w:szCs w:val="21"/>
              </w:rPr>
              <w:t>、</w:t>
            </w:r>
            <w:r>
              <w:rPr>
                <w:rFonts w:ascii="Times New Roman" w:hAnsi="Times New Roman"/>
                <w:sz w:val="21"/>
                <w:szCs w:val="21"/>
              </w:rPr>
              <w:t>NO</w:t>
            </w:r>
            <w:r>
              <w:rPr>
                <w:rFonts w:ascii="Times New Roman" w:hAnsi="Times New Roman"/>
                <w:spacing w:val="18"/>
                <w:sz w:val="21"/>
                <w:szCs w:val="21"/>
              </w:rPr>
              <w:t xml:space="preserve"> </w:t>
            </w:r>
            <w:r>
              <w:rPr>
                <w:rFonts w:ascii="Times New Roman" w:hAnsi="Times New Roman"/>
                <w:position w:val="8"/>
                <w:sz w:val="21"/>
                <w:szCs w:val="21"/>
              </w:rPr>
              <w:t>-</w:t>
            </w:r>
            <w:r>
              <w:rPr>
                <w:rFonts w:ascii="Times New Roman" w:hAnsi="Times New Roman"/>
                <w:spacing w:val="-80"/>
                <w:sz w:val="21"/>
                <w:szCs w:val="21"/>
              </w:rPr>
              <w:t>、</w:t>
            </w:r>
            <w:r>
              <w:rPr>
                <w:rFonts w:ascii="Times New Roman" w:hAnsi="Times New Roman"/>
                <w:sz w:val="21"/>
                <w:szCs w:val="21"/>
              </w:rPr>
              <w:t>Br</w:t>
            </w:r>
            <w:r>
              <w:rPr>
                <w:rFonts w:ascii="Times New Roman" w:hAnsi="Times New Roman"/>
                <w:position w:val="8"/>
                <w:sz w:val="21"/>
                <w:szCs w:val="21"/>
              </w:rPr>
              <w:t>-</w:t>
            </w:r>
            <w:r>
              <w:rPr>
                <w:rFonts w:ascii="Times New Roman" w:hAnsi="Times New Roman"/>
                <w:spacing w:val="-80"/>
                <w:sz w:val="21"/>
                <w:szCs w:val="21"/>
              </w:rPr>
              <w:t>、</w:t>
            </w:r>
            <w:r>
              <w:rPr>
                <w:rFonts w:ascii="Times New Roman" w:hAnsi="Times New Roman"/>
                <w:sz w:val="21"/>
                <w:szCs w:val="21"/>
              </w:rPr>
              <w:t>NO</w:t>
            </w:r>
            <w:r>
              <w:rPr>
                <w:rFonts w:ascii="Times New Roman" w:hAnsi="Times New Roman"/>
                <w:spacing w:val="20"/>
                <w:sz w:val="21"/>
                <w:szCs w:val="21"/>
              </w:rPr>
              <w:t xml:space="preserve"> </w:t>
            </w:r>
            <w:r>
              <w:rPr>
                <w:rFonts w:ascii="Times New Roman" w:hAnsi="Times New Roman"/>
                <w:position w:val="8"/>
                <w:sz w:val="21"/>
                <w:szCs w:val="21"/>
              </w:rPr>
              <w:t>-</w:t>
            </w:r>
            <w:r>
              <w:rPr>
                <w:rFonts w:ascii="Times New Roman" w:hAnsi="Times New Roman"/>
                <w:spacing w:val="-80"/>
                <w:sz w:val="21"/>
                <w:szCs w:val="21"/>
              </w:rPr>
              <w:t>、</w:t>
            </w:r>
            <w:r>
              <w:rPr>
                <w:rFonts w:ascii="Times New Roman" w:hAnsi="Times New Roman"/>
                <w:sz w:val="21"/>
                <w:szCs w:val="21"/>
              </w:rPr>
              <w:t>PO</w:t>
            </w:r>
            <w:r>
              <w:rPr>
                <w:rFonts w:ascii="Times New Roman" w:hAnsi="Times New Roman"/>
                <w:position w:val="8"/>
                <w:sz w:val="21"/>
                <w:szCs w:val="21"/>
              </w:rPr>
              <w:t>-</w:t>
            </w:r>
            <w:r>
              <w:rPr>
                <w:rFonts w:ascii="Times New Roman" w:hAnsi="Times New Roman"/>
                <w:spacing w:val="-80"/>
                <w:sz w:val="21"/>
                <w:szCs w:val="21"/>
              </w:rPr>
              <w:t>、</w:t>
            </w:r>
            <w:r>
              <w:rPr>
                <w:rFonts w:ascii="Times New Roman" w:hAnsi="Times New Roman"/>
                <w:sz w:val="21"/>
                <w:szCs w:val="21"/>
              </w:rPr>
              <w:t>SO</w:t>
            </w:r>
            <w:r>
              <w:rPr>
                <w:rFonts w:ascii="Times New Roman" w:hAnsi="Times New Roman"/>
                <w:spacing w:val="18"/>
                <w:sz w:val="21"/>
                <w:szCs w:val="21"/>
              </w:rPr>
              <w:t xml:space="preserve"> </w:t>
            </w:r>
            <w:r>
              <w:rPr>
                <w:rFonts w:ascii="Times New Roman" w:hAnsi="Times New Roman"/>
                <w:position w:val="8"/>
                <w:sz w:val="21"/>
                <w:szCs w:val="21"/>
              </w:rPr>
              <w:t>2-</w:t>
            </w:r>
            <w:r>
              <w:rPr>
                <w:rFonts w:ascii="Times New Roman" w:hAnsi="Times New Roman"/>
                <w:sz w:val="21"/>
                <w:szCs w:val="21"/>
              </w:rPr>
              <w:t>、</w:t>
            </w:r>
            <w:r>
              <w:rPr>
                <w:rFonts w:ascii="Times New Roman" w:hAnsi="Times New Roman"/>
                <w:position w:val="2"/>
                <w:sz w:val="21"/>
                <w:szCs w:val="21"/>
              </w:rPr>
              <w:t>SO</w:t>
            </w:r>
            <w:r>
              <w:rPr>
                <w:rFonts w:ascii="Times New Roman" w:hAnsi="Times New Roman"/>
                <w:position w:val="2"/>
                <w:sz w:val="21"/>
                <w:szCs w:val="21"/>
                <w:vertAlign w:val="subscript"/>
              </w:rPr>
              <w:t>4</w:t>
            </w:r>
            <w:r>
              <w:rPr>
                <w:rFonts w:ascii="Times New Roman" w:hAnsi="Times New Roman"/>
                <w:position w:val="2"/>
                <w:sz w:val="21"/>
                <w:szCs w:val="21"/>
              </w:rPr>
              <w:t xml:space="preserve"> </w:t>
            </w:r>
            <w:r>
              <w:rPr>
                <w:rFonts w:ascii="Times New Roman" w:hAnsi="Times New Roman"/>
                <w:position w:val="2"/>
                <w:sz w:val="21"/>
                <w:szCs w:val="21"/>
              </w:rPr>
              <w:t>）的测定</w:t>
            </w:r>
            <w:r>
              <w:rPr>
                <w:rFonts w:ascii="Times New Roman" w:hAnsi="Times New Roman"/>
                <w:sz w:val="21"/>
                <w:szCs w:val="21"/>
              </w:rPr>
              <w:t>离子色谱法</w:t>
            </w:r>
            <w:r>
              <w:rPr>
                <w:rFonts w:ascii="Times New Roman" w:hAnsi="Times New Roman"/>
                <w:sz w:val="21"/>
                <w:szCs w:val="21"/>
              </w:rPr>
              <w:t xml:space="preserve"> HJ 84-2016</w:t>
            </w:r>
          </w:p>
        </w:tc>
        <w:tc>
          <w:tcPr>
            <w:tcW w:w="1812" w:type="dxa"/>
            <w:vAlign w:val="center"/>
          </w:tcPr>
          <w:p w14:paraId="5E2BEEA5"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0.018mg/L</w:t>
            </w:r>
          </w:p>
        </w:tc>
        <w:tc>
          <w:tcPr>
            <w:tcW w:w="2538" w:type="dxa"/>
            <w:vMerge w:val="restart"/>
            <w:vAlign w:val="center"/>
          </w:tcPr>
          <w:p w14:paraId="566F280D"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 xml:space="preserve">PIC-10A </w:t>
            </w:r>
            <w:r>
              <w:rPr>
                <w:rFonts w:ascii="Times New Roman" w:hAnsi="Times New Roman"/>
                <w:sz w:val="21"/>
                <w:szCs w:val="21"/>
              </w:rPr>
              <w:t>离子色谱仪</w:t>
            </w:r>
            <w:r>
              <w:rPr>
                <w:rFonts w:ascii="Times New Roman" w:hAnsi="Times New Roman"/>
                <w:sz w:val="21"/>
                <w:szCs w:val="21"/>
              </w:rPr>
              <w:t>/SPS-008</w:t>
            </w:r>
          </w:p>
        </w:tc>
      </w:tr>
      <w:tr w:rsidR="00D12939" w14:paraId="6E5A0472" w14:textId="77777777">
        <w:tc>
          <w:tcPr>
            <w:tcW w:w="1665" w:type="dxa"/>
            <w:vAlign w:val="center"/>
          </w:tcPr>
          <w:p w14:paraId="6892FEBB"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氯化物</w:t>
            </w:r>
          </w:p>
        </w:tc>
        <w:tc>
          <w:tcPr>
            <w:tcW w:w="4050" w:type="dxa"/>
            <w:vMerge/>
            <w:vAlign w:val="center"/>
          </w:tcPr>
          <w:p w14:paraId="6A433E6C" w14:textId="77777777" w:rsidR="00D12939" w:rsidRDefault="00D12939">
            <w:pPr>
              <w:overflowPunct w:val="0"/>
              <w:jc w:val="center"/>
              <w:rPr>
                <w:rFonts w:ascii="Times New Roman" w:eastAsia="宋体" w:hAnsi="Times New Roman" w:cs="Times New Roman"/>
                <w:szCs w:val="21"/>
                <w:lang w:eastAsia="en-US"/>
              </w:rPr>
            </w:pPr>
          </w:p>
        </w:tc>
        <w:tc>
          <w:tcPr>
            <w:tcW w:w="1812" w:type="dxa"/>
            <w:vAlign w:val="center"/>
          </w:tcPr>
          <w:p w14:paraId="30BEAF85"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0.007mg/L</w:t>
            </w:r>
          </w:p>
        </w:tc>
        <w:tc>
          <w:tcPr>
            <w:tcW w:w="2538" w:type="dxa"/>
            <w:vMerge/>
            <w:vAlign w:val="center"/>
          </w:tcPr>
          <w:p w14:paraId="1E604594" w14:textId="77777777" w:rsidR="00D12939" w:rsidRDefault="00D12939">
            <w:pPr>
              <w:overflowPunct w:val="0"/>
              <w:jc w:val="center"/>
              <w:rPr>
                <w:rFonts w:ascii="Times New Roman" w:eastAsia="宋体" w:hAnsi="Times New Roman" w:cs="Times New Roman"/>
                <w:szCs w:val="21"/>
                <w:lang w:eastAsia="en-US"/>
              </w:rPr>
            </w:pPr>
          </w:p>
        </w:tc>
      </w:tr>
      <w:tr w:rsidR="00D12939" w14:paraId="26B4D929" w14:textId="77777777">
        <w:tc>
          <w:tcPr>
            <w:tcW w:w="1665" w:type="dxa"/>
            <w:vAlign w:val="center"/>
          </w:tcPr>
          <w:p w14:paraId="0E6986C6"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硝酸盐</w:t>
            </w:r>
          </w:p>
          <w:p w14:paraId="01640910"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（以</w:t>
            </w:r>
            <w:r>
              <w:rPr>
                <w:rFonts w:ascii="Times New Roman" w:hAnsi="Times New Roman"/>
                <w:sz w:val="21"/>
                <w:szCs w:val="21"/>
              </w:rPr>
              <w:t xml:space="preserve"> N </w:t>
            </w:r>
            <w:r>
              <w:rPr>
                <w:rFonts w:ascii="Times New Roman" w:hAnsi="Times New Roman"/>
                <w:sz w:val="21"/>
                <w:szCs w:val="21"/>
              </w:rPr>
              <w:t>计）</w:t>
            </w:r>
          </w:p>
        </w:tc>
        <w:tc>
          <w:tcPr>
            <w:tcW w:w="4050" w:type="dxa"/>
            <w:vMerge/>
            <w:vAlign w:val="center"/>
          </w:tcPr>
          <w:p w14:paraId="75BC67F3" w14:textId="77777777" w:rsidR="00D12939" w:rsidRDefault="00D12939">
            <w:pPr>
              <w:overflowPunct w:val="0"/>
              <w:jc w:val="center"/>
              <w:rPr>
                <w:rFonts w:ascii="Times New Roman" w:eastAsia="宋体" w:hAnsi="Times New Roman" w:cs="Times New Roman"/>
                <w:szCs w:val="21"/>
                <w:lang w:eastAsia="en-US"/>
              </w:rPr>
            </w:pPr>
          </w:p>
        </w:tc>
        <w:tc>
          <w:tcPr>
            <w:tcW w:w="1812" w:type="dxa"/>
            <w:vAlign w:val="center"/>
          </w:tcPr>
          <w:p w14:paraId="57ECDDDF"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0.016mg/L</w:t>
            </w:r>
          </w:p>
        </w:tc>
        <w:tc>
          <w:tcPr>
            <w:tcW w:w="2538" w:type="dxa"/>
            <w:vMerge/>
            <w:vAlign w:val="center"/>
          </w:tcPr>
          <w:p w14:paraId="35089E7C" w14:textId="77777777" w:rsidR="00D12939" w:rsidRDefault="00D12939">
            <w:pPr>
              <w:overflowPunct w:val="0"/>
              <w:jc w:val="center"/>
              <w:rPr>
                <w:rFonts w:ascii="Times New Roman" w:eastAsia="宋体" w:hAnsi="Times New Roman" w:cs="Times New Roman"/>
                <w:szCs w:val="21"/>
                <w:lang w:eastAsia="en-US"/>
              </w:rPr>
            </w:pPr>
          </w:p>
        </w:tc>
      </w:tr>
      <w:tr w:rsidR="00D12939" w14:paraId="769CC125" w14:textId="77777777">
        <w:tc>
          <w:tcPr>
            <w:tcW w:w="1665" w:type="dxa"/>
            <w:vAlign w:val="center"/>
          </w:tcPr>
          <w:p w14:paraId="02FBB2C5"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氟化物</w:t>
            </w:r>
          </w:p>
        </w:tc>
        <w:tc>
          <w:tcPr>
            <w:tcW w:w="4050" w:type="dxa"/>
            <w:vMerge/>
            <w:vAlign w:val="center"/>
          </w:tcPr>
          <w:p w14:paraId="0D05DDE0" w14:textId="77777777" w:rsidR="00D12939" w:rsidRDefault="00D12939">
            <w:pPr>
              <w:overflowPunct w:val="0"/>
              <w:jc w:val="center"/>
              <w:rPr>
                <w:rFonts w:ascii="Times New Roman" w:eastAsia="宋体" w:hAnsi="Times New Roman" w:cs="Times New Roman"/>
                <w:szCs w:val="21"/>
                <w:lang w:eastAsia="en-US"/>
              </w:rPr>
            </w:pPr>
          </w:p>
        </w:tc>
        <w:tc>
          <w:tcPr>
            <w:tcW w:w="1812" w:type="dxa"/>
            <w:vAlign w:val="center"/>
          </w:tcPr>
          <w:p w14:paraId="351D9798"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0.006mg/L</w:t>
            </w:r>
          </w:p>
        </w:tc>
        <w:tc>
          <w:tcPr>
            <w:tcW w:w="2538" w:type="dxa"/>
            <w:vMerge/>
            <w:vAlign w:val="center"/>
          </w:tcPr>
          <w:p w14:paraId="4B4D7C0C" w14:textId="77777777" w:rsidR="00D12939" w:rsidRDefault="00D12939">
            <w:pPr>
              <w:overflowPunct w:val="0"/>
              <w:jc w:val="center"/>
              <w:rPr>
                <w:rFonts w:ascii="Times New Roman" w:eastAsia="宋体" w:hAnsi="Times New Roman" w:cs="Times New Roman"/>
                <w:szCs w:val="21"/>
                <w:lang w:eastAsia="en-US"/>
              </w:rPr>
            </w:pPr>
          </w:p>
        </w:tc>
      </w:tr>
      <w:tr w:rsidR="00D12939" w14:paraId="08000C89" w14:textId="77777777">
        <w:tc>
          <w:tcPr>
            <w:tcW w:w="1665" w:type="dxa"/>
            <w:vAlign w:val="center"/>
          </w:tcPr>
          <w:p w14:paraId="76AA966F"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总硬度</w:t>
            </w:r>
          </w:p>
          <w:p w14:paraId="095A130B"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position w:val="2"/>
                <w:sz w:val="21"/>
                <w:szCs w:val="21"/>
                <w:lang w:eastAsia="zh-CN"/>
              </w:rPr>
              <w:t>（</w:t>
            </w:r>
            <w:r>
              <w:rPr>
                <w:rFonts w:ascii="Times New Roman" w:hAnsi="Times New Roman"/>
                <w:spacing w:val="-30"/>
                <w:position w:val="2"/>
                <w:sz w:val="21"/>
                <w:szCs w:val="21"/>
                <w:lang w:eastAsia="zh-CN"/>
              </w:rPr>
              <w:t>以</w:t>
            </w:r>
            <w:r>
              <w:rPr>
                <w:rFonts w:ascii="Times New Roman" w:hAnsi="Times New Roman"/>
                <w:spacing w:val="-30"/>
                <w:position w:val="2"/>
                <w:sz w:val="21"/>
                <w:szCs w:val="21"/>
                <w:lang w:eastAsia="zh-CN"/>
              </w:rPr>
              <w:t xml:space="preserve"> </w:t>
            </w:r>
            <w:r>
              <w:rPr>
                <w:rFonts w:ascii="Times New Roman" w:hAnsi="Times New Roman"/>
                <w:position w:val="2"/>
                <w:sz w:val="21"/>
                <w:szCs w:val="21"/>
                <w:lang w:eastAsia="zh-CN"/>
              </w:rPr>
              <w:t>CaCO</w:t>
            </w:r>
            <w:r>
              <w:rPr>
                <w:rFonts w:ascii="Times New Roman" w:hAnsi="Times New Roman"/>
                <w:position w:val="2"/>
                <w:sz w:val="21"/>
                <w:szCs w:val="21"/>
                <w:vertAlign w:val="subscript"/>
                <w:lang w:eastAsia="zh-CN"/>
              </w:rPr>
              <w:t>3</w:t>
            </w:r>
            <w:r>
              <w:rPr>
                <w:rFonts w:ascii="Times New Roman" w:hAnsi="Times New Roman"/>
                <w:position w:val="2"/>
                <w:sz w:val="21"/>
                <w:szCs w:val="21"/>
                <w:lang w:eastAsia="zh-CN"/>
              </w:rPr>
              <w:t xml:space="preserve"> </w:t>
            </w:r>
            <w:r>
              <w:rPr>
                <w:rFonts w:ascii="Times New Roman" w:hAnsi="Times New Roman"/>
                <w:position w:val="2"/>
                <w:sz w:val="21"/>
                <w:szCs w:val="21"/>
                <w:lang w:eastAsia="zh-CN"/>
              </w:rPr>
              <w:t>计）</w:t>
            </w:r>
          </w:p>
        </w:tc>
        <w:tc>
          <w:tcPr>
            <w:tcW w:w="4050" w:type="dxa"/>
            <w:vAlign w:val="center"/>
          </w:tcPr>
          <w:p w14:paraId="5F994411"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乙二胺四乙酸二钠滴定法</w:t>
            </w:r>
          </w:p>
          <w:p w14:paraId="15D52D6D"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GB/T</w:t>
            </w:r>
            <w:r>
              <w:rPr>
                <w:rFonts w:ascii="Times New Roman" w:hAnsi="Times New Roman"/>
                <w:spacing w:val="-7"/>
                <w:sz w:val="21"/>
                <w:szCs w:val="21"/>
              </w:rPr>
              <w:t xml:space="preserve"> </w:t>
            </w:r>
            <w:r>
              <w:rPr>
                <w:rFonts w:ascii="Times New Roman" w:hAnsi="Times New Roman"/>
                <w:sz w:val="21"/>
                <w:szCs w:val="21"/>
              </w:rPr>
              <w:t>5750.4-2006</w:t>
            </w:r>
            <w:r>
              <w:rPr>
                <w:rFonts w:ascii="Times New Roman" w:hAnsi="Times New Roman"/>
                <w:sz w:val="21"/>
                <w:szCs w:val="21"/>
              </w:rPr>
              <w:t>（</w:t>
            </w:r>
            <w:r>
              <w:rPr>
                <w:rFonts w:ascii="Times New Roman" w:hAnsi="Times New Roman"/>
                <w:sz w:val="21"/>
                <w:szCs w:val="21"/>
              </w:rPr>
              <w:t>7.1</w:t>
            </w:r>
            <w:r>
              <w:rPr>
                <w:rFonts w:ascii="Times New Roman" w:hAnsi="Times New Roman"/>
                <w:sz w:val="21"/>
                <w:szCs w:val="21"/>
              </w:rPr>
              <w:t>）</w:t>
            </w:r>
          </w:p>
        </w:tc>
        <w:tc>
          <w:tcPr>
            <w:tcW w:w="1812" w:type="dxa"/>
            <w:vAlign w:val="center"/>
          </w:tcPr>
          <w:p w14:paraId="2E3C5BA2"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1.0mg/L</w:t>
            </w:r>
          </w:p>
        </w:tc>
        <w:tc>
          <w:tcPr>
            <w:tcW w:w="2538" w:type="dxa"/>
            <w:vAlign w:val="center"/>
          </w:tcPr>
          <w:p w14:paraId="5C940FB2"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25mL</w:t>
            </w:r>
          </w:p>
          <w:p w14:paraId="372B0232"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酸式滴定管</w:t>
            </w:r>
          </w:p>
        </w:tc>
      </w:tr>
      <w:tr w:rsidR="00D12939" w14:paraId="10158ED0" w14:textId="77777777">
        <w:tc>
          <w:tcPr>
            <w:tcW w:w="1665" w:type="dxa"/>
            <w:vAlign w:val="center"/>
          </w:tcPr>
          <w:p w14:paraId="04EDAB7B"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溶解性总固体</w:t>
            </w:r>
          </w:p>
        </w:tc>
        <w:tc>
          <w:tcPr>
            <w:tcW w:w="4050" w:type="dxa"/>
            <w:vAlign w:val="center"/>
          </w:tcPr>
          <w:p w14:paraId="2CD83AA4"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称量法</w:t>
            </w:r>
            <w:r>
              <w:rPr>
                <w:rFonts w:ascii="Times New Roman" w:hAnsi="Times New Roman"/>
                <w:sz w:val="21"/>
                <w:szCs w:val="21"/>
                <w:lang w:eastAsia="zh-CN"/>
              </w:rPr>
              <w:t xml:space="preserve"> </w:t>
            </w:r>
            <w:r>
              <w:rPr>
                <w:rFonts w:ascii="Times New Roman" w:hAnsi="Times New Roman"/>
                <w:sz w:val="21"/>
                <w:szCs w:val="21"/>
              </w:rPr>
              <w:t>GB/T 5750.4-2006</w:t>
            </w:r>
            <w:r>
              <w:rPr>
                <w:rFonts w:ascii="Times New Roman" w:hAnsi="Times New Roman"/>
                <w:spacing w:val="56"/>
                <w:sz w:val="21"/>
                <w:szCs w:val="21"/>
              </w:rPr>
              <w:t xml:space="preserve"> </w:t>
            </w:r>
            <w:r>
              <w:rPr>
                <w:rFonts w:ascii="Times New Roman" w:hAnsi="Times New Roman"/>
                <w:sz w:val="21"/>
                <w:szCs w:val="21"/>
              </w:rPr>
              <w:t>（</w:t>
            </w:r>
            <w:r>
              <w:rPr>
                <w:rFonts w:ascii="Times New Roman" w:hAnsi="Times New Roman"/>
                <w:sz w:val="21"/>
                <w:szCs w:val="21"/>
              </w:rPr>
              <w:t>8.1</w:t>
            </w:r>
            <w:r>
              <w:rPr>
                <w:rFonts w:ascii="Times New Roman" w:hAnsi="Times New Roman"/>
                <w:sz w:val="21"/>
                <w:szCs w:val="21"/>
              </w:rPr>
              <w:t>）</w:t>
            </w:r>
          </w:p>
        </w:tc>
        <w:tc>
          <w:tcPr>
            <w:tcW w:w="1812" w:type="dxa"/>
            <w:vAlign w:val="center"/>
          </w:tcPr>
          <w:p w14:paraId="7E4E7ED0"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w:t>
            </w:r>
          </w:p>
        </w:tc>
        <w:tc>
          <w:tcPr>
            <w:tcW w:w="2538" w:type="dxa"/>
            <w:vAlign w:val="center"/>
          </w:tcPr>
          <w:p w14:paraId="2463FE94"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ME204</w:t>
            </w:r>
            <w:r>
              <w:rPr>
                <w:rFonts w:ascii="Times New Roman" w:hAnsi="Times New Roman"/>
                <w:spacing w:val="-1"/>
                <w:sz w:val="21"/>
                <w:szCs w:val="21"/>
              </w:rPr>
              <w:t xml:space="preserve"> </w:t>
            </w:r>
            <w:r>
              <w:rPr>
                <w:rFonts w:ascii="Times New Roman" w:hAnsi="Times New Roman"/>
                <w:sz w:val="21"/>
                <w:szCs w:val="21"/>
              </w:rPr>
              <w:t xml:space="preserve">/02 </w:t>
            </w:r>
            <w:r>
              <w:rPr>
                <w:rFonts w:ascii="Times New Roman" w:hAnsi="Times New Roman"/>
                <w:sz w:val="21"/>
                <w:szCs w:val="21"/>
              </w:rPr>
              <w:t>电子</w:t>
            </w:r>
            <w:r>
              <w:rPr>
                <w:rFonts w:ascii="Times New Roman" w:hAnsi="Times New Roman"/>
                <w:spacing w:val="-36"/>
                <w:sz w:val="21"/>
                <w:szCs w:val="21"/>
              </w:rPr>
              <w:t>天平</w:t>
            </w:r>
            <w:r>
              <w:rPr>
                <w:rFonts w:ascii="Times New Roman" w:hAnsi="Times New Roman"/>
                <w:sz w:val="21"/>
                <w:szCs w:val="21"/>
              </w:rPr>
              <w:t>（万分之一</w:t>
            </w:r>
            <w:r>
              <w:rPr>
                <w:rFonts w:ascii="Times New Roman" w:hAnsi="Times New Roman"/>
                <w:spacing w:val="-18"/>
                <w:sz w:val="21"/>
                <w:szCs w:val="21"/>
              </w:rPr>
              <w:t>）</w:t>
            </w:r>
          </w:p>
          <w:p w14:paraId="2B2A47E9"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/SPS-011</w:t>
            </w:r>
          </w:p>
        </w:tc>
      </w:tr>
      <w:tr w:rsidR="00D12939" w14:paraId="387D53BA" w14:textId="77777777">
        <w:tc>
          <w:tcPr>
            <w:tcW w:w="1665" w:type="dxa"/>
            <w:vAlign w:val="center"/>
          </w:tcPr>
          <w:p w14:paraId="26147AE2"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氨氮</w:t>
            </w:r>
          </w:p>
        </w:tc>
        <w:tc>
          <w:tcPr>
            <w:tcW w:w="4050" w:type="dxa"/>
            <w:vAlign w:val="center"/>
          </w:tcPr>
          <w:p w14:paraId="7ABB0837"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氨氮的测定纳氏试剂分光光度法</w:t>
            </w:r>
          </w:p>
          <w:p w14:paraId="74371732"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HJ 535-2009</w:t>
            </w:r>
          </w:p>
        </w:tc>
        <w:tc>
          <w:tcPr>
            <w:tcW w:w="1812" w:type="dxa"/>
            <w:vAlign w:val="center"/>
          </w:tcPr>
          <w:p w14:paraId="0081C4B1"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0.025mg/L</w:t>
            </w:r>
          </w:p>
        </w:tc>
        <w:tc>
          <w:tcPr>
            <w:tcW w:w="2538" w:type="dxa"/>
            <w:vAlign w:val="center"/>
          </w:tcPr>
          <w:p w14:paraId="0D636098"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 xml:space="preserve">SP-723 </w:t>
            </w:r>
            <w:r>
              <w:rPr>
                <w:rFonts w:ascii="Times New Roman" w:hAnsi="Times New Roman"/>
                <w:sz w:val="21"/>
                <w:szCs w:val="21"/>
              </w:rPr>
              <w:t>可见分光光度计</w:t>
            </w:r>
            <w:r>
              <w:rPr>
                <w:rFonts w:ascii="Times New Roman" w:hAnsi="Times New Roman"/>
                <w:sz w:val="21"/>
                <w:szCs w:val="21"/>
              </w:rPr>
              <w:t>/SPS-005</w:t>
            </w:r>
          </w:p>
        </w:tc>
      </w:tr>
      <w:tr w:rsidR="00D12939" w14:paraId="74FA12F1" w14:textId="77777777">
        <w:tc>
          <w:tcPr>
            <w:tcW w:w="1665" w:type="dxa"/>
            <w:vAlign w:val="center"/>
          </w:tcPr>
          <w:p w14:paraId="3B01E7DE"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耗氧量</w:t>
            </w:r>
          </w:p>
          <w:p w14:paraId="5328F0FC"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position w:val="2"/>
                <w:sz w:val="21"/>
                <w:szCs w:val="21"/>
              </w:rPr>
              <w:t>（以</w:t>
            </w:r>
            <w:r>
              <w:rPr>
                <w:rFonts w:ascii="Times New Roman" w:hAnsi="Times New Roman"/>
                <w:position w:val="2"/>
                <w:sz w:val="21"/>
                <w:szCs w:val="21"/>
              </w:rPr>
              <w:t xml:space="preserve"> O</w:t>
            </w:r>
            <w:r>
              <w:rPr>
                <w:rFonts w:ascii="Times New Roman" w:hAnsi="Times New Roman"/>
                <w:position w:val="2"/>
                <w:sz w:val="21"/>
                <w:szCs w:val="21"/>
                <w:vertAlign w:val="subscript"/>
              </w:rPr>
              <w:t>2</w:t>
            </w:r>
            <w:r>
              <w:rPr>
                <w:rFonts w:ascii="Times New Roman" w:hAnsi="Times New Roman"/>
                <w:position w:val="2"/>
                <w:sz w:val="21"/>
                <w:szCs w:val="21"/>
              </w:rPr>
              <w:t xml:space="preserve"> </w:t>
            </w:r>
            <w:r>
              <w:rPr>
                <w:rFonts w:ascii="Times New Roman" w:hAnsi="Times New Roman"/>
                <w:position w:val="2"/>
                <w:sz w:val="21"/>
                <w:szCs w:val="21"/>
              </w:rPr>
              <w:t>计）</w:t>
            </w:r>
          </w:p>
        </w:tc>
        <w:tc>
          <w:tcPr>
            <w:tcW w:w="4050" w:type="dxa"/>
            <w:vAlign w:val="center"/>
          </w:tcPr>
          <w:p w14:paraId="64B1DC5F"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酸性高锰酸钾滴定法</w:t>
            </w:r>
          </w:p>
          <w:p w14:paraId="166006C6"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GB/T 5750.7-2006</w:t>
            </w:r>
            <w:r>
              <w:rPr>
                <w:rFonts w:ascii="Times New Roman" w:hAnsi="Times New Roman"/>
                <w:sz w:val="21"/>
                <w:szCs w:val="21"/>
                <w:lang w:eastAsia="zh-CN"/>
              </w:rPr>
              <w:t>（</w:t>
            </w:r>
            <w:r>
              <w:rPr>
                <w:rFonts w:ascii="Times New Roman" w:hAnsi="Times New Roman"/>
                <w:sz w:val="21"/>
                <w:szCs w:val="21"/>
                <w:lang w:eastAsia="zh-CN"/>
              </w:rPr>
              <w:t>1.1</w:t>
            </w:r>
            <w:r>
              <w:rPr>
                <w:rFonts w:ascii="Times New Roman" w:hAnsi="Times New Roman"/>
                <w:spacing w:val="56"/>
                <w:sz w:val="21"/>
                <w:szCs w:val="21"/>
                <w:lang w:eastAsia="zh-CN"/>
              </w:rPr>
              <w:t xml:space="preserve"> </w:t>
            </w:r>
            <w:r>
              <w:rPr>
                <w:rFonts w:ascii="Times New Roman" w:hAnsi="Times New Roman"/>
                <w:sz w:val="21"/>
                <w:szCs w:val="21"/>
                <w:lang w:eastAsia="zh-CN"/>
              </w:rPr>
              <w:t>）</w:t>
            </w:r>
          </w:p>
        </w:tc>
        <w:tc>
          <w:tcPr>
            <w:tcW w:w="1812" w:type="dxa"/>
            <w:vAlign w:val="center"/>
          </w:tcPr>
          <w:p w14:paraId="7CF0A0BC"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0.05mg/L</w:t>
            </w:r>
          </w:p>
        </w:tc>
        <w:tc>
          <w:tcPr>
            <w:tcW w:w="2538" w:type="dxa"/>
            <w:vAlign w:val="center"/>
          </w:tcPr>
          <w:p w14:paraId="36533F17"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25mL</w:t>
            </w:r>
          </w:p>
          <w:p w14:paraId="32A81353"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棕色酸式滴定管</w:t>
            </w:r>
          </w:p>
        </w:tc>
      </w:tr>
      <w:tr w:rsidR="00D12939" w14:paraId="77260A7B" w14:textId="77777777">
        <w:tc>
          <w:tcPr>
            <w:tcW w:w="1665" w:type="dxa"/>
            <w:vAlign w:val="center"/>
          </w:tcPr>
          <w:p w14:paraId="38B5A5CE"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亚硝酸盐</w:t>
            </w:r>
          </w:p>
          <w:p w14:paraId="2BA6AC39"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（以</w:t>
            </w:r>
            <w:r>
              <w:rPr>
                <w:rFonts w:ascii="Times New Roman" w:hAnsi="Times New Roman"/>
                <w:sz w:val="21"/>
                <w:szCs w:val="21"/>
              </w:rPr>
              <w:t xml:space="preserve"> N </w:t>
            </w:r>
            <w:r>
              <w:rPr>
                <w:rFonts w:ascii="Times New Roman" w:hAnsi="Times New Roman"/>
                <w:sz w:val="21"/>
                <w:szCs w:val="21"/>
              </w:rPr>
              <w:t>计）</w:t>
            </w:r>
          </w:p>
        </w:tc>
        <w:tc>
          <w:tcPr>
            <w:tcW w:w="4050" w:type="dxa"/>
            <w:vAlign w:val="center"/>
          </w:tcPr>
          <w:p w14:paraId="3429DF20"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亚硝酸盐氮的测定分光光度法</w:t>
            </w:r>
            <w:r>
              <w:rPr>
                <w:rFonts w:ascii="Times New Roman" w:hAnsi="Times New Roman"/>
                <w:sz w:val="21"/>
                <w:szCs w:val="21"/>
                <w:lang w:eastAsia="zh-CN"/>
              </w:rPr>
              <w:t xml:space="preserve"> GB 7493-1987</w:t>
            </w:r>
          </w:p>
        </w:tc>
        <w:tc>
          <w:tcPr>
            <w:tcW w:w="1812" w:type="dxa"/>
            <w:vAlign w:val="center"/>
          </w:tcPr>
          <w:p w14:paraId="45618EFD"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0.003mg/L</w:t>
            </w:r>
          </w:p>
        </w:tc>
        <w:tc>
          <w:tcPr>
            <w:tcW w:w="2538" w:type="dxa"/>
            <w:vAlign w:val="center"/>
          </w:tcPr>
          <w:p w14:paraId="4AB75ADF"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 xml:space="preserve">SP-723 </w:t>
            </w:r>
            <w:r>
              <w:rPr>
                <w:rFonts w:ascii="Times New Roman" w:hAnsi="Times New Roman"/>
                <w:sz w:val="21"/>
                <w:szCs w:val="21"/>
              </w:rPr>
              <w:t>可见分光光度计</w:t>
            </w:r>
            <w:r>
              <w:rPr>
                <w:rFonts w:ascii="Times New Roman" w:hAnsi="Times New Roman"/>
                <w:sz w:val="21"/>
                <w:szCs w:val="21"/>
              </w:rPr>
              <w:t>/SPS-005</w:t>
            </w:r>
          </w:p>
        </w:tc>
      </w:tr>
      <w:tr w:rsidR="00D12939" w14:paraId="0C10228F" w14:textId="77777777">
        <w:tc>
          <w:tcPr>
            <w:tcW w:w="1665" w:type="dxa"/>
            <w:vAlign w:val="center"/>
          </w:tcPr>
          <w:p w14:paraId="096CF8FD"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挥发性</w:t>
            </w:r>
          </w:p>
          <w:p w14:paraId="3498AF65"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酚类（</w:t>
            </w:r>
            <w:r>
              <w:rPr>
                <w:rFonts w:ascii="Times New Roman" w:hAnsi="Times New Roman"/>
                <w:spacing w:val="-6"/>
                <w:sz w:val="21"/>
                <w:szCs w:val="21"/>
                <w:lang w:eastAsia="zh-CN"/>
              </w:rPr>
              <w:t>以苯酚</w:t>
            </w:r>
            <w:r>
              <w:rPr>
                <w:rFonts w:ascii="Times New Roman" w:hAnsi="Times New Roman"/>
                <w:sz w:val="21"/>
                <w:szCs w:val="21"/>
                <w:lang w:eastAsia="zh-CN"/>
              </w:rPr>
              <w:t>计）</w:t>
            </w:r>
          </w:p>
        </w:tc>
        <w:tc>
          <w:tcPr>
            <w:tcW w:w="4050" w:type="dxa"/>
            <w:vAlign w:val="center"/>
          </w:tcPr>
          <w:p w14:paraId="608D72FB"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挥发酚的测定</w:t>
            </w:r>
          </w:p>
          <w:p w14:paraId="2D80F75A"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4-</w:t>
            </w:r>
            <w:r>
              <w:rPr>
                <w:rFonts w:ascii="Times New Roman" w:hAnsi="Times New Roman"/>
                <w:sz w:val="21"/>
                <w:szCs w:val="21"/>
                <w:lang w:eastAsia="zh-CN"/>
              </w:rPr>
              <w:t>氨基安替比林分光光度法方法</w:t>
            </w:r>
            <w:r>
              <w:rPr>
                <w:rFonts w:ascii="Times New Roman" w:hAnsi="Times New Roman"/>
                <w:sz w:val="21"/>
                <w:szCs w:val="21"/>
                <w:lang w:eastAsia="zh-CN"/>
              </w:rPr>
              <w:t xml:space="preserve"> 1 </w:t>
            </w:r>
            <w:r>
              <w:rPr>
                <w:rFonts w:ascii="Times New Roman" w:hAnsi="Times New Roman"/>
                <w:sz w:val="21"/>
                <w:szCs w:val="21"/>
                <w:lang w:eastAsia="zh-CN"/>
              </w:rPr>
              <w:t>萃取分光光度法</w:t>
            </w:r>
            <w:r>
              <w:rPr>
                <w:rFonts w:ascii="Times New Roman" w:hAnsi="Times New Roman"/>
                <w:sz w:val="21"/>
                <w:szCs w:val="21"/>
                <w:lang w:eastAsia="zh-CN"/>
              </w:rPr>
              <w:t>HJ 503-2009</w:t>
            </w:r>
          </w:p>
        </w:tc>
        <w:tc>
          <w:tcPr>
            <w:tcW w:w="1812" w:type="dxa"/>
            <w:vAlign w:val="center"/>
          </w:tcPr>
          <w:p w14:paraId="479E0E50"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0.0003mg/L</w:t>
            </w:r>
          </w:p>
        </w:tc>
        <w:tc>
          <w:tcPr>
            <w:tcW w:w="2538" w:type="dxa"/>
            <w:vAlign w:val="center"/>
          </w:tcPr>
          <w:p w14:paraId="1597EC01" w14:textId="77777777" w:rsidR="00D12939" w:rsidRDefault="00D12939">
            <w:pPr>
              <w:pStyle w:val="TableParagraph"/>
              <w:overflowPunct w:val="0"/>
              <w:ind w:firstLineChars="0" w:firstLine="0"/>
              <w:jc w:val="center"/>
              <w:rPr>
                <w:rFonts w:ascii="Times New Roman" w:hAnsi="Times New Roman"/>
                <w:sz w:val="21"/>
                <w:szCs w:val="21"/>
              </w:rPr>
            </w:pPr>
          </w:p>
          <w:p w14:paraId="0045AD25"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 xml:space="preserve">SP-723 </w:t>
            </w:r>
            <w:r>
              <w:rPr>
                <w:rFonts w:ascii="Times New Roman" w:hAnsi="Times New Roman"/>
                <w:sz w:val="21"/>
                <w:szCs w:val="21"/>
              </w:rPr>
              <w:t>可见分光光度计</w:t>
            </w:r>
            <w:r>
              <w:rPr>
                <w:rFonts w:ascii="Times New Roman" w:hAnsi="Times New Roman"/>
                <w:sz w:val="21"/>
                <w:szCs w:val="21"/>
              </w:rPr>
              <w:t>/SPS-005</w:t>
            </w:r>
          </w:p>
        </w:tc>
      </w:tr>
      <w:tr w:rsidR="00D12939" w14:paraId="09FEB1FB" w14:textId="77777777">
        <w:tc>
          <w:tcPr>
            <w:tcW w:w="1665" w:type="dxa"/>
            <w:vAlign w:val="center"/>
          </w:tcPr>
          <w:p w14:paraId="620A91AE"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氰化物</w:t>
            </w:r>
          </w:p>
        </w:tc>
        <w:tc>
          <w:tcPr>
            <w:tcW w:w="4050" w:type="dxa"/>
            <w:vAlign w:val="center"/>
          </w:tcPr>
          <w:p w14:paraId="4A839E3C"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异烟酸</w:t>
            </w:r>
            <w:r>
              <w:rPr>
                <w:rFonts w:ascii="Times New Roman" w:hAnsi="Times New Roman"/>
                <w:sz w:val="21"/>
                <w:szCs w:val="21"/>
                <w:lang w:eastAsia="zh-CN"/>
              </w:rPr>
              <w:t>-</w:t>
            </w:r>
            <w:r>
              <w:rPr>
                <w:rFonts w:ascii="Times New Roman" w:hAnsi="Times New Roman"/>
                <w:sz w:val="21"/>
                <w:szCs w:val="21"/>
                <w:lang w:eastAsia="zh-CN"/>
              </w:rPr>
              <w:t>吡唑酮分光光度法</w:t>
            </w:r>
          </w:p>
          <w:p w14:paraId="365A5324"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GB/T 5750.5-2006</w:t>
            </w:r>
            <w:r>
              <w:rPr>
                <w:rFonts w:ascii="Times New Roman" w:hAnsi="Times New Roman"/>
                <w:sz w:val="21"/>
                <w:szCs w:val="21"/>
              </w:rPr>
              <w:t>（</w:t>
            </w:r>
            <w:r>
              <w:rPr>
                <w:rFonts w:ascii="Times New Roman" w:hAnsi="Times New Roman"/>
                <w:sz w:val="21"/>
                <w:szCs w:val="21"/>
              </w:rPr>
              <w:t>4.1</w:t>
            </w:r>
            <w:r>
              <w:rPr>
                <w:rFonts w:ascii="Times New Roman" w:hAnsi="Times New Roman"/>
                <w:sz w:val="21"/>
                <w:szCs w:val="21"/>
              </w:rPr>
              <w:t>）</w:t>
            </w:r>
          </w:p>
        </w:tc>
        <w:tc>
          <w:tcPr>
            <w:tcW w:w="1812" w:type="dxa"/>
            <w:vAlign w:val="center"/>
          </w:tcPr>
          <w:p w14:paraId="423462C5"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0.002mg/L</w:t>
            </w:r>
          </w:p>
        </w:tc>
        <w:tc>
          <w:tcPr>
            <w:tcW w:w="2538" w:type="dxa"/>
            <w:vAlign w:val="center"/>
          </w:tcPr>
          <w:p w14:paraId="6EBDFF79"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 xml:space="preserve">SP-723 </w:t>
            </w:r>
            <w:r>
              <w:rPr>
                <w:rFonts w:ascii="Times New Roman" w:hAnsi="Times New Roman"/>
                <w:sz w:val="21"/>
                <w:szCs w:val="21"/>
              </w:rPr>
              <w:t>可见分光光度计</w:t>
            </w:r>
            <w:r>
              <w:rPr>
                <w:rFonts w:ascii="Times New Roman" w:hAnsi="Times New Roman"/>
                <w:sz w:val="21"/>
                <w:szCs w:val="21"/>
              </w:rPr>
              <w:t>/SPS-005</w:t>
            </w:r>
          </w:p>
        </w:tc>
      </w:tr>
      <w:tr w:rsidR="00D12939" w14:paraId="09AB3DAA" w14:textId="77777777">
        <w:tc>
          <w:tcPr>
            <w:tcW w:w="1665" w:type="dxa"/>
            <w:vAlign w:val="center"/>
          </w:tcPr>
          <w:p w14:paraId="0AFEA8C1"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砷</w:t>
            </w:r>
          </w:p>
        </w:tc>
        <w:tc>
          <w:tcPr>
            <w:tcW w:w="4050" w:type="dxa"/>
            <w:vAlign w:val="center"/>
          </w:tcPr>
          <w:p w14:paraId="669C9AED"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汞、砷、硒、铋和锑的测定</w:t>
            </w:r>
          </w:p>
          <w:p w14:paraId="20F05363"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原子荧光法</w:t>
            </w:r>
          </w:p>
          <w:p w14:paraId="3EBBB5E9"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HJ 694-2014</w:t>
            </w:r>
          </w:p>
        </w:tc>
        <w:tc>
          <w:tcPr>
            <w:tcW w:w="1812" w:type="dxa"/>
            <w:vAlign w:val="center"/>
          </w:tcPr>
          <w:p w14:paraId="423E8748"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0.0003mg/L</w:t>
            </w:r>
          </w:p>
        </w:tc>
        <w:tc>
          <w:tcPr>
            <w:tcW w:w="2538" w:type="dxa"/>
            <w:vAlign w:val="center"/>
          </w:tcPr>
          <w:p w14:paraId="73D8B49D"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 xml:space="preserve">AFS-9750 </w:t>
            </w:r>
            <w:r>
              <w:rPr>
                <w:rFonts w:ascii="Times New Roman" w:hAnsi="Times New Roman"/>
                <w:sz w:val="21"/>
                <w:szCs w:val="21"/>
                <w:lang w:eastAsia="zh-CN"/>
              </w:rPr>
              <w:t>原子</w:t>
            </w:r>
          </w:p>
          <w:p w14:paraId="5B95D49C"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荧光分光光度计</w:t>
            </w:r>
          </w:p>
          <w:p w14:paraId="1E0A3BF7"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/SPS-002</w:t>
            </w:r>
          </w:p>
        </w:tc>
      </w:tr>
      <w:tr w:rsidR="00D12939" w14:paraId="536F17D5" w14:textId="77777777">
        <w:tc>
          <w:tcPr>
            <w:tcW w:w="1665" w:type="dxa"/>
            <w:vAlign w:val="center"/>
          </w:tcPr>
          <w:p w14:paraId="09694873"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铅</w:t>
            </w:r>
          </w:p>
        </w:tc>
        <w:tc>
          <w:tcPr>
            <w:tcW w:w="4050" w:type="dxa"/>
            <w:vAlign w:val="center"/>
          </w:tcPr>
          <w:p w14:paraId="270D2544"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无火焰原子吸收分光光度法</w:t>
            </w:r>
          </w:p>
          <w:p w14:paraId="3E5B721A"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GB/T</w:t>
            </w:r>
            <w:r>
              <w:rPr>
                <w:rFonts w:ascii="Times New Roman" w:hAnsi="Times New Roman"/>
                <w:spacing w:val="-15"/>
                <w:sz w:val="21"/>
                <w:szCs w:val="21"/>
              </w:rPr>
              <w:t xml:space="preserve"> </w:t>
            </w:r>
            <w:r>
              <w:rPr>
                <w:rFonts w:ascii="Times New Roman" w:hAnsi="Times New Roman"/>
                <w:sz w:val="21"/>
                <w:szCs w:val="21"/>
              </w:rPr>
              <w:t>5750.6-2006</w:t>
            </w:r>
            <w:r>
              <w:rPr>
                <w:rFonts w:ascii="Times New Roman" w:hAnsi="Times New Roman"/>
                <w:sz w:val="21"/>
                <w:szCs w:val="21"/>
              </w:rPr>
              <w:t>（</w:t>
            </w:r>
            <w:r>
              <w:rPr>
                <w:rFonts w:ascii="Times New Roman" w:hAnsi="Times New Roman"/>
                <w:sz w:val="21"/>
                <w:szCs w:val="21"/>
              </w:rPr>
              <w:t>11.1</w:t>
            </w:r>
            <w:r>
              <w:rPr>
                <w:rFonts w:ascii="Times New Roman" w:hAnsi="Times New Roman"/>
                <w:sz w:val="21"/>
                <w:szCs w:val="21"/>
              </w:rPr>
              <w:t>）</w:t>
            </w:r>
          </w:p>
        </w:tc>
        <w:tc>
          <w:tcPr>
            <w:tcW w:w="1812" w:type="dxa"/>
            <w:vAlign w:val="center"/>
          </w:tcPr>
          <w:p w14:paraId="55352576"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0.0025mg/L</w:t>
            </w:r>
          </w:p>
        </w:tc>
        <w:tc>
          <w:tcPr>
            <w:tcW w:w="2538" w:type="dxa"/>
            <w:vAlign w:val="center"/>
          </w:tcPr>
          <w:p w14:paraId="72EB0DC9"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SP-3803AA</w:t>
            </w:r>
          </w:p>
          <w:p w14:paraId="3E7CC3C4"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原子吸收分光光度计</w:t>
            </w:r>
            <w:r>
              <w:rPr>
                <w:rFonts w:ascii="Times New Roman" w:hAnsi="Times New Roman"/>
                <w:sz w:val="21"/>
                <w:szCs w:val="21"/>
              </w:rPr>
              <w:t>/SPS-001</w:t>
            </w:r>
          </w:p>
        </w:tc>
      </w:tr>
      <w:tr w:rsidR="00D12939" w14:paraId="19E3C37E" w14:textId="77777777">
        <w:tc>
          <w:tcPr>
            <w:tcW w:w="1665" w:type="dxa"/>
            <w:vAlign w:val="center"/>
          </w:tcPr>
          <w:p w14:paraId="67F23A37"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汞</w:t>
            </w:r>
          </w:p>
        </w:tc>
        <w:tc>
          <w:tcPr>
            <w:tcW w:w="4050" w:type="dxa"/>
            <w:vAlign w:val="center"/>
          </w:tcPr>
          <w:p w14:paraId="52B04924"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水质</w:t>
            </w:r>
            <w:r>
              <w:rPr>
                <w:rFonts w:ascii="Times New Roman" w:hAnsi="Times New Roman"/>
                <w:sz w:val="21"/>
                <w:szCs w:val="21"/>
                <w:lang w:eastAsia="zh-CN"/>
              </w:rPr>
              <w:t xml:space="preserve"> </w:t>
            </w:r>
            <w:r>
              <w:rPr>
                <w:rFonts w:ascii="Times New Roman" w:hAnsi="Times New Roman"/>
                <w:sz w:val="21"/>
                <w:szCs w:val="21"/>
                <w:lang w:eastAsia="zh-CN"/>
              </w:rPr>
              <w:t>汞、砷、硒、铋和锑的测定</w:t>
            </w:r>
          </w:p>
          <w:p w14:paraId="4FF2B8E7"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原子荧光法</w:t>
            </w:r>
          </w:p>
          <w:p w14:paraId="2DAC530E"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HJ</w:t>
            </w:r>
            <w:r>
              <w:rPr>
                <w:rFonts w:ascii="Times New Roman" w:hAnsi="Times New Roman"/>
                <w:spacing w:val="-2"/>
                <w:sz w:val="21"/>
                <w:szCs w:val="21"/>
              </w:rPr>
              <w:t xml:space="preserve"> </w:t>
            </w:r>
            <w:r>
              <w:rPr>
                <w:rFonts w:ascii="Times New Roman" w:hAnsi="Times New Roman"/>
                <w:sz w:val="21"/>
                <w:szCs w:val="21"/>
              </w:rPr>
              <w:t>694-2014</w:t>
            </w:r>
          </w:p>
        </w:tc>
        <w:tc>
          <w:tcPr>
            <w:tcW w:w="1812" w:type="dxa"/>
            <w:vAlign w:val="center"/>
          </w:tcPr>
          <w:p w14:paraId="46FB1175"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0.00004mg/L</w:t>
            </w:r>
          </w:p>
        </w:tc>
        <w:tc>
          <w:tcPr>
            <w:tcW w:w="2538" w:type="dxa"/>
            <w:vAlign w:val="center"/>
          </w:tcPr>
          <w:p w14:paraId="28D99963"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 xml:space="preserve">AFS-9750 </w:t>
            </w:r>
            <w:r>
              <w:rPr>
                <w:rFonts w:ascii="Times New Roman" w:hAnsi="Times New Roman"/>
                <w:sz w:val="21"/>
                <w:szCs w:val="21"/>
                <w:lang w:eastAsia="zh-CN"/>
              </w:rPr>
              <w:t>原子</w:t>
            </w:r>
          </w:p>
          <w:p w14:paraId="3EDE2350"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荧光分光光度计</w:t>
            </w:r>
          </w:p>
          <w:p w14:paraId="6AFD7E50"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/SPS-002</w:t>
            </w:r>
          </w:p>
        </w:tc>
      </w:tr>
      <w:tr w:rsidR="00D12939" w14:paraId="4F2D4731" w14:textId="77777777">
        <w:tc>
          <w:tcPr>
            <w:tcW w:w="1665" w:type="dxa"/>
            <w:vAlign w:val="center"/>
          </w:tcPr>
          <w:p w14:paraId="51CF7923"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六价铬</w:t>
            </w:r>
          </w:p>
        </w:tc>
        <w:tc>
          <w:tcPr>
            <w:tcW w:w="4050" w:type="dxa"/>
            <w:vAlign w:val="center"/>
          </w:tcPr>
          <w:p w14:paraId="1F670EAE"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地下水质分析方法</w:t>
            </w:r>
          </w:p>
          <w:p w14:paraId="4FAAF051"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lastRenderedPageBreak/>
              <w:t>总铬和六价铬的测定</w:t>
            </w:r>
          </w:p>
          <w:p w14:paraId="6BD23BB9"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二苯碳酰二肼分光光度法</w:t>
            </w:r>
          </w:p>
          <w:p w14:paraId="7B4A2269"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DZ/T 0064.17-2021</w:t>
            </w:r>
          </w:p>
        </w:tc>
        <w:tc>
          <w:tcPr>
            <w:tcW w:w="1812" w:type="dxa"/>
            <w:vAlign w:val="center"/>
          </w:tcPr>
          <w:p w14:paraId="6617203C"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lastRenderedPageBreak/>
              <w:t>0.001mg/L</w:t>
            </w:r>
          </w:p>
        </w:tc>
        <w:tc>
          <w:tcPr>
            <w:tcW w:w="2538" w:type="dxa"/>
            <w:vAlign w:val="center"/>
          </w:tcPr>
          <w:p w14:paraId="203C9503"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 xml:space="preserve">SP-723 </w:t>
            </w:r>
            <w:r>
              <w:rPr>
                <w:rFonts w:ascii="Times New Roman" w:hAnsi="Times New Roman"/>
                <w:sz w:val="21"/>
                <w:szCs w:val="21"/>
              </w:rPr>
              <w:t>可见分光光度计</w:t>
            </w:r>
            <w:r>
              <w:rPr>
                <w:rFonts w:ascii="Times New Roman" w:hAnsi="Times New Roman"/>
                <w:sz w:val="21"/>
                <w:szCs w:val="21"/>
              </w:rPr>
              <w:lastRenderedPageBreak/>
              <w:t>/SPS-005</w:t>
            </w:r>
          </w:p>
        </w:tc>
      </w:tr>
      <w:tr w:rsidR="00D12939" w14:paraId="68B6C2B4" w14:textId="77777777">
        <w:tc>
          <w:tcPr>
            <w:tcW w:w="1665" w:type="dxa"/>
            <w:vAlign w:val="center"/>
          </w:tcPr>
          <w:p w14:paraId="1710F7FF"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lastRenderedPageBreak/>
              <w:t>总大肠菌群</w:t>
            </w:r>
          </w:p>
        </w:tc>
        <w:tc>
          <w:tcPr>
            <w:tcW w:w="4050" w:type="dxa"/>
            <w:vAlign w:val="center"/>
          </w:tcPr>
          <w:p w14:paraId="0106B946"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pacing w:val="-2"/>
                <w:sz w:val="21"/>
                <w:szCs w:val="21"/>
                <w:lang w:eastAsia="zh-CN"/>
              </w:rPr>
              <w:t>生活饮用水标准检验方法</w:t>
            </w:r>
            <w:r>
              <w:rPr>
                <w:rFonts w:ascii="Times New Roman" w:hAnsi="Times New Roman"/>
                <w:sz w:val="21"/>
                <w:szCs w:val="21"/>
                <w:lang w:eastAsia="zh-CN"/>
              </w:rPr>
              <w:t>总大肠菌群</w:t>
            </w:r>
          </w:p>
          <w:p w14:paraId="79FE586A"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多管发酵法</w:t>
            </w:r>
          </w:p>
          <w:p w14:paraId="2D92DE3C"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GB/T 5750. 12-2006</w:t>
            </w:r>
            <w:r>
              <w:rPr>
                <w:rFonts w:ascii="Times New Roman" w:hAnsi="Times New Roman"/>
                <w:sz w:val="21"/>
                <w:szCs w:val="21"/>
              </w:rPr>
              <w:t>（</w:t>
            </w:r>
            <w:r>
              <w:rPr>
                <w:rFonts w:ascii="Times New Roman" w:hAnsi="Times New Roman"/>
                <w:sz w:val="21"/>
                <w:szCs w:val="21"/>
              </w:rPr>
              <w:t>2. 1</w:t>
            </w:r>
            <w:r>
              <w:rPr>
                <w:rFonts w:ascii="Times New Roman" w:hAnsi="Times New Roman"/>
                <w:sz w:val="21"/>
                <w:szCs w:val="21"/>
              </w:rPr>
              <w:t>）</w:t>
            </w:r>
          </w:p>
        </w:tc>
        <w:tc>
          <w:tcPr>
            <w:tcW w:w="1812" w:type="dxa"/>
            <w:vAlign w:val="center"/>
          </w:tcPr>
          <w:p w14:paraId="76646F3F"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w:t>
            </w:r>
          </w:p>
        </w:tc>
        <w:tc>
          <w:tcPr>
            <w:tcW w:w="2538" w:type="dxa"/>
            <w:vMerge w:val="restart"/>
            <w:vAlign w:val="center"/>
          </w:tcPr>
          <w:p w14:paraId="060CC0B9"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SPX-150BⅢ</w:t>
            </w:r>
          </w:p>
          <w:p w14:paraId="324A1DFF"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生化培养箱</w:t>
            </w:r>
          </w:p>
          <w:p w14:paraId="606DA098"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/SPS-036</w:t>
            </w:r>
          </w:p>
        </w:tc>
      </w:tr>
      <w:tr w:rsidR="00D12939" w14:paraId="385A80F2" w14:textId="77777777">
        <w:tc>
          <w:tcPr>
            <w:tcW w:w="1665" w:type="dxa"/>
            <w:vAlign w:val="center"/>
          </w:tcPr>
          <w:p w14:paraId="46586B47"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菌落总数</w:t>
            </w:r>
          </w:p>
        </w:tc>
        <w:tc>
          <w:tcPr>
            <w:tcW w:w="4050" w:type="dxa"/>
            <w:vAlign w:val="center"/>
          </w:tcPr>
          <w:p w14:paraId="49184E3F"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生活饮用水标准检验方法</w:t>
            </w:r>
          </w:p>
          <w:p w14:paraId="447E9D5B" w14:textId="77777777" w:rsidR="00D12939" w:rsidRDefault="004F47F5">
            <w:pPr>
              <w:pStyle w:val="TableParagraph"/>
              <w:overflowPunct w:val="0"/>
              <w:ind w:firstLineChars="0" w:firstLine="0"/>
              <w:jc w:val="center"/>
              <w:rPr>
                <w:rFonts w:ascii="Times New Roman" w:hAnsi="Times New Roman"/>
                <w:sz w:val="21"/>
                <w:szCs w:val="21"/>
                <w:lang w:eastAsia="zh-CN"/>
              </w:rPr>
            </w:pPr>
            <w:r>
              <w:rPr>
                <w:rFonts w:ascii="Times New Roman" w:hAnsi="Times New Roman"/>
                <w:sz w:val="21"/>
                <w:szCs w:val="21"/>
                <w:lang w:eastAsia="zh-CN"/>
              </w:rPr>
              <w:t>微生物指标</w:t>
            </w:r>
            <w:r>
              <w:rPr>
                <w:rFonts w:ascii="Times New Roman" w:hAnsi="Times New Roman"/>
                <w:sz w:val="21"/>
                <w:szCs w:val="21"/>
                <w:lang w:eastAsia="zh-CN"/>
              </w:rPr>
              <w:t xml:space="preserve"> </w:t>
            </w:r>
            <w:r>
              <w:rPr>
                <w:rFonts w:ascii="Times New Roman" w:hAnsi="Times New Roman"/>
                <w:sz w:val="21"/>
                <w:szCs w:val="21"/>
                <w:lang w:eastAsia="zh-CN"/>
              </w:rPr>
              <w:t>平皿计数法</w:t>
            </w:r>
          </w:p>
          <w:p w14:paraId="48677710"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lang w:eastAsia="zh-CN"/>
              </w:rPr>
              <w:t xml:space="preserve">GB/T 5750. </w:t>
            </w:r>
            <w:r>
              <w:rPr>
                <w:rFonts w:ascii="Times New Roman" w:hAnsi="Times New Roman"/>
                <w:sz w:val="21"/>
                <w:szCs w:val="21"/>
              </w:rPr>
              <w:t>12-2006</w:t>
            </w:r>
            <w:r>
              <w:rPr>
                <w:rFonts w:ascii="Times New Roman" w:hAnsi="Times New Roman"/>
                <w:sz w:val="21"/>
                <w:szCs w:val="21"/>
              </w:rPr>
              <w:t>（</w:t>
            </w:r>
            <w:r>
              <w:rPr>
                <w:rFonts w:ascii="Times New Roman" w:hAnsi="Times New Roman"/>
                <w:sz w:val="21"/>
                <w:szCs w:val="21"/>
              </w:rPr>
              <w:t>1. 1</w:t>
            </w:r>
            <w:r>
              <w:rPr>
                <w:rFonts w:ascii="Times New Roman" w:hAnsi="Times New Roman"/>
                <w:sz w:val="21"/>
                <w:szCs w:val="21"/>
              </w:rPr>
              <w:t>）</w:t>
            </w:r>
          </w:p>
        </w:tc>
        <w:tc>
          <w:tcPr>
            <w:tcW w:w="1812" w:type="dxa"/>
            <w:vAlign w:val="center"/>
          </w:tcPr>
          <w:p w14:paraId="444F73D5" w14:textId="77777777" w:rsidR="00D12939" w:rsidRDefault="004F47F5">
            <w:pPr>
              <w:pStyle w:val="TableParagraph"/>
              <w:overflowPunct w:val="0"/>
              <w:ind w:firstLineChars="0" w:firstLine="0"/>
              <w:jc w:val="center"/>
              <w:rPr>
                <w:rFonts w:ascii="Times New Roman" w:hAnsi="Times New Roman"/>
                <w:sz w:val="21"/>
                <w:szCs w:val="21"/>
              </w:rPr>
            </w:pPr>
            <w:r>
              <w:rPr>
                <w:rFonts w:ascii="Times New Roman" w:hAnsi="Times New Roman"/>
                <w:sz w:val="21"/>
                <w:szCs w:val="21"/>
              </w:rPr>
              <w:t>/</w:t>
            </w:r>
          </w:p>
        </w:tc>
        <w:tc>
          <w:tcPr>
            <w:tcW w:w="2538" w:type="dxa"/>
            <w:vMerge/>
            <w:vAlign w:val="center"/>
          </w:tcPr>
          <w:p w14:paraId="371B961C" w14:textId="77777777" w:rsidR="00D12939" w:rsidRDefault="00D12939">
            <w:pPr>
              <w:pStyle w:val="TableParagraph"/>
              <w:overflowPunct w:val="0"/>
              <w:ind w:firstLineChars="0" w:firstLine="0"/>
              <w:jc w:val="center"/>
              <w:rPr>
                <w:rFonts w:ascii="Times New Roman" w:hAnsi="Times New Roman"/>
                <w:sz w:val="21"/>
                <w:szCs w:val="21"/>
              </w:rPr>
            </w:pPr>
          </w:p>
        </w:tc>
      </w:tr>
    </w:tbl>
    <w:p w14:paraId="0311966A"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）监测结果统计与评价</w:t>
      </w:r>
    </w:p>
    <w:p w14:paraId="54C41375" w14:textId="77777777" w:rsidR="00D12939" w:rsidRDefault="004F47F5">
      <w:pPr>
        <w:tabs>
          <w:tab w:val="left" w:pos="720"/>
        </w:tabs>
        <w:spacing w:line="360" w:lineRule="auto"/>
        <w:ind w:firstLine="480"/>
        <w:rPr>
          <w:rFonts w:ascii="Times New Roman" w:eastAsia="宋体" w:hAnsi="Times New Roman" w:cs="Times New Roman"/>
          <w:sz w:val="24"/>
        </w:rPr>
      </w:pPr>
      <w:r>
        <w:rPr>
          <w:rFonts w:ascii="Times New Roman" w:eastAsia="宋体" w:hAnsi="Times New Roman" w:cs="Times New Roman"/>
          <w:sz w:val="24"/>
        </w:rPr>
        <w:t>监测结果及统计分析见表</w:t>
      </w:r>
      <w:r>
        <w:rPr>
          <w:rFonts w:ascii="Times New Roman" w:eastAsia="宋体" w:hAnsi="Times New Roman" w:cs="Times New Roman"/>
          <w:sz w:val="24"/>
        </w:rPr>
        <w:t>5.2-</w:t>
      </w:r>
      <w:r>
        <w:rPr>
          <w:rFonts w:ascii="Times New Roman" w:eastAsia="宋体" w:hAnsi="Times New Roman" w:cs="Times New Roman" w:hint="eastAsia"/>
          <w:sz w:val="24"/>
        </w:rPr>
        <w:t>10</w:t>
      </w:r>
      <w:r>
        <w:rPr>
          <w:rFonts w:ascii="Times New Roman" w:eastAsia="宋体" w:hAnsi="Times New Roman" w:cs="Times New Roman"/>
          <w:sz w:val="24"/>
        </w:rPr>
        <w:t>及表</w:t>
      </w:r>
      <w:r>
        <w:rPr>
          <w:rFonts w:ascii="Times New Roman" w:eastAsia="宋体" w:hAnsi="Times New Roman" w:cs="Times New Roman"/>
          <w:sz w:val="24"/>
        </w:rPr>
        <w:t>5.2-</w:t>
      </w:r>
      <w:r>
        <w:rPr>
          <w:rFonts w:ascii="Times New Roman" w:eastAsia="宋体" w:hAnsi="Times New Roman" w:cs="Times New Roman" w:hint="eastAsia"/>
          <w:sz w:val="24"/>
        </w:rPr>
        <w:t>11</w:t>
      </w:r>
      <w:r>
        <w:rPr>
          <w:rFonts w:ascii="Times New Roman" w:eastAsia="宋体" w:hAnsi="Times New Roman" w:cs="Times New Roman"/>
          <w:sz w:val="24"/>
        </w:rPr>
        <w:t>。</w:t>
      </w:r>
    </w:p>
    <w:p w14:paraId="22DEA7E0" w14:textId="77777777" w:rsidR="00D12939" w:rsidRDefault="00D12939">
      <w:pPr>
        <w:jc w:val="center"/>
        <w:rPr>
          <w:rFonts w:eastAsia="黑体"/>
        </w:rPr>
        <w:sectPr w:rsidR="00D12939">
          <w:headerReference w:type="even" r:id="rId43"/>
          <w:headerReference w:type="default" r:id="rId44"/>
          <w:footerReference w:type="even" r:id="rId45"/>
          <w:footerReference w:type="default" r:id="rId46"/>
          <w:headerReference w:type="first" r:id="rId47"/>
          <w:footerReference w:type="first" r:id="rId48"/>
          <w:pgSz w:w="11906" w:h="16838"/>
          <w:pgMar w:top="1440" w:right="1080" w:bottom="1440" w:left="1080" w:header="851" w:footer="992" w:gutter="0"/>
          <w:cols w:space="720"/>
          <w:docGrid w:type="lines" w:linePitch="312"/>
        </w:sectPr>
      </w:pPr>
    </w:p>
    <w:p w14:paraId="52DAF76B" w14:textId="77777777" w:rsidR="00D12939" w:rsidRDefault="004F47F5">
      <w:pPr>
        <w:jc w:val="center"/>
        <w:rPr>
          <w:rFonts w:ascii="黑体" w:eastAsia="黑体" w:hAnsi="黑体"/>
          <w:bCs/>
          <w:sz w:val="24"/>
          <w:szCs w:val="18"/>
        </w:rPr>
      </w:pPr>
      <w:r>
        <w:rPr>
          <w:rFonts w:ascii="黑体" w:eastAsia="黑体" w:hAnsi="黑体"/>
          <w:bCs/>
          <w:sz w:val="24"/>
          <w:szCs w:val="18"/>
        </w:rPr>
        <w:lastRenderedPageBreak/>
        <w:t>表5.2-10   地下水水质监测结果</w:t>
      </w:r>
      <w:r>
        <w:rPr>
          <w:rFonts w:ascii="黑体" w:eastAsia="黑体" w:hAnsi="黑体" w:hint="eastAsia"/>
          <w:bCs/>
          <w:sz w:val="24"/>
          <w:szCs w:val="18"/>
        </w:rPr>
        <w:t>及统计分析</w:t>
      </w:r>
      <w:r>
        <w:rPr>
          <w:rFonts w:ascii="黑体" w:eastAsia="黑体" w:hAnsi="黑体"/>
          <w:bCs/>
          <w:sz w:val="24"/>
          <w:szCs w:val="18"/>
        </w:rPr>
        <w:t>表</w:t>
      </w:r>
    </w:p>
    <w:tbl>
      <w:tblPr>
        <w:tblW w:w="141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235"/>
        <w:gridCol w:w="1716"/>
        <w:gridCol w:w="1230"/>
        <w:gridCol w:w="911"/>
        <w:gridCol w:w="911"/>
        <w:gridCol w:w="911"/>
        <w:gridCol w:w="911"/>
        <w:gridCol w:w="913"/>
        <w:gridCol w:w="911"/>
        <w:gridCol w:w="913"/>
        <w:gridCol w:w="915"/>
        <w:gridCol w:w="891"/>
        <w:gridCol w:w="891"/>
        <w:gridCol w:w="891"/>
      </w:tblGrid>
      <w:tr w:rsidR="00D12939" w14:paraId="3E3C97FF" w14:textId="77777777">
        <w:trPr>
          <w:trHeight w:val="323"/>
          <w:jc w:val="center"/>
        </w:trPr>
        <w:tc>
          <w:tcPr>
            <w:tcW w:w="14150" w:type="dxa"/>
            <w:gridSpan w:val="14"/>
            <w:tcBorders>
              <w:top w:val="single" w:sz="12" w:space="0" w:color="auto"/>
              <w:left w:val="single" w:sz="12" w:space="0" w:color="auto"/>
              <w:bottom w:val="single" w:sz="6" w:space="0" w:color="auto"/>
              <w:right w:val="single" w:sz="12" w:space="0" w:color="auto"/>
            </w:tcBorders>
            <w:vAlign w:val="center"/>
          </w:tcPr>
          <w:p w14:paraId="3552A2C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地下水</w:t>
            </w:r>
          </w:p>
        </w:tc>
      </w:tr>
      <w:tr w:rsidR="00D12939" w14:paraId="03048E24" w14:textId="77777777">
        <w:trPr>
          <w:trHeight w:val="323"/>
          <w:jc w:val="center"/>
        </w:trPr>
        <w:tc>
          <w:tcPr>
            <w:tcW w:w="1235" w:type="dxa"/>
            <w:vMerge w:val="restart"/>
            <w:tcBorders>
              <w:top w:val="single" w:sz="6" w:space="0" w:color="auto"/>
              <w:left w:val="single" w:sz="12" w:space="0" w:color="auto"/>
              <w:bottom w:val="single" w:sz="6" w:space="0" w:color="auto"/>
              <w:right w:val="single" w:sz="6" w:space="0" w:color="auto"/>
            </w:tcBorders>
            <w:vAlign w:val="center"/>
          </w:tcPr>
          <w:p w14:paraId="359FDF5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采样日期</w:t>
            </w:r>
          </w:p>
        </w:tc>
        <w:tc>
          <w:tcPr>
            <w:tcW w:w="1716" w:type="dxa"/>
            <w:vMerge w:val="restart"/>
            <w:tcBorders>
              <w:top w:val="single" w:sz="6" w:space="0" w:color="auto"/>
              <w:left w:val="single" w:sz="6" w:space="0" w:color="auto"/>
              <w:bottom w:val="single" w:sz="6" w:space="0" w:color="auto"/>
              <w:right w:val="single" w:sz="6" w:space="0" w:color="auto"/>
            </w:tcBorders>
            <w:vAlign w:val="center"/>
          </w:tcPr>
          <w:p w14:paraId="5147CDF1"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检测项目</w:t>
            </w:r>
          </w:p>
        </w:tc>
        <w:tc>
          <w:tcPr>
            <w:tcW w:w="9417" w:type="dxa"/>
            <w:gridSpan w:val="10"/>
            <w:tcBorders>
              <w:top w:val="single" w:sz="6" w:space="0" w:color="auto"/>
              <w:left w:val="single" w:sz="6" w:space="0" w:color="auto"/>
              <w:bottom w:val="single" w:sz="6" w:space="0" w:color="auto"/>
              <w:right w:val="single" w:sz="6" w:space="0" w:color="auto"/>
            </w:tcBorders>
            <w:vAlign w:val="center"/>
          </w:tcPr>
          <w:p w14:paraId="4AB47F6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检测结果</w:t>
            </w:r>
          </w:p>
        </w:tc>
        <w:tc>
          <w:tcPr>
            <w:tcW w:w="891" w:type="dxa"/>
            <w:vMerge w:val="restart"/>
            <w:tcBorders>
              <w:top w:val="single" w:sz="6" w:space="0" w:color="auto"/>
              <w:left w:val="single" w:sz="6" w:space="0" w:color="auto"/>
              <w:bottom w:val="single" w:sz="6" w:space="0" w:color="auto"/>
              <w:right w:val="single" w:sz="6" w:space="0" w:color="auto"/>
            </w:tcBorders>
            <w:vAlign w:val="center"/>
          </w:tcPr>
          <w:p w14:paraId="0987642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结果</w:t>
            </w:r>
          </w:p>
          <w:p w14:paraId="2A19598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单位</w:t>
            </w:r>
          </w:p>
        </w:tc>
        <w:tc>
          <w:tcPr>
            <w:tcW w:w="891" w:type="dxa"/>
            <w:vMerge w:val="restart"/>
            <w:tcBorders>
              <w:top w:val="single" w:sz="6" w:space="0" w:color="auto"/>
              <w:left w:val="single" w:sz="6" w:space="0" w:color="auto"/>
              <w:bottom w:val="single" w:sz="6" w:space="0" w:color="auto"/>
              <w:right w:val="single" w:sz="12" w:space="0" w:color="auto"/>
            </w:tcBorders>
            <w:vAlign w:val="center"/>
          </w:tcPr>
          <w:p w14:paraId="298C361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标准值</w:t>
            </w:r>
          </w:p>
        </w:tc>
      </w:tr>
      <w:tr w:rsidR="00D12939" w14:paraId="250584FD" w14:textId="77777777">
        <w:trPr>
          <w:trHeight w:val="323"/>
          <w:jc w:val="center"/>
        </w:trPr>
        <w:tc>
          <w:tcPr>
            <w:tcW w:w="1235" w:type="dxa"/>
            <w:vMerge/>
            <w:tcBorders>
              <w:top w:val="single" w:sz="6" w:space="0" w:color="auto"/>
              <w:left w:val="single" w:sz="12" w:space="0" w:color="auto"/>
              <w:bottom w:val="single" w:sz="6" w:space="0" w:color="auto"/>
              <w:right w:val="single" w:sz="6" w:space="0" w:color="auto"/>
            </w:tcBorders>
            <w:vAlign w:val="center"/>
          </w:tcPr>
          <w:p w14:paraId="60CDB6DF" w14:textId="77777777" w:rsidR="00D12939" w:rsidRDefault="00D12939">
            <w:pPr>
              <w:jc w:val="center"/>
              <w:rPr>
                <w:rFonts w:ascii="Times New Roman" w:eastAsia="宋体" w:hAnsi="Times New Roman" w:cs="Times New Roman"/>
                <w:szCs w:val="21"/>
              </w:rPr>
            </w:pPr>
          </w:p>
        </w:tc>
        <w:tc>
          <w:tcPr>
            <w:tcW w:w="1716" w:type="dxa"/>
            <w:vMerge/>
            <w:tcBorders>
              <w:top w:val="single" w:sz="6" w:space="0" w:color="auto"/>
              <w:left w:val="single" w:sz="6" w:space="0" w:color="auto"/>
              <w:bottom w:val="single" w:sz="6" w:space="0" w:color="auto"/>
              <w:right w:val="single" w:sz="6" w:space="0" w:color="auto"/>
            </w:tcBorders>
            <w:vAlign w:val="center"/>
          </w:tcPr>
          <w:p w14:paraId="4EED60E8" w14:textId="77777777" w:rsidR="00D12939" w:rsidRDefault="00D12939">
            <w:pPr>
              <w:jc w:val="center"/>
              <w:rPr>
                <w:rFonts w:ascii="Times New Roman" w:eastAsia="宋体" w:hAnsi="Times New Roman" w:cs="Times New Roman"/>
                <w:szCs w:val="21"/>
              </w:rPr>
            </w:pPr>
          </w:p>
        </w:tc>
        <w:tc>
          <w:tcPr>
            <w:tcW w:w="1230" w:type="dxa"/>
            <w:tcBorders>
              <w:top w:val="single" w:sz="6" w:space="0" w:color="auto"/>
              <w:left w:val="single" w:sz="6" w:space="0" w:color="auto"/>
              <w:bottom w:val="single" w:sz="6" w:space="0" w:color="auto"/>
              <w:right w:val="single" w:sz="6" w:space="0" w:color="auto"/>
            </w:tcBorders>
            <w:vAlign w:val="center"/>
          </w:tcPr>
          <w:p w14:paraId="03AB713D"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笔架山附近泉水露头</w:t>
            </w:r>
          </w:p>
        </w:tc>
        <w:tc>
          <w:tcPr>
            <w:tcW w:w="911" w:type="dxa"/>
            <w:tcBorders>
              <w:top w:val="single" w:sz="6" w:space="0" w:color="auto"/>
              <w:left w:val="single" w:sz="6" w:space="0" w:color="auto"/>
              <w:bottom w:val="single" w:sz="6" w:space="0" w:color="auto"/>
              <w:right w:val="single" w:sz="6" w:space="0" w:color="auto"/>
            </w:tcBorders>
            <w:vAlign w:val="center"/>
          </w:tcPr>
          <w:p w14:paraId="6323D32D" w14:textId="77777777" w:rsidR="00D12939" w:rsidRDefault="004F47F5">
            <w:pPr>
              <w:jc w:val="center"/>
              <w:textAlignment w:val="center"/>
              <w:rPr>
                <w:rFonts w:ascii="Times New Roman" w:eastAsia="宋体" w:hAnsi="Times New Roman" w:cs="Times New Roman"/>
                <w:szCs w:val="21"/>
                <w:lang w:bidi="ar"/>
              </w:rPr>
            </w:pPr>
            <w:r>
              <w:rPr>
                <w:rFonts w:ascii="Times New Roman" w:eastAsia="宋体" w:hAnsi="Times New Roman" w:cs="Times New Roman"/>
                <w:szCs w:val="21"/>
                <w:lang w:bidi="ar"/>
              </w:rPr>
              <w:t>Pi</w:t>
            </w:r>
          </w:p>
        </w:tc>
        <w:tc>
          <w:tcPr>
            <w:tcW w:w="911" w:type="dxa"/>
            <w:tcBorders>
              <w:top w:val="single" w:sz="6" w:space="0" w:color="auto"/>
              <w:left w:val="single" w:sz="6" w:space="0" w:color="auto"/>
              <w:bottom w:val="single" w:sz="6" w:space="0" w:color="auto"/>
              <w:right w:val="single" w:sz="6" w:space="0" w:color="auto"/>
            </w:tcBorders>
            <w:vAlign w:val="center"/>
          </w:tcPr>
          <w:p w14:paraId="70695104"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大六里沟附近泉水露头</w:t>
            </w:r>
          </w:p>
        </w:tc>
        <w:tc>
          <w:tcPr>
            <w:tcW w:w="911" w:type="dxa"/>
            <w:tcBorders>
              <w:top w:val="single" w:sz="6" w:space="0" w:color="auto"/>
              <w:left w:val="single" w:sz="6" w:space="0" w:color="auto"/>
              <w:bottom w:val="single" w:sz="6" w:space="0" w:color="auto"/>
              <w:right w:val="single" w:sz="6" w:space="0" w:color="auto"/>
            </w:tcBorders>
            <w:vAlign w:val="center"/>
          </w:tcPr>
          <w:p w14:paraId="13560755" w14:textId="77777777" w:rsidR="00D12939" w:rsidRDefault="004F47F5">
            <w:pPr>
              <w:jc w:val="center"/>
              <w:textAlignment w:val="center"/>
              <w:rPr>
                <w:rFonts w:ascii="Times New Roman" w:eastAsia="宋体" w:hAnsi="Times New Roman" w:cs="Times New Roman"/>
                <w:szCs w:val="21"/>
                <w:lang w:bidi="ar"/>
              </w:rPr>
            </w:pPr>
            <w:r>
              <w:rPr>
                <w:rFonts w:ascii="Times New Roman" w:eastAsia="宋体" w:hAnsi="Times New Roman" w:cs="Times New Roman"/>
                <w:szCs w:val="21"/>
                <w:lang w:bidi="ar"/>
              </w:rPr>
              <w:t>Pi</w:t>
            </w:r>
          </w:p>
        </w:tc>
        <w:tc>
          <w:tcPr>
            <w:tcW w:w="911" w:type="dxa"/>
            <w:tcBorders>
              <w:top w:val="single" w:sz="6" w:space="0" w:color="auto"/>
              <w:left w:val="single" w:sz="6" w:space="0" w:color="auto"/>
              <w:bottom w:val="single" w:sz="6" w:space="0" w:color="auto"/>
              <w:right w:val="single" w:sz="6" w:space="0" w:color="auto"/>
            </w:tcBorders>
            <w:vAlign w:val="center"/>
          </w:tcPr>
          <w:p w14:paraId="66640B8A"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小六里沟附近泉水露头</w:t>
            </w:r>
          </w:p>
        </w:tc>
        <w:tc>
          <w:tcPr>
            <w:tcW w:w="913" w:type="dxa"/>
            <w:tcBorders>
              <w:top w:val="single" w:sz="6" w:space="0" w:color="auto"/>
              <w:left w:val="single" w:sz="6" w:space="0" w:color="auto"/>
              <w:bottom w:val="single" w:sz="6" w:space="0" w:color="auto"/>
              <w:right w:val="single" w:sz="6" w:space="0" w:color="auto"/>
            </w:tcBorders>
            <w:vAlign w:val="center"/>
          </w:tcPr>
          <w:p w14:paraId="271B87CC" w14:textId="77777777" w:rsidR="00D12939" w:rsidRDefault="004F47F5">
            <w:pPr>
              <w:jc w:val="center"/>
              <w:textAlignment w:val="center"/>
              <w:rPr>
                <w:rFonts w:ascii="Times New Roman" w:eastAsia="宋体" w:hAnsi="Times New Roman" w:cs="Times New Roman"/>
                <w:szCs w:val="21"/>
                <w:lang w:bidi="ar"/>
              </w:rPr>
            </w:pPr>
            <w:r>
              <w:rPr>
                <w:rFonts w:ascii="Times New Roman" w:eastAsia="宋体" w:hAnsi="Times New Roman" w:cs="Times New Roman"/>
                <w:szCs w:val="21"/>
                <w:lang w:bidi="ar"/>
              </w:rPr>
              <w:t>Pi</w:t>
            </w:r>
          </w:p>
        </w:tc>
        <w:tc>
          <w:tcPr>
            <w:tcW w:w="911" w:type="dxa"/>
            <w:tcBorders>
              <w:top w:val="single" w:sz="6" w:space="0" w:color="auto"/>
              <w:left w:val="single" w:sz="6" w:space="0" w:color="auto"/>
              <w:bottom w:val="single" w:sz="6" w:space="0" w:color="auto"/>
              <w:right w:val="single" w:sz="6" w:space="0" w:color="auto"/>
            </w:tcBorders>
            <w:vAlign w:val="center"/>
          </w:tcPr>
          <w:p w14:paraId="66356EB4"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皮条沟附近泉水露头</w:t>
            </w:r>
          </w:p>
        </w:tc>
        <w:tc>
          <w:tcPr>
            <w:tcW w:w="913" w:type="dxa"/>
            <w:tcBorders>
              <w:top w:val="single" w:sz="6" w:space="0" w:color="auto"/>
              <w:left w:val="single" w:sz="6" w:space="0" w:color="auto"/>
              <w:bottom w:val="single" w:sz="6" w:space="0" w:color="auto"/>
              <w:right w:val="single" w:sz="6" w:space="0" w:color="auto"/>
            </w:tcBorders>
            <w:vAlign w:val="center"/>
          </w:tcPr>
          <w:p w14:paraId="2AE4E82D" w14:textId="77777777" w:rsidR="00D12939" w:rsidRDefault="004F47F5">
            <w:pPr>
              <w:jc w:val="center"/>
              <w:textAlignment w:val="center"/>
              <w:rPr>
                <w:rFonts w:ascii="Times New Roman" w:eastAsia="宋体" w:hAnsi="Times New Roman" w:cs="Times New Roman"/>
                <w:szCs w:val="21"/>
                <w:lang w:bidi="ar"/>
              </w:rPr>
            </w:pPr>
            <w:r>
              <w:rPr>
                <w:rFonts w:ascii="Times New Roman" w:eastAsia="宋体" w:hAnsi="Times New Roman" w:cs="Times New Roman"/>
                <w:szCs w:val="21"/>
                <w:lang w:bidi="ar"/>
              </w:rPr>
              <w:t>Pi</w:t>
            </w:r>
          </w:p>
        </w:tc>
        <w:tc>
          <w:tcPr>
            <w:tcW w:w="915" w:type="dxa"/>
            <w:tcBorders>
              <w:top w:val="single" w:sz="6" w:space="0" w:color="auto"/>
              <w:left w:val="single" w:sz="6" w:space="0" w:color="auto"/>
              <w:bottom w:val="single" w:sz="6" w:space="0" w:color="auto"/>
              <w:right w:val="single" w:sz="6" w:space="0" w:color="auto"/>
            </w:tcBorders>
            <w:vAlign w:val="center"/>
          </w:tcPr>
          <w:p w14:paraId="2AABD8B2"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松林村附近泉水露头</w:t>
            </w:r>
          </w:p>
        </w:tc>
        <w:tc>
          <w:tcPr>
            <w:tcW w:w="891" w:type="dxa"/>
            <w:tcBorders>
              <w:top w:val="single" w:sz="6" w:space="0" w:color="auto"/>
              <w:left w:val="single" w:sz="6" w:space="0" w:color="auto"/>
              <w:bottom w:val="single" w:sz="6" w:space="0" w:color="auto"/>
              <w:right w:val="single" w:sz="6" w:space="0" w:color="auto"/>
            </w:tcBorders>
            <w:vAlign w:val="center"/>
          </w:tcPr>
          <w:p w14:paraId="1DA4F00B"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lang w:bidi="ar"/>
              </w:rPr>
              <w:t>Pi</w:t>
            </w:r>
          </w:p>
        </w:tc>
        <w:tc>
          <w:tcPr>
            <w:tcW w:w="891" w:type="dxa"/>
            <w:vMerge/>
            <w:tcBorders>
              <w:top w:val="single" w:sz="6" w:space="0" w:color="auto"/>
              <w:left w:val="single" w:sz="6" w:space="0" w:color="auto"/>
              <w:bottom w:val="single" w:sz="6" w:space="0" w:color="auto"/>
              <w:right w:val="single" w:sz="6" w:space="0" w:color="auto"/>
            </w:tcBorders>
            <w:vAlign w:val="center"/>
          </w:tcPr>
          <w:p w14:paraId="5B99A57E" w14:textId="77777777" w:rsidR="00D12939" w:rsidRDefault="00D12939">
            <w:pPr>
              <w:jc w:val="center"/>
              <w:rPr>
                <w:rFonts w:ascii="Times New Roman" w:eastAsia="宋体" w:hAnsi="Times New Roman" w:cs="Times New Roman"/>
                <w:szCs w:val="21"/>
              </w:rPr>
            </w:pPr>
          </w:p>
        </w:tc>
        <w:tc>
          <w:tcPr>
            <w:tcW w:w="891" w:type="dxa"/>
            <w:vMerge/>
            <w:tcBorders>
              <w:top w:val="single" w:sz="6" w:space="0" w:color="auto"/>
              <w:left w:val="single" w:sz="6" w:space="0" w:color="auto"/>
              <w:bottom w:val="single" w:sz="6" w:space="0" w:color="auto"/>
              <w:right w:val="single" w:sz="12" w:space="0" w:color="auto"/>
            </w:tcBorders>
            <w:vAlign w:val="center"/>
          </w:tcPr>
          <w:p w14:paraId="306EC843" w14:textId="77777777" w:rsidR="00D12939" w:rsidRDefault="00D12939">
            <w:pPr>
              <w:jc w:val="center"/>
              <w:rPr>
                <w:rFonts w:ascii="Times New Roman" w:eastAsia="宋体" w:hAnsi="Times New Roman" w:cs="Times New Roman"/>
                <w:szCs w:val="21"/>
              </w:rPr>
            </w:pPr>
          </w:p>
        </w:tc>
      </w:tr>
      <w:tr w:rsidR="00D12939" w14:paraId="7D284850" w14:textId="77777777">
        <w:trPr>
          <w:trHeight w:val="323"/>
          <w:jc w:val="center"/>
        </w:trPr>
        <w:tc>
          <w:tcPr>
            <w:tcW w:w="1235" w:type="dxa"/>
            <w:vMerge w:val="restart"/>
            <w:tcBorders>
              <w:top w:val="single" w:sz="6" w:space="0" w:color="auto"/>
              <w:left w:val="single" w:sz="12" w:space="0" w:color="auto"/>
              <w:right w:val="single" w:sz="6" w:space="0" w:color="auto"/>
            </w:tcBorders>
            <w:vAlign w:val="center"/>
          </w:tcPr>
          <w:p w14:paraId="5FCB9EC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11</w:t>
            </w:r>
            <w:r>
              <w:rPr>
                <w:rFonts w:ascii="Times New Roman" w:eastAsia="宋体" w:hAnsi="Times New Roman" w:cs="Times New Roman"/>
                <w:szCs w:val="21"/>
              </w:rPr>
              <w:t>月</w:t>
            </w:r>
            <w:r>
              <w:rPr>
                <w:rFonts w:ascii="Times New Roman" w:eastAsia="宋体" w:hAnsi="Times New Roman" w:cs="Times New Roman"/>
                <w:szCs w:val="21"/>
              </w:rPr>
              <w:t>19</w:t>
            </w:r>
            <w:r>
              <w:rPr>
                <w:rFonts w:ascii="Times New Roman" w:eastAsia="宋体" w:hAnsi="Times New Roman" w:cs="Times New Roman"/>
                <w:szCs w:val="21"/>
              </w:rPr>
              <w:t>日</w:t>
            </w:r>
          </w:p>
        </w:tc>
        <w:tc>
          <w:tcPr>
            <w:tcW w:w="1716" w:type="dxa"/>
            <w:tcBorders>
              <w:top w:val="single" w:sz="6" w:space="0" w:color="auto"/>
              <w:left w:val="single" w:sz="6" w:space="0" w:color="auto"/>
              <w:bottom w:val="single" w:sz="6" w:space="0" w:color="auto"/>
              <w:right w:val="single" w:sz="6" w:space="0" w:color="auto"/>
            </w:tcBorders>
            <w:vAlign w:val="center"/>
          </w:tcPr>
          <w:p w14:paraId="2197DD7D"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 xml:space="preserve">pH </w:t>
            </w:r>
            <w:r>
              <w:rPr>
                <w:rFonts w:ascii="Times New Roman" w:hAnsi="Times New Roman"/>
                <w:kern w:val="2"/>
                <w:sz w:val="21"/>
                <w:szCs w:val="21"/>
                <w:lang w:eastAsia="zh-CN"/>
              </w:rPr>
              <w:t>值</w:t>
            </w:r>
          </w:p>
        </w:tc>
        <w:tc>
          <w:tcPr>
            <w:tcW w:w="1230" w:type="dxa"/>
            <w:tcBorders>
              <w:top w:val="single" w:sz="6" w:space="0" w:color="auto"/>
              <w:left w:val="single" w:sz="6" w:space="0" w:color="auto"/>
              <w:bottom w:val="single" w:sz="6" w:space="0" w:color="auto"/>
              <w:right w:val="single" w:sz="6" w:space="0" w:color="auto"/>
            </w:tcBorders>
            <w:vAlign w:val="center"/>
          </w:tcPr>
          <w:p w14:paraId="5A18D50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6.8</w:t>
            </w:r>
          </w:p>
        </w:tc>
        <w:tc>
          <w:tcPr>
            <w:tcW w:w="911" w:type="dxa"/>
            <w:tcBorders>
              <w:top w:val="single" w:sz="6" w:space="0" w:color="auto"/>
              <w:left w:val="single" w:sz="6" w:space="0" w:color="auto"/>
              <w:bottom w:val="single" w:sz="6" w:space="0" w:color="auto"/>
              <w:right w:val="single" w:sz="6" w:space="0" w:color="auto"/>
            </w:tcBorders>
            <w:vAlign w:val="center"/>
          </w:tcPr>
          <w:p w14:paraId="05B17ED5"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055B6C93" w14:textId="77777777" w:rsidR="00D12939" w:rsidRDefault="004F47F5">
            <w:pPr>
              <w:pStyle w:val="TableParagraph"/>
              <w:ind w:firstLineChars="0" w:firstLine="0"/>
              <w:jc w:val="center"/>
              <w:rPr>
                <w:rFonts w:ascii="Times New Roman" w:hAnsi="Times New Roman"/>
                <w:sz w:val="21"/>
                <w:szCs w:val="21"/>
                <w:lang w:eastAsia="zh-CN"/>
              </w:rPr>
            </w:pPr>
            <w:r>
              <w:rPr>
                <w:rFonts w:ascii="Times New Roman" w:hAnsi="Times New Roman"/>
                <w:sz w:val="21"/>
                <w:szCs w:val="21"/>
              </w:rPr>
              <w:t>6.9</w:t>
            </w:r>
          </w:p>
        </w:tc>
        <w:tc>
          <w:tcPr>
            <w:tcW w:w="911" w:type="dxa"/>
            <w:tcBorders>
              <w:top w:val="single" w:sz="6" w:space="0" w:color="auto"/>
              <w:left w:val="single" w:sz="6" w:space="0" w:color="auto"/>
              <w:bottom w:val="single" w:sz="6" w:space="0" w:color="auto"/>
              <w:right w:val="single" w:sz="6" w:space="0" w:color="auto"/>
            </w:tcBorders>
            <w:vAlign w:val="center"/>
          </w:tcPr>
          <w:p w14:paraId="1F6109EA"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68C6068F"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7.0</w:t>
            </w:r>
          </w:p>
        </w:tc>
        <w:tc>
          <w:tcPr>
            <w:tcW w:w="913" w:type="dxa"/>
            <w:tcBorders>
              <w:top w:val="single" w:sz="6" w:space="0" w:color="auto"/>
              <w:left w:val="single" w:sz="6" w:space="0" w:color="auto"/>
              <w:bottom w:val="single" w:sz="6" w:space="0" w:color="auto"/>
              <w:right w:val="single" w:sz="6" w:space="0" w:color="auto"/>
            </w:tcBorders>
            <w:vAlign w:val="center"/>
          </w:tcPr>
          <w:p w14:paraId="0FF690C4" w14:textId="77777777" w:rsidR="00D12939" w:rsidRDefault="004F47F5">
            <w:pPr>
              <w:jc w:val="center"/>
              <w:rPr>
                <w:rFonts w:ascii="Times New Roman" w:eastAsia="宋体" w:hAnsi="Times New Roman" w:cs="Times New Roman"/>
                <w:iCs/>
                <w:szCs w:val="21"/>
              </w:rPr>
            </w:pPr>
            <w:r>
              <w:rPr>
                <w:rFonts w:ascii="Times New Roman" w:eastAsia="宋体" w:hAnsi="Times New Roman" w:cs="Times New Roman"/>
                <w:iCs/>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011C6980"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6.8</w:t>
            </w:r>
          </w:p>
        </w:tc>
        <w:tc>
          <w:tcPr>
            <w:tcW w:w="913" w:type="dxa"/>
            <w:tcBorders>
              <w:top w:val="single" w:sz="6" w:space="0" w:color="auto"/>
              <w:left w:val="single" w:sz="6" w:space="0" w:color="auto"/>
              <w:bottom w:val="single" w:sz="6" w:space="0" w:color="auto"/>
              <w:right w:val="single" w:sz="6" w:space="0" w:color="auto"/>
            </w:tcBorders>
            <w:vAlign w:val="center"/>
          </w:tcPr>
          <w:p w14:paraId="3A08131D"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62D2218A"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6.8</w:t>
            </w:r>
          </w:p>
        </w:tc>
        <w:tc>
          <w:tcPr>
            <w:tcW w:w="891" w:type="dxa"/>
            <w:tcBorders>
              <w:top w:val="single" w:sz="6" w:space="0" w:color="auto"/>
              <w:left w:val="single" w:sz="6" w:space="0" w:color="auto"/>
              <w:bottom w:val="single" w:sz="6" w:space="0" w:color="auto"/>
              <w:right w:val="single" w:sz="6" w:space="0" w:color="auto"/>
            </w:tcBorders>
            <w:vAlign w:val="center"/>
          </w:tcPr>
          <w:p w14:paraId="325DA6E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4DD93B8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21CE29D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6.5-8.5</w:t>
            </w:r>
          </w:p>
        </w:tc>
      </w:tr>
      <w:tr w:rsidR="00D12939" w14:paraId="1473E12F" w14:textId="77777777">
        <w:trPr>
          <w:trHeight w:val="323"/>
          <w:jc w:val="center"/>
        </w:trPr>
        <w:tc>
          <w:tcPr>
            <w:tcW w:w="1235" w:type="dxa"/>
            <w:vMerge/>
            <w:tcBorders>
              <w:left w:val="single" w:sz="12" w:space="0" w:color="auto"/>
              <w:right w:val="single" w:sz="6" w:space="0" w:color="auto"/>
            </w:tcBorders>
            <w:vAlign w:val="center"/>
          </w:tcPr>
          <w:p w14:paraId="0D6B2724"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62C95024"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K+</w:t>
            </w:r>
          </w:p>
        </w:tc>
        <w:tc>
          <w:tcPr>
            <w:tcW w:w="1230" w:type="dxa"/>
            <w:tcBorders>
              <w:top w:val="single" w:sz="6" w:space="0" w:color="auto"/>
              <w:left w:val="single" w:sz="6" w:space="0" w:color="auto"/>
              <w:bottom w:val="single" w:sz="6" w:space="0" w:color="auto"/>
              <w:right w:val="single" w:sz="6" w:space="0" w:color="auto"/>
            </w:tcBorders>
            <w:vAlign w:val="center"/>
          </w:tcPr>
          <w:p w14:paraId="60145A8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0.63</w:t>
            </w:r>
          </w:p>
        </w:tc>
        <w:tc>
          <w:tcPr>
            <w:tcW w:w="911" w:type="dxa"/>
            <w:tcBorders>
              <w:top w:val="single" w:sz="6" w:space="0" w:color="auto"/>
              <w:left w:val="single" w:sz="6" w:space="0" w:color="auto"/>
              <w:bottom w:val="single" w:sz="6" w:space="0" w:color="auto"/>
              <w:right w:val="single" w:sz="6" w:space="0" w:color="auto"/>
            </w:tcBorders>
            <w:vAlign w:val="center"/>
          </w:tcPr>
          <w:p w14:paraId="07E1EB00"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01011F71"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0.76</w:t>
            </w:r>
          </w:p>
        </w:tc>
        <w:tc>
          <w:tcPr>
            <w:tcW w:w="911" w:type="dxa"/>
            <w:tcBorders>
              <w:top w:val="single" w:sz="6" w:space="0" w:color="auto"/>
              <w:left w:val="single" w:sz="6" w:space="0" w:color="auto"/>
              <w:bottom w:val="single" w:sz="6" w:space="0" w:color="auto"/>
              <w:right w:val="single" w:sz="6" w:space="0" w:color="auto"/>
            </w:tcBorders>
            <w:vAlign w:val="center"/>
          </w:tcPr>
          <w:p w14:paraId="231FED9F"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lang w:bidi="ar"/>
              </w:rPr>
              <w:t>/</w:t>
            </w:r>
          </w:p>
        </w:tc>
        <w:tc>
          <w:tcPr>
            <w:tcW w:w="911" w:type="dxa"/>
            <w:tcBorders>
              <w:top w:val="single" w:sz="6" w:space="0" w:color="auto"/>
              <w:left w:val="single" w:sz="6" w:space="0" w:color="auto"/>
              <w:bottom w:val="single" w:sz="6" w:space="0" w:color="auto"/>
              <w:right w:val="single" w:sz="6" w:space="0" w:color="auto"/>
            </w:tcBorders>
            <w:vAlign w:val="center"/>
          </w:tcPr>
          <w:p w14:paraId="1AEBAFC0"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0.74</w:t>
            </w:r>
          </w:p>
        </w:tc>
        <w:tc>
          <w:tcPr>
            <w:tcW w:w="913" w:type="dxa"/>
            <w:tcBorders>
              <w:top w:val="single" w:sz="6" w:space="0" w:color="auto"/>
              <w:left w:val="single" w:sz="6" w:space="0" w:color="auto"/>
              <w:bottom w:val="single" w:sz="6" w:space="0" w:color="auto"/>
              <w:right w:val="single" w:sz="6" w:space="0" w:color="auto"/>
            </w:tcBorders>
            <w:vAlign w:val="center"/>
          </w:tcPr>
          <w:p w14:paraId="5EC22690"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lang w:bidi="ar"/>
              </w:rPr>
              <w:t>/</w:t>
            </w:r>
          </w:p>
        </w:tc>
        <w:tc>
          <w:tcPr>
            <w:tcW w:w="911" w:type="dxa"/>
            <w:tcBorders>
              <w:top w:val="single" w:sz="6" w:space="0" w:color="auto"/>
              <w:left w:val="single" w:sz="6" w:space="0" w:color="auto"/>
              <w:bottom w:val="single" w:sz="6" w:space="0" w:color="auto"/>
              <w:right w:val="single" w:sz="6" w:space="0" w:color="auto"/>
            </w:tcBorders>
            <w:vAlign w:val="center"/>
          </w:tcPr>
          <w:p w14:paraId="594E414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0.65</w:t>
            </w:r>
          </w:p>
        </w:tc>
        <w:tc>
          <w:tcPr>
            <w:tcW w:w="913" w:type="dxa"/>
            <w:tcBorders>
              <w:top w:val="single" w:sz="6" w:space="0" w:color="auto"/>
              <w:left w:val="single" w:sz="6" w:space="0" w:color="auto"/>
              <w:bottom w:val="single" w:sz="6" w:space="0" w:color="auto"/>
              <w:right w:val="single" w:sz="6" w:space="0" w:color="auto"/>
            </w:tcBorders>
            <w:vAlign w:val="center"/>
          </w:tcPr>
          <w:p w14:paraId="2A2B5CF2"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lang w:bidi="ar"/>
              </w:rPr>
              <w:t>/</w:t>
            </w:r>
          </w:p>
        </w:tc>
        <w:tc>
          <w:tcPr>
            <w:tcW w:w="915" w:type="dxa"/>
            <w:tcBorders>
              <w:top w:val="single" w:sz="6" w:space="0" w:color="auto"/>
              <w:left w:val="single" w:sz="6" w:space="0" w:color="auto"/>
              <w:bottom w:val="single" w:sz="6" w:space="0" w:color="auto"/>
              <w:right w:val="single" w:sz="6" w:space="0" w:color="auto"/>
            </w:tcBorders>
            <w:vAlign w:val="center"/>
          </w:tcPr>
          <w:p w14:paraId="5C997812"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0.56</w:t>
            </w:r>
          </w:p>
        </w:tc>
        <w:tc>
          <w:tcPr>
            <w:tcW w:w="891" w:type="dxa"/>
            <w:tcBorders>
              <w:top w:val="single" w:sz="6" w:space="0" w:color="auto"/>
              <w:left w:val="single" w:sz="6" w:space="0" w:color="auto"/>
              <w:bottom w:val="single" w:sz="6" w:space="0" w:color="auto"/>
              <w:right w:val="single" w:sz="6" w:space="0" w:color="auto"/>
            </w:tcBorders>
            <w:vAlign w:val="center"/>
          </w:tcPr>
          <w:p w14:paraId="06A0214F"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lang w:bidi="ar"/>
              </w:rPr>
              <w:t>/</w:t>
            </w:r>
          </w:p>
        </w:tc>
        <w:tc>
          <w:tcPr>
            <w:tcW w:w="891" w:type="dxa"/>
            <w:tcBorders>
              <w:top w:val="single" w:sz="6" w:space="0" w:color="auto"/>
              <w:left w:val="single" w:sz="6" w:space="0" w:color="auto"/>
              <w:bottom w:val="single" w:sz="6" w:space="0" w:color="auto"/>
              <w:right w:val="single" w:sz="6" w:space="0" w:color="auto"/>
            </w:tcBorders>
            <w:vAlign w:val="center"/>
          </w:tcPr>
          <w:p w14:paraId="482A943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2484C48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77E5787C" w14:textId="77777777">
        <w:trPr>
          <w:trHeight w:val="90"/>
          <w:jc w:val="center"/>
        </w:trPr>
        <w:tc>
          <w:tcPr>
            <w:tcW w:w="1235" w:type="dxa"/>
            <w:vMerge/>
            <w:tcBorders>
              <w:left w:val="single" w:sz="12" w:space="0" w:color="auto"/>
              <w:right w:val="single" w:sz="6" w:space="0" w:color="auto"/>
            </w:tcBorders>
            <w:vAlign w:val="center"/>
          </w:tcPr>
          <w:p w14:paraId="3C928AC3"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5CE227A4"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Na+</w:t>
            </w:r>
          </w:p>
        </w:tc>
        <w:tc>
          <w:tcPr>
            <w:tcW w:w="1230" w:type="dxa"/>
            <w:tcBorders>
              <w:top w:val="single" w:sz="6" w:space="0" w:color="auto"/>
              <w:left w:val="single" w:sz="6" w:space="0" w:color="auto"/>
              <w:bottom w:val="single" w:sz="6" w:space="0" w:color="auto"/>
              <w:right w:val="single" w:sz="6" w:space="0" w:color="auto"/>
            </w:tcBorders>
            <w:vAlign w:val="center"/>
          </w:tcPr>
          <w:p w14:paraId="6B179F62"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12.3</w:t>
            </w:r>
          </w:p>
        </w:tc>
        <w:tc>
          <w:tcPr>
            <w:tcW w:w="911" w:type="dxa"/>
            <w:tcBorders>
              <w:top w:val="single" w:sz="6" w:space="0" w:color="auto"/>
              <w:left w:val="single" w:sz="6" w:space="0" w:color="auto"/>
              <w:bottom w:val="single" w:sz="6" w:space="0" w:color="auto"/>
              <w:right w:val="single" w:sz="6" w:space="0" w:color="auto"/>
            </w:tcBorders>
            <w:vAlign w:val="center"/>
          </w:tcPr>
          <w:p w14:paraId="044A6685"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354BAFCB"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3.72</w:t>
            </w:r>
          </w:p>
        </w:tc>
        <w:tc>
          <w:tcPr>
            <w:tcW w:w="911" w:type="dxa"/>
            <w:tcBorders>
              <w:top w:val="single" w:sz="6" w:space="0" w:color="auto"/>
              <w:left w:val="single" w:sz="6" w:space="0" w:color="auto"/>
              <w:bottom w:val="single" w:sz="6" w:space="0" w:color="auto"/>
              <w:right w:val="single" w:sz="6" w:space="0" w:color="auto"/>
            </w:tcBorders>
            <w:vAlign w:val="center"/>
          </w:tcPr>
          <w:p w14:paraId="33A3D06B"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2E7F724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4.28</w:t>
            </w:r>
          </w:p>
        </w:tc>
        <w:tc>
          <w:tcPr>
            <w:tcW w:w="913" w:type="dxa"/>
            <w:tcBorders>
              <w:top w:val="single" w:sz="6" w:space="0" w:color="auto"/>
              <w:left w:val="single" w:sz="6" w:space="0" w:color="auto"/>
              <w:bottom w:val="single" w:sz="6" w:space="0" w:color="auto"/>
              <w:right w:val="single" w:sz="6" w:space="0" w:color="auto"/>
            </w:tcBorders>
            <w:vAlign w:val="center"/>
          </w:tcPr>
          <w:p w14:paraId="6A4F4290" w14:textId="77777777" w:rsidR="00D12939" w:rsidRDefault="004F47F5">
            <w:pPr>
              <w:jc w:val="center"/>
              <w:rPr>
                <w:rFonts w:ascii="Times New Roman" w:eastAsia="宋体" w:hAnsi="Times New Roman" w:cs="Times New Roman"/>
                <w:iCs/>
                <w:szCs w:val="21"/>
              </w:rPr>
            </w:pPr>
            <w:r>
              <w:rPr>
                <w:rFonts w:ascii="Times New Roman" w:eastAsia="宋体" w:hAnsi="Times New Roman" w:cs="Times New Roman"/>
                <w:iCs/>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7DB9806D"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2.62</w:t>
            </w:r>
          </w:p>
        </w:tc>
        <w:tc>
          <w:tcPr>
            <w:tcW w:w="913" w:type="dxa"/>
            <w:tcBorders>
              <w:top w:val="single" w:sz="6" w:space="0" w:color="auto"/>
              <w:left w:val="single" w:sz="6" w:space="0" w:color="auto"/>
              <w:bottom w:val="single" w:sz="6" w:space="0" w:color="auto"/>
              <w:right w:val="single" w:sz="6" w:space="0" w:color="auto"/>
            </w:tcBorders>
            <w:vAlign w:val="center"/>
          </w:tcPr>
          <w:p w14:paraId="5080C7F0"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77832337"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2.12</w:t>
            </w:r>
          </w:p>
        </w:tc>
        <w:tc>
          <w:tcPr>
            <w:tcW w:w="891" w:type="dxa"/>
            <w:tcBorders>
              <w:top w:val="single" w:sz="6" w:space="0" w:color="auto"/>
              <w:left w:val="single" w:sz="6" w:space="0" w:color="auto"/>
              <w:bottom w:val="single" w:sz="6" w:space="0" w:color="auto"/>
              <w:right w:val="single" w:sz="6" w:space="0" w:color="auto"/>
            </w:tcBorders>
            <w:vAlign w:val="center"/>
          </w:tcPr>
          <w:p w14:paraId="7CEAFDC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5E176F0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440B130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38ACA3AC" w14:textId="77777777">
        <w:trPr>
          <w:trHeight w:val="323"/>
          <w:jc w:val="center"/>
        </w:trPr>
        <w:tc>
          <w:tcPr>
            <w:tcW w:w="1235" w:type="dxa"/>
            <w:vMerge/>
            <w:tcBorders>
              <w:left w:val="single" w:sz="12" w:space="0" w:color="auto"/>
              <w:right w:val="single" w:sz="6" w:space="0" w:color="auto"/>
            </w:tcBorders>
            <w:vAlign w:val="center"/>
          </w:tcPr>
          <w:p w14:paraId="394C2CCD"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3A5F82C6"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Ca2+</w:t>
            </w:r>
          </w:p>
        </w:tc>
        <w:tc>
          <w:tcPr>
            <w:tcW w:w="1230" w:type="dxa"/>
            <w:tcBorders>
              <w:top w:val="single" w:sz="6" w:space="0" w:color="auto"/>
              <w:left w:val="single" w:sz="6" w:space="0" w:color="auto"/>
              <w:bottom w:val="single" w:sz="6" w:space="0" w:color="auto"/>
              <w:right w:val="single" w:sz="6" w:space="0" w:color="auto"/>
            </w:tcBorders>
            <w:vAlign w:val="center"/>
          </w:tcPr>
          <w:p w14:paraId="7D28B8A6"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62.6</w:t>
            </w:r>
          </w:p>
        </w:tc>
        <w:tc>
          <w:tcPr>
            <w:tcW w:w="911" w:type="dxa"/>
            <w:tcBorders>
              <w:top w:val="single" w:sz="6" w:space="0" w:color="auto"/>
              <w:left w:val="single" w:sz="6" w:space="0" w:color="auto"/>
              <w:bottom w:val="single" w:sz="6" w:space="0" w:color="auto"/>
              <w:right w:val="single" w:sz="6" w:space="0" w:color="auto"/>
            </w:tcBorders>
            <w:vAlign w:val="center"/>
          </w:tcPr>
          <w:p w14:paraId="1E40A687"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3141440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42.0</w:t>
            </w:r>
          </w:p>
        </w:tc>
        <w:tc>
          <w:tcPr>
            <w:tcW w:w="911" w:type="dxa"/>
            <w:tcBorders>
              <w:top w:val="single" w:sz="6" w:space="0" w:color="auto"/>
              <w:left w:val="single" w:sz="6" w:space="0" w:color="auto"/>
              <w:bottom w:val="single" w:sz="6" w:space="0" w:color="auto"/>
              <w:right w:val="single" w:sz="6" w:space="0" w:color="auto"/>
            </w:tcBorders>
            <w:vAlign w:val="center"/>
          </w:tcPr>
          <w:p w14:paraId="2FDAFF0F"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7F779F5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33.2</w:t>
            </w:r>
          </w:p>
        </w:tc>
        <w:tc>
          <w:tcPr>
            <w:tcW w:w="913" w:type="dxa"/>
            <w:tcBorders>
              <w:top w:val="single" w:sz="6" w:space="0" w:color="auto"/>
              <w:left w:val="single" w:sz="6" w:space="0" w:color="auto"/>
              <w:bottom w:val="single" w:sz="6" w:space="0" w:color="auto"/>
              <w:right w:val="single" w:sz="6" w:space="0" w:color="auto"/>
            </w:tcBorders>
            <w:vAlign w:val="center"/>
          </w:tcPr>
          <w:p w14:paraId="2B29A67A" w14:textId="77777777" w:rsidR="00D12939" w:rsidRDefault="004F47F5">
            <w:pPr>
              <w:jc w:val="center"/>
              <w:rPr>
                <w:rFonts w:ascii="Times New Roman" w:eastAsia="宋体" w:hAnsi="Times New Roman" w:cs="Times New Roman"/>
                <w:iCs/>
                <w:szCs w:val="21"/>
              </w:rPr>
            </w:pPr>
            <w:r>
              <w:rPr>
                <w:rFonts w:ascii="Times New Roman" w:eastAsia="宋体" w:hAnsi="Times New Roman" w:cs="Times New Roman"/>
                <w:iCs/>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77E45B2D"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46.2</w:t>
            </w:r>
          </w:p>
        </w:tc>
        <w:tc>
          <w:tcPr>
            <w:tcW w:w="913" w:type="dxa"/>
            <w:tcBorders>
              <w:top w:val="single" w:sz="6" w:space="0" w:color="auto"/>
              <w:left w:val="single" w:sz="6" w:space="0" w:color="auto"/>
              <w:bottom w:val="single" w:sz="6" w:space="0" w:color="auto"/>
              <w:right w:val="single" w:sz="6" w:space="0" w:color="auto"/>
            </w:tcBorders>
            <w:vAlign w:val="center"/>
          </w:tcPr>
          <w:p w14:paraId="0E8ACAC8"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7D9210D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47.8</w:t>
            </w:r>
          </w:p>
        </w:tc>
        <w:tc>
          <w:tcPr>
            <w:tcW w:w="891" w:type="dxa"/>
            <w:tcBorders>
              <w:top w:val="single" w:sz="6" w:space="0" w:color="auto"/>
              <w:left w:val="single" w:sz="6" w:space="0" w:color="auto"/>
              <w:bottom w:val="single" w:sz="6" w:space="0" w:color="auto"/>
              <w:right w:val="single" w:sz="6" w:space="0" w:color="auto"/>
            </w:tcBorders>
            <w:vAlign w:val="center"/>
          </w:tcPr>
          <w:p w14:paraId="679C7B5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7935A3C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19D9194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47A4ADCD" w14:textId="77777777">
        <w:trPr>
          <w:trHeight w:val="323"/>
          <w:jc w:val="center"/>
        </w:trPr>
        <w:tc>
          <w:tcPr>
            <w:tcW w:w="1235" w:type="dxa"/>
            <w:vMerge/>
            <w:tcBorders>
              <w:left w:val="single" w:sz="12" w:space="0" w:color="auto"/>
              <w:right w:val="single" w:sz="6" w:space="0" w:color="auto"/>
            </w:tcBorders>
            <w:vAlign w:val="center"/>
          </w:tcPr>
          <w:p w14:paraId="520FCB42"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42F591A5"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Mg2+</w:t>
            </w:r>
          </w:p>
        </w:tc>
        <w:tc>
          <w:tcPr>
            <w:tcW w:w="1230" w:type="dxa"/>
            <w:tcBorders>
              <w:top w:val="single" w:sz="6" w:space="0" w:color="auto"/>
              <w:left w:val="single" w:sz="6" w:space="0" w:color="auto"/>
              <w:bottom w:val="single" w:sz="6" w:space="0" w:color="auto"/>
              <w:right w:val="single" w:sz="6" w:space="0" w:color="auto"/>
            </w:tcBorders>
            <w:vAlign w:val="center"/>
          </w:tcPr>
          <w:p w14:paraId="61E14BA5"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2.78</w:t>
            </w:r>
          </w:p>
        </w:tc>
        <w:tc>
          <w:tcPr>
            <w:tcW w:w="911" w:type="dxa"/>
            <w:tcBorders>
              <w:top w:val="single" w:sz="6" w:space="0" w:color="auto"/>
              <w:left w:val="single" w:sz="6" w:space="0" w:color="auto"/>
              <w:bottom w:val="single" w:sz="6" w:space="0" w:color="auto"/>
              <w:right w:val="single" w:sz="6" w:space="0" w:color="auto"/>
            </w:tcBorders>
            <w:vAlign w:val="center"/>
          </w:tcPr>
          <w:p w14:paraId="1B1FD794"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2F9E0C0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1.07</w:t>
            </w:r>
          </w:p>
        </w:tc>
        <w:tc>
          <w:tcPr>
            <w:tcW w:w="911" w:type="dxa"/>
            <w:tcBorders>
              <w:top w:val="single" w:sz="6" w:space="0" w:color="auto"/>
              <w:left w:val="single" w:sz="6" w:space="0" w:color="auto"/>
              <w:bottom w:val="single" w:sz="6" w:space="0" w:color="auto"/>
              <w:right w:val="single" w:sz="6" w:space="0" w:color="auto"/>
            </w:tcBorders>
            <w:vAlign w:val="center"/>
          </w:tcPr>
          <w:p w14:paraId="5D412CE8"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2864A67C"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1.28</w:t>
            </w:r>
          </w:p>
        </w:tc>
        <w:tc>
          <w:tcPr>
            <w:tcW w:w="913" w:type="dxa"/>
            <w:tcBorders>
              <w:top w:val="single" w:sz="6" w:space="0" w:color="auto"/>
              <w:left w:val="single" w:sz="6" w:space="0" w:color="auto"/>
              <w:bottom w:val="single" w:sz="6" w:space="0" w:color="auto"/>
              <w:right w:val="single" w:sz="6" w:space="0" w:color="auto"/>
            </w:tcBorders>
            <w:vAlign w:val="center"/>
          </w:tcPr>
          <w:p w14:paraId="3853B39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7E1DB22B"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1.50</w:t>
            </w:r>
          </w:p>
        </w:tc>
        <w:tc>
          <w:tcPr>
            <w:tcW w:w="913" w:type="dxa"/>
            <w:tcBorders>
              <w:top w:val="single" w:sz="6" w:space="0" w:color="auto"/>
              <w:left w:val="single" w:sz="6" w:space="0" w:color="auto"/>
              <w:bottom w:val="single" w:sz="6" w:space="0" w:color="auto"/>
              <w:right w:val="single" w:sz="6" w:space="0" w:color="auto"/>
            </w:tcBorders>
            <w:vAlign w:val="center"/>
          </w:tcPr>
          <w:p w14:paraId="544927A9"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15836AF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1.31</w:t>
            </w:r>
          </w:p>
        </w:tc>
        <w:tc>
          <w:tcPr>
            <w:tcW w:w="891" w:type="dxa"/>
            <w:tcBorders>
              <w:top w:val="single" w:sz="6" w:space="0" w:color="auto"/>
              <w:left w:val="single" w:sz="6" w:space="0" w:color="auto"/>
              <w:bottom w:val="single" w:sz="6" w:space="0" w:color="auto"/>
              <w:right w:val="single" w:sz="6" w:space="0" w:color="auto"/>
            </w:tcBorders>
            <w:vAlign w:val="center"/>
          </w:tcPr>
          <w:p w14:paraId="6DAB672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63A088A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20A7278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4EFA7072" w14:textId="77777777">
        <w:trPr>
          <w:trHeight w:val="323"/>
          <w:jc w:val="center"/>
        </w:trPr>
        <w:tc>
          <w:tcPr>
            <w:tcW w:w="1235" w:type="dxa"/>
            <w:vMerge/>
            <w:tcBorders>
              <w:left w:val="single" w:sz="12" w:space="0" w:color="auto"/>
              <w:right w:val="single" w:sz="6" w:space="0" w:color="auto"/>
            </w:tcBorders>
            <w:vAlign w:val="center"/>
          </w:tcPr>
          <w:p w14:paraId="13AC750E"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5A135CEC"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碳酸根</w:t>
            </w:r>
          </w:p>
        </w:tc>
        <w:tc>
          <w:tcPr>
            <w:tcW w:w="1230" w:type="dxa"/>
            <w:tcBorders>
              <w:top w:val="single" w:sz="6" w:space="0" w:color="auto"/>
              <w:left w:val="single" w:sz="6" w:space="0" w:color="auto"/>
              <w:bottom w:val="single" w:sz="6" w:space="0" w:color="auto"/>
              <w:right w:val="single" w:sz="6" w:space="0" w:color="auto"/>
            </w:tcBorders>
            <w:vAlign w:val="center"/>
          </w:tcPr>
          <w:p w14:paraId="33E0A479"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1.25ND</w:t>
            </w:r>
          </w:p>
        </w:tc>
        <w:tc>
          <w:tcPr>
            <w:tcW w:w="911" w:type="dxa"/>
            <w:tcBorders>
              <w:top w:val="single" w:sz="6" w:space="0" w:color="auto"/>
              <w:left w:val="single" w:sz="6" w:space="0" w:color="auto"/>
              <w:bottom w:val="single" w:sz="6" w:space="0" w:color="auto"/>
              <w:right w:val="single" w:sz="6" w:space="0" w:color="auto"/>
            </w:tcBorders>
            <w:vAlign w:val="center"/>
          </w:tcPr>
          <w:p w14:paraId="4C128E86"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7EF278FA"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1.25ND</w:t>
            </w:r>
          </w:p>
        </w:tc>
        <w:tc>
          <w:tcPr>
            <w:tcW w:w="911" w:type="dxa"/>
            <w:tcBorders>
              <w:top w:val="single" w:sz="6" w:space="0" w:color="auto"/>
              <w:left w:val="single" w:sz="6" w:space="0" w:color="auto"/>
              <w:bottom w:val="single" w:sz="6" w:space="0" w:color="auto"/>
              <w:right w:val="single" w:sz="6" w:space="0" w:color="auto"/>
            </w:tcBorders>
            <w:vAlign w:val="center"/>
          </w:tcPr>
          <w:p w14:paraId="371807E8"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2FF4172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1.25ND</w:t>
            </w:r>
          </w:p>
        </w:tc>
        <w:tc>
          <w:tcPr>
            <w:tcW w:w="913" w:type="dxa"/>
            <w:tcBorders>
              <w:top w:val="single" w:sz="6" w:space="0" w:color="auto"/>
              <w:left w:val="single" w:sz="6" w:space="0" w:color="auto"/>
              <w:bottom w:val="single" w:sz="6" w:space="0" w:color="auto"/>
              <w:right w:val="single" w:sz="6" w:space="0" w:color="auto"/>
            </w:tcBorders>
            <w:vAlign w:val="center"/>
          </w:tcPr>
          <w:p w14:paraId="42287AF9" w14:textId="77777777" w:rsidR="00D12939" w:rsidRDefault="004F47F5">
            <w:pPr>
              <w:jc w:val="center"/>
              <w:rPr>
                <w:rFonts w:ascii="Times New Roman" w:eastAsia="宋体" w:hAnsi="Times New Roman" w:cs="Times New Roman"/>
                <w:iCs/>
                <w:szCs w:val="21"/>
              </w:rPr>
            </w:pPr>
            <w:r>
              <w:rPr>
                <w:rFonts w:ascii="Times New Roman" w:eastAsia="宋体" w:hAnsi="Times New Roman" w:cs="Times New Roman"/>
                <w:iCs/>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26027375"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1.25ND</w:t>
            </w:r>
          </w:p>
        </w:tc>
        <w:tc>
          <w:tcPr>
            <w:tcW w:w="913" w:type="dxa"/>
            <w:tcBorders>
              <w:top w:val="single" w:sz="6" w:space="0" w:color="auto"/>
              <w:left w:val="single" w:sz="6" w:space="0" w:color="auto"/>
              <w:bottom w:val="single" w:sz="6" w:space="0" w:color="auto"/>
              <w:right w:val="single" w:sz="6" w:space="0" w:color="auto"/>
            </w:tcBorders>
            <w:vAlign w:val="center"/>
          </w:tcPr>
          <w:p w14:paraId="4714108B"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67CB7172"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1.25ND</w:t>
            </w:r>
          </w:p>
        </w:tc>
        <w:tc>
          <w:tcPr>
            <w:tcW w:w="891" w:type="dxa"/>
            <w:tcBorders>
              <w:top w:val="single" w:sz="6" w:space="0" w:color="auto"/>
              <w:left w:val="single" w:sz="6" w:space="0" w:color="auto"/>
              <w:bottom w:val="single" w:sz="6" w:space="0" w:color="auto"/>
              <w:right w:val="single" w:sz="6" w:space="0" w:color="auto"/>
            </w:tcBorders>
            <w:vAlign w:val="center"/>
          </w:tcPr>
          <w:p w14:paraId="02CC112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69BB173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4976006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7ABA3968" w14:textId="77777777">
        <w:trPr>
          <w:trHeight w:val="323"/>
          <w:jc w:val="center"/>
        </w:trPr>
        <w:tc>
          <w:tcPr>
            <w:tcW w:w="1235" w:type="dxa"/>
            <w:vMerge/>
            <w:tcBorders>
              <w:left w:val="single" w:sz="12" w:space="0" w:color="auto"/>
              <w:right w:val="single" w:sz="6" w:space="0" w:color="auto"/>
            </w:tcBorders>
            <w:vAlign w:val="center"/>
          </w:tcPr>
          <w:p w14:paraId="78B89702"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5C862082"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重碳酸根</w:t>
            </w:r>
          </w:p>
        </w:tc>
        <w:tc>
          <w:tcPr>
            <w:tcW w:w="1230" w:type="dxa"/>
            <w:tcBorders>
              <w:top w:val="single" w:sz="6" w:space="0" w:color="auto"/>
              <w:left w:val="single" w:sz="6" w:space="0" w:color="auto"/>
              <w:bottom w:val="single" w:sz="6" w:space="0" w:color="auto"/>
              <w:right w:val="single" w:sz="6" w:space="0" w:color="auto"/>
            </w:tcBorders>
            <w:vAlign w:val="center"/>
          </w:tcPr>
          <w:p w14:paraId="209A13F0"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185</w:t>
            </w:r>
          </w:p>
        </w:tc>
        <w:tc>
          <w:tcPr>
            <w:tcW w:w="911" w:type="dxa"/>
            <w:tcBorders>
              <w:top w:val="single" w:sz="6" w:space="0" w:color="auto"/>
              <w:left w:val="single" w:sz="6" w:space="0" w:color="auto"/>
              <w:bottom w:val="single" w:sz="6" w:space="0" w:color="auto"/>
              <w:right w:val="single" w:sz="6" w:space="0" w:color="auto"/>
            </w:tcBorders>
            <w:vAlign w:val="center"/>
          </w:tcPr>
          <w:p w14:paraId="51FBA991"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hint="eastAsia"/>
                <w:szCs w:val="21"/>
                <w:lang w:bidi="ar"/>
              </w:rPr>
              <w:t>/</w:t>
            </w:r>
          </w:p>
        </w:tc>
        <w:tc>
          <w:tcPr>
            <w:tcW w:w="911" w:type="dxa"/>
            <w:tcBorders>
              <w:top w:val="single" w:sz="6" w:space="0" w:color="auto"/>
              <w:left w:val="single" w:sz="6" w:space="0" w:color="auto"/>
              <w:bottom w:val="single" w:sz="6" w:space="0" w:color="auto"/>
              <w:right w:val="single" w:sz="6" w:space="0" w:color="auto"/>
            </w:tcBorders>
            <w:vAlign w:val="center"/>
          </w:tcPr>
          <w:p w14:paraId="3EA4EF2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114</w:t>
            </w:r>
          </w:p>
        </w:tc>
        <w:tc>
          <w:tcPr>
            <w:tcW w:w="911" w:type="dxa"/>
            <w:tcBorders>
              <w:top w:val="single" w:sz="6" w:space="0" w:color="auto"/>
              <w:left w:val="single" w:sz="6" w:space="0" w:color="auto"/>
              <w:bottom w:val="single" w:sz="6" w:space="0" w:color="auto"/>
              <w:right w:val="single" w:sz="6" w:space="0" w:color="auto"/>
            </w:tcBorders>
            <w:vAlign w:val="center"/>
          </w:tcPr>
          <w:p w14:paraId="58786079"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hint="eastAsia"/>
                <w:szCs w:val="21"/>
                <w:lang w:bidi="ar"/>
              </w:rPr>
              <w:t>/</w:t>
            </w:r>
          </w:p>
        </w:tc>
        <w:tc>
          <w:tcPr>
            <w:tcW w:w="911" w:type="dxa"/>
            <w:tcBorders>
              <w:top w:val="single" w:sz="6" w:space="0" w:color="auto"/>
              <w:left w:val="single" w:sz="6" w:space="0" w:color="auto"/>
              <w:bottom w:val="single" w:sz="6" w:space="0" w:color="auto"/>
              <w:right w:val="single" w:sz="6" w:space="0" w:color="auto"/>
            </w:tcBorders>
            <w:vAlign w:val="center"/>
          </w:tcPr>
          <w:p w14:paraId="1D19D49B"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97</w:t>
            </w:r>
          </w:p>
        </w:tc>
        <w:tc>
          <w:tcPr>
            <w:tcW w:w="913" w:type="dxa"/>
            <w:tcBorders>
              <w:top w:val="single" w:sz="6" w:space="0" w:color="auto"/>
              <w:left w:val="single" w:sz="6" w:space="0" w:color="auto"/>
              <w:bottom w:val="single" w:sz="6" w:space="0" w:color="auto"/>
              <w:right w:val="single" w:sz="6" w:space="0" w:color="auto"/>
            </w:tcBorders>
            <w:vAlign w:val="center"/>
          </w:tcPr>
          <w:p w14:paraId="02FDFF33"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hint="eastAsia"/>
                <w:szCs w:val="21"/>
                <w:lang w:bidi="ar"/>
              </w:rPr>
              <w:t>/</w:t>
            </w:r>
          </w:p>
        </w:tc>
        <w:tc>
          <w:tcPr>
            <w:tcW w:w="911" w:type="dxa"/>
            <w:tcBorders>
              <w:top w:val="single" w:sz="6" w:space="0" w:color="auto"/>
              <w:left w:val="single" w:sz="6" w:space="0" w:color="auto"/>
              <w:bottom w:val="single" w:sz="6" w:space="0" w:color="auto"/>
              <w:right w:val="single" w:sz="6" w:space="0" w:color="auto"/>
            </w:tcBorders>
            <w:vAlign w:val="center"/>
          </w:tcPr>
          <w:p w14:paraId="6534068A"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124</w:t>
            </w:r>
          </w:p>
        </w:tc>
        <w:tc>
          <w:tcPr>
            <w:tcW w:w="913" w:type="dxa"/>
            <w:tcBorders>
              <w:top w:val="single" w:sz="6" w:space="0" w:color="auto"/>
              <w:left w:val="single" w:sz="6" w:space="0" w:color="auto"/>
              <w:bottom w:val="single" w:sz="6" w:space="0" w:color="auto"/>
              <w:right w:val="single" w:sz="6" w:space="0" w:color="auto"/>
            </w:tcBorders>
            <w:vAlign w:val="center"/>
          </w:tcPr>
          <w:p w14:paraId="17EBD320"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hint="eastAsia"/>
                <w:szCs w:val="21"/>
                <w:lang w:bidi="ar"/>
              </w:rPr>
              <w:t>/</w:t>
            </w:r>
          </w:p>
        </w:tc>
        <w:tc>
          <w:tcPr>
            <w:tcW w:w="915" w:type="dxa"/>
            <w:tcBorders>
              <w:top w:val="single" w:sz="6" w:space="0" w:color="auto"/>
              <w:left w:val="single" w:sz="6" w:space="0" w:color="auto"/>
              <w:bottom w:val="single" w:sz="6" w:space="0" w:color="auto"/>
              <w:right w:val="single" w:sz="6" w:space="0" w:color="auto"/>
            </w:tcBorders>
            <w:vAlign w:val="center"/>
          </w:tcPr>
          <w:p w14:paraId="4D0F27D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129</w:t>
            </w:r>
          </w:p>
        </w:tc>
        <w:tc>
          <w:tcPr>
            <w:tcW w:w="891" w:type="dxa"/>
            <w:tcBorders>
              <w:top w:val="single" w:sz="6" w:space="0" w:color="auto"/>
              <w:left w:val="single" w:sz="6" w:space="0" w:color="auto"/>
              <w:bottom w:val="single" w:sz="6" w:space="0" w:color="auto"/>
              <w:right w:val="single" w:sz="6" w:space="0" w:color="auto"/>
            </w:tcBorders>
            <w:vAlign w:val="center"/>
          </w:tcPr>
          <w:p w14:paraId="5977A224"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hint="eastAsia"/>
                <w:szCs w:val="21"/>
                <w:lang w:bidi="ar"/>
              </w:rPr>
              <w:t>/</w:t>
            </w:r>
          </w:p>
        </w:tc>
        <w:tc>
          <w:tcPr>
            <w:tcW w:w="891" w:type="dxa"/>
            <w:tcBorders>
              <w:top w:val="single" w:sz="6" w:space="0" w:color="auto"/>
              <w:left w:val="single" w:sz="6" w:space="0" w:color="auto"/>
              <w:bottom w:val="single" w:sz="6" w:space="0" w:color="auto"/>
              <w:right w:val="single" w:sz="6" w:space="0" w:color="auto"/>
            </w:tcBorders>
            <w:vAlign w:val="center"/>
          </w:tcPr>
          <w:p w14:paraId="5D942CC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18867EC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r>
      <w:tr w:rsidR="00D12939" w14:paraId="14F46B5B" w14:textId="77777777">
        <w:trPr>
          <w:trHeight w:val="323"/>
          <w:jc w:val="center"/>
        </w:trPr>
        <w:tc>
          <w:tcPr>
            <w:tcW w:w="1235" w:type="dxa"/>
            <w:vMerge/>
            <w:tcBorders>
              <w:left w:val="single" w:sz="12" w:space="0" w:color="auto"/>
              <w:right w:val="single" w:sz="6" w:space="0" w:color="auto"/>
            </w:tcBorders>
            <w:vAlign w:val="center"/>
          </w:tcPr>
          <w:p w14:paraId="553955EC"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13A2246A"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总硬度（以</w:t>
            </w:r>
            <w:r>
              <w:rPr>
                <w:rFonts w:ascii="Times New Roman" w:hAnsi="Times New Roman"/>
                <w:kern w:val="2"/>
                <w:sz w:val="21"/>
                <w:szCs w:val="21"/>
                <w:lang w:eastAsia="zh-CN"/>
              </w:rPr>
              <w:t xml:space="preserve"> CaCO3 </w:t>
            </w:r>
            <w:r>
              <w:rPr>
                <w:rFonts w:ascii="Times New Roman" w:hAnsi="Times New Roman"/>
                <w:kern w:val="2"/>
                <w:sz w:val="21"/>
                <w:szCs w:val="21"/>
                <w:lang w:eastAsia="zh-CN"/>
              </w:rPr>
              <w:t>计）</w:t>
            </w:r>
          </w:p>
        </w:tc>
        <w:tc>
          <w:tcPr>
            <w:tcW w:w="1230" w:type="dxa"/>
            <w:tcBorders>
              <w:top w:val="single" w:sz="6" w:space="0" w:color="auto"/>
              <w:left w:val="single" w:sz="6" w:space="0" w:color="auto"/>
              <w:bottom w:val="single" w:sz="6" w:space="0" w:color="auto"/>
              <w:right w:val="single" w:sz="6" w:space="0" w:color="auto"/>
            </w:tcBorders>
            <w:vAlign w:val="center"/>
          </w:tcPr>
          <w:p w14:paraId="4E5BBCA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170</w:t>
            </w:r>
          </w:p>
        </w:tc>
        <w:tc>
          <w:tcPr>
            <w:tcW w:w="911" w:type="dxa"/>
            <w:tcBorders>
              <w:top w:val="single" w:sz="6" w:space="0" w:color="auto"/>
              <w:left w:val="single" w:sz="6" w:space="0" w:color="auto"/>
              <w:bottom w:val="single" w:sz="6" w:space="0" w:color="auto"/>
              <w:right w:val="single" w:sz="6" w:space="0" w:color="auto"/>
            </w:tcBorders>
            <w:vAlign w:val="center"/>
          </w:tcPr>
          <w:p w14:paraId="3060BA05"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0.37</w:t>
            </w:r>
          </w:p>
        </w:tc>
        <w:tc>
          <w:tcPr>
            <w:tcW w:w="911" w:type="dxa"/>
            <w:tcBorders>
              <w:top w:val="single" w:sz="6" w:space="0" w:color="auto"/>
              <w:left w:val="single" w:sz="6" w:space="0" w:color="auto"/>
              <w:bottom w:val="single" w:sz="6" w:space="0" w:color="auto"/>
              <w:right w:val="single" w:sz="6" w:space="0" w:color="auto"/>
            </w:tcBorders>
            <w:vAlign w:val="center"/>
          </w:tcPr>
          <w:p w14:paraId="09CD0E8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111</w:t>
            </w:r>
          </w:p>
        </w:tc>
        <w:tc>
          <w:tcPr>
            <w:tcW w:w="911" w:type="dxa"/>
            <w:tcBorders>
              <w:top w:val="single" w:sz="6" w:space="0" w:color="auto"/>
              <w:left w:val="single" w:sz="6" w:space="0" w:color="auto"/>
              <w:bottom w:val="single" w:sz="6" w:space="0" w:color="auto"/>
              <w:right w:val="single" w:sz="6" w:space="0" w:color="auto"/>
            </w:tcBorders>
            <w:vAlign w:val="center"/>
          </w:tcPr>
          <w:p w14:paraId="1AB27003"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0.246</w:t>
            </w:r>
          </w:p>
        </w:tc>
        <w:tc>
          <w:tcPr>
            <w:tcW w:w="911" w:type="dxa"/>
            <w:tcBorders>
              <w:top w:val="single" w:sz="6" w:space="0" w:color="auto"/>
              <w:left w:val="single" w:sz="6" w:space="0" w:color="auto"/>
              <w:bottom w:val="single" w:sz="6" w:space="0" w:color="auto"/>
              <w:right w:val="single" w:sz="6" w:space="0" w:color="auto"/>
            </w:tcBorders>
            <w:vAlign w:val="center"/>
          </w:tcPr>
          <w:p w14:paraId="4A7FF450"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90</w:t>
            </w:r>
          </w:p>
        </w:tc>
        <w:tc>
          <w:tcPr>
            <w:tcW w:w="913" w:type="dxa"/>
            <w:tcBorders>
              <w:top w:val="single" w:sz="6" w:space="0" w:color="auto"/>
              <w:left w:val="single" w:sz="6" w:space="0" w:color="auto"/>
              <w:bottom w:val="single" w:sz="6" w:space="0" w:color="auto"/>
              <w:right w:val="single" w:sz="6" w:space="0" w:color="auto"/>
            </w:tcBorders>
            <w:vAlign w:val="center"/>
          </w:tcPr>
          <w:p w14:paraId="29CC7702"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w:t>
            </w:r>
          </w:p>
        </w:tc>
        <w:tc>
          <w:tcPr>
            <w:tcW w:w="911" w:type="dxa"/>
            <w:tcBorders>
              <w:top w:val="single" w:sz="6" w:space="0" w:color="auto"/>
              <w:left w:val="single" w:sz="6" w:space="0" w:color="auto"/>
              <w:bottom w:val="single" w:sz="6" w:space="0" w:color="auto"/>
              <w:right w:val="single" w:sz="6" w:space="0" w:color="auto"/>
            </w:tcBorders>
            <w:vAlign w:val="center"/>
          </w:tcPr>
          <w:p w14:paraId="23FE4851"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124</w:t>
            </w:r>
          </w:p>
        </w:tc>
        <w:tc>
          <w:tcPr>
            <w:tcW w:w="913" w:type="dxa"/>
            <w:tcBorders>
              <w:top w:val="single" w:sz="6" w:space="0" w:color="auto"/>
              <w:left w:val="single" w:sz="6" w:space="0" w:color="auto"/>
              <w:bottom w:val="single" w:sz="6" w:space="0" w:color="auto"/>
              <w:right w:val="single" w:sz="6" w:space="0" w:color="auto"/>
            </w:tcBorders>
            <w:vAlign w:val="center"/>
          </w:tcPr>
          <w:p w14:paraId="6D2914EE"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lang w:bidi="ar"/>
              </w:rPr>
              <w:t>0.352</w:t>
            </w:r>
          </w:p>
        </w:tc>
        <w:tc>
          <w:tcPr>
            <w:tcW w:w="915" w:type="dxa"/>
            <w:tcBorders>
              <w:top w:val="single" w:sz="6" w:space="0" w:color="auto"/>
              <w:left w:val="single" w:sz="6" w:space="0" w:color="auto"/>
              <w:bottom w:val="single" w:sz="6" w:space="0" w:color="auto"/>
              <w:right w:val="single" w:sz="6" w:space="0" w:color="auto"/>
            </w:tcBorders>
            <w:vAlign w:val="center"/>
          </w:tcPr>
          <w:p w14:paraId="5C14CF91"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127</w:t>
            </w:r>
          </w:p>
        </w:tc>
        <w:tc>
          <w:tcPr>
            <w:tcW w:w="891" w:type="dxa"/>
            <w:tcBorders>
              <w:top w:val="single" w:sz="6" w:space="0" w:color="auto"/>
              <w:left w:val="single" w:sz="6" w:space="0" w:color="auto"/>
              <w:bottom w:val="single" w:sz="6" w:space="0" w:color="auto"/>
              <w:right w:val="single" w:sz="6" w:space="0" w:color="auto"/>
            </w:tcBorders>
            <w:vAlign w:val="center"/>
          </w:tcPr>
          <w:p w14:paraId="256BD71A"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0.282</w:t>
            </w:r>
          </w:p>
        </w:tc>
        <w:tc>
          <w:tcPr>
            <w:tcW w:w="891" w:type="dxa"/>
            <w:tcBorders>
              <w:top w:val="single" w:sz="6" w:space="0" w:color="auto"/>
              <w:left w:val="single" w:sz="6" w:space="0" w:color="auto"/>
              <w:bottom w:val="single" w:sz="6" w:space="0" w:color="auto"/>
              <w:right w:val="single" w:sz="6" w:space="0" w:color="auto"/>
            </w:tcBorders>
            <w:vAlign w:val="center"/>
          </w:tcPr>
          <w:p w14:paraId="3527C9B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5272B0C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450</w:t>
            </w:r>
          </w:p>
        </w:tc>
      </w:tr>
      <w:tr w:rsidR="00D12939" w14:paraId="39BC0CD6" w14:textId="77777777">
        <w:trPr>
          <w:trHeight w:val="323"/>
          <w:jc w:val="center"/>
        </w:trPr>
        <w:tc>
          <w:tcPr>
            <w:tcW w:w="1235" w:type="dxa"/>
            <w:vMerge/>
            <w:tcBorders>
              <w:left w:val="single" w:sz="12" w:space="0" w:color="auto"/>
              <w:right w:val="single" w:sz="6" w:space="0" w:color="auto"/>
            </w:tcBorders>
            <w:vAlign w:val="center"/>
          </w:tcPr>
          <w:p w14:paraId="7FC74A36"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1B76F6C0"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溶解性总固体</w:t>
            </w:r>
          </w:p>
        </w:tc>
        <w:tc>
          <w:tcPr>
            <w:tcW w:w="1230" w:type="dxa"/>
            <w:tcBorders>
              <w:top w:val="single" w:sz="6" w:space="0" w:color="auto"/>
              <w:left w:val="single" w:sz="6" w:space="0" w:color="auto"/>
              <w:bottom w:val="single" w:sz="6" w:space="0" w:color="auto"/>
              <w:right w:val="single" w:sz="6" w:space="0" w:color="auto"/>
            </w:tcBorders>
            <w:vAlign w:val="center"/>
          </w:tcPr>
          <w:p w14:paraId="3DE4E46A"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225</w:t>
            </w:r>
          </w:p>
        </w:tc>
        <w:tc>
          <w:tcPr>
            <w:tcW w:w="911" w:type="dxa"/>
            <w:tcBorders>
              <w:top w:val="single" w:sz="6" w:space="0" w:color="auto"/>
              <w:left w:val="single" w:sz="6" w:space="0" w:color="auto"/>
              <w:bottom w:val="single" w:sz="6" w:space="0" w:color="auto"/>
              <w:right w:val="single" w:sz="6" w:space="0" w:color="auto"/>
            </w:tcBorders>
            <w:vAlign w:val="center"/>
          </w:tcPr>
          <w:p w14:paraId="111B86FC"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0.22</w:t>
            </w:r>
          </w:p>
        </w:tc>
        <w:tc>
          <w:tcPr>
            <w:tcW w:w="911" w:type="dxa"/>
            <w:tcBorders>
              <w:top w:val="single" w:sz="6" w:space="0" w:color="auto"/>
              <w:left w:val="single" w:sz="6" w:space="0" w:color="auto"/>
              <w:bottom w:val="single" w:sz="6" w:space="0" w:color="auto"/>
              <w:right w:val="single" w:sz="6" w:space="0" w:color="auto"/>
            </w:tcBorders>
            <w:vAlign w:val="center"/>
          </w:tcPr>
          <w:p w14:paraId="6816282B"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132</w:t>
            </w:r>
          </w:p>
        </w:tc>
        <w:tc>
          <w:tcPr>
            <w:tcW w:w="911" w:type="dxa"/>
            <w:tcBorders>
              <w:top w:val="single" w:sz="6" w:space="0" w:color="auto"/>
              <w:left w:val="single" w:sz="6" w:space="0" w:color="auto"/>
              <w:bottom w:val="single" w:sz="6" w:space="0" w:color="auto"/>
              <w:right w:val="single" w:sz="6" w:space="0" w:color="auto"/>
            </w:tcBorders>
            <w:vAlign w:val="center"/>
          </w:tcPr>
          <w:p w14:paraId="350FE36C"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0.132</w:t>
            </w:r>
          </w:p>
        </w:tc>
        <w:tc>
          <w:tcPr>
            <w:tcW w:w="911" w:type="dxa"/>
            <w:tcBorders>
              <w:top w:val="single" w:sz="6" w:space="0" w:color="auto"/>
              <w:left w:val="single" w:sz="6" w:space="0" w:color="auto"/>
              <w:bottom w:val="single" w:sz="6" w:space="0" w:color="auto"/>
              <w:right w:val="single" w:sz="6" w:space="0" w:color="auto"/>
            </w:tcBorders>
            <w:vAlign w:val="center"/>
          </w:tcPr>
          <w:p w14:paraId="3D946BFE"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111</w:t>
            </w:r>
          </w:p>
        </w:tc>
        <w:tc>
          <w:tcPr>
            <w:tcW w:w="913" w:type="dxa"/>
            <w:tcBorders>
              <w:top w:val="single" w:sz="6" w:space="0" w:color="auto"/>
              <w:left w:val="single" w:sz="6" w:space="0" w:color="auto"/>
              <w:bottom w:val="single" w:sz="6" w:space="0" w:color="auto"/>
              <w:right w:val="single" w:sz="6" w:space="0" w:color="auto"/>
            </w:tcBorders>
            <w:vAlign w:val="center"/>
          </w:tcPr>
          <w:p w14:paraId="01FFCD3D" w14:textId="77777777" w:rsidR="00D12939" w:rsidRDefault="004F47F5">
            <w:pPr>
              <w:widowControl/>
              <w:jc w:val="center"/>
              <w:textAlignment w:val="center"/>
              <w:rPr>
                <w:rFonts w:ascii="Times New Roman" w:eastAsia="宋体" w:hAnsi="Times New Roman" w:cs="Times New Roman"/>
                <w:iCs/>
                <w:szCs w:val="21"/>
              </w:rPr>
            </w:pPr>
            <w:r>
              <w:rPr>
                <w:rFonts w:ascii="Times New Roman" w:eastAsia="宋体" w:hAnsi="Times New Roman" w:cs="Times New Roman"/>
                <w:kern w:val="0"/>
                <w:szCs w:val="21"/>
                <w:lang w:bidi="ar"/>
              </w:rPr>
              <w:t>0.111</w:t>
            </w:r>
          </w:p>
        </w:tc>
        <w:tc>
          <w:tcPr>
            <w:tcW w:w="911" w:type="dxa"/>
            <w:tcBorders>
              <w:top w:val="single" w:sz="6" w:space="0" w:color="auto"/>
              <w:left w:val="single" w:sz="6" w:space="0" w:color="auto"/>
              <w:bottom w:val="single" w:sz="6" w:space="0" w:color="auto"/>
              <w:right w:val="single" w:sz="6" w:space="0" w:color="auto"/>
            </w:tcBorders>
            <w:vAlign w:val="center"/>
          </w:tcPr>
          <w:p w14:paraId="4D714818"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143</w:t>
            </w:r>
          </w:p>
        </w:tc>
        <w:tc>
          <w:tcPr>
            <w:tcW w:w="913" w:type="dxa"/>
            <w:tcBorders>
              <w:top w:val="single" w:sz="6" w:space="0" w:color="auto"/>
              <w:left w:val="single" w:sz="6" w:space="0" w:color="auto"/>
              <w:bottom w:val="single" w:sz="6" w:space="0" w:color="auto"/>
              <w:right w:val="single" w:sz="6" w:space="0" w:color="auto"/>
            </w:tcBorders>
            <w:vAlign w:val="center"/>
          </w:tcPr>
          <w:p w14:paraId="0DE79DA3"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0.276</w:t>
            </w:r>
          </w:p>
        </w:tc>
        <w:tc>
          <w:tcPr>
            <w:tcW w:w="915" w:type="dxa"/>
            <w:tcBorders>
              <w:top w:val="single" w:sz="6" w:space="0" w:color="auto"/>
              <w:left w:val="single" w:sz="6" w:space="0" w:color="auto"/>
              <w:bottom w:val="single" w:sz="6" w:space="0" w:color="auto"/>
              <w:right w:val="single" w:sz="6" w:space="0" w:color="auto"/>
            </w:tcBorders>
            <w:vAlign w:val="center"/>
          </w:tcPr>
          <w:p w14:paraId="0997235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146</w:t>
            </w:r>
          </w:p>
        </w:tc>
        <w:tc>
          <w:tcPr>
            <w:tcW w:w="891" w:type="dxa"/>
            <w:tcBorders>
              <w:top w:val="single" w:sz="6" w:space="0" w:color="auto"/>
              <w:left w:val="single" w:sz="6" w:space="0" w:color="auto"/>
              <w:bottom w:val="single" w:sz="6" w:space="0" w:color="auto"/>
              <w:right w:val="single" w:sz="6" w:space="0" w:color="auto"/>
            </w:tcBorders>
            <w:vAlign w:val="center"/>
          </w:tcPr>
          <w:p w14:paraId="0632E7F8" w14:textId="77777777" w:rsidR="00D12939" w:rsidRDefault="004F47F5">
            <w:pPr>
              <w:widowControl/>
              <w:jc w:val="center"/>
              <w:textAlignment w:val="center"/>
              <w:rPr>
                <w:rFonts w:ascii="Times New Roman" w:eastAsia="宋体" w:hAnsi="Times New Roman" w:cs="Times New Roman"/>
                <w:szCs w:val="21"/>
                <w:lang w:bidi="ar"/>
              </w:rPr>
            </w:pPr>
            <w:r>
              <w:rPr>
                <w:rFonts w:ascii="Times New Roman" w:eastAsia="宋体" w:hAnsi="Times New Roman" w:cs="Times New Roman"/>
                <w:kern w:val="0"/>
                <w:szCs w:val="21"/>
                <w:lang w:bidi="ar"/>
              </w:rPr>
              <w:t>0.146</w:t>
            </w:r>
          </w:p>
        </w:tc>
        <w:tc>
          <w:tcPr>
            <w:tcW w:w="891" w:type="dxa"/>
            <w:tcBorders>
              <w:top w:val="single" w:sz="6" w:space="0" w:color="auto"/>
              <w:left w:val="single" w:sz="6" w:space="0" w:color="auto"/>
              <w:bottom w:val="single" w:sz="6" w:space="0" w:color="auto"/>
              <w:right w:val="single" w:sz="6" w:space="0" w:color="auto"/>
            </w:tcBorders>
            <w:vAlign w:val="center"/>
          </w:tcPr>
          <w:p w14:paraId="69F9CD2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lang w:bidi="ar"/>
              </w:rPr>
              <w:t>无量纲</w:t>
            </w:r>
          </w:p>
        </w:tc>
        <w:tc>
          <w:tcPr>
            <w:tcW w:w="891" w:type="dxa"/>
            <w:tcBorders>
              <w:top w:val="single" w:sz="6" w:space="0" w:color="auto"/>
              <w:left w:val="single" w:sz="6" w:space="0" w:color="auto"/>
              <w:bottom w:val="single" w:sz="6" w:space="0" w:color="auto"/>
              <w:right w:val="single" w:sz="12" w:space="0" w:color="auto"/>
            </w:tcBorders>
            <w:vAlign w:val="center"/>
          </w:tcPr>
          <w:p w14:paraId="2F3FB2D3" w14:textId="77777777" w:rsidR="00D12939" w:rsidRDefault="004F47F5">
            <w:pPr>
              <w:jc w:val="center"/>
              <w:rPr>
                <w:rFonts w:ascii="Times New Roman" w:eastAsia="宋体" w:hAnsi="Times New Roman" w:cs="Times New Roman"/>
                <w:szCs w:val="21"/>
                <w:lang w:bidi="ar"/>
              </w:rPr>
            </w:pPr>
            <w:r>
              <w:rPr>
                <w:rFonts w:ascii="Times New Roman" w:eastAsia="宋体" w:hAnsi="Times New Roman" w:cs="Times New Roman" w:hint="eastAsia"/>
                <w:szCs w:val="21"/>
                <w:lang w:bidi="ar"/>
              </w:rPr>
              <w:t>1000</w:t>
            </w:r>
          </w:p>
        </w:tc>
      </w:tr>
      <w:tr w:rsidR="00D12939" w14:paraId="0ADAC5FB" w14:textId="77777777">
        <w:trPr>
          <w:trHeight w:val="323"/>
          <w:jc w:val="center"/>
        </w:trPr>
        <w:tc>
          <w:tcPr>
            <w:tcW w:w="1235" w:type="dxa"/>
            <w:vMerge/>
            <w:tcBorders>
              <w:left w:val="single" w:sz="12" w:space="0" w:color="auto"/>
              <w:right w:val="single" w:sz="6" w:space="0" w:color="auto"/>
            </w:tcBorders>
            <w:vAlign w:val="center"/>
          </w:tcPr>
          <w:p w14:paraId="7E4552D1"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44871D67"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氨氮</w:t>
            </w:r>
          </w:p>
        </w:tc>
        <w:tc>
          <w:tcPr>
            <w:tcW w:w="1230" w:type="dxa"/>
            <w:tcBorders>
              <w:top w:val="single" w:sz="6" w:space="0" w:color="auto"/>
              <w:left w:val="single" w:sz="6" w:space="0" w:color="auto"/>
              <w:bottom w:val="single" w:sz="6" w:space="0" w:color="auto"/>
              <w:right w:val="single" w:sz="6" w:space="0" w:color="auto"/>
            </w:tcBorders>
            <w:vAlign w:val="center"/>
          </w:tcPr>
          <w:p w14:paraId="0E7FCD77"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0.046</w:t>
            </w:r>
          </w:p>
        </w:tc>
        <w:tc>
          <w:tcPr>
            <w:tcW w:w="911" w:type="dxa"/>
            <w:tcBorders>
              <w:top w:val="single" w:sz="6" w:space="0" w:color="auto"/>
              <w:left w:val="single" w:sz="6" w:space="0" w:color="auto"/>
              <w:bottom w:val="single" w:sz="6" w:space="0" w:color="auto"/>
              <w:right w:val="single" w:sz="6" w:space="0" w:color="auto"/>
            </w:tcBorders>
            <w:vAlign w:val="center"/>
          </w:tcPr>
          <w:p w14:paraId="57FA07ED"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0.092</w:t>
            </w:r>
          </w:p>
        </w:tc>
        <w:tc>
          <w:tcPr>
            <w:tcW w:w="911" w:type="dxa"/>
            <w:tcBorders>
              <w:top w:val="single" w:sz="6" w:space="0" w:color="auto"/>
              <w:left w:val="single" w:sz="6" w:space="0" w:color="auto"/>
              <w:bottom w:val="single" w:sz="6" w:space="0" w:color="auto"/>
              <w:right w:val="single" w:sz="6" w:space="0" w:color="auto"/>
            </w:tcBorders>
            <w:vAlign w:val="center"/>
          </w:tcPr>
          <w:p w14:paraId="2E0EE3B1"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0.111</w:t>
            </w:r>
          </w:p>
        </w:tc>
        <w:tc>
          <w:tcPr>
            <w:tcW w:w="911" w:type="dxa"/>
            <w:tcBorders>
              <w:top w:val="single" w:sz="6" w:space="0" w:color="auto"/>
              <w:left w:val="single" w:sz="6" w:space="0" w:color="auto"/>
              <w:bottom w:val="single" w:sz="6" w:space="0" w:color="auto"/>
              <w:right w:val="single" w:sz="6" w:space="0" w:color="auto"/>
            </w:tcBorders>
            <w:vAlign w:val="center"/>
          </w:tcPr>
          <w:p w14:paraId="0C41D9EA"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0.222</w:t>
            </w:r>
          </w:p>
        </w:tc>
        <w:tc>
          <w:tcPr>
            <w:tcW w:w="911" w:type="dxa"/>
            <w:tcBorders>
              <w:top w:val="single" w:sz="6" w:space="0" w:color="auto"/>
              <w:left w:val="single" w:sz="6" w:space="0" w:color="auto"/>
              <w:bottom w:val="single" w:sz="6" w:space="0" w:color="auto"/>
              <w:right w:val="single" w:sz="6" w:space="0" w:color="auto"/>
            </w:tcBorders>
            <w:vAlign w:val="center"/>
          </w:tcPr>
          <w:p w14:paraId="5551ACF7"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0.180</w:t>
            </w:r>
          </w:p>
        </w:tc>
        <w:tc>
          <w:tcPr>
            <w:tcW w:w="913" w:type="dxa"/>
            <w:tcBorders>
              <w:top w:val="single" w:sz="6" w:space="0" w:color="auto"/>
              <w:left w:val="single" w:sz="6" w:space="0" w:color="auto"/>
              <w:bottom w:val="single" w:sz="6" w:space="0" w:color="auto"/>
              <w:right w:val="single" w:sz="6" w:space="0" w:color="auto"/>
            </w:tcBorders>
            <w:vAlign w:val="center"/>
          </w:tcPr>
          <w:p w14:paraId="39655A18" w14:textId="77777777" w:rsidR="00D12939" w:rsidRDefault="004F47F5">
            <w:pPr>
              <w:widowControl/>
              <w:jc w:val="center"/>
              <w:textAlignment w:val="center"/>
              <w:rPr>
                <w:rFonts w:ascii="Times New Roman" w:eastAsia="宋体" w:hAnsi="Times New Roman" w:cs="Times New Roman"/>
                <w:iCs/>
                <w:szCs w:val="21"/>
              </w:rPr>
            </w:pPr>
            <w:r>
              <w:rPr>
                <w:rFonts w:ascii="Times New Roman" w:eastAsia="宋体" w:hAnsi="Times New Roman" w:cs="Times New Roman"/>
                <w:kern w:val="0"/>
                <w:szCs w:val="21"/>
                <w:lang w:bidi="ar"/>
              </w:rPr>
              <w:t>0.36</w:t>
            </w:r>
          </w:p>
        </w:tc>
        <w:tc>
          <w:tcPr>
            <w:tcW w:w="911" w:type="dxa"/>
            <w:tcBorders>
              <w:top w:val="single" w:sz="6" w:space="0" w:color="auto"/>
              <w:left w:val="single" w:sz="6" w:space="0" w:color="auto"/>
              <w:bottom w:val="single" w:sz="6" w:space="0" w:color="auto"/>
              <w:right w:val="single" w:sz="6" w:space="0" w:color="auto"/>
            </w:tcBorders>
            <w:vAlign w:val="center"/>
          </w:tcPr>
          <w:p w14:paraId="003E26CF" w14:textId="77777777" w:rsidR="00D12939" w:rsidRDefault="004F47F5">
            <w:pPr>
              <w:pStyle w:val="TableParagraph"/>
              <w:ind w:firstLineChars="0" w:firstLine="0"/>
              <w:jc w:val="center"/>
              <w:rPr>
                <w:rFonts w:ascii="Times New Roman" w:hAnsi="Times New Roman"/>
                <w:iCs/>
                <w:sz w:val="21"/>
                <w:szCs w:val="21"/>
              </w:rPr>
            </w:pPr>
            <w:r>
              <w:rPr>
                <w:rFonts w:ascii="Times New Roman" w:hAnsi="Times New Roman"/>
                <w:sz w:val="21"/>
                <w:szCs w:val="21"/>
              </w:rPr>
              <w:t>0.108</w:t>
            </w:r>
          </w:p>
        </w:tc>
        <w:tc>
          <w:tcPr>
            <w:tcW w:w="913" w:type="dxa"/>
            <w:tcBorders>
              <w:top w:val="single" w:sz="6" w:space="0" w:color="auto"/>
              <w:left w:val="single" w:sz="6" w:space="0" w:color="auto"/>
              <w:bottom w:val="single" w:sz="6" w:space="0" w:color="auto"/>
              <w:right w:val="single" w:sz="6" w:space="0" w:color="auto"/>
            </w:tcBorders>
            <w:vAlign w:val="center"/>
          </w:tcPr>
          <w:p w14:paraId="6B638FBD"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0.143</w:t>
            </w:r>
          </w:p>
        </w:tc>
        <w:tc>
          <w:tcPr>
            <w:tcW w:w="915" w:type="dxa"/>
            <w:tcBorders>
              <w:top w:val="single" w:sz="6" w:space="0" w:color="auto"/>
              <w:left w:val="single" w:sz="6" w:space="0" w:color="auto"/>
              <w:bottom w:val="single" w:sz="6" w:space="0" w:color="auto"/>
              <w:right w:val="single" w:sz="6" w:space="0" w:color="auto"/>
            </w:tcBorders>
            <w:vAlign w:val="center"/>
          </w:tcPr>
          <w:p w14:paraId="658E3CDF"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0.105</w:t>
            </w:r>
          </w:p>
        </w:tc>
        <w:tc>
          <w:tcPr>
            <w:tcW w:w="891" w:type="dxa"/>
            <w:tcBorders>
              <w:top w:val="single" w:sz="6" w:space="0" w:color="auto"/>
              <w:left w:val="single" w:sz="6" w:space="0" w:color="auto"/>
              <w:bottom w:val="single" w:sz="6" w:space="0" w:color="auto"/>
              <w:right w:val="single" w:sz="6" w:space="0" w:color="auto"/>
            </w:tcBorders>
            <w:vAlign w:val="center"/>
          </w:tcPr>
          <w:p w14:paraId="1CC21EF1"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0.21</w:t>
            </w:r>
          </w:p>
        </w:tc>
        <w:tc>
          <w:tcPr>
            <w:tcW w:w="891" w:type="dxa"/>
            <w:tcBorders>
              <w:top w:val="single" w:sz="6" w:space="0" w:color="auto"/>
              <w:left w:val="single" w:sz="6" w:space="0" w:color="auto"/>
              <w:bottom w:val="single" w:sz="6" w:space="0" w:color="auto"/>
              <w:right w:val="single" w:sz="6" w:space="0" w:color="auto"/>
            </w:tcBorders>
            <w:vAlign w:val="center"/>
          </w:tcPr>
          <w:p w14:paraId="5E29B48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01007D7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0.5</w:t>
            </w:r>
          </w:p>
        </w:tc>
      </w:tr>
      <w:tr w:rsidR="00D12939" w14:paraId="6B0010B6" w14:textId="77777777">
        <w:trPr>
          <w:trHeight w:val="323"/>
          <w:jc w:val="center"/>
        </w:trPr>
        <w:tc>
          <w:tcPr>
            <w:tcW w:w="1235" w:type="dxa"/>
            <w:vMerge/>
            <w:tcBorders>
              <w:left w:val="single" w:sz="12" w:space="0" w:color="auto"/>
              <w:right w:val="single" w:sz="6" w:space="0" w:color="auto"/>
            </w:tcBorders>
            <w:vAlign w:val="center"/>
          </w:tcPr>
          <w:p w14:paraId="05E9F00D"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7AAAD4BC"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耗氧量（以</w:t>
            </w:r>
            <w:r>
              <w:rPr>
                <w:rFonts w:ascii="Times New Roman" w:hAnsi="Times New Roman"/>
                <w:kern w:val="2"/>
                <w:sz w:val="21"/>
                <w:szCs w:val="21"/>
                <w:lang w:eastAsia="zh-CN"/>
              </w:rPr>
              <w:t xml:space="preserve"> O2 </w:t>
            </w:r>
            <w:r>
              <w:rPr>
                <w:rFonts w:ascii="Times New Roman" w:hAnsi="Times New Roman"/>
                <w:kern w:val="2"/>
                <w:sz w:val="21"/>
                <w:szCs w:val="21"/>
                <w:lang w:eastAsia="zh-CN"/>
              </w:rPr>
              <w:t>计）</w:t>
            </w:r>
          </w:p>
        </w:tc>
        <w:tc>
          <w:tcPr>
            <w:tcW w:w="1230" w:type="dxa"/>
            <w:tcBorders>
              <w:top w:val="single" w:sz="6" w:space="0" w:color="auto"/>
              <w:left w:val="single" w:sz="6" w:space="0" w:color="auto"/>
              <w:bottom w:val="single" w:sz="6" w:space="0" w:color="auto"/>
              <w:right w:val="single" w:sz="6" w:space="0" w:color="auto"/>
            </w:tcBorders>
            <w:vAlign w:val="center"/>
          </w:tcPr>
          <w:p w14:paraId="06B026BA"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0.77</w:t>
            </w:r>
          </w:p>
        </w:tc>
        <w:tc>
          <w:tcPr>
            <w:tcW w:w="911" w:type="dxa"/>
            <w:tcBorders>
              <w:top w:val="single" w:sz="6" w:space="0" w:color="auto"/>
              <w:left w:val="single" w:sz="6" w:space="0" w:color="auto"/>
              <w:bottom w:val="single" w:sz="6" w:space="0" w:color="auto"/>
              <w:right w:val="single" w:sz="6" w:space="0" w:color="auto"/>
            </w:tcBorders>
            <w:vAlign w:val="center"/>
          </w:tcPr>
          <w:p w14:paraId="2ECA512A"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0.256</w:t>
            </w:r>
          </w:p>
        </w:tc>
        <w:tc>
          <w:tcPr>
            <w:tcW w:w="911" w:type="dxa"/>
            <w:tcBorders>
              <w:top w:val="single" w:sz="6" w:space="0" w:color="auto"/>
              <w:left w:val="single" w:sz="6" w:space="0" w:color="auto"/>
              <w:bottom w:val="single" w:sz="6" w:space="0" w:color="auto"/>
              <w:right w:val="single" w:sz="6" w:space="0" w:color="auto"/>
            </w:tcBorders>
            <w:vAlign w:val="center"/>
          </w:tcPr>
          <w:p w14:paraId="2298767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0.69</w:t>
            </w:r>
          </w:p>
        </w:tc>
        <w:tc>
          <w:tcPr>
            <w:tcW w:w="911" w:type="dxa"/>
            <w:tcBorders>
              <w:top w:val="single" w:sz="6" w:space="0" w:color="auto"/>
              <w:left w:val="single" w:sz="6" w:space="0" w:color="auto"/>
              <w:bottom w:val="single" w:sz="6" w:space="0" w:color="auto"/>
              <w:right w:val="single" w:sz="6" w:space="0" w:color="auto"/>
            </w:tcBorders>
            <w:vAlign w:val="center"/>
          </w:tcPr>
          <w:p w14:paraId="4E04EA79"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0.23</w:t>
            </w:r>
          </w:p>
        </w:tc>
        <w:tc>
          <w:tcPr>
            <w:tcW w:w="911" w:type="dxa"/>
            <w:tcBorders>
              <w:top w:val="single" w:sz="6" w:space="0" w:color="auto"/>
              <w:left w:val="single" w:sz="6" w:space="0" w:color="auto"/>
              <w:bottom w:val="single" w:sz="6" w:space="0" w:color="auto"/>
              <w:right w:val="single" w:sz="6" w:space="0" w:color="auto"/>
            </w:tcBorders>
            <w:vAlign w:val="center"/>
          </w:tcPr>
          <w:p w14:paraId="2DA415D9"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0.81</w:t>
            </w:r>
          </w:p>
        </w:tc>
        <w:tc>
          <w:tcPr>
            <w:tcW w:w="913" w:type="dxa"/>
            <w:tcBorders>
              <w:top w:val="single" w:sz="6" w:space="0" w:color="auto"/>
              <w:left w:val="single" w:sz="6" w:space="0" w:color="auto"/>
              <w:bottom w:val="single" w:sz="6" w:space="0" w:color="auto"/>
              <w:right w:val="single" w:sz="6" w:space="0" w:color="auto"/>
            </w:tcBorders>
            <w:vAlign w:val="center"/>
          </w:tcPr>
          <w:p w14:paraId="0AE70345" w14:textId="77777777" w:rsidR="00D12939" w:rsidRDefault="004F47F5">
            <w:pPr>
              <w:widowControl/>
              <w:jc w:val="center"/>
              <w:textAlignment w:val="center"/>
              <w:rPr>
                <w:rFonts w:ascii="Times New Roman" w:eastAsia="宋体" w:hAnsi="Times New Roman" w:cs="Times New Roman"/>
                <w:iCs/>
                <w:szCs w:val="21"/>
              </w:rPr>
            </w:pPr>
            <w:r>
              <w:rPr>
                <w:rFonts w:ascii="Times New Roman" w:eastAsia="宋体" w:hAnsi="Times New Roman" w:cs="Times New Roman"/>
                <w:kern w:val="0"/>
                <w:szCs w:val="21"/>
                <w:lang w:bidi="ar"/>
              </w:rPr>
              <w:t>0.27</w:t>
            </w:r>
          </w:p>
        </w:tc>
        <w:tc>
          <w:tcPr>
            <w:tcW w:w="911" w:type="dxa"/>
            <w:tcBorders>
              <w:top w:val="single" w:sz="6" w:space="0" w:color="auto"/>
              <w:left w:val="single" w:sz="6" w:space="0" w:color="auto"/>
              <w:bottom w:val="single" w:sz="6" w:space="0" w:color="auto"/>
              <w:right w:val="single" w:sz="6" w:space="0" w:color="auto"/>
            </w:tcBorders>
            <w:vAlign w:val="center"/>
          </w:tcPr>
          <w:p w14:paraId="5B7534F2"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0.90</w:t>
            </w:r>
          </w:p>
        </w:tc>
        <w:tc>
          <w:tcPr>
            <w:tcW w:w="913" w:type="dxa"/>
            <w:tcBorders>
              <w:top w:val="single" w:sz="6" w:space="0" w:color="auto"/>
              <w:left w:val="single" w:sz="6" w:space="0" w:color="auto"/>
              <w:bottom w:val="single" w:sz="6" w:space="0" w:color="auto"/>
              <w:right w:val="single" w:sz="6" w:space="0" w:color="auto"/>
            </w:tcBorders>
            <w:vAlign w:val="center"/>
          </w:tcPr>
          <w:p w14:paraId="3A7D21AC"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0.216</w:t>
            </w:r>
          </w:p>
        </w:tc>
        <w:tc>
          <w:tcPr>
            <w:tcW w:w="915" w:type="dxa"/>
            <w:tcBorders>
              <w:top w:val="single" w:sz="6" w:space="0" w:color="auto"/>
              <w:left w:val="single" w:sz="6" w:space="0" w:color="auto"/>
              <w:bottom w:val="single" w:sz="6" w:space="0" w:color="auto"/>
              <w:right w:val="single" w:sz="6" w:space="0" w:color="auto"/>
            </w:tcBorders>
            <w:vAlign w:val="center"/>
          </w:tcPr>
          <w:p w14:paraId="6D81A3B1"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0.84</w:t>
            </w:r>
          </w:p>
        </w:tc>
        <w:tc>
          <w:tcPr>
            <w:tcW w:w="891" w:type="dxa"/>
            <w:tcBorders>
              <w:top w:val="single" w:sz="6" w:space="0" w:color="auto"/>
              <w:left w:val="single" w:sz="6" w:space="0" w:color="auto"/>
              <w:bottom w:val="single" w:sz="6" w:space="0" w:color="auto"/>
              <w:right w:val="single" w:sz="6" w:space="0" w:color="auto"/>
            </w:tcBorders>
            <w:vAlign w:val="center"/>
          </w:tcPr>
          <w:p w14:paraId="21719FD5"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0.28</w:t>
            </w:r>
          </w:p>
        </w:tc>
        <w:tc>
          <w:tcPr>
            <w:tcW w:w="891" w:type="dxa"/>
            <w:tcBorders>
              <w:top w:val="single" w:sz="6" w:space="0" w:color="auto"/>
              <w:left w:val="single" w:sz="6" w:space="0" w:color="auto"/>
              <w:bottom w:val="single" w:sz="6" w:space="0" w:color="auto"/>
              <w:right w:val="single" w:sz="6" w:space="0" w:color="auto"/>
            </w:tcBorders>
            <w:vAlign w:val="center"/>
          </w:tcPr>
          <w:p w14:paraId="1F0D82D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6460A75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3</w:t>
            </w:r>
          </w:p>
        </w:tc>
      </w:tr>
      <w:tr w:rsidR="00D12939" w14:paraId="32A13765" w14:textId="77777777">
        <w:trPr>
          <w:trHeight w:val="323"/>
          <w:jc w:val="center"/>
        </w:trPr>
        <w:tc>
          <w:tcPr>
            <w:tcW w:w="1235" w:type="dxa"/>
            <w:vMerge/>
            <w:tcBorders>
              <w:left w:val="single" w:sz="12" w:space="0" w:color="auto"/>
              <w:right w:val="single" w:sz="6" w:space="0" w:color="auto"/>
            </w:tcBorders>
            <w:vAlign w:val="center"/>
          </w:tcPr>
          <w:p w14:paraId="7C8E1617"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71F279D9"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氟化物</w:t>
            </w:r>
          </w:p>
        </w:tc>
        <w:tc>
          <w:tcPr>
            <w:tcW w:w="1230" w:type="dxa"/>
            <w:tcBorders>
              <w:top w:val="single" w:sz="6" w:space="0" w:color="auto"/>
              <w:left w:val="single" w:sz="6" w:space="0" w:color="auto"/>
              <w:bottom w:val="single" w:sz="6" w:space="0" w:color="auto"/>
              <w:right w:val="single" w:sz="6" w:space="0" w:color="auto"/>
            </w:tcBorders>
            <w:vAlign w:val="center"/>
          </w:tcPr>
          <w:p w14:paraId="7E395FA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0.362</w:t>
            </w:r>
          </w:p>
        </w:tc>
        <w:tc>
          <w:tcPr>
            <w:tcW w:w="911" w:type="dxa"/>
            <w:tcBorders>
              <w:top w:val="single" w:sz="6" w:space="0" w:color="auto"/>
              <w:left w:val="single" w:sz="6" w:space="0" w:color="auto"/>
              <w:bottom w:val="single" w:sz="6" w:space="0" w:color="auto"/>
              <w:right w:val="single" w:sz="6" w:space="0" w:color="auto"/>
            </w:tcBorders>
            <w:vAlign w:val="center"/>
          </w:tcPr>
          <w:p w14:paraId="7A17AA89"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0.362</w:t>
            </w:r>
          </w:p>
        </w:tc>
        <w:tc>
          <w:tcPr>
            <w:tcW w:w="911" w:type="dxa"/>
            <w:tcBorders>
              <w:top w:val="single" w:sz="6" w:space="0" w:color="auto"/>
              <w:left w:val="single" w:sz="6" w:space="0" w:color="auto"/>
              <w:bottom w:val="single" w:sz="6" w:space="0" w:color="auto"/>
              <w:right w:val="single" w:sz="6" w:space="0" w:color="auto"/>
            </w:tcBorders>
            <w:vAlign w:val="center"/>
          </w:tcPr>
          <w:p w14:paraId="78F6495F"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0.395</w:t>
            </w:r>
          </w:p>
        </w:tc>
        <w:tc>
          <w:tcPr>
            <w:tcW w:w="911" w:type="dxa"/>
            <w:tcBorders>
              <w:top w:val="single" w:sz="6" w:space="0" w:color="auto"/>
              <w:left w:val="single" w:sz="6" w:space="0" w:color="auto"/>
              <w:bottom w:val="single" w:sz="6" w:space="0" w:color="auto"/>
              <w:right w:val="single" w:sz="6" w:space="0" w:color="auto"/>
            </w:tcBorders>
            <w:vAlign w:val="center"/>
          </w:tcPr>
          <w:p w14:paraId="1B69A83E"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0.395</w:t>
            </w:r>
          </w:p>
        </w:tc>
        <w:tc>
          <w:tcPr>
            <w:tcW w:w="911" w:type="dxa"/>
            <w:tcBorders>
              <w:top w:val="single" w:sz="6" w:space="0" w:color="auto"/>
              <w:left w:val="single" w:sz="6" w:space="0" w:color="auto"/>
              <w:bottom w:val="single" w:sz="6" w:space="0" w:color="auto"/>
              <w:right w:val="single" w:sz="6" w:space="0" w:color="auto"/>
            </w:tcBorders>
            <w:vAlign w:val="center"/>
          </w:tcPr>
          <w:p w14:paraId="3F68073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0.546</w:t>
            </w:r>
          </w:p>
        </w:tc>
        <w:tc>
          <w:tcPr>
            <w:tcW w:w="913" w:type="dxa"/>
            <w:tcBorders>
              <w:top w:val="single" w:sz="6" w:space="0" w:color="auto"/>
              <w:left w:val="single" w:sz="6" w:space="0" w:color="auto"/>
              <w:bottom w:val="single" w:sz="6" w:space="0" w:color="auto"/>
              <w:right w:val="single" w:sz="6" w:space="0" w:color="auto"/>
            </w:tcBorders>
            <w:vAlign w:val="center"/>
          </w:tcPr>
          <w:p w14:paraId="14E8FD9B"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0.546</w:t>
            </w:r>
          </w:p>
        </w:tc>
        <w:tc>
          <w:tcPr>
            <w:tcW w:w="911" w:type="dxa"/>
            <w:tcBorders>
              <w:top w:val="single" w:sz="6" w:space="0" w:color="auto"/>
              <w:left w:val="single" w:sz="6" w:space="0" w:color="auto"/>
              <w:bottom w:val="single" w:sz="6" w:space="0" w:color="auto"/>
              <w:right w:val="single" w:sz="6" w:space="0" w:color="auto"/>
            </w:tcBorders>
            <w:vAlign w:val="center"/>
          </w:tcPr>
          <w:p w14:paraId="4955E120"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0.555</w:t>
            </w:r>
          </w:p>
        </w:tc>
        <w:tc>
          <w:tcPr>
            <w:tcW w:w="913" w:type="dxa"/>
            <w:tcBorders>
              <w:top w:val="single" w:sz="6" w:space="0" w:color="auto"/>
              <w:left w:val="single" w:sz="6" w:space="0" w:color="auto"/>
              <w:bottom w:val="single" w:sz="6" w:space="0" w:color="auto"/>
              <w:right w:val="single" w:sz="6" w:space="0" w:color="auto"/>
            </w:tcBorders>
            <w:vAlign w:val="center"/>
          </w:tcPr>
          <w:p w14:paraId="7EAA5CD7"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0.3</w:t>
            </w:r>
          </w:p>
        </w:tc>
        <w:tc>
          <w:tcPr>
            <w:tcW w:w="915" w:type="dxa"/>
            <w:tcBorders>
              <w:top w:val="single" w:sz="6" w:space="0" w:color="auto"/>
              <w:left w:val="single" w:sz="6" w:space="0" w:color="auto"/>
              <w:bottom w:val="single" w:sz="6" w:space="0" w:color="auto"/>
              <w:right w:val="single" w:sz="6" w:space="0" w:color="auto"/>
            </w:tcBorders>
            <w:vAlign w:val="center"/>
          </w:tcPr>
          <w:p w14:paraId="68B8AA99"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0.501</w:t>
            </w:r>
          </w:p>
        </w:tc>
        <w:tc>
          <w:tcPr>
            <w:tcW w:w="891" w:type="dxa"/>
            <w:tcBorders>
              <w:top w:val="single" w:sz="6" w:space="0" w:color="auto"/>
              <w:left w:val="single" w:sz="6" w:space="0" w:color="auto"/>
              <w:bottom w:val="single" w:sz="6" w:space="0" w:color="auto"/>
              <w:right w:val="single" w:sz="6" w:space="0" w:color="auto"/>
            </w:tcBorders>
            <w:vAlign w:val="center"/>
          </w:tcPr>
          <w:p w14:paraId="0F75B196"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0.50</w:t>
            </w:r>
          </w:p>
        </w:tc>
        <w:tc>
          <w:tcPr>
            <w:tcW w:w="891" w:type="dxa"/>
            <w:tcBorders>
              <w:top w:val="single" w:sz="6" w:space="0" w:color="auto"/>
              <w:left w:val="single" w:sz="6" w:space="0" w:color="auto"/>
              <w:bottom w:val="single" w:sz="6" w:space="0" w:color="auto"/>
              <w:right w:val="single" w:sz="6" w:space="0" w:color="auto"/>
            </w:tcBorders>
            <w:vAlign w:val="center"/>
          </w:tcPr>
          <w:p w14:paraId="312A809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4693E41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1.0</w:t>
            </w:r>
          </w:p>
        </w:tc>
      </w:tr>
      <w:tr w:rsidR="00D12939" w14:paraId="6A245FEA" w14:textId="77777777">
        <w:trPr>
          <w:trHeight w:val="323"/>
          <w:jc w:val="center"/>
        </w:trPr>
        <w:tc>
          <w:tcPr>
            <w:tcW w:w="1235" w:type="dxa"/>
            <w:vMerge/>
            <w:tcBorders>
              <w:left w:val="single" w:sz="12" w:space="0" w:color="auto"/>
              <w:right w:val="single" w:sz="6" w:space="0" w:color="auto"/>
            </w:tcBorders>
            <w:vAlign w:val="center"/>
          </w:tcPr>
          <w:p w14:paraId="6DD6E1A6"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679B93D7"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硫酸盐</w:t>
            </w:r>
          </w:p>
        </w:tc>
        <w:tc>
          <w:tcPr>
            <w:tcW w:w="1230" w:type="dxa"/>
            <w:tcBorders>
              <w:top w:val="single" w:sz="6" w:space="0" w:color="auto"/>
              <w:left w:val="single" w:sz="6" w:space="0" w:color="auto"/>
              <w:bottom w:val="single" w:sz="6" w:space="0" w:color="auto"/>
              <w:right w:val="single" w:sz="6" w:space="0" w:color="auto"/>
            </w:tcBorders>
            <w:vAlign w:val="center"/>
          </w:tcPr>
          <w:p w14:paraId="568386BB"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40.8</w:t>
            </w:r>
          </w:p>
        </w:tc>
        <w:tc>
          <w:tcPr>
            <w:tcW w:w="911" w:type="dxa"/>
            <w:tcBorders>
              <w:top w:val="single" w:sz="6" w:space="0" w:color="auto"/>
              <w:left w:val="single" w:sz="6" w:space="0" w:color="auto"/>
              <w:bottom w:val="single" w:sz="6" w:space="0" w:color="auto"/>
              <w:right w:val="single" w:sz="6" w:space="0" w:color="auto"/>
            </w:tcBorders>
            <w:vAlign w:val="center"/>
          </w:tcPr>
          <w:p w14:paraId="0ED495CB"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0.163</w:t>
            </w:r>
          </w:p>
        </w:tc>
        <w:tc>
          <w:tcPr>
            <w:tcW w:w="911" w:type="dxa"/>
            <w:tcBorders>
              <w:top w:val="single" w:sz="6" w:space="0" w:color="auto"/>
              <w:left w:val="single" w:sz="6" w:space="0" w:color="auto"/>
              <w:bottom w:val="single" w:sz="6" w:space="0" w:color="auto"/>
              <w:right w:val="single" w:sz="6" w:space="0" w:color="auto"/>
            </w:tcBorders>
            <w:vAlign w:val="center"/>
          </w:tcPr>
          <w:p w14:paraId="0C8348C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17.7</w:t>
            </w:r>
          </w:p>
        </w:tc>
        <w:tc>
          <w:tcPr>
            <w:tcW w:w="911" w:type="dxa"/>
            <w:tcBorders>
              <w:top w:val="single" w:sz="6" w:space="0" w:color="auto"/>
              <w:left w:val="single" w:sz="6" w:space="0" w:color="auto"/>
              <w:bottom w:val="single" w:sz="6" w:space="0" w:color="auto"/>
              <w:right w:val="single" w:sz="6" w:space="0" w:color="auto"/>
            </w:tcBorders>
            <w:vAlign w:val="center"/>
          </w:tcPr>
          <w:p w14:paraId="238B4DA3"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0.07</w:t>
            </w:r>
            <w:r>
              <w:rPr>
                <w:rFonts w:ascii="Times New Roman" w:eastAsia="宋体" w:hAnsi="Times New Roman" w:cs="Times New Roman" w:hint="eastAsia"/>
                <w:kern w:val="0"/>
                <w:szCs w:val="21"/>
                <w:lang w:bidi="ar"/>
              </w:rPr>
              <w:t>1</w:t>
            </w:r>
          </w:p>
        </w:tc>
        <w:tc>
          <w:tcPr>
            <w:tcW w:w="911" w:type="dxa"/>
            <w:tcBorders>
              <w:top w:val="single" w:sz="6" w:space="0" w:color="auto"/>
              <w:left w:val="single" w:sz="6" w:space="0" w:color="auto"/>
              <w:bottom w:val="single" w:sz="6" w:space="0" w:color="auto"/>
              <w:right w:val="single" w:sz="6" w:space="0" w:color="auto"/>
            </w:tcBorders>
            <w:vAlign w:val="center"/>
          </w:tcPr>
          <w:p w14:paraId="322E362A"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15.6</w:t>
            </w:r>
          </w:p>
        </w:tc>
        <w:tc>
          <w:tcPr>
            <w:tcW w:w="913" w:type="dxa"/>
            <w:tcBorders>
              <w:top w:val="single" w:sz="6" w:space="0" w:color="auto"/>
              <w:left w:val="single" w:sz="6" w:space="0" w:color="auto"/>
              <w:bottom w:val="single" w:sz="6" w:space="0" w:color="auto"/>
              <w:right w:val="single" w:sz="6" w:space="0" w:color="auto"/>
            </w:tcBorders>
            <w:vAlign w:val="center"/>
          </w:tcPr>
          <w:p w14:paraId="31E0BBD4"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0.062</w:t>
            </w:r>
          </w:p>
        </w:tc>
        <w:tc>
          <w:tcPr>
            <w:tcW w:w="911" w:type="dxa"/>
            <w:tcBorders>
              <w:top w:val="single" w:sz="6" w:space="0" w:color="auto"/>
              <w:left w:val="single" w:sz="6" w:space="0" w:color="auto"/>
              <w:bottom w:val="single" w:sz="6" w:space="0" w:color="auto"/>
              <w:right w:val="single" w:sz="6" w:space="0" w:color="auto"/>
            </w:tcBorders>
            <w:vAlign w:val="center"/>
          </w:tcPr>
          <w:p w14:paraId="1592944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21.7</w:t>
            </w:r>
          </w:p>
        </w:tc>
        <w:tc>
          <w:tcPr>
            <w:tcW w:w="913" w:type="dxa"/>
            <w:tcBorders>
              <w:top w:val="single" w:sz="6" w:space="0" w:color="auto"/>
              <w:left w:val="single" w:sz="6" w:space="0" w:color="auto"/>
              <w:bottom w:val="single" w:sz="6" w:space="0" w:color="auto"/>
              <w:right w:val="single" w:sz="6" w:space="0" w:color="auto"/>
            </w:tcBorders>
            <w:vAlign w:val="center"/>
          </w:tcPr>
          <w:p w14:paraId="3350111C"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0.555</w:t>
            </w:r>
          </w:p>
        </w:tc>
        <w:tc>
          <w:tcPr>
            <w:tcW w:w="915" w:type="dxa"/>
            <w:tcBorders>
              <w:top w:val="single" w:sz="6" w:space="0" w:color="auto"/>
              <w:left w:val="single" w:sz="6" w:space="0" w:color="auto"/>
              <w:bottom w:val="single" w:sz="6" w:space="0" w:color="auto"/>
              <w:right w:val="single" w:sz="6" w:space="0" w:color="auto"/>
            </w:tcBorders>
            <w:vAlign w:val="center"/>
          </w:tcPr>
          <w:p w14:paraId="21AD2F6C"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21.6</w:t>
            </w:r>
          </w:p>
        </w:tc>
        <w:tc>
          <w:tcPr>
            <w:tcW w:w="891" w:type="dxa"/>
            <w:tcBorders>
              <w:top w:val="single" w:sz="6" w:space="0" w:color="auto"/>
              <w:left w:val="single" w:sz="6" w:space="0" w:color="auto"/>
              <w:bottom w:val="single" w:sz="6" w:space="0" w:color="auto"/>
              <w:right w:val="single" w:sz="6" w:space="0" w:color="auto"/>
            </w:tcBorders>
            <w:vAlign w:val="center"/>
          </w:tcPr>
          <w:p w14:paraId="0C010A52"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0.086</w:t>
            </w:r>
          </w:p>
        </w:tc>
        <w:tc>
          <w:tcPr>
            <w:tcW w:w="891" w:type="dxa"/>
            <w:tcBorders>
              <w:top w:val="single" w:sz="6" w:space="0" w:color="auto"/>
              <w:left w:val="single" w:sz="6" w:space="0" w:color="auto"/>
              <w:bottom w:val="single" w:sz="6" w:space="0" w:color="auto"/>
              <w:right w:val="single" w:sz="6" w:space="0" w:color="auto"/>
            </w:tcBorders>
            <w:vAlign w:val="center"/>
          </w:tcPr>
          <w:p w14:paraId="1EF5953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4E6A96B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250</w:t>
            </w:r>
          </w:p>
        </w:tc>
      </w:tr>
      <w:tr w:rsidR="00D12939" w14:paraId="1A353ADA" w14:textId="77777777">
        <w:trPr>
          <w:trHeight w:val="323"/>
          <w:jc w:val="center"/>
        </w:trPr>
        <w:tc>
          <w:tcPr>
            <w:tcW w:w="1235" w:type="dxa"/>
            <w:vMerge/>
            <w:tcBorders>
              <w:left w:val="single" w:sz="12" w:space="0" w:color="auto"/>
              <w:right w:val="single" w:sz="6" w:space="0" w:color="auto"/>
            </w:tcBorders>
            <w:vAlign w:val="center"/>
          </w:tcPr>
          <w:p w14:paraId="10807CC3"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2C3EF5C5"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硝酸盐（以</w:t>
            </w:r>
            <w:r>
              <w:rPr>
                <w:rFonts w:ascii="Times New Roman" w:hAnsi="Times New Roman"/>
                <w:kern w:val="2"/>
                <w:sz w:val="21"/>
                <w:szCs w:val="21"/>
                <w:lang w:eastAsia="zh-CN"/>
              </w:rPr>
              <w:t xml:space="preserve"> N </w:t>
            </w:r>
            <w:r>
              <w:rPr>
                <w:rFonts w:ascii="Times New Roman" w:hAnsi="Times New Roman"/>
                <w:kern w:val="2"/>
                <w:sz w:val="21"/>
                <w:szCs w:val="21"/>
                <w:lang w:eastAsia="zh-CN"/>
              </w:rPr>
              <w:t>计）</w:t>
            </w:r>
          </w:p>
        </w:tc>
        <w:tc>
          <w:tcPr>
            <w:tcW w:w="1230" w:type="dxa"/>
            <w:tcBorders>
              <w:top w:val="single" w:sz="6" w:space="0" w:color="auto"/>
              <w:left w:val="single" w:sz="6" w:space="0" w:color="auto"/>
              <w:bottom w:val="single" w:sz="6" w:space="0" w:color="auto"/>
              <w:right w:val="single" w:sz="6" w:space="0" w:color="auto"/>
            </w:tcBorders>
            <w:vAlign w:val="center"/>
          </w:tcPr>
          <w:p w14:paraId="06675180"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2.04</w:t>
            </w:r>
          </w:p>
        </w:tc>
        <w:tc>
          <w:tcPr>
            <w:tcW w:w="911" w:type="dxa"/>
            <w:tcBorders>
              <w:top w:val="single" w:sz="6" w:space="0" w:color="auto"/>
              <w:left w:val="single" w:sz="6" w:space="0" w:color="auto"/>
              <w:bottom w:val="single" w:sz="6" w:space="0" w:color="auto"/>
              <w:right w:val="single" w:sz="6" w:space="0" w:color="auto"/>
            </w:tcBorders>
            <w:vAlign w:val="center"/>
          </w:tcPr>
          <w:p w14:paraId="44AE4130"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0.102</w:t>
            </w:r>
          </w:p>
        </w:tc>
        <w:tc>
          <w:tcPr>
            <w:tcW w:w="911" w:type="dxa"/>
            <w:tcBorders>
              <w:top w:val="single" w:sz="6" w:space="0" w:color="auto"/>
              <w:left w:val="single" w:sz="6" w:space="0" w:color="auto"/>
              <w:bottom w:val="single" w:sz="6" w:space="0" w:color="auto"/>
              <w:right w:val="single" w:sz="6" w:space="0" w:color="auto"/>
            </w:tcBorders>
            <w:vAlign w:val="center"/>
          </w:tcPr>
          <w:p w14:paraId="6C07B649"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1.44</w:t>
            </w:r>
          </w:p>
        </w:tc>
        <w:tc>
          <w:tcPr>
            <w:tcW w:w="911" w:type="dxa"/>
            <w:tcBorders>
              <w:top w:val="single" w:sz="6" w:space="0" w:color="auto"/>
              <w:left w:val="single" w:sz="6" w:space="0" w:color="auto"/>
              <w:bottom w:val="single" w:sz="6" w:space="0" w:color="auto"/>
              <w:right w:val="single" w:sz="6" w:space="0" w:color="auto"/>
            </w:tcBorders>
            <w:vAlign w:val="center"/>
          </w:tcPr>
          <w:p w14:paraId="7EE90547"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0.072</w:t>
            </w:r>
          </w:p>
        </w:tc>
        <w:tc>
          <w:tcPr>
            <w:tcW w:w="911" w:type="dxa"/>
            <w:tcBorders>
              <w:top w:val="single" w:sz="6" w:space="0" w:color="auto"/>
              <w:left w:val="single" w:sz="6" w:space="0" w:color="auto"/>
              <w:bottom w:val="single" w:sz="6" w:space="0" w:color="auto"/>
              <w:right w:val="single" w:sz="6" w:space="0" w:color="auto"/>
            </w:tcBorders>
            <w:vAlign w:val="center"/>
          </w:tcPr>
          <w:p w14:paraId="4C7C7140"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1.09</w:t>
            </w:r>
          </w:p>
        </w:tc>
        <w:tc>
          <w:tcPr>
            <w:tcW w:w="913" w:type="dxa"/>
            <w:tcBorders>
              <w:top w:val="single" w:sz="6" w:space="0" w:color="auto"/>
              <w:left w:val="single" w:sz="6" w:space="0" w:color="auto"/>
              <w:bottom w:val="single" w:sz="6" w:space="0" w:color="auto"/>
              <w:right w:val="single" w:sz="6" w:space="0" w:color="auto"/>
            </w:tcBorders>
            <w:vAlign w:val="center"/>
          </w:tcPr>
          <w:p w14:paraId="5D1172D9"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w:t>
            </w:r>
            <w:r>
              <w:rPr>
                <w:rFonts w:ascii="Times New Roman" w:eastAsia="宋体" w:hAnsi="Times New Roman" w:cs="Times New Roman" w:hint="eastAsia"/>
                <w:kern w:val="0"/>
                <w:szCs w:val="21"/>
                <w:lang w:bidi="ar"/>
              </w:rPr>
              <w:t>5</w:t>
            </w:r>
            <w:r>
              <w:rPr>
                <w:rFonts w:ascii="Times New Roman" w:eastAsia="宋体" w:hAnsi="Times New Roman" w:cs="Times New Roman"/>
                <w:kern w:val="0"/>
                <w:szCs w:val="21"/>
                <w:lang w:bidi="ar"/>
              </w:rPr>
              <w:t>5</w:t>
            </w:r>
          </w:p>
        </w:tc>
        <w:tc>
          <w:tcPr>
            <w:tcW w:w="911" w:type="dxa"/>
            <w:tcBorders>
              <w:top w:val="single" w:sz="6" w:space="0" w:color="auto"/>
              <w:left w:val="single" w:sz="6" w:space="0" w:color="auto"/>
              <w:bottom w:val="single" w:sz="6" w:space="0" w:color="auto"/>
              <w:right w:val="single" w:sz="6" w:space="0" w:color="auto"/>
            </w:tcBorders>
            <w:vAlign w:val="center"/>
          </w:tcPr>
          <w:p w14:paraId="016FDD6E"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1.35</w:t>
            </w:r>
          </w:p>
        </w:tc>
        <w:tc>
          <w:tcPr>
            <w:tcW w:w="913" w:type="dxa"/>
            <w:tcBorders>
              <w:top w:val="single" w:sz="6" w:space="0" w:color="auto"/>
              <w:left w:val="single" w:sz="6" w:space="0" w:color="auto"/>
              <w:bottom w:val="single" w:sz="6" w:space="0" w:color="auto"/>
              <w:right w:val="single" w:sz="6" w:space="0" w:color="auto"/>
            </w:tcBorders>
            <w:vAlign w:val="center"/>
          </w:tcPr>
          <w:p w14:paraId="3B8E7C55"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0.08</w:t>
            </w:r>
            <w:r>
              <w:rPr>
                <w:rFonts w:ascii="Times New Roman" w:eastAsia="宋体" w:hAnsi="Times New Roman" w:cs="Times New Roman" w:hint="eastAsia"/>
                <w:kern w:val="0"/>
                <w:szCs w:val="21"/>
                <w:lang w:bidi="ar"/>
              </w:rPr>
              <w:t>7</w:t>
            </w:r>
          </w:p>
        </w:tc>
        <w:tc>
          <w:tcPr>
            <w:tcW w:w="915" w:type="dxa"/>
            <w:tcBorders>
              <w:top w:val="single" w:sz="6" w:space="0" w:color="auto"/>
              <w:left w:val="single" w:sz="6" w:space="0" w:color="auto"/>
              <w:bottom w:val="single" w:sz="6" w:space="0" w:color="auto"/>
              <w:right w:val="single" w:sz="6" w:space="0" w:color="auto"/>
            </w:tcBorders>
            <w:vAlign w:val="center"/>
          </w:tcPr>
          <w:p w14:paraId="6444ABA2"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1.31</w:t>
            </w:r>
          </w:p>
        </w:tc>
        <w:tc>
          <w:tcPr>
            <w:tcW w:w="891" w:type="dxa"/>
            <w:tcBorders>
              <w:top w:val="single" w:sz="6" w:space="0" w:color="auto"/>
              <w:left w:val="single" w:sz="6" w:space="0" w:color="auto"/>
              <w:bottom w:val="single" w:sz="6" w:space="0" w:color="auto"/>
              <w:right w:val="single" w:sz="6" w:space="0" w:color="auto"/>
            </w:tcBorders>
            <w:vAlign w:val="center"/>
          </w:tcPr>
          <w:p w14:paraId="39795A97"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0.065</w:t>
            </w:r>
          </w:p>
        </w:tc>
        <w:tc>
          <w:tcPr>
            <w:tcW w:w="891" w:type="dxa"/>
            <w:tcBorders>
              <w:top w:val="single" w:sz="6" w:space="0" w:color="auto"/>
              <w:left w:val="single" w:sz="6" w:space="0" w:color="auto"/>
              <w:bottom w:val="single" w:sz="6" w:space="0" w:color="auto"/>
              <w:right w:val="single" w:sz="6" w:space="0" w:color="auto"/>
            </w:tcBorders>
            <w:vAlign w:val="center"/>
          </w:tcPr>
          <w:p w14:paraId="7F952C8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18DABA9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20</w:t>
            </w:r>
          </w:p>
        </w:tc>
      </w:tr>
      <w:tr w:rsidR="00D12939" w14:paraId="6AD1C48B" w14:textId="77777777">
        <w:trPr>
          <w:trHeight w:val="323"/>
          <w:jc w:val="center"/>
        </w:trPr>
        <w:tc>
          <w:tcPr>
            <w:tcW w:w="1235" w:type="dxa"/>
            <w:vMerge/>
            <w:tcBorders>
              <w:left w:val="single" w:sz="12" w:space="0" w:color="auto"/>
              <w:right w:val="single" w:sz="6" w:space="0" w:color="auto"/>
            </w:tcBorders>
            <w:vAlign w:val="center"/>
          </w:tcPr>
          <w:p w14:paraId="071F8AAD" w14:textId="77777777" w:rsidR="00D12939" w:rsidRDefault="00D12939">
            <w:pPr>
              <w:jc w:val="center"/>
              <w:rPr>
                <w:rFonts w:ascii="Times New Roman" w:eastAsia="宋体" w:hAnsi="Times New Roman" w:cs="Times New Roman"/>
                <w:szCs w:val="21"/>
              </w:rPr>
            </w:pPr>
          </w:p>
        </w:tc>
        <w:tc>
          <w:tcPr>
            <w:tcW w:w="1716" w:type="dxa"/>
            <w:tcBorders>
              <w:top w:val="single" w:sz="6" w:space="0" w:color="auto"/>
              <w:left w:val="single" w:sz="6" w:space="0" w:color="auto"/>
              <w:bottom w:val="single" w:sz="6" w:space="0" w:color="auto"/>
              <w:right w:val="single" w:sz="6" w:space="0" w:color="auto"/>
            </w:tcBorders>
            <w:vAlign w:val="center"/>
          </w:tcPr>
          <w:p w14:paraId="6017BB47"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氯化物</w:t>
            </w:r>
          </w:p>
        </w:tc>
        <w:tc>
          <w:tcPr>
            <w:tcW w:w="1230" w:type="dxa"/>
            <w:tcBorders>
              <w:top w:val="single" w:sz="6" w:space="0" w:color="auto"/>
              <w:left w:val="single" w:sz="6" w:space="0" w:color="auto"/>
              <w:bottom w:val="single" w:sz="6" w:space="0" w:color="auto"/>
              <w:right w:val="single" w:sz="6" w:space="0" w:color="auto"/>
            </w:tcBorders>
            <w:vAlign w:val="center"/>
          </w:tcPr>
          <w:p w14:paraId="097887FC"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12.1</w:t>
            </w:r>
          </w:p>
        </w:tc>
        <w:tc>
          <w:tcPr>
            <w:tcW w:w="911" w:type="dxa"/>
            <w:tcBorders>
              <w:top w:val="single" w:sz="6" w:space="0" w:color="auto"/>
              <w:left w:val="single" w:sz="6" w:space="0" w:color="auto"/>
              <w:bottom w:val="single" w:sz="6" w:space="0" w:color="auto"/>
              <w:right w:val="single" w:sz="6" w:space="0" w:color="auto"/>
            </w:tcBorders>
            <w:vAlign w:val="center"/>
          </w:tcPr>
          <w:p w14:paraId="70058551"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0.048</w:t>
            </w:r>
          </w:p>
        </w:tc>
        <w:tc>
          <w:tcPr>
            <w:tcW w:w="911" w:type="dxa"/>
            <w:tcBorders>
              <w:top w:val="single" w:sz="6" w:space="0" w:color="auto"/>
              <w:left w:val="single" w:sz="6" w:space="0" w:color="auto"/>
              <w:bottom w:val="single" w:sz="6" w:space="0" w:color="auto"/>
              <w:right w:val="single" w:sz="6" w:space="0" w:color="auto"/>
            </w:tcBorders>
            <w:vAlign w:val="center"/>
          </w:tcPr>
          <w:p w14:paraId="1ED86C2A"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6.63</w:t>
            </w:r>
          </w:p>
        </w:tc>
        <w:tc>
          <w:tcPr>
            <w:tcW w:w="911" w:type="dxa"/>
            <w:tcBorders>
              <w:top w:val="single" w:sz="6" w:space="0" w:color="auto"/>
              <w:left w:val="single" w:sz="6" w:space="0" w:color="auto"/>
              <w:bottom w:val="single" w:sz="6" w:space="0" w:color="auto"/>
              <w:right w:val="single" w:sz="6" w:space="0" w:color="auto"/>
            </w:tcBorders>
            <w:vAlign w:val="center"/>
          </w:tcPr>
          <w:p w14:paraId="6FBA44EC"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0.02652</w:t>
            </w:r>
          </w:p>
        </w:tc>
        <w:tc>
          <w:tcPr>
            <w:tcW w:w="911" w:type="dxa"/>
            <w:tcBorders>
              <w:top w:val="single" w:sz="6" w:space="0" w:color="auto"/>
              <w:left w:val="single" w:sz="6" w:space="0" w:color="auto"/>
              <w:bottom w:val="single" w:sz="6" w:space="0" w:color="auto"/>
              <w:right w:val="single" w:sz="6" w:space="0" w:color="auto"/>
            </w:tcBorders>
            <w:vAlign w:val="center"/>
          </w:tcPr>
          <w:p w14:paraId="57F2FE61"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6.25</w:t>
            </w:r>
          </w:p>
        </w:tc>
        <w:tc>
          <w:tcPr>
            <w:tcW w:w="913" w:type="dxa"/>
            <w:tcBorders>
              <w:top w:val="single" w:sz="6" w:space="0" w:color="auto"/>
              <w:left w:val="single" w:sz="6" w:space="0" w:color="auto"/>
              <w:bottom w:val="single" w:sz="6" w:space="0" w:color="auto"/>
              <w:right w:val="single" w:sz="6" w:space="0" w:color="auto"/>
            </w:tcBorders>
            <w:vAlign w:val="center"/>
          </w:tcPr>
          <w:p w14:paraId="2015B7C4"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0.025</w:t>
            </w:r>
          </w:p>
        </w:tc>
        <w:tc>
          <w:tcPr>
            <w:tcW w:w="911" w:type="dxa"/>
            <w:tcBorders>
              <w:top w:val="single" w:sz="6" w:space="0" w:color="auto"/>
              <w:left w:val="single" w:sz="6" w:space="0" w:color="auto"/>
              <w:bottom w:val="single" w:sz="6" w:space="0" w:color="auto"/>
              <w:right w:val="single" w:sz="6" w:space="0" w:color="auto"/>
            </w:tcBorders>
            <w:vAlign w:val="center"/>
          </w:tcPr>
          <w:p w14:paraId="7C379C96"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6.92</w:t>
            </w:r>
          </w:p>
        </w:tc>
        <w:tc>
          <w:tcPr>
            <w:tcW w:w="913" w:type="dxa"/>
            <w:tcBorders>
              <w:top w:val="single" w:sz="6" w:space="0" w:color="auto"/>
              <w:left w:val="single" w:sz="6" w:space="0" w:color="auto"/>
              <w:bottom w:val="single" w:sz="6" w:space="0" w:color="auto"/>
              <w:right w:val="single" w:sz="6" w:space="0" w:color="auto"/>
            </w:tcBorders>
            <w:vAlign w:val="center"/>
          </w:tcPr>
          <w:p w14:paraId="7C7F2425"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0.06</w:t>
            </w:r>
            <w:r>
              <w:rPr>
                <w:rFonts w:ascii="Times New Roman" w:eastAsia="宋体" w:hAnsi="Times New Roman" w:cs="Times New Roman" w:hint="eastAsia"/>
                <w:kern w:val="0"/>
                <w:szCs w:val="21"/>
                <w:lang w:bidi="ar"/>
              </w:rPr>
              <w:t>8</w:t>
            </w:r>
          </w:p>
        </w:tc>
        <w:tc>
          <w:tcPr>
            <w:tcW w:w="915" w:type="dxa"/>
            <w:tcBorders>
              <w:top w:val="single" w:sz="6" w:space="0" w:color="auto"/>
              <w:left w:val="single" w:sz="6" w:space="0" w:color="auto"/>
              <w:bottom w:val="single" w:sz="6" w:space="0" w:color="auto"/>
              <w:right w:val="single" w:sz="6" w:space="0" w:color="auto"/>
            </w:tcBorders>
            <w:vAlign w:val="center"/>
          </w:tcPr>
          <w:p w14:paraId="349A90CF"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6.64</w:t>
            </w:r>
          </w:p>
        </w:tc>
        <w:tc>
          <w:tcPr>
            <w:tcW w:w="891" w:type="dxa"/>
            <w:tcBorders>
              <w:top w:val="single" w:sz="6" w:space="0" w:color="auto"/>
              <w:left w:val="single" w:sz="6" w:space="0" w:color="auto"/>
              <w:bottom w:val="single" w:sz="6" w:space="0" w:color="auto"/>
              <w:right w:val="single" w:sz="6" w:space="0" w:color="auto"/>
            </w:tcBorders>
            <w:vAlign w:val="center"/>
          </w:tcPr>
          <w:p w14:paraId="28B2284C" w14:textId="77777777" w:rsidR="00D12939" w:rsidRDefault="004F47F5">
            <w:pPr>
              <w:widowControl/>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0.026</w:t>
            </w:r>
          </w:p>
        </w:tc>
        <w:tc>
          <w:tcPr>
            <w:tcW w:w="891" w:type="dxa"/>
            <w:tcBorders>
              <w:top w:val="single" w:sz="6" w:space="0" w:color="auto"/>
              <w:left w:val="single" w:sz="6" w:space="0" w:color="auto"/>
              <w:bottom w:val="single" w:sz="6" w:space="0" w:color="auto"/>
              <w:right w:val="single" w:sz="6" w:space="0" w:color="auto"/>
            </w:tcBorders>
            <w:vAlign w:val="center"/>
          </w:tcPr>
          <w:p w14:paraId="55C0AFF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12" w:space="0" w:color="auto"/>
            </w:tcBorders>
            <w:vAlign w:val="center"/>
          </w:tcPr>
          <w:p w14:paraId="5C2AA39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250</w:t>
            </w:r>
          </w:p>
        </w:tc>
      </w:tr>
      <w:tr w:rsidR="00D12939" w14:paraId="10B96564" w14:textId="77777777">
        <w:trPr>
          <w:trHeight w:val="323"/>
          <w:jc w:val="center"/>
        </w:trPr>
        <w:tc>
          <w:tcPr>
            <w:tcW w:w="1235" w:type="dxa"/>
            <w:vMerge/>
            <w:tcBorders>
              <w:left w:val="single" w:sz="12" w:space="0" w:color="auto"/>
              <w:right w:val="single" w:sz="6" w:space="0" w:color="auto"/>
            </w:tcBorders>
            <w:vAlign w:val="center"/>
          </w:tcPr>
          <w:p w14:paraId="0C6E04A8"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73B553C1"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亚硝酸盐（以</w:t>
            </w:r>
            <w:r>
              <w:rPr>
                <w:rFonts w:ascii="Times New Roman" w:hAnsi="Times New Roman"/>
                <w:kern w:val="2"/>
                <w:sz w:val="21"/>
                <w:szCs w:val="21"/>
                <w:lang w:eastAsia="zh-CN"/>
              </w:rPr>
              <w:t xml:space="preserve"> N </w:t>
            </w:r>
            <w:r>
              <w:rPr>
                <w:rFonts w:ascii="Times New Roman" w:hAnsi="Times New Roman"/>
                <w:kern w:val="2"/>
                <w:sz w:val="21"/>
                <w:szCs w:val="21"/>
                <w:lang w:eastAsia="zh-CN"/>
              </w:rPr>
              <w:t>计）</w:t>
            </w:r>
          </w:p>
        </w:tc>
        <w:tc>
          <w:tcPr>
            <w:tcW w:w="1230" w:type="dxa"/>
            <w:tcBorders>
              <w:top w:val="single" w:sz="6" w:space="0" w:color="auto"/>
              <w:left w:val="single" w:sz="6" w:space="0" w:color="auto"/>
              <w:bottom w:val="single" w:sz="6" w:space="0" w:color="auto"/>
              <w:right w:val="single" w:sz="6" w:space="0" w:color="auto"/>
            </w:tcBorders>
            <w:vAlign w:val="center"/>
          </w:tcPr>
          <w:p w14:paraId="0E5B1232"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0.003ND</w:t>
            </w:r>
          </w:p>
        </w:tc>
        <w:tc>
          <w:tcPr>
            <w:tcW w:w="911" w:type="dxa"/>
            <w:tcBorders>
              <w:top w:val="single" w:sz="6" w:space="0" w:color="auto"/>
              <w:left w:val="single" w:sz="6" w:space="0" w:color="auto"/>
              <w:bottom w:val="single" w:sz="6" w:space="0" w:color="auto"/>
              <w:right w:val="single" w:sz="6" w:space="0" w:color="auto"/>
            </w:tcBorders>
            <w:vAlign w:val="center"/>
          </w:tcPr>
          <w:p w14:paraId="56D5BE0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60E8501C"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0.003ND</w:t>
            </w:r>
          </w:p>
        </w:tc>
        <w:tc>
          <w:tcPr>
            <w:tcW w:w="911" w:type="dxa"/>
            <w:tcBorders>
              <w:top w:val="single" w:sz="6" w:space="0" w:color="auto"/>
              <w:left w:val="single" w:sz="6" w:space="0" w:color="auto"/>
              <w:bottom w:val="single" w:sz="6" w:space="0" w:color="auto"/>
              <w:right w:val="single" w:sz="6" w:space="0" w:color="auto"/>
            </w:tcBorders>
            <w:vAlign w:val="center"/>
          </w:tcPr>
          <w:p w14:paraId="4B56312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44A80C4B"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0.003ND</w:t>
            </w:r>
          </w:p>
        </w:tc>
        <w:tc>
          <w:tcPr>
            <w:tcW w:w="913" w:type="dxa"/>
            <w:tcBorders>
              <w:top w:val="single" w:sz="6" w:space="0" w:color="auto"/>
              <w:left w:val="single" w:sz="6" w:space="0" w:color="auto"/>
              <w:bottom w:val="single" w:sz="6" w:space="0" w:color="auto"/>
              <w:right w:val="single" w:sz="12" w:space="0" w:color="auto"/>
            </w:tcBorders>
            <w:vAlign w:val="center"/>
          </w:tcPr>
          <w:p w14:paraId="7DEC676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714778D6"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0.003ND</w:t>
            </w:r>
          </w:p>
        </w:tc>
        <w:tc>
          <w:tcPr>
            <w:tcW w:w="913" w:type="dxa"/>
            <w:tcBorders>
              <w:top w:val="single" w:sz="6" w:space="0" w:color="auto"/>
              <w:left w:val="single" w:sz="6" w:space="0" w:color="auto"/>
              <w:bottom w:val="single" w:sz="6" w:space="0" w:color="auto"/>
              <w:right w:val="single" w:sz="6" w:space="0" w:color="auto"/>
            </w:tcBorders>
            <w:vAlign w:val="center"/>
          </w:tcPr>
          <w:p w14:paraId="5DF3A05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665B8B36"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0.003ND</w:t>
            </w:r>
          </w:p>
        </w:tc>
        <w:tc>
          <w:tcPr>
            <w:tcW w:w="891" w:type="dxa"/>
            <w:tcBorders>
              <w:top w:val="single" w:sz="6" w:space="0" w:color="auto"/>
              <w:left w:val="single" w:sz="6" w:space="0" w:color="auto"/>
              <w:bottom w:val="single" w:sz="6" w:space="0" w:color="auto"/>
              <w:right w:val="single" w:sz="6" w:space="0" w:color="auto"/>
            </w:tcBorders>
            <w:vAlign w:val="center"/>
          </w:tcPr>
          <w:p w14:paraId="60F893B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3B48ED4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77C30C3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1.0</w:t>
            </w:r>
          </w:p>
        </w:tc>
      </w:tr>
      <w:tr w:rsidR="00D12939" w14:paraId="344B5659" w14:textId="77777777">
        <w:trPr>
          <w:trHeight w:val="323"/>
          <w:jc w:val="center"/>
        </w:trPr>
        <w:tc>
          <w:tcPr>
            <w:tcW w:w="1235" w:type="dxa"/>
            <w:vMerge/>
            <w:tcBorders>
              <w:left w:val="single" w:sz="12" w:space="0" w:color="auto"/>
              <w:right w:val="single" w:sz="6" w:space="0" w:color="auto"/>
            </w:tcBorders>
            <w:vAlign w:val="center"/>
          </w:tcPr>
          <w:p w14:paraId="33737017"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6E9FF61F"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挥发性酚类（以苯酚计）</w:t>
            </w:r>
          </w:p>
        </w:tc>
        <w:tc>
          <w:tcPr>
            <w:tcW w:w="1230" w:type="dxa"/>
            <w:tcBorders>
              <w:top w:val="single" w:sz="6" w:space="0" w:color="auto"/>
              <w:left w:val="single" w:sz="6" w:space="0" w:color="auto"/>
              <w:bottom w:val="single" w:sz="6" w:space="0" w:color="auto"/>
              <w:right w:val="single" w:sz="6" w:space="0" w:color="auto"/>
            </w:tcBorders>
            <w:vAlign w:val="center"/>
          </w:tcPr>
          <w:p w14:paraId="09B20651"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911" w:type="dxa"/>
            <w:tcBorders>
              <w:top w:val="single" w:sz="6" w:space="0" w:color="auto"/>
              <w:left w:val="single" w:sz="6" w:space="0" w:color="auto"/>
              <w:bottom w:val="single" w:sz="6" w:space="0" w:color="auto"/>
              <w:right w:val="single" w:sz="6" w:space="0" w:color="auto"/>
            </w:tcBorders>
            <w:vAlign w:val="center"/>
          </w:tcPr>
          <w:p w14:paraId="0DA8F91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2667B806"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911" w:type="dxa"/>
            <w:tcBorders>
              <w:top w:val="single" w:sz="6" w:space="0" w:color="auto"/>
              <w:left w:val="single" w:sz="6" w:space="0" w:color="auto"/>
              <w:bottom w:val="single" w:sz="6" w:space="0" w:color="auto"/>
              <w:right w:val="single" w:sz="6" w:space="0" w:color="auto"/>
            </w:tcBorders>
            <w:vAlign w:val="center"/>
          </w:tcPr>
          <w:p w14:paraId="740B968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7B9A4C12"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913" w:type="dxa"/>
            <w:tcBorders>
              <w:top w:val="single" w:sz="6" w:space="0" w:color="auto"/>
              <w:left w:val="single" w:sz="6" w:space="0" w:color="auto"/>
              <w:bottom w:val="single" w:sz="6" w:space="0" w:color="auto"/>
              <w:right w:val="single" w:sz="12" w:space="0" w:color="auto"/>
            </w:tcBorders>
            <w:vAlign w:val="center"/>
          </w:tcPr>
          <w:p w14:paraId="6965542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6F599775"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913" w:type="dxa"/>
            <w:tcBorders>
              <w:top w:val="single" w:sz="6" w:space="0" w:color="auto"/>
              <w:left w:val="single" w:sz="6" w:space="0" w:color="auto"/>
              <w:bottom w:val="single" w:sz="6" w:space="0" w:color="auto"/>
              <w:right w:val="single" w:sz="6" w:space="0" w:color="auto"/>
            </w:tcBorders>
            <w:vAlign w:val="center"/>
          </w:tcPr>
          <w:p w14:paraId="5B144E0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35032DF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891" w:type="dxa"/>
            <w:tcBorders>
              <w:top w:val="single" w:sz="6" w:space="0" w:color="auto"/>
              <w:left w:val="single" w:sz="6" w:space="0" w:color="auto"/>
              <w:bottom w:val="single" w:sz="6" w:space="0" w:color="auto"/>
              <w:right w:val="single" w:sz="6" w:space="0" w:color="auto"/>
            </w:tcBorders>
            <w:vAlign w:val="center"/>
          </w:tcPr>
          <w:p w14:paraId="5606AC5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590DDF5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043D073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0.002</w:t>
            </w:r>
          </w:p>
        </w:tc>
      </w:tr>
      <w:tr w:rsidR="00D12939" w14:paraId="3004FEBA" w14:textId="77777777">
        <w:trPr>
          <w:trHeight w:val="323"/>
          <w:jc w:val="center"/>
        </w:trPr>
        <w:tc>
          <w:tcPr>
            <w:tcW w:w="1235" w:type="dxa"/>
            <w:vMerge/>
            <w:tcBorders>
              <w:left w:val="single" w:sz="12" w:space="0" w:color="auto"/>
              <w:right w:val="single" w:sz="6" w:space="0" w:color="auto"/>
            </w:tcBorders>
            <w:vAlign w:val="center"/>
          </w:tcPr>
          <w:p w14:paraId="493C6E19"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2E587FC9"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氰化物</w:t>
            </w:r>
          </w:p>
        </w:tc>
        <w:tc>
          <w:tcPr>
            <w:tcW w:w="1230" w:type="dxa"/>
            <w:tcBorders>
              <w:top w:val="single" w:sz="6" w:space="0" w:color="auto"/>
              <w:left w:val="single" w:sz="6" w:space="0" w:color="auto"/>
              <w:bottom w:val="single" w:sz="6" w:space="0" w:color="auto"/>
              <w:right w:val="single" w:sz="6" w:space="0" w:color="auto"/>
            </w:tcBorders>
            <w:vAlign w:val="center"/>
          </w:tcPr>
          <w:p w14:paraId="142B1F8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0.002ND</w:t>
            </w:r>
          </w:p>
        </w:tc>
        <w:tc>
          <w:tcPr>
            <w:tcW w:w="911" w:type="dxa"/>
            <w:tcBorders>
              <w:top w:val="single" w:sz="6" w:space="0" w:color="auto"/>
              <w:left w:val="single" w:sz="6" w:space="0" w:color="auto"/>
              <w:bottom w:val="single" w:sz="6" w:space="0" w:color="auto"/>
              <w:right w:val="single" w:sz="6" w:space="0" w:color="auto"/>
            </w:tcBorders>
            <w:vAlign w:val="center"/>
          </w:tcPr>
          <w:p w14:paraId="5565724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2FDD1D41"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0.002ND</w:t>
            </w:r>
          </w:p>
        </w:tc>
        <w:tc>
          <w:tcPr>
            <w:tcW w:w="911" w:type="dxa"/>
            <w:tcBorders>
              <w:top w:val="single" w:sz="6" w:space="0" w:color="auto"/>
              <w:left w:val="single" w:sz="6" w:space="0" w:color="auto"/>
              <w:bottom w:val="single" w:sz="6" w:space="0" w:color="auto"/>
              <w:right w:val="single" w:sz="6" w:space="0" w:color="auto"/>
            </w:tcBorders>
            <w:vAlign w:val="center"/>
          </w:tcPr>
          <w:p w14:paraId="50B800D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3E04CA6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0.002ND</w:t>
            </w:r>
          </w:p>
        </w:tc>
        <w:tc>
          <w:tcPr>
            <w:tcW w:w="913" w:type="dxa"/>
            <w:tcBorders>
              <w:top w:val="single" w:sz="6" w:space="0" w:color="auto"/>
              <w:left w:val="single" w:sz="6" w:space="0" w:color="auto"/>
              <w:bottom w:val="single" w:sz="6" w:space="0" w:color="auto"/>
              <w:right w:val="single" w:sz="12" w:space="0" w:color="auto"/>
            </w:tcBorders>
            <w:vAlign w:val="center"/>
          </w:tcPr>
          <w:p w14:paraId="58D51E1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02F0484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0.002ND</w:t>
            </w:r>
          </w:p>
        </w:tc>
        <w:tc>
          <w:tcPr>
            <w:tcW w:w="913" w:type="dxa"/>
            <w:tcBorders>
              <w:top w:val="single" w:sz="6" w:space="0" w:color="auto"/>
              <w:left w:val="single" w:sz="6" w:space="0" w:color="auto"/>
              <w:bottom w:val="single" w:sz="6" w:space="0" w:color="auto"/>
              <w:right w:val="single" w:sz="6" w:space="0" w:color="auto"/>
            </w:tcBorders>
            <w:vAlign w:val="center"/>
          </w:tcPr>
          <w:p w14:paraId="571273A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79ECE5E0"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0.002ND</w:t>
            </w:r>
          </w:p>
        </w:tc>
        <w:tc>
          <w:tcPr>
            <w:tcW w:w="891" w:type="dxa"/>
            <w:tcBorders>
              <w:top w:val="single" w:sz="6" w:space="0" w:color="auto"/>
              <w:left w:val="single" w:sz="6" w:space="0" w:color="auto"/>
              <w:bottom w:val="single" w:sz="6" w:space="0" w:color="auto"/>
              <w:right w:val="single" w:sz="6" w:space="0" w:color="auto"/>
            </w:tcBorders>
            <w:vAlign w:val="center"/>
          </w:tcPr>
          <w:p w14:paraId="103BC96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60AA0DD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76E0FAD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0.05</w:t>
            </w:r>
          </w:p>
        </w:tc>
      </w:tr>
      <w:tr w:rsidR="00D12939" w14:paraId="25FAAFC0" w14:textId="77777777">
        <w:trPr>
          <w:trHeight w:val="323"/>
          <w:jc w:val="center"/>
        </w:trPr>
        <w:tc>
          <w:tcPr>
            <w:tcW w:w="1235" w:type="dxa"/>
            <w:vMerge/>
            <w:tcBorders>
              <w:left w:val="single" w:sz="12" w:space="0" w:color="auto"/>
              <w:right w:val="single" w:sz="6" w:space="0" w:color="auto"/>
            </w:tcBorders>
            <w:vAlign w:val="center"/>
          </w:tcPr>
          <w:p w14:paraId="4AACE496"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65CA1F1D"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砷</w:t>
            </w:r>
          </w:p>
        </w:tc>
        <w:tc>
          <w:tcPr>
            <w:tcW w:w="1230" w:type="dxa"/>
            <w:tcBorders>
              <w:top w:val="single" w:sz="6" w:space="0" w:color="auto"/>
              <w:left w:val="single" w:sz="6" w:space="0" w:color="auto"/>
              <w:bottom w:val="single" w:sz="6" w:space="0" w:color="auto"/>
              <w:right w:val="single" w:sz="6" w:space="0" w:color="auto"/>
            </w:tcBorders>
            <w:vAlign w:val="center"/>
          </w:tcPr>
          <w:p w14:paraId="16188676"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911" w:type="dxa"/>
            <w:tcBorders>
              <w:top w:val="single" w:sz="6" w:space="0" w:color="auto"/>
              <w:left w:val="single" w:sz="6" w:space="0" w:color="auto"/>
              <w:bottom w:val="single" w:sz="6" w:space="0" w:color="auto"/>
              <w:right w:val="single" w:sz="6" w:space="0" w:color="auto"/>
            </w:tcBorders>
            <w:vAlign w:val="center"/>
          </w:tcPr>
          <w:p w14:paraId="45EB180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6706E451"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911" w:type="dxa"/>
            <w:tcBorders>
              <w:top w:val="single" w:sz="6" w:space="0" w:color="auto"/>
              <w:left w:val="single" w:sz="6" w:space="0" w:color="auto"/>
              <w:bottom w:val="single" w:sz="6" w:space="0" w:color="auto"/>
              <w:right w:val="single" w:sz="6" w:space="0" w:color="auto"/>
            </w:tcBorders>
            <w:vAlign w:val="center"/>
          </w:tcPr>
          <w:p w14:paraId="0E71F4B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44C5923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913" w:type="dxa"/>
            <w:tcBorders>
              <w:top w:val="single" w:sz="6" w:space="0" w:color="auto"/>
              <w:left w:val="single" w:sz="6" w:space="0" w:color="auto"/>
              <w:bottom w:val="single" w:sz="6" w:space="0" w:color="auto"/>
              <w:right w:val="single" w:sz="12" w:space="0" w:color="auto"/>
            </w:tcBorders>
            <w:vAlign w:val="center"/>
          </w:tcPr>
          <w:p w14:paraId="6A86B58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4CEFA1D6"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913" w:type="dxa"/>
            <w:tcBorders>
              <w:top w:val="single" w:sz="6" w:space="0" w:color="auto"/>
              <w:left w:val="single" w:sz="6" w:space="0" w:color="auto"/>
              <w:bottom w:val="single" w:sz="6" w:space="0" w:color="auto"/>
              <w:right w:val="single" w:sz="6" w:space="0" w:color="auto"/>
            </w:tcBorders>
            <w:vAlign w:val="center"/>
          </w:tcPr>
          <w:p w14:paraId="202070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17923FB5"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0.0003ND</w:t>
            </w:r>
          </w:p>
        </w:tc>
        <w:tc>
          <w:tcPr>
            <w:tcW w:w="891" w:type="dxa"/>
            <w:tcBorders>
              <w:top w:val="single" w:sz="6" w:space="0" w:color="auto"/>
              <w:left w:val="single" w:sz="6" w:space="0" w:color="auto"/>
              <w:bottom w:val="single" w:sz="6" w:space="0" w:color="auto"/>
              <w:right w:val="single" w:sz="6" w:space="0" w:color="auto"/>
            </w:tcBorders>
            <w:vAlign w:val="center"/>
          </w:tcPr>
          <w:p w14:paraId="60A2C0F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5ED0D49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0C79569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0.01</w:t>
            </w:r>
          </w:p>
        </w:tc>
      </w:tr>
      <w:tr w:rsidR="00D12939" w14:paraId="720EE9CB" w14:textId="77777777">
        <w:trPr>
          <w:trHeight w:val="323"/>
          <w:jc w:val="center"/>
        </w:trPr>
        <w:tc>
          <w:tcPr>
            <w:tcW w:w="1235" w:type="dxa"/>
            <w:vMerge/>
            <w:tcBorders>
              <w:left w:val="single" w:sz="12" w:space="0" w:color="auto"/>
              <w:right w:val="single" w:sz="6" w:space="0" w:color="auto"/>
            </w:tcBorders>
            <w:vAlign w:val="center"/>
          </w:tcPr>
          <w:p w14:paraId="1D351FA2"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1A0B5D40"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铅</w:t>
            </w:r>
          </w:p>
        </w:tc>
        <w:tc>
          <w:tcPr>
            <w:tcW w:w="1230" w:type="dxa"/>
            <w:tcBorders>
              <w:top w:val="single" w:sz="6" w:space="0" w:color="auto"/>
              <w:left w:val="single" w:sz="6" w:space="0" w:color="auto"/>
              <w:bottom w:val="single" w:sz="6" w:space="0" w:color="auto"/>
              <w:right w:val="single" w:sz="6" w:space="0" w:color="auto"/>
            </w:tcBorders>
            <w:vAlign w:val="center"/>
          </w:tcPr>
          <w:p w14:paraId="41051A1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0.0025ND</w:t>
            </w:r>
          </w:p>
        </w:tc>
        <w:tc>
          <w:tcPr>
            <w:tcW w:w="911" w:type="dxa"/>
            <w:tcBorders>
              <w:top w:val="single" w:sz="6" w:space="0" w:color="auto"/>
              <w:left w:val="single" w:sz="6" w:space="0" w:color="auto"/>
              <w:bottom w:val="single" w:sz="6" w:space="0" w:color="auto"/>
              <w:right w:val="single" w:sz="6" w:space="0" w:color="auto"/>
            </w:tcBorders>
            <w:vAlign w:val="center"/>
          </w:tcPr>
          <w:p w14:paraId="7BC6ED3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1988849F"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0.0025ND</w:t>
            </w:r>
          </w:p>
        </w:tc>
        <w:tc>
          <w:tcPr>
            <w:tcW w:w="911" w:type="dxa"/>
            <w:tcBorders>
              <w:top w:val="single" w:sz="6" w:space="0" w:color="auto"/>
              <w:left w:val="single" w:sz="6" w:space="0" w:color="auto"/>
              <w:bottom w:val="single" w:sz="6" w:space="0" w:color="auto"/>
              <w:right w:val="single" w:sz="6" w:space="0" w:color="auto"/>
            </w:tcBorders>
            <w:vAlign w:val="center"/>
          </w:tcPr>
          <w:p w14:paraId="25548F9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381681A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0.0025ND</w:t>
            </w:r>
          </w:p>
        </w:tc>
        <w:tc>
          <w:tcPr>
            <w:tcW w:w="913" w:type="dxa"/>
            <w:tcBorders>
              <w:top w:val="single" w:sz="6" w:space="0" w:color="auto"/>
              <w:left w:val="single" w:sz="6" w:space="0" w:color="auto"/>
              <w:bottom w:val="single" w:sz="6" w:space="0" w:color="auto"/>
              <w:right w:val="single" w:sz="12" w:space="0" w:color="auto"/>
            </w:tcBorders>
            <w:vAlign w:val="center"/>
          </w:tcPr>
          <w:p w14:paraId="5278DB0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017782F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0.0025ND</w:t>
            </w:r>
          </w:p>
        </w:tc>
        <w:tc>
          <w:tcPr>
            <w:tcW w:w="913" w:type="dxa"/>
            <w:tcBorders>
              <w:top w:val="single" w:sz="6" w:space="0" w:color="auto"/>
              <w:left w:val="single" w:sz="6" w:space="0" w:color="auto"/>
              <w:bottom w:val="single" w:sz="6" w:space="0" w:color="auto"/>
              <w:right w:val="single" w:sz="6" w:space="0" w:color="auto"/>
            </w:tcBorders>
            <w:vAlign w:val="center"/>
          </w:tcPr>
          <w:p w14:paraId="60E74AD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242FEF08"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0.0025ND</w:t>
            </w:r>
          </w:p>
        </w:tc>
        <w:tc>
          <w:tcPr>
            <w:tcW w:w="891" w:type="dxa"/>
            <w:tcBorders>
              <w:top w:val="single" w:sz="6" w:space="0" w:color="auto"/>
              <w:left w:val="single" w:sz="6" w:space="0" w:color="auto"/>
              <w:bottom w:val="single" w:sz="6" w:space="0" w:color="auto"/>
              <w:right w:val="single" w:sz="6" w:space="0" w:color="auto"/>
            </w:tcBorders>
            <w:vAlign w:val="center"/>
          </w:tcPr>
          <w:p w14:paraId="5DF1D6A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21C5A3B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3626301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0.01</w:t>
            </w:r>
          </w:p>
        </w:tc>
      </w:tr>
      <w:tr w:rsidR="00D12939" w14:paraId="24977F83" w14:textId="77777777">
        <w:trPr>
          <w:trHeight w:val="323"/>
          <w:jc w:val="center"/>
        </w:trPr>
        <w:tc>
          <w:tcPr>
            <w:tcW w:w="1235" w:type="dxa"/>
            <w:vMerge/>
            <w:tcBorders>
              <w:left w:val="single" w:sz="12" w:space="0" w:color="auto"/>
              <w:right w:val="single" w:sz="6" w:space="0" w:color="auto"/>
            </w:tcBorders>
            <w:vAlign w:val="center"/>
          </w:tcPr>
          <w:p w14:paraId="412C06FC"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5114BD4C"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六价铬</w:t>
            </w:r>
          </w:p>
        </w:tc>
        <w:tc>
          <w:tcPr>
            <w:tcW w:w="1230" w:type="dxa"/>
            <w:tcBorders>
              <w:top w:val="single" w:sz="6" w:space="0" w:color="auto"/>
              <w:left w:val="single" w:sz="6" w:space="0" w:color="auto"/>
              <w:bottom w:val="single" w:sz="6" w:space="0" w:color="auto"/>
              <w:right w:val="single" w:sz="6" w:space="0" w:color="auto"/>
            </w:tcBorders>
            <w:vAlign w:val="center"/>
          </w:tcPr>
          <w:p w14:paraId="23AEFEF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0.001ND</w:t>
            </w:r>
          </w:p>
        </w:tc>
        <w:tc>
          <w:tcPr>
            <w:tcW w:w="911" w:type="dxa"/>
            <w:tcBorders>
              <w:top w:val="single" w:sz="6" w:space="0" w:color="auto"/>
              <w:left w:val="single" w:sz="6" w:space="0" w:color="auto"/>
              <w:bottom w:val="single" w:sz="6" w:space="0" w:color="auto"/>
              <w:right w:val="single" w:sz="6" w:space="0" w:color="auto"/>
            </w:tcBorders>
            <w:vAlign w:val="center"/>
          </w:tcPr>
          <w:p w14:paraId="0B77912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0508A66B"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w:t>
            </w:r>
          </w:p>
        </w:tc>
        <w:tc>
          <w:tcPr>
            <w:tcW w:w="911" w:type="dxa"/>
            <w:tcBorders>
              <w:top w:val="single" w:sz="6" w:space="0" w:color="auto"/>
              <w:left w:val="single" w:sz="6" w:space="0" w:color="auto"/>
              <w:bottom w:val="single" w:sz="6" w:space="0" w:color="auto"/>
              <w:right w:val="single" w:sz="6" w:space="0" w:color="auto"/>
            </w:tcBorders>
            <w:vAlign w:val="center"/>
          </w:tcPr>
          <w:p w14:paraId="37E5062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6829D13E"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w:t>
            </w:r>
          </w:p>
        </w:tc>
        <w:tc>
          <w:tcPr>
            <w:tcW w:w="913" w:type="dxa"/>
            <w:tcBorders>
              <w:top w:val="single" w:sz="6" w:space="0" w:color="auto"/>
              <w:left w:val="single" w:sz="6" w:space="0" w:color="auto"/>
              <w:bottom w:val="single" w:sz="6" w:space="0" w:color="auto"/>
              <w:right w:val="single" w:sz="12" w:space="0" w:color="auto"/>
            </w:tcBorders>
            <w:vAlign w:val="center"/>
          </w:tcPr>
          <w:p w14:paraId="274D37E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58656BFB"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0.001ND</w:t>
            </w:r>
          </w:p>
        </w:tc>
        <w:tc>
          <w:tcPr>
            <w:tcW w:w="913" w:type="dxa"/>
            <w:tcBorders>
              <w:top w:val="single" w:sz="6" w:space="0" w:color="auto"/>
              <w:left w:val="single" w:sz="6" w:space="0" w:color="auto"/>
              <w:bottom w:val="single" w:sz="6" w:space="0" w:color="auto"/>
              <w:right w:val="single" w:sz="6" w:space="0" w:color="auto"/>
            </w:tcBorders>
            <w:vAlign w:val="center"/>
          </w:tcPr>
          <w:p w14:paraId="45EC73B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1B1F42A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0.002</w:t>
            </w:r>
          </w:p>
        </w:tc>
        <w:tc>
          <w:tcPr>
            <w:tcW w:w="891" w:type="dxa"/>
            <w:tcBorders>
              <w:top w:val="single" w:sz="6" w:space="0" w:color="auto"/>
              <w:left w:val="single" w:sz="6" w:space="0" w:color="auto"/>
              <w:bottom w:val="single" w:sz="6" w:space="0" w:color="auto"/>
              <w:right w:val="single" w:sz="6" w:space="0" w:color="auto"/>
            </w:tcBorders>
            <w:vAlign w:val="center"/>
          </w:tcPr>
          <w:p w14:paraId="194C524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1FFDAA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617019B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0.05</w:t>
            </w:r>
          </w:p>
        </w:tc>
      </w:tr>
      <w:tr w:rsidR="00D12939" w14:paraId="4C8C4717" w14:textId="77777777">
        <w:trPr>
          <w:trHeight w:val="323"/>
          <w:jc w:val="center"/>
        </w:trPr>
        <w:tc>
          <w:tcPr>
            <w:tcW w:w="1235" w:type="dxa"/>
            <w:vMerge/>
            <w:tcBorders>
              <w:left w:val="single" w:sz="12" w:space="0" w:color="auto"/>
              <w:right w:val="single" w:sz="6" w:space="0" w:color="auto"/>
            </w:tcBorders>
            <w:vAlign w:val="center"/>
          </w:tcPr>
          <w:p w14:paraId="63038BFF"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1A1E9373"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总大肠菌群</w:t>
            </w:r>
          </w:p>
        </w:tc>
        <w:tc>
          <w:tcPr>
            <w:tcW w:w="1230" w:type="dxa"/>
            <w:tcBorders>
              <w:top w:val="single" w:sz="6" w:space="0" w:color="auto"/>
              <w:left w:val="single" w:sz="6" w:space="0" w:color="auto"/>
              <w:bottom w:val="single" w:sz="6" w:space="0" w:color="auto"/>
              <w:right w:val="single" w:sz="6" w:space="0" w:color="auto"/>
            </w:tcBorders>
            <w:vAlign w:val="center"/>
          </w:tcPr>
          <w:p w14:paraId="220B662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未检出</w:t>
            </w:r>
          </w:p>
        </w:tc>
        <w:tc>
          <w:tcPr>
            <w:tcW w:w="911" w:type="dxa"/>
            <w:tcBorders>
              <w:top w:val="single" w:sz="6" w:space="0" w:color="auto"/>
              <w:left w:val="single" w:sz="6" w:space="0" w:color="auto"/>
              <w:bottom w:val="single" w:sz="6" w:space="0" w:color="auto"/>
              <w:right w:val="single" w:sz="6" w:space="0" w:color="auto"/>
            </w:tcBorders>
            <w:vAlign w:val="center"/>
          </w:tcPr>
          <w:p w14:paraId="2A5A31D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6137F3BA"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未检出</w:t>
            </w:r>
          </w:p>
        </w:tc>
        <w:tc>
          <w:tcPr>
            <w:tcW w:w="911" w:type="dxa"/>
            <w:tcBorders>
              <w:top w:val="single" w:sz="6" w:space="0" w:color="auto"/>
              <w:left w:val="single" w:sz="6" w:space="0" w:color="auto"/>
              <w:bottom w:val="single" w:sz="6" w:space="0" w:color="auto"/>
              <w:right w:val="single" w:sz="6" w:space="0" w:color="auto"/>
            </w:tcBorders>
            <w:vAlign w:val="center"/>
          </w:tcPr>
          <w:p w14:paraId="3A8E1DD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791C3AF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未检出</w:t>
            </w:r>
          </w:p>
        </w:tc>
        <w:tc>
          <w:tcPr>
            <w:tcW w:w="913" w:type="dxa"/>
            <w:tcBorders>
              <w:top w:val="single" w:sz="6" w:space="0" w:color="auto"/>
              <w:left w:val="single" w:sz="6" w:space="0" w:color="auto"/>
              <w:bottom w:val="single" w:sz="6" w:space="0" w:color="auto"/>
              <w:right w:val="single" w:sz="12" w:space="0" w:color="auto"/>
            </w:tcBorders>
            <w:vAlign w:val="center"/>
          </w:tcPr>
          <w:p w14:paraId="4B0FF35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3DF7657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未检出</w:t>
            </w:r>
          </w:p>
        </w:tc>
        <w:tc>
          <w:tcPr>
            <w:tcW w:w="913" w:type="dxa"/>
            <w:tcBorders>
              <w:top w:val="single" w:sz="6" w:space="0" w:color="auto"/>
              <w:left w:val="single" w:sz="6" w:space="0" w:color="auto"/>
              <w:bottom w:val="single" w:sz="6" w:space="0" w:color="auto"/>
              <w:right w:val="single" w:sz="6" w:space="0" w:color="auto"/>
            </w:tcBorders>
            <w:vAlign w:val="center"/>
          </w:tcPr>
          <w:p w14:paraId="56FD432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4D06FC39"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未检出</w:t>
            </w:r>
          </w:p>
        </w:tc>
        <w:tc>
          <w:tcPr>
            <w:tcW w:w="891" w:type="dxa"/>
            <w:tcBorders>
              <w:top w:val="single" w:sz="6" w:space="0" w:color="auto"/>
              <w:left w:val="single" w:sz="6" w:space="0" w:color="auto"/>
              <w:bottom w:val="single" w:sz="6" w:space="0" w:color="auto"/>
              <w:right w:val="single" w:sz="6" w:space="0" w:color="auto"/>
            </w:tcBorders>
            <w:vAlign w:val="center"/>
          </w:tcPr>
          <w:p w14:paraId="2006FF9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4788C28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649BEAD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3.0</w:t>
            </w:r>
          </w:p>
        </w:tc>
      </w:tr>
      <w:tr w:rsidR="00D12939" w14:paraId="7B73EBFF" w14:textId="77777777">
        <w:trPr>
          <w:trHeight w:val="323"/>
          <w:jc w:val="center"/>
        </w:trPr>
        <w:tc>
          <w:tcPr>
            <w:tcW w:w="1235" w:type="dxa"/>
            <w:vMerge/>
            <w:tcBorders>
              <w:left w:val="single" w:sz="12" w:space="0" w:color="auto"/>
              <w:right w:val="single" w:sz="6" w:space="0" w:color="auto"/>
            </w:tcBorders>
            <w:vAlign w:val="center"/>
          </w:tcPr>
          <w:p w14:paraId="3C901E2A"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7FE1FECE"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菌落总数</w:t>
            </w:r>
          </w:p>
        </w:tc>
        <w:tc>
          <w:tcPr>
            <w:tcW w:w="1230" w:type="dxa"/>
            <w:tcBorders>
              <w:top w:val="single" w:sz="6" w:space="0" w:color="auto"/>
              <w:left w:val="single" w:sz="6" w:space="0" w:color="auto"/>
              <w:bottom w:val="single" w:sz="6" w:space="0" w:color="auto"/>
              <w:right w:val="single" w:sz="6" w:space="0" w:color="auto"/>
            </w:tcBorders>
            <w:vAlign w:val="center"/>
          </w:tcPr>
          <w:p w14:paraId="1BF924F7"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80</w:t>
            </w:r>
          </w:p>
        </w:tc>
        <w:tc>
          <w:tcPr>
            <w:tcW w:w="911" w:type="dxa"/>
            <w:tcBorders>
              <w:top w:val="single" w:sz="6" w:space="0" w:color="auto"/>
              <w:left w:val="single" w:sz="6" w:space="0" w:color="auto"/>
              <w:bottom w:val="single" w:sz="6" w:space="0" w:color="auto"/>
              <w:right w:val="single" w:sz="6" w:space="0" w:color="auto"/>
            </w:tcBorders>
            <w:vAlign w:val="center"/>
          </w:tcPr>
          <w:p w14:paraId="400BE29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0.8</w:t>
            </w:r>
          </w:p>
        </w:tc>
        <w:tc>
          <w:tcPr>
            <w:tcW w:w="911" w:type="dxa"/>
            <w:tcBorders>
              <w:top w:val="single" w:sz="6" w:space="0" w:color="auto"/>
              <w:left w:val="single" w:sz="6" w:space="0" w:color="auto"/>
              <w:bottom w:val="single" w:sz="6" w:space="0" w:color="auto"/>
              <w:right w:val="single" w:sz="6" w:space="0" w:color="auto"/>
            </w:tcBorders>
            <w:vAlign w:val="center"/>
          </w:tcPr>
          <w:p w14:paraId="23005994"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86</w:t>
            </w:r>
          </w:p>
        </w:tc>
        <w:tc>
          <w:tcPr>
            <w:tcW w:w="911" w:type="dxa"/>
            <w:tcBorders>
              <w:top w:val="single" w:sz="6" w:space="0" w:color="auto"/>
              <w:left w:val="single" w:sz="6" w:space="0" w:color="auto"/>
              <w:bottom w:val="single" w:sz="6" w:space="0" w:color="auto"/>
              <w:right w:val="single" w:sz="6" w:space="0" w:color="auto"/>
            </w:tcBorders>
            <w:vAlign w:val="center"/>
          </w:tcPr>
          <w:p w14:paraId="5F79485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0.86</w:t>
            </w:r>
          </w:p>
        </w:tc>
        <w:tc>
          <w:tcPr>
            <w:tcW w:w="911" w:type="dxa"/>
            <w:tcBorders>
              <w:top w:val="single" w:sz="6" w:space="0" w:color="auto"/>
              <w:left w:val="single" w:sz="6" w:space="0" w:color="auto"/>
              <w:bottom w:val="single" w:sz="6" w:space="0" w:color="auto"/>
              <w:right w:val="single" w:sz="6" w:space="0" w:color="auto"/>
            </w:tcBorders>
            <w:vAlign w:val="center"/>
          </w:tcPr>
          <w:p w14:paraId="4ADA5AE6"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76</w:t>
            </w:r>
          </w:p>
        </w:tc>
        <w:tc>
          <w:tcPr>
            <w:tcW w:w="913" w:type="dxa"/>
            <w:tcBorders>
              <w:top w:val="single" w:sz="6" w:space="0" w:color="auto"/>
              <w:left w:val="single" w:sz="6" w:space="0" w:color="auto"/>
              <w:bottom w:val="single" w:sz="6" w:space="0" w:color="auto"/>
              <w:right w:val="single" w:sz="12" w:space="0" w:color="auto"/>
            </w:tcBorders>
            <w:vAlign w:val="center"/>
          </w:tcPr>
          <w:p w14:paraId="35DE031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0.76</w:t>
            </w:r>
          </w:p>
        </w:tc>
        <w:tc>
          <w:tcPr>
            <w:tcW w:w="911" w:type="dxa"/>
            <w:tcBorders>
              <w:top w:val="single" w:sz="6" w:space="0" w:color="auto"/>
              <w:left w:val="single" w:sz="6" w:space="0" w:color="auto"/>
              <w:bottom w:val="single" w:sz="6" w:space="0" w:color="auto"/>
              <w:right w:val="single" w:sz="6" w:space="0" w:color="auto"/>
            </w:tcBorders>
            <w:vAlign w:val="center"/>
          </w:tcPr>
          <w:p w14:paraId="21298BE2"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80</w:t>
            </w:r>
          </w:p>
        </w:tc>
        <w:tc>
          <w:tcPr>
            <w:tcW w:w="913" w:type="dxa"/>
            <w:tcBorders>
              <w:top w:val="single" w:sz="6" w:space="0" w:color="auto"/>
              <w:left w:val="single" w:sz="6" w:space="0" w:color="auto"/>
              <w:bottom w:val="single" w:sz="6" w:space="0" w:color="auto"/>
              <w:right w:val="single" w:sz="6" w:space="0" w:color="auto"/>
            </w:tcBorders>
            <w:vAlign w:val="center"/>
          </w:tcPr>
          <w:p w14:paraId="51E8209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0.8</w:t>
            </w:r>
          </w:p>
        </w:tc>
        <w:tc>
          <w:tcPr>
            <w:tcW w:w="915" w:type="dxa"/>
            <w:tcBorders>
              <w:top w:val="single" w:sz="6" w:space="0" w:color="auto"/>
              <w:left w:val="single" w:sz="6" w:space="0" w:color="auto"/>
              <w:bottom w:val="single" w:sz="6" w:space="0" w:color="auto"/>
              <w:right w:val="single" w:sz="6" w:space="0" w:color="auto"/>
            </w:tcBorders>
            <w:vAlign w:val="center"/>
          </w:tcPr>
          <w:p w14:paraId="5137F3C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84</w:t>
            </w:r>
          </w:p>
        </w:tc>
        <w:tc>
          <w:tcPr>
            <w:tcW w:w="891" w:type="dxa"/>
            <w:tcBorders>
              <w:top w:val="single" w:sz="6" w:space="0" w:color="auto"/>
              <w:left w:val="single" w:sz="6" w:space="0" w:color="auto"/>
              <w:bottom w:val="single" w:sz="6" w:space="0" w:color="auto"/>
              <w:right w:val="single" w:sz="6" w:space="0" w:color="auto"/>
            </w:tcBorders>
            <w:vAlign w:val="center"/>
          </w:tcPr>
          <w:p w14:paraId="6A8F59A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0.84</w:t>
            </w:r>
          </w:p>
        </w:tc>
        <w:tc>
          <w:tcPr>
            <w:tcW w:w="891" w:type="dxa"/>
            <w:tcBorders>
              <w:top w:val="single" w:sz="6" w:space="0" w:color="auto"/>
              <w:left w:val="single" w:sz="6" w:space="0" w:color="auto"/>
              <w:bottom w:val="single" w:sz="6" w:space="0" w:color="auto"/>
              <w:right w:val="single" w:sz="6" w:space="0" w:color="auto"/>
            </w:tcBorders>
            <w:vAlign w:val="center"/>
          </w:tcPr>
          <w:p w14:paraId="187039E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24696C7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100</w:t>
            </w:r>
          </w:p>
        </w:tc>
      </w:tr>
      <w:tr w:rsidR="00D12939" w14:paraId="263B8228" w14:textId="77777777">
        <w:trPr>
          <w:trHeight w:val="323"/>
          <w:jc w:val="center"/>
        </w:trPr>
        <w:tc>
          <w:tcPr>
            <w:tcW w:w="1235" w:type="dxa"/>
            <w:vMerge/>
            <w:tcBorders>
              <w:left w:val="single" w:sz="12" w:space="0" w:color="auto"/>
              <w:bottom w:val="single" w:sz="6" w:space="0" w:color="auto"/>
              <w:right w:val="single" w:sz="6" w:space="0" w:color="auto"/>
            </w:tcBorders>
            <w:vAlign w:val="center"/>
          </w:tcPr>
          <w:p w14:paraId="293187C1" w14:textId="77777777" w:rsidR="00D12939" w:rsidRDefault="00D12939">
            <w:pPr>
              <w:jc w:val="center"/>
              <w:textAlignment w:val="center"/>
              <w:rPr>
                <w:rFonts w:ascii="Times New Roman" w:eastAsia="宋体" w:hAnsi="Times New Roman" w:cs="Times New Roman"/>
                <w:szCs w:val="21"/>
              </w:rPr>
            </w:pPr>
          </w:p>
        </w:tc>
        <w:tc>
          <w:tcPr>
            <w:tcW w:w="1716" w:type="dxa"/>
            <w:tcBorders>
              <w:top w:val="single" w:sz="6" w:space="0" w:color="auto"/>
              <w:left w:val="single" w:sz="12" w:space="0" w:color="auto"/>
              <w:bottom w:val="single" w:sz="6" w:space="0" w:color="auto"/>
              <w:right w:val="single" w:sz="6" w:space="0" w:color="auto"/>
            </w:tcBorders>
            <w:vAlign w:val="center"/>
          </w:tcPr>
          <w:p w14:paraId="6C31C32A" w14:textId="77777777" w:rsidR="00D12939" w:rsidRDefault="004F47F5">
            <w:pPr>
              <w:pStyle w:val="TableParagraph"/>
              <w:ind w:firstLineChars="0" w:firstLine="0"/>
              <w:jc w:val="center"/>
              <w:rPr>
                <w:rFonts w:ascii="Times New Roman" w:hAnsi="Times New Roman"/>
                <w:kern w:val="2"/>
                <w:sz w:val="21"/>
                <w:szCs w:val="21"/>
                <w:lang w:eastAsia="zh-CN"/>
              </w:rPr>
            </w:pPr>
            <w:r>
              <w:rPr>
                <w:rFonts w:ascii="Times New Roman" w:hAnsi="Times New Roman"/>
                <w:kern w:val="2"/>
                <w:sz w:val="21"/>
                <w:szCs w:val="21"/>
                <w:lang w:eastAsia="zh-CN"/>
              </w:rPr>
              <w:t>汞</w:t>
            </w:r>
          </w:p>
        </w:tc>
        <w:tc>
          <w:tcPr>
            <w:tcW w:w="1230" w:type="dxa"/>
            <w:tcBorders>
              <w:top w:val="single" w:sz="6" w:space="0" w:color="auto"/>
              <w:left w:val="single" w:sz="6" w:space="0" w:color="auto"/>
              <w:bottom w:val="single" w:sz="6" w:space="0" w:color="auto"/>
              <w:right w:val="single" w:sz="6" w:space="0" w:color="auto"/>
            </w:tcBorders>
            <w:vAlign w:val="center"/>
          </w:tcPr>
          <w:p w14:paraId="4C190A1C"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0.00004ND</w:t>
            </w:r>
          </w:p>
        </w:tc>
        <w:tc>
          <w:tcPr>
            <w:tcW w:w="911" w:type="dxa"/>
            <w:tcBorders>
              <w:top w:val="single" w:sz="6" w:space="0" w:color="auto"/>
              <w:left w:val="single" w:sz="6" w:space="0" w:color="auto"/>
              <w:bottom w:val="single" w:sz="6" w:space="0" w:color="auto"/>
              <w:right w:val="single" w:sz="6" w:space="0" w:color="auto"/>
            </w:tcBorders>
            <w:vAlign w:val="center"/>
          </w:tcPr>
          <w:p w14:paraId="77A5A4B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28AD0ACD"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0.00004ND</w:t>
            </w:r>
          </w:p>
        </w:tc>
        <w:tc>
          <w:tcPr>
            <w:tcW w:w="911" w:type="dxa"/>
            <w:tcBorders>
              <w:top w:val="single" w:sz="6" w:space="0" w:color="auto"/>
              <w:left w:val="single" w:sz="6" w:space="0" w:color="auto"/>
              <w:bottom w:val="single" w:sz="6" w:space="0" w:color="auto"/>
              <w:right w:val="single" w:sz="6" w:space="0" w:color="auto"/>
            </w:tcBorders>
            <w:vAlign w:val="center"/>
          </w:tcPr>
          <w:p w14:paraId="118419F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13E3E043"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0.00004ND</w:t>
            </w:r>
          </w:p>
        </w:tc>
        <w:tc>
          <w:tcPr>
            <w:tcW w:w="913" w:type="dxa"/>
            <w:tcBorders>
              <w:top w:val="single" w:sz="6" w:space="0" w:color="auto"/>
              <w:left w:val="single" w:sz="6" w:space="0" w:color="auto"/>
              <w:bottom w:val="single" w:sz="6" w:space="0" w:color="auto"/>
              <w:right w:val="single" w:sz="12" w:space="0" w:color="auto"/>
            </w:tcBorders>
            <w:vAlign w:val="center"/>
          </w:tcPr>
          <w:p w14:paraId="281F162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1" w:type="dxa"/>
            <w:tcBorders>
              <w:top w:val="single" w:sz="6" w:space="0" w:color="auto"/>
              <w:left w:val="single" w:sz="6" w:space="0" w:color="auto"/>
              <w:bottom w:val="single" w:sz="6" w:space="0" w:color="auto"/>
              <w:right w:val="single" w:sz="6" w:space="0" w:color="auto"/>
            </w:tcBorders>
            <w:vAlign w:val="center"/>
          </w:tcPr>
          <w:p w14:paraId="4BA279CA"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0.00004ND</w:t>
            </w:r>
          </w:p>
        </w:tc>
        <w:tc>
          <w:tcPr>
            <w:tcW w:w="913" w:type="dxa"/>
            <w:tcBorders>
              <w:top w:val="single" w:sz="6" w:space="0" w:color="auto"/>
              <w:left w:val="single" w:sz="6" w:space="0" w:color="auto"/>
              <w:bottom w:val="single" w:sz="6" w:space="0" w:color="auto"/>
              <w:right w:val="single" w:sz="6" w:space="0" w:color="auto"/>
            </w:tcBorders>
            <w:vAlign w:val="center"/>
          </w:tcPr>
          <w:p w14:paraId="3327122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915" w:type="dxa"/>
            <w:tcBorders>
              <w:top w:val="single" w:sz="6" w:space="0" w:color="auto"/>
              <w:left w:val="single" w:sz="6" w:space="0" w:color="auto"/>
              <w:bottom w:val="single" w:sz="6" w:space="0" w:color="auto"/>
              <w:right w:val="single" w:sz="6" w:space="0" w:color="auto"/>
            </w:tcBorders>
            <w:vAlign w:val="center"/>
          </w:tcPr>
          <w:p w14:paraId="7CEF23FF" w14:textId="77777777" w:rsidR="00D12939" w:rsidRDefault="004F47F5">
            <w:pPr>
              <w:pStyle w:val="TableParagraph"/>
              <w:ind w:firstLineChars="0" w:firstLine="0"/>
              <w:jc w:val="center"/>
              <w:rPr>
                <w:rFonts w:ascii="Times New Roman" w:hAnsi="Times New Roman"/>
                <w:sz w:val="21"/>
                <w:szCs w:val="21"/>
              </w:rPr>
            </w:pPr>
            <w:r>
              <w:rPr>
                <w:rFonts w:ascii="Times New Roman" w:hAnsi="Times New Roman"/>
                <w:sz w:val="21"/>
                <w:szCs w:val="21"/>
              </w:rPr>
              <w:t>0.00004ND</w:t>
            </w:r>
          </w:p>
        </w:tc>
        <w:tc>
          <w:tcPr>
            <w:tcW w:w="891" w:type="dxa"/>
            <w:tcBorders>
              <w:top w:val="single" w:sz="6" w:space="0" w:color="auto"/>
              <w:left w:val="single" w:sz="6" w:space="0" w:color="auto"/>
              <w:bottom w:val="single" w:sz="6" w:space="0" w:color="auto"/>
              <w:right w:val="single" w:sz="6" w:space="0" w:color="auto"/>
            </w:tcBorders>
            <w:vAlign w:val="center"/>
          </w:tcPr>
          <w:p w14:paraId="7D44EDB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891" w:type="dxa"/>
            <w:tcBorders>
              <w:top w:val="single" w:sz="6" w:space="0" w:color="auto"/>
              <w:left w:val="single" w:sz="6" w:space="0" w:color="auto"/>
              <w:bottom w:val="single" w:sz="6" w:space="0" w:color="auto"/>
              <w:right w:val="single" w:sz="6" w:space="0" w:color="auto"/>
            </w:tcBorders>
            <w:vAlign w:val="center"/>
          </w:tcPr>
          <w:p w14:paraId="585F631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mg/L</w:t>
            </w:r>
          </w:p>
        </w:tc>
        <w:tc>
          <w:tcPr>
            <w:tcW w:w="891" w:type="dxa"/>
            <w:tcBorders>
              <w:top w:val="single" w:sz="6" w:space="0" w:color="auto"/>
              <w:left w:val="single" w:sz="6" w:space="0" w:color="auto"/>
              <w:bottom w:val="single" w:sz="6" w:space="0" w:color="auto"/>
              <w:right w:val="single" w:sz="6" w:space="0" w:color="auto"/>
            </w:tcBorders>
            <w:vAlign w:val="center"/>
          </w:tcPr>
          <w:p w14:paraId="5E6A11D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0.001</w:t>
            </w:r>
          </w:p>
        </w:tc>
      </w:tr>
      <w:tr w:rsidR="00D12939" w14:paraId="72532529" w14:textId="77777777">
        <w:trPr>
          <w:trHeight w:val="323"/>
          <w:jc w:val="center"/>
        </w:trPr>
        <w:tc>
          <w:tcPr>
            <w:tcW w:w="2951" w:type="dxa"/>
            <w:gridSpan w:val="2"/>
            <w:tcBorders>
              <w:top w:val="single" w:sz="6" w:space="0" w:color="auto"/>
              <w:left w:val="single" w:sz="12" w:space="0" w:color="auto"/>
              <w:bottom w:val="single" w:sz="12" w:space="0" w:color="auto"/>
              <w:right w:val="single" w:sz="6" w:space="0" w:color="auto"/>
            </w:tcBorders>
            <w:vAlign w:val="center"/>
          </w:tcPr>
          <w:p w14:paraId="53FD0794" w14:textId="77777777" w:rsidR="00D12939" w:rsidRDefault="004F47F5">
            <w:pPr>
              <w:jc w:val="center"/>
              <w:textAlignment w:val="center"/>
              <w:rPr>
                <w:rFonts w:ascii="Times New Roman" w:eastAsia="宋体" w:hAnsi="Times New Roman" w:cs="Times New Roman"/>
                <w:szCs w:val="21"/>
              </w:rPr>
            </w:pPr>
            <w:r>
              <w:rPr>
                <w:rFonts w:ascii="Times New Roman" w:eastAsia="宋体" w:hAnsi="Times New Roman" w:cs="Times New Roman"/>
                <w:szCs w:val="21"/>
              </w:rPr>
              <w:t>八大离子平衡核算</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Pr>
                <w:rFonts w:ascii="Times New Roman" w:eastAsia="宋体" w:hAnsi="Times New Roman" w:cs="Times New Roman" w:hint="eastAsia"/>
                <w:szCs w:val="21"/>
              </w:rPr>
              <w:t>）</w:t>
            </w:r>
          </w:p>
        </w:tc>
        <w:tc>
          <w:tcPr>
            <w:tcW w:w="2141" w:type="dxa"/>
            <w:gridSpan w:val="2"/>
            <w:tcBorders>
              <w:top w:val="single" w:sz="6" w:space="0" w:color="auto"/>
              <w:left w:val="single" w:sz="6" w:space="0" w:color="auto"/>
              <w:bottom w:val="single" w:sz="12" w:space="0" w:color="auto"/>
              <w:right w:val="single" w:sz="6" w:space="0" w:color="auto"/>
            </w:tcBorders>
            <w:vAlign w:val="center"/>
          </w:tcPr>
          <w:p w14:paraId="2D18AAC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0.25</w:t>
            </w:r>
          </w:p>
        </w:tc>
        <w:tc>
          <w:tcPr>
            <w:tcW w:w="1822" w:type="dxa"/>
            <w:gridSpan w:val="2"/>
            <w:tcBorders>
              <w:top w:val="single" w:sz="6" w:space="0" w:color="auto"/>
              <w:left w:val="single" w:sz="6" w:space="0" w:color="auto"/>
              <w:bottom w:val="single" w:sz="12" w:space="0" w:color="auto"/>
              <w:right w:val="single" w:sz="6" w:space="0" w:color="auto"/>
            </w:tcBorders>
            <w:vAlign w:val="center"/>
          </w:tcPr>
          <w:p w14:paraId="265D8C3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2.63</w:t>
            </w:r>
          </w:p>
        </w:tc>
        <w:tc>
          <w:tcPr>
            <w:tcW w:w="1824" w:type="dxa"/>
            <w:gridSpan w:val="2"/>
            <w:tcBorders>
              <w:top w:val="single" w:sz="6" w:space="0" w:color="auto"/>
              <w:left w:val="single" w:sz="6" w:space="0" w:color="auto"/>
              <w:bottom w:val="single" w:sz="12" w:space="0" w:color="auto"/>
              <w:right w:val="single" w:sz="12" w:space="0" w:color="auto"/>
            </w:tcBorders>
            <w:vAlign w:val="center"/>
          </w:tcPr>
          <w:p w14:paraId="6DD8B24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1.06</w:t>
            </w:r>
          </w:p>
        </w:tc>
        <w:tc>
          <w:tcPr>
            <w:tcW w:w="1824" w:type="dxa"/>
            <w:gridSpan w:val="2"/>
            <w:tcBorders>
              <w:top w:val="single" w:sz="6" w:space="0" w:color="auto"/>
              <w:left w:val="single" w:sz="6" w:space="0" w:color="auto"/>
              <w:bottom w:val="single" w:sz="12" w:space="0" w:color="auto"/>
              <w:right w:val="single" w:sz="6" w:space="0" w:color="auto"/>
            </w:tcBorders>
            <w:vAlign w:val="center"/>
          </w:tcPr>
          <w:p w14:paraId="2D3B621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1.28</w:t>
            </w:r>
          </w:p>
        </w:tc>
        <w:tc>
          <w:tcPr>
            <w:tcW w:w="1806" w:type="dxa"/>
            <w:gridSpan w:val="2"/>
            <w:tcBorders>
              <w:top w:val="single" w:sz="6" w:space="0" w:color="auto"/>
              <w:left w:val="single" w:sz="6" w:space="0" w:color="auto"/>
              <w:bottom w:val="single" w:sz="12" w:space="0" w:color="auto"/>
              <w:right w:val="single" w:sz="6" w:space="0" w:color="auto"/>
            </w:tcBorders>
            <w:vAlign w:val="center"/>
          </w:tcPr>
          <w:p w14:paraId="5A30188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0.51</w:t>
            </w:r>
          </w:p>
        </w:tc>
        <w:tc>
          <w:tcPr>
            <w:tcW w:w="1782" w:type="dxa"/>
            <w:gridSpan w:val="2"/>
            <w:tcBorders>
              <w:top w:val="single" w:sz="6" w:space="0" w:color="auto"/>
              <w:left w:val="single" w:sz="6" w:space="0" w:color="auto"/>
              <w:bottom w:val="single" w:sz="12" w:space="0" w:color="auto"/>
              <w:right w:val="single" w:sz="6" w:space="0" w:color="auto"/>
            </w:tcBorders>
            <w:vAlign w:val="center"/>
          </w:tcPr>
          <w:p w14:paraId="0228CD2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r>
    </w:tbl>
    <w:p w14:paraId="7AC5877C" w14:textId="77777777" w:rsidR="00D12939" w:rsidRDefault="00D12939">
      <w:pPr>
        <w:jc w:val="center"/>
        <w:rPr>
          <w:rFonts w:eastAsia="黑体"/>
        </w:rPr>
      </w:pPr>
    </w:p>
    <w:p w14:paraId="06EB9F0E" w14:textId="77777777" w:rsidR="00D12939" w:rsidRDefault="00D12939">
      <w:pPr>
        <w:jc w:val="center"/>
        <w:rPr>
          <w:rFonts w:eastAsia="黑体"/>
        </w:rPr>
        <w:sectPr w:rsidR="00D12939">
          <w:pgSz w:w="16838" w:h="11906" w:orient="landscape"/>
          <w:pgMar w:top="1800" w:right="1440" w:bottom="1800" w:left="1440" w:header="851" w:footer="992" w:gutter="0"/>
          <w:cols w:space="720"/>
          <w:docGrid w:type="lines" w:linePitch="312"/>
        </w:sectPr>
      </w:pPr>
    </w:p>
    <w:p w14:paraId="18418B12" w14:textId="77777777" w:rsidR="00D12939" w:rsidRDefault="004F47F5">
      <w:pPr>
        <w:jc w:val="center"/>
        <w:rPr>
          <w:rFonts w:ascii="黑体" w:eastAsia="黑体" w:hAnsi="黑体"/>
          <w:bCs/>
          <w:sz w:val="24"/>
          <w:szCs w:val="18"/>
        </w:rPr>
      </w:pPr>
      <w:r>
        <w:rPr>
          <w:rFonts w:ascii="黑体" w:eastAsia="黑体" w:hAnsi="黑体"/>
          <w:bCs/>
          <w:sz w:val="24"/>
          <w:szCs w:val="18"/>
        </w:rPr>
        <w:lastRenderedPageBreak/>
        <w:t>表5.2-11   地下水位监测结果表</w:t>
      </w:r>
    </w:p>
    <w:tbl>
      <w:tblPr>
        <w:tblW w:w="977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598"/>
        <w:gridCol w:w="3402"/>
        <w:gridCol w:w="2775"/>
      </w:tblGrid>
      <w:tr w:rsidR="00D12939" w14:paraId="7AEAF91E" w14:textId="77777777">
        <w:trPr>
          <w:trHeight w:val="15"/>
        </w:trPr>
        <w:tc>
          <w:tcPr>
            <w:tcW w:w="3598" w:type="dxa"/>
            <w:vAlign w:val="center"/>
          </w:tcPr>
          <w:p w14:paraId="2580E0BF" w14:textId="77777777" w:rsidR="00D12939" w:rsidRDefault="004F47F5">
            <w:pPr>
              <w:spacing w:line="360" w:lineRule="exact"/>
              <w:jc w:val="center"/>
              <w:rPr>
                <w:rFonts w:ascii="Times New Roman" w:eastAsia="宋体" w:hAnsi="Times New Roman" w:cs="Times New Roman"/>
                <w:szCs w:val="21"/>
              </w:rPr>
            </w:pPr>
            <w:r>
              <w:rPr>
                <w:rFonts w:ascii="Times New Roman" w:eastAsia="宋体" w:hAnsi="Times New Roman" w:cs="Times New Roman"/>
                <w:szCs w:val="21"/>
              </w:rPr>
              <w:t>点位名称</w:t>
            </w:r>
          </w:p>
        </w:tc>
        <w:tc>
          <w:tcPr>
            <w:tcW w:w="3402" w:type="dxa"/>
            <w:vAlign w:val="center"/>
          </w:tcPr>
          <w:p w14:paraId="5C3AC37F" w14:textId="77777777" w:rsidR="00D12939" w:rsidRDefault="004F47F5">
            <w:pPr>
              <w:spacing w:line="360" w:lineRule="exact"/>
              <w:jc w:val="center"/>
              <w:textAlignment w:val="center"/>
              <w:rPr>
                <w:rFonts w:ascii="Times New Roman" w:eastAsia="宋体" w:hAnsi="Times New Roman" w:cs="Times New Roman"/>
                <w:szCs w:val="21"/>
              </w:rPr>
            </w:pPr>
            <w:r>
              <w:rPr>
                <w:rFonts w:ascii="Times New Roman" w:eastAsia="宋体" w:hAnsi="Times New Roman" w:cs="Times New Roman"/>
                <w:szCs w:val="21"/>
              </w:rPr>
              <w:t>坐标</w:t>
            </w:r>
          </w:p>
        </w:tc>
        <w:tc>
          <w:tcPr>
            <w:tcW w:w="2775" w:type="dxa"/>
            <w:vAlign w:val="center"/>
          </w:tcPr>
          <w:p w14:paraId="556ABD3F" w14:textId="77777777" w:rsidR="00D12939" w:rsidRDefault="004F47F5">
            <w:pPr>
              <w:spacing w:line="360" w:lineRule="exact"/>
              <w:jc w:val="center"/>
              <w:textAlignment w:val="center"/>
              <w:rPr>
                <w:rFonts w:ascii="Times New Roman" w:eastAsia="宋体" w:hAnsi="Times New Roman" w:cs="Times New Roman"/>
                <w:szCs w:val="21"/>
              </w:rPr>
            </w:pPr>
            <w:r>
              <w:rPr>
                <w:rFonts w:ascii="Times New Roman" w:eastAsia="宋体" w:hAnsi="Times New Roman" w:cs="Times New Roman"/>
                <w:szCs w:val="21"/>
              </w:rPr>
              <w:t>水位标高（</w:t>
            </w:r>
            <w:r>
              <w:rPr>
                <w:rFonts w:ascii="Times New Roman" w:eastAsia="宋体" w:hAnsi="Times New Roman" w:cs="Times New Roman"/>
                <w:szCs w:val="21"/>
              </w:rPr>
              <w:t>m</w:t>
            </w:r>
            <w:r>
              <w:rPr>
                <w:rFonts w:ascii="Times New Roman" w:eastAsia="宋体" w:hAnsi="Times New Roman" w:cs="Times New Roman"/>
                <w:szCs w:val="21"/>
              </w:rPr>
              <w:t>）</w:t>
            </w:r>
          </w:p>
        </w:tc>
      </w:tr>
      <w:tr w:rsidR="00D12939" w14:paraId="79A3A1DE" w14:textId="77777777">
        <w:trPr>
          <w:trHeight w:val="15"/>
        </w:trPr>
        <w:tc>
          <w:tcPr>
            <w:tcW w:w="3598" w:type="dxa"/>
            <w:vAlign w:val="center"/>
          </w:tcPr>
          <w:p w14:paraId="2363EEE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笔架山附近泉水露头</w:t>
            </w:r>
          </w:p>
        </w:tc>
        <w:tc>
          <w:tcPr>
            <w:tcW w:w="3402" w:type="dxa"/>
            <w:vAlign w:val="center"/>
          </w:tcPr>
          <w:p w14:paraId="4BD20431"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E109°13′40.54″</w:t>
            </w:r>
          </w:p>
          <w:p w14:paraId="52F79C93"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N33°39′45.09″</w:t>
            </w:r>
          </w:p>
        </w:tc>
        <w:tc>
          <w:tcPr>
            <w:tcW w:w="2775" w:type="dxa"/>
            <w:vAlign w:val="center"/>
          </w:tcPr>
          <w:p w14:paraId="003E85E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1281</w:t>
            </w:r>
          </w:p>
        </w:tc>
      </w:tr>
      <w:tr w:rsidR="00D12939" w14:paraId="2C7E1B4D" w14:textId="77777777">
        <w:trPr>
          <w:trHeight w:val="15"/>
        </w:trPr>
        <w:tc>
          <w:tcPr>
            <w:tcW w:w="3598" w:type="dxa"/>
            <w:vAlign w:val="center"/>
          </w:tcPr>
          <w:p w14:paraId="1585AF4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大六里沟附近泉水露头</w:t>
            </w:r>
          </w:p>
        </w:tc>
        <w:tc>
          <w:tcPr>
            <w:tcW w:w="3402" w:type="dxa"/>
            <w:vAlign w:val="center"/>
          </w:tcPr>
          <w:p w14:paraId="44A1C867"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E109°14′8.40″</w:t>
            </w:r>
          </w:p>
          <w:p w14:paraId="0D91E532"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N33°39′50.45″</w:t>
            </w:r>
          </w:p>
        </w:tc>
        <w:tc>
          <w:tcPr>
            <w:tcW w:w="2775" w:type="dxa"/>
            <w:vAlign w:val="center"/>
          </w:tcPr>
          <w:p w14:paraId="3112777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1304</w:t>
            </w:r>
          </w:p>
        </w:tc>
      </w:tr>
      <w:tr w:rsidR="00D12939" w14:paraId="5B0D68FB" w14:textId="77777777">
        <w:trPr>
          <w:trHeight w:val="15"/>
        </w:trPr>
        <w:tc>
          <w:tcPr>
            <w:tcW w:w="3598" w:type="dxa"/>
            <w:vAlign w:val="center"/>
          </w:tcPr>
          <w:p w14:paraId="7CEA113E"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小六里沟附近泉水露头</w:t>
            </w:r>
          </w:p>
        </w:tc>
        <w:tc>
          <w:tcPr>
            <w:tcW w:w="3402" w:type="dxa"/>
            <w:vAlign w:val="center"/>
          </w:tcPr>
          <w:p w14:paraId="3AA4612C"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E109°14′4.24″</w:t>
            </w:r>
          </w:p>
          <w:p w14:paraId="4F30B352"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N33°39′29.30″</w:t>
            </w:r>
          </w:p>
        </w:tc>
        <w:tc>
          <w:tcPr>
            <w:tcW w:w="2775" w:type="dxa"/>
            <w:vAlign w:val="center"/>
          </w:tcPr>
          <w:p w14:paraId="1A5C1E9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1294</w:t>
            </w:r>
          </w:p>
        </w:tc>
      </w:tr>
      <w:tr w:rsidR="00D12939" w14:paraId="2B13E8D8" w14:textId="77777777">
        <w:trPr>
          <w:trHeight w:val="15"/>
        </w:trPr>
        <w:tc>
          <w:tcPr>
            <w:tcW w:w="3598" w:type="dxa"/>
            <w:vAlign w:val="center"/>
          </w:tcPr>
          <w:p w14:paraId="2C8149E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皮条沟附近泉水露头</w:t>
            </w:r>
          </w:p>
        </w:tc>
        <w:tc>
          <w:tcPr>
            <w:tcW w:w="3402" w:type="dxa"/>
            <w:vAlign w:val="center"/>
          </w:tcPr>
          <w:p w14:paraId="76FC6819"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E109°14′5.07″</w:t>
            </w:r>
          </w:p>
          <w:p w14:paraId="4C3270BB"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N33°39′2.83″</w:t>
            </w:r>
          </w:p>
        </w:tc>
        <w:tc>
          <w:tcPr>
            <w:tcW w:w="2775" w:type="dxa"/>
            <w:vAlign w:val="center"/>
          </w:tcPr>
          <w:p w14:paraId="461B944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1276</w:t>
            </w:r>
          </w:p>
        </w:tc>
      </w:tr>
      <w:tr w:rsidR="00D12939" w14:paraId="3C0FFC00" w14:textId="77777777">
        <w:trPr>
          <w:trHeight w:val="15"/>
        </w:trPr>
        <w:tc>
          <w:tcPr>
            <w:tcW w:w="3598" w:type="dxa"/>
            <w:vAlign w:val="center"/>
          </w:tcPr>
          <w:p w14:paraId="35D86EC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松林村附近泉水露头</w:t>
            </w:r>
          </w:p>
        </w:tc>
        <w:tc>
          <w:tcPr>
            <w:tcW w:w="3402" w:type="dxa"/>
            <w:vAlign w:val="center"/>
          </w:tcPr>
          <w:p w14:paraId="4B1E86A2"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E109°14′21.83″</w:t>
            </w:r>
          </w:p>
          <w:p w14:paraId="6D1FD37C" w14:textId="77777777" w:rsidR="00D12939" w:rsidRDefault="004F47F5">
            <w:pPr>
              <w:spacing w:line="360" w:lineRule="exact"/>
              <w:jc w:val="center"/>
              <w:textAlignment w:val="center"/>
              <w:rPr>
                <w:rFonts w:ascii="Times New Roman" w:eastAsia="宋体" w:hAnsi="Times New Roman" w:cs="Times New Roman"/>
                <w:kern w:val="0"/>
                <w:sz w:val="24"/>
                <w:lang w:eastAsia="en-US"/>
              </w:rPr>
            </w:pPr>
            <w:r>
              <w:rPr>
                <w:rFonts w:ascii="Times New Roman" w:eastAsia="宋体" w:hAnsi="Times New Roman" w:cs="Times New Roman"/>
                <w:kern w:val="0"/>
                <w:sz w:val="24"/>
                <w:lang w:eastAsia="en-US"/>
              </w:rPr>
              <w:t>N33°39′18.83″</w:t>
            </w:r>
          </w:p>
        </w:tc>
        <w:tc>
          <w:tcPr>
            <w:tcW w:w="2775" w:type="dxa"/>
            <w:vAlign w:val="center"/>
          </w:tcPr>
          <w:p w14:paraId="790125B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1269</w:t>
            </w:r>
          </w:p>
        </w:tc>
      </w:tr>
      <w:tr w:rsidR="00D12939" w14:paraId="2B2D5930" w14:textId="77777777">
        <w:trPr>
          <w:trHeight w:val="15"/>
        </w:trPr>
        <w:tc>
          <w:tcPr>
            <w:tcW w:w="3598" w:type="dxa"/>
            <w:vAlign w:val="center"/>
          </w:tcPr>
          <w:p w14:paraId="4C4359DA"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鞍子凹附近泉水露头</w:t>
            </w:r>
          </w:p>
        </w:tc>
        <w:tc>
          <w:tcPr>
            <w:tcW w:w="3402" w:type="dxa"/>
            <w:vAlign w:val="center"/>
          </w:tcPr>
          <w:p w14:paraId="4EDACF7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E109°14′40.58″</w:t>
            </w:r>
          </w:p>
          <w:p w14:paraId="3B560F2D" w14:textId="77777777" w:rsidR="00D12939" w:rsidRDefault="004F47F5">
            <w:pPr>
              <w:pStyle w:val="TableParagraph"/>
              <w:ind w:firstLineChars="0" w:firstLine="0"/>
              <w:jc w:val="center"/>
              <w:rPr>
                <w:rFonts w:ascii="Times New Roman" w:hAnsi="Times New Roman"/>
                <w:szCs w:val="21"/>
              </w:rPr>
            </w:pPr>
            <w:r>
              <w:rPr>
                <w:rFonts w:ascii="Times New Roman" w:hAnsi="Times New Roman"/>
                <w:sz w:val="24"/>
              </w:rPr>
              <w:t>N33°39′51.21″</w:t>
            </w:r>
          </w:p>
        </w:tc>
        <w:tc>
          <w:tcPr>
            <w:tcW w:w="2775" w:type="dxa"/>
            <w:vAlign w:val="center"/>
          </w:tcPr>
          <w:p w14:paraId="6F91105B" w14:textId="77777777" w:rsidR="00D12939" w:rsidRDefault="004F47F5">
            <w:pPr>
              <w:pStyle w:val="TableParagraph"/>
              <w:spacing w:before="68"/>
              <w:ind w:left="299" w:right="271" w:firstLine="480"/>
              <w:jc w:val="both"/>
              <w:rPr>
                <w:rFonts w:ascii="Times New Roman" w:hAnsi="Times New Roman"/>
                <w:szCs w:val="21"/>
              </w:rPr>
            </w:pPr>
            <w:r>
              <w:rPr>
                <w:rFonts w:ascii="Times New Roman" w:hAnsi="Times New Roman"/>
                <w:sz w:val="24"/>
              </w:rPr>
              <w:t>1260</w:t>
            </w:r>
          </w:p>
        </w:tc>
      </w:tr>
      <w:tr w:rsidR="00D12939" w14:paraId="2D3CC1F6" w14:textId="77777777">
        <w:trPr>
          <w:trHeight w:val="15"/>
        </w:trPr>
        <w:tc>
          <w:tcPr>
            <w:tcW w:w="3598" w:type="dxa"/>
            <w:vAlign w:val="center"/>
          </w:tcPr>
          <w:p w14:paraId="05C35019"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倒角湾附近泉水露头</w:t>
            </w:r>
          </w:p>
        </w:tc>
        <w:tc>
          <w:tcPr>
            <w:tcW w:w="3402" w:type="dxa"/>
            <w:vAlign w:val="center"/>
          </w:tcPr>
          <w:p w14:paraId="30E4716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E109°13′32.32″</w:t>
            </w:r>
          </w:p>
          <w:p w14:paraId="46DF373D" w14:textId="77777777" w:rsidR="00D12939" w:rsidRDefault="004F47F5">
            <w:pPr>
              <w:pStyle w:val="TableParagraph"/>
              <w:ind w:firstLineChars="0" w:firstLine="0"/>
              <w:jc w:val="center"/>
              <w:rPr>
                <w:rFonts w:ascii="Times New Roman" w:hAnsi="Times New Roman"/>
                <w:szCs w:val="21"/>
              </w:rPr>
            </w:pPr>
            <w:r>
              <w:rPr>
                <w:rFonts w:ascii="Times New Roman" w:hAnsi="Times New Roman"/>
                <w:sz w:val="24"/>
              </w:rPr>
              <w:t>N33°39′10.79″</w:t>
            </w:r>
          </w:p>
        </w:tc>
        <w:tc>
          <w:tcPr>
            <w:tcW w:w="2775" w:type="dxa"/>
            <w:vAlign w:val="center"/>
          </w:tcPr>
          <w:p w14:paraId="7C56E930" w14:textId="77777777" w:rsidR="00D12939" w:rsidRDefault="004F47F5">
            <w:pPr>
              <w:pStyle w:val="TableParagraph"/>
              <w:spacing w:before="67"/>
              <w:ind w:left="299" w:right="271" w:firstLine="480"/>
              <w:jc w:val="both"/>
              <w:rPr>
                <w:rFonts w:ascii="Times New Roman" w:hAnsi="Times New Roman"/>
                <w:szCs w:val="21"/>
              </w:rPr>
            </w:pPr>
            <w:r>
              <w:rPr>
                <w:rFonts w:ascii="Times New Roman" w:hAnsi="Times New Roman"/>
                <w:sz w:val="24"/>
              </w:rPr>
              <w:t>1275</w:t>
            </w:r>
          </w:p>
        </w:tc>
      </w:tr>
      <w:tr w:rsidR="00D12939" w14:paraId="6C27D006" w14:textId="77777777">
        <w:trPr>
          <w:trHeight w:val="15"/>
        </w:trPr>
        <w:tc>
          <w:tcPr>
            <w:tcW w:w="3598" w:type="dxa"/>
            <w:vAlign w:val="center"/>
          </w:tcPr>
          <w:p w14:paraId="0EE9C70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李家沟附近泉水露头</w:t>
            </w:r>
          </w:p>
        </w:tc>
        <w:tc>
          <w:tcPr>
            <w:tcW w:w="3402" w:type="dxa"/>
            <w:vAlign w:val="center"/>
          </w:tcPr>
          <w:p w14:paraId="3984DDB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E109°14′44.60″</w:t>
            </w:r>
          </w:p>
          <w:p w14:paraId="39397EBB" w14:textId="77777777" w:rsidR="00D12939" w:rsidRDefault="004F47F5">
            <w:pPr>
              <w:pStyle w:val="TableParagraph"/>
              <w:ind w:firstLineChars="0" w:firstLine="0"/>
              <w:jc w:val="center"/>
              <w:rPr>
                <w:rFonts w:ascii="Times New Roman" w:hAnsi="Times New Roman"/>
                <w:szCs w:val="21"/>
              </w:rPr>
            </w:pPr>
            <w:r>
              <w:rPr>
                <w:rFonts w:ascii="Times New Roman" w:hAnsi="Times New Roman"/>
                <w:sz w:val="24"/>
              </w:rPr>
              <w:t>N33°39′16.81″</w:t>
            </w:r>
          </w:p>
        </w:tc>
        <w:tc>
          <w:tcPr>
            <w:tcW w:w="2775" w:type="dxa"/>
            <w:vAlign w:val="center"/>
          </w:tcPr>
          <w:p w14:paraId="6DBFA4F2" w14:textId="77777777" w:rsidR="00D12939" w:rsidRDefault="004F47F5">
            <w:pPr>
              <w:pStyle w:val="TableParagraph"/>
              <w:spacing w:before="67"/>
              <w:ind w:left="299" w:right="271" w:firstLine="480"/>
              <w:jc w:val="both"/>
              <w:rPr>
                <w:rFonts w:ascii="Times New Roman" w:hAnsi="Times New Roman"/>
                <w:szCs w:val="21"/>
              </w:rPr>
            </w:pPr>
            <w:r>
              <w:rPr>
                <w:rFonts w:ascii="Times New Roman" w:hAnsi="Times New Roman"/>
                <w:sz w:val="24"/>
              </w:rPr>
              <w:t>1292</w:t>
            </w:r>
          </w:p>
        </w:tc>
      </w:tr>
      <w:tr w:rsidR="00D12939" w14:paraId="4227BE32" w14:textId="77777777">
        <w:trPr>
          <w:trHeight w:val="15"/>
        </w:trPr>
        <w:tc>
          <w:tcPr>
            <w:tcW w:w="3598" w:type="dxa"/>
            <w:vAlign w:val="center"/>
          </w:tcPr>
          <w:p w14:paraId="4E64569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松林沟附近泉水露头</w:t>
            </w:r>
          </w:p>
        </w:tc>
        <w:tc>
          <w:tcPr>
            <w:tcW w:w="3402" w:type="dxa"/>
            <w:vAlign w:val="center"/>
          </w:tcPr>
          <w:p w14:paraId="7A5B962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E109°14′39.24″</w:t>
            </w:r>
          </w:p>
          <w:p w14:paraId="269D580D" w14:textId="77777777" w:rsidR="00D12939" w:rsidRDefault="004F47F5">
            <w:pPr>
              <w:pStyle w:val="TableParagraph"/>
              <w:ind w:firstLineChars="0" w:firstLine="0"/>
              <w:jc w:val="center"/>
              <w:rPr>
                <w:rFonts w:ascii="Times New Roman" w:hAnsi="Times New Roman"/>
                <w:szCs w:val="21"/>
              </w:rPr>
            </w:pPr>
            <w:r>
              <w:rPr>
                <w:rFonts w:ascii="Times New Roman" w:hAnsi="Times New Roman"/>
                <w:sz w:val="24"/>
              </w:rPr>
              <w:t>N33°39′05.24″</w:t>
            </w:r>
          </w:p>
        </w:tc>
        <w:tc>
          <w:tcPr>
            <w:tcW w:w="2775" w:type="dxa"/>
            <w:vAlign w:val="center"/>
          </w:tcPr>
          <w:p w14:paraId="7D47AF94" w14:textId="77777777" w:rsidR="00D12939" w:rsidRDefault="004F47F5">
            <w:pPr>
              <w:pStyle w:val="TableParagraph"/>
              <w:spacing w:before="69"/>
              <w:ind w:left="299" w:right="271" w:firstLine="480"/>
              <w:jc w:val="both"/>
              <w:rPr>
                <w:rFonts w:ascii="Times New Roman" w:hAnsi="Times New Roman"/>
                <w:szCs w:val="21"/>
              </w:rPr>
            </w:pPr>
            <w:r>
              <w:rPr>
                <w:rFonts w:ascii="Times New Roman" w:hAnsi="Times New Roman"/>
                <w:sz w:val="24"/>
              </w:rPr>
              <w:t>1269</w:t>
            </w:r>
          </w:p>
        </w:tc>
      </w:tr>
      <w:tr w:rsidR="00D12939" w14:paraId="04E9C944" w14:textId="77777777">
        <w:trPr>
          <w:trHeight w:val="15"/>
        </w:trPr>
        <w:tc>
          <w:tcPr>
            <w:tcW w:w="3598" w:type="dxa"/>
            <w:vAlign w:val="center"/>
          </w:tcPr>
          <w:p w14:paraId="09B860B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0"/>
              </w:rPr>
              <w:t>娘娘庙附近泉水露头</w:t>
            </w:r>
          </w:p>
        </w:tc>
        <w:tc>
          <w:tcPr>
            <w:tcW w:w="3402" w:type="dxa"/>
            <w:vAlign w:val="center"/>
          </w:tcPr>
          <w:p w14:paraId="0162996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E109°14′22.78″</w:t>
            </w:r>
          </w:p>
          <w:p w14:paraId="3EA2FCB9" w14:textId="77777777" w:rsidR="00D12939" w:rsidRDefault="004F47F5">
            <w:pPr>
              <w:pStyle w:val="TableParagraph"/>
              <w:ind w:firstLineChars="0" w:firstLine="0"/>
              <w:jc w:val="center"/>
              <w:rPr>
                <w:rFonts w:ascii="Times New Roman" w:hAnsi="Times New Roman"/>
                <w:szCs w:val="21"/>
              </w:rPr>
            </w:pPr>
            <w:r>
              <w:rPr>
                <w:rFonts w:ascii="Times New Roman" w:hAnsi="Times New Roman"/>
                <w:sz w:val="24"/>
              </w:rPr>
              <w:t>N33°39′55.51″</w:t>
            </w:r>
          </w:p>
        </w:tc>
        <w:tc>
          <w:tcPr>
            <w:tcW w:w="2775" w:type="dxa"/>
            <w:vAlign w:val="center"/>
          </w:tcPr>
          <w:p w14:paraId="0DC620EC" w14:textId="77777777" w:rsidR="00D12939" w:rsidRDefault="004F47F5">
            <w:pPr>
              <w:pStyle w:val="TableParagraph"/>
              <w:spacing w:before="111"/>
              <w:ind w:left="299" w:right="271" w:firstLine="480"/>
              <w:jc w:val="both"/>
              <w:rPr>
                <w:rFonts w:ascii="Times New Roman" w:hAnsi="Times New Roman"/>
                <w:szCs w:val="21"/>
              </w:rPr>
            </w:pPr>
            <w:r>
              <w:rPr>
                <w:rFonts w:ascii="Times New Roman" w:hAnsi="Times New Roman"/>
                <w:sz w:val="24"/>
              </w:rPr>
              <w:t>1278</w:t>
            </w:r>
          </w:p>
        </w:tc>
      </w:tr>
    </w:tbl>
    <w:p w14:paraId="17DAECC7"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由监测结果对比标准值可以看出，各监测点因子在监测期均能满足《地下水质量标准》（</w:t>
      </w:r>
      <w:r>
        <w:rPr>
          <w:rFonts w:ascii="Times New Roman" w:eastAsia="宋体" w:hAnsi="Times New Roman" w:cs="Times New Roman"/>
          <w:sz w:val="24"/>
        </w:rPr>
        <w:t>GB/T14848-2017</w:t>
      </w:r>
      <w:r>
        <w:rPr>
          <w:rFonts w:ascii="Times New Roman" w:eastAsia="宋体" w:hAnsi="Times New Roman" w:cs="Times New Roman"/>
          <w:sz w:val="24"/>
        </w:rPr>
        <w:t>）中的</w:t>
      </w:r>
      <w:r>
        <w:rPr>
          <w:rFonts w:ascii="Times New Roman" w:eastAsia="宋体" w:hAnsi="Times New Roman" w:cs="Times New Roman" w:hint="eastAsia"/>
          <w:sz w:val="24"/>
        </w:rPr>
        <w:t>Ⅲ</w:t>
      </w:r>
      <w:r>
        <w:rPr>
          <w:rFonts w:ascii="Times New Roman" w:eastAsia="宋体" w:hAnsi="Times New Roman" w:cs="Times New Roman"/>
          <w:sz w:val="24"/>
        </w:rPr>
        <w:t>类标准。表明评价区区域地下水水质良好。</w:t>
      </w:r>
    </w:p>
    <w:p w14:paraId="44BA552D"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25" w:name="_Toc60667392"/>
      <w:bookmarkStart w:id="426" w:name="_Toc60667079"/>
      <w:bookmarkStart w:id="427" w:name="_Toc121411753"/>
      <w:bookmarkStart w:id="428" w:name="_Toc60666766"/>
      <w:r>
        <w:rPr>
          <w:rFonts w:ascii="Times New Roman" w:eastAsia="黑体" w:hAnsi="Times New Roman" w:cs="Times New Roman"/>
          <w:b w:val="0"/>
          <w:sz w:val="24"/>
        </w:rPr>
        <w:t xml:space="preserve">5.2.4 </w:t>
      </w:r>
      <w:r>
        <w:rPr>
          <w:rFonts w:ascii="Times New Roman" w:eastAsia="黑体" w:hAnsi="Times New Roman" w:cs="Times New Roman" w:hint="eastAsia"/>
          <w:b w:val="0"/>
          <w:sz w:val="24"/>
        </w:rPr>
        <w:t>土壤环境</w:t>
      </w:r>
      <w:r>
        <w:rPr>
          <w:rFonts w:ascii="Times New Roman" w:eastAsia="黑体" w:hAnsi="Times New Roman" w:cs="Times New Roman"/>
          <w:b w:val="0"/>
          <w:sz w:val="24"/>
        </w:rPr>
        <w:t>质量现状现状调查与评价</w:t>
      </w:r>
      <w:bookmarkEnd w:id="425"/>
      <w:bookmarkEnd w:id="426"/>
      <w:bookmarkEnd w:id="427"/>
      <w:bookmarkEnd w:id="428"/>
    </w:p>
    <w:p w14:paraId="3B6272BE"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本项目土壤环境质量现状监测委托陕西速跑环境检测技术研究有限公司于</w:t>
      </w:r>
      <w:r>
        <w:rPr>
          <w:rFonts w:ascii="Times New Roman" w:eastAsia="宋体" w:hAnsi="Times New Roman" w:cs="Times New Roman"/>
          <w:sz w:val="24"/>
          <w:szCs w:val="24"/>
        </w:rPr>
        <w:t>2022</w:t>
      </w:r>
      <w:r>
        <w:rPr>
          <w:rFonts w:ascii="Times New Roman" w:eastAsia="宋体" w:hAnsi="Times New Roman" w:cs="Times New Roman"/>
          <w:sz w:val="24"/>
          <w:szCs w:val="24"/>
        </w:rPr>
        <w:t>年</w:t>
      </w:r>
      <w:r>
        <w:rPr>
          <w:rFonts w:ascii="Times New Roman" w:eastAsia="宋体" w:hAnsi="Times New Roman" w:cs="Times New Roman"/>
          <w:sz w:val="24"/>
          <w:szCs w:val="24"/>
        </w:rPr>
        <w:t>11</w:t>
      </w:r>
      <w:r>
        <w:rPr>
          <w:rFonts w:ascii="Times New Roman" w:eastAsia="宋体" w:hAnsi="Times New Roman" w:cs="Times New Roman"/>
          <w:sz w:val="24"/>
          <w:szCs w:val="24"/>
        </w:rPr>
        <w:t>月对项目土壤进行监测，共</w:t>
      </w:r>
      <w:r>
        <w:rPr>
          <w:rFonts w:ascii="Times New Roman" w:eastAsia="宋体" w:hAnsi="Times New Roman" w:cs="Times New Roman"/>
          <w:sz w:val="24"/>
          <w:szCs w:val="24"/>
        </w:rPr>
        <w:t>3</w:t>
      </w:r>
      <w:r>
        <w:rPr>
          <w:rFonts w:ascii="Times New Roman" w:eastAsia="宋体" w:hAnsi="Times New Roman" w:cs="Times New Roman"/>
          <w:sz w:val="24"/>
          <w:szCs w:val="24"/>
        </w:rPr>
        <w:t>个土壤样品，监测报告见附件。</w:t>
      </w:r>
    </w:p>
    <w:p w14:paraId="78C690F6"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）监测点位及因子</w:t>
      </w:r>
    </w:p>
    <w:p w14:paraId="74B42819"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本次土壤监测因子及监测点布设见表</w:t>
      </w:r>
      <w:r>
        <w:rPr>
          <w:rFonts w:ascii="Times New Roman" w:eastAsia="宋体" w:hAnsi="Times New Roman" w:cs="Times New Roman"/>
          <w:sz w:val="24"/>
          <w:szCs w:val="24"/>
        </w:rPr>
        <w:t>5.2-1</w:t>
      </w:r>
      <w:r>
        <w:rPr>
          <w:rFonts w:ascii="Times New Roman" w:eastAsia="宋体" w:hAnsi="Times New Roman" w:cs="Times New Roman" w:hint="eastAsia"/>
          <w:sz w:val="24"/>
          <w:szCs w:val="24"/>
        </w:rPr>
        <w:t>2</w:t>
      </w:r>
      <w:r>
        <w:rPr>
          <w:rFonts w:ascii="Times New Roman" w:eastAsia="宋体" w:hAnsi="Times New Roman" w:cs="Times New Roman"/>
          <w:sz w:val="24"/>
          <w:szCs w:val="24"/>
        </w:rPr>
        <w:t>。</w:t>
      </w:r>
    </w:p>
    <w:p w14:paraId="3E73354D" w14:textId="77777777" w:rsidR="00D12939" w:rsidRDefault="004F47F5">
      <w:pPr>
        <w:jc w:val="center"/>
        <w:rPr>
          <w:rFonts w:ascii="黑体" w:eastAsia="黑体" w:hAnsi="黑体"/>
          <w:bCs/>
          <w:sz w:val="24"/>
          <w:szCs w:val="18"/>
        </w:rPr>
      </w:pPr>
      <w:r>
        <w:rPr>
          <w:rFonts w:ascii="黑体" w:eastAsia="黑体" w:hAnsi="黑体"/>
          <w:bCs/>
          <w:sz w:val="24"/>
          <w:szCs w:val="18"/>
        </w:rPr>
        <w:t>表5.2-12    土壤监测点位布设</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93"/>
        <w:gridCol w:w="1664"/>
        <w:gridCol w:w="1151"/>
        <w:gridCol w:w="1208"/>
        <w:gridCol w:w="1115"/>
        <w:gridCol w:w="2878"/>
        <w:gridCol w:w="1207"/>
      </w:tblGrid>
      <w:tr w:rsidR="00D12939" w14:paraId="0C0F2E86" w14:textId="77777777">
        <w:trPr>
          <w:tblHeader/>
          <w:jc w:val="center"/>
        </w:trPr>
        <w:tc>
          <w:tcPr>
            <w:tcW w:w="253" w:type="pct"/>
            <w:tcBorders>
              <w:top w:val="single" w:sz="12" w:space="0" w:color="auto"/>
              <w:left w:val="single" w:sz="12" w:space="0" w:color="auto"/>
              <w:bottom w:val="single" w:sz="4" w:space="0" w:color="auto"/>
              <w:right w:val="single" w:sz="4" w:space="0" w:color="auto"/>
            </w:tcBorders>
            <w:vAlign w:val="center"/>
          </w:tcPr>
          <w:p w14:paraId="64D0AC4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编号</w:t>
            </w:r>
          </w:p>
        </w:tc>
        <w:tc>
          <w:tcPr>
            <w:tcW w:w="855" w:type="pct"/>
            <w:tcBorders>
              <w:top w:val="single" w:sz="12" w:space="0" w:color="auto"/>
              <w:left w:val="single" w:sz="4" w:space="0" w:color="auto"/>
              <w:bottom w:val="single" w:sz="4" w:space="0" w:color="auto"/>
              <w:right w:val="single" w:sz="4" w:space="0" w:color="auto"/>
            </w:tcBorders>
            <w:vAlign w:val="center"/>
          </w:tcPr>
          <w:p w14:paraId="346F044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592" w:type="pct"/>
            <w:tcBorders>
              <w:top w:val="single" w:sz="12" w:space="0" w:color="auto"/>
              <w:left w:val="single" w:sz="4" w:space="0" w:color="auto"/>
              <w:bottom w:val="single" w:sz="4" w:space="0" w:color="auto"/>
              <w:right w:val="single" w:sz="4" w:space="0" w:color="auto"/>
            </w:tcBorders>
            <w:vAlign w:val="center"/>
          </w:tcPr>
          <w:p w14:paraId="2204E14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采样要求</w:t>
            </w:r>
          </w:p>
        </w:tc>
        <w:tc>
          <w:tcPr>
            <w:tcW w:w="621" w:type="pct"/>
            <w:tcBorders>
              <w:top w:val="single" w:sz="12" w:space="0" w:color="auto"/>
              <w:left w:val="single" w:sz="4" w:space="0" w:color="auto"/>
              <w:bottom w:val="single" w:sz="4" w:space="0" w:color="auto"/>
              <w:right w:val="single" w:sz="4" w:space="0" w:color="auto"/>
            </w:tcBorders>
            <w:vAlign w:val="center"/>
          </w:tcPr>
          <w:p w14:paraId="304247F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样品编号</w:t>
            </w:r>
          </w:p>
        </w:tc>
        <w:tc>
          <w:tcPr>
            <w:tcW w:w="574" w:type="pct"/>
            <w:tcBorders>
              <w:top w:val="single" w:sz="12" w:space="0" w:color="auto"/>
              <w:left w:val="single" w:sz="4" w:space="0" w:color="auto"/>
              <w:bottom w:val="single" w:sz="4" w:space="0" w:color="auto"/>
              <w:right w:val="single" w:sz="4" w:space="0" w:color="auto"/>
            </w:tcBorders>
            <w:vAlign w:val="center"/>
          </w:tcPr>
          <w:p w14:paraId="79CEAD6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取样深度</w:t>
            </w:r>
          </w:p>
        </w:tc>
        <w:tc>
          <w:tcPr>
            <w:tcW w:w="1480" w:type="pct"/>
            <w:tcBorders>
              <w:top w:val="single" w:sz="12" w:space="0" w:color="auto"/>
              <w:left w:val="single" w:sz="4" w:space="0" w:color="auto"/>
              <w:bottom w:val="single" w:sz="4" w:space="0" w:color="auto"/>
              <w:right w:val="single" w:sz="4" w:space="0" w:color="auto"/>
            </w:tcBorders>
            <w:vAlign w:val="center"/>
          </w:tcPr>
          <w:p w14:paraId="08DF6C3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监测因子</w:t>
            </w:r>
          </w:p>
        </w:tc>
        <w:tc>
          <w:tcPr>
            <w:tcW w:w="621" w:type="pct"/>
            <w:tcBorders>
              <w:top w:val="single" w:sz="12" w:space="0" w:color="auto"/>
              <w:left w:val="single" w:sz="4" w:space="0" w:color="auto"/>
              <w:bottom w:val="single" w:sz="4" w:space="0" w:color="auto"/>
              <w:right w:val="single" w:sz="12" w:space="0" w:color="auto"/>
            </w:tcBorders>
            <w:vAlign w:val="center"/>
          </w:tcPr>
          <w:p w14:paraId="7E47302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监测频次</w:t>
            </w:r>
          </w:p>
        </w:tc>
      </w:tr>
      <w:tr w:rsidR="00D12939" w14:paraId="53AC19C4" w14:textId="77777777">
        <w:trPr>
          <w:jc w:val="center"/>
        </w:trPr>
        <w:tc>
          <w:tcPr>
            <w:tcW w:w="253" w:type="pct"/>
            <w:tcBorders>
              <w:top w:val="single" w:sz="4" w:space="0" w:color="auto"/>
              <w:left w:val="single" w:sz="12" w:space="0" w:color="auto"/>
              <w:bottom w:val="single" w:sz="4" w:space="0" w:color="auto"/>
              <w:right w:val="single" w:sz="4" w:space="0" w:color="auto"/>
            </w:tcBorders>
            <w:vAlign w:val="center"/>
          </w:tcPr>
          <w:p w14:paraId="3D7882F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855" w:type="pct"/>
            <w:tcBorders>
              <w:top w:val="single" w:sz="4" w:space="0" w:color="auto"/>
              <w:left w:val="single" w:sz="4" w:space="0" w:color="auto"/>
              <w:bottom w:val="single" w:sz="4" w:space="0" w:color="auto"/>
              <w:right w:val="single" w:sz="4" w:space="0" w:color="auto"/>
            </w:tcBorders>
            <w:vAlign w:val="center"/>
          </w:tcPr>
          <w:p w14:paraId="53448DED" w14:textId="77777777" w:rsidR="00D12939" w:rsidRDefault="004F47F5">
            <w:pPr>
              <w:tabs>
                <w:tab w:val="left" w:pos="5355"/>
              </w:tabs>
              <w:jc w:val="center"/>
              <w:rPr>
                <w:rFonts w:ascii="Times New Roman" w:eastAsia="宋体" w:hAnsi="Times New Roman" w:cs="Times New Roman"/>
                <w:szCs w:val="21"/>
              </w:rPr>
            </w:pPr>
            <w:r>
              <w:rPr>
                <w:rFonts w:ascii="Times New Roman" w:eastAsia="宋体" w:hAnsi="Times New Roman" w:cs="Times New Roman"/>
                <w:szCs w:val="21"/>
              </w:rPr>
              <w:t>项目一期拟建空地西北侧表层样</w:t>
            </w:r>
          </w:p>
        </w:tc>
        <w:tc>
          <w:tcPr>
            <w:tcW w:w="592" w:type="pct"/>
            <w:tcBorders>
              <w:top w:val="single" w:sz="4" w:space="0" w:color="auto"/>
              <w:left w:val="single" w:sz="4" w:space="0" w:color="auto"/>
              <w:bottom w:val="single" w:sz="4" w:space="0" w:color="auto"/>
              <w:right w:val="single" w:sz="4" w:space="0" w:color="auto"/>
            </w:tcBorders>
            <w:vAlign w:val="center"/>
          </w:tcPr>
          <w:p w14:paraId="08059B4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表层样</w:t>
            </w:r>
          </w:p>
        </w:tc>
        <w:tc>
          <w:tcPr>
            <w:tcW w:w="621" w:type="pct"/>
            <w:tcBorders>
              <w:top w:val="single" w:sz="4" w:space="0" w:color="auto"/>
              <w:left w:val="single" w:sz="4" w:space="0" w:color="auto"/>
              <w:bottom w:val="single" w:sz="4" w:space="0" w:color="auto"/>
              <w:right w:val="single" w:sz="4" w:space="0" w:color="auto"/>
            </w:tcBorders>
            <w:vAlign w:val="center"/>
          </w:tcPr>
          <w:p w14:paraId="5A22FF5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内表</w:t>
            </w:r>
            <w:r>
              <w:rPr>
                <w:rFonts w:ascii="Times New Roman" w:eastAsia="宋体" w:hAnsi="Times New Roman" w:cs="Times New Roman"/>
                <w:szCs w:val="21"/>
              </w:rPr>
              <w:t>1</w:t>
            </w:r>
          </w:p>
        </w:tc>
        <w:tc>
          <w:tcPr>
            <w:tcW w:w="574" w:type="pct"/>
            <w:tcBorders>
              <w:top w:val="single" w:sz="4" w:space="0" w:color="auto"/>
              <w:left w:val="single" w:sz="4" w:space="0" w:color="auto"/>
              <w:bottom w:val="single" w:sz="4" w:space="0" w:color="auto"/>
              <w:right w:val="single" w:sz="4" w:space="0" w:color="auto"/>
            </w:tcBorders>
            <w:vAlign w:val="center"/>
          </w:tcPr>
          <w:p w14:paraId="0BAB3CF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0~0.2m</w:t>
            </w:r>
          </w:p>
        </w:tc>
        <w:tc>
          <w:tcPr>
            <w:tcW w:w="1480" w:type="pct"/>
            <w:vMerge w:val="restart"/>
            <w:tcBorders>
              <w:top w:val="single" w:sz="4" w:space="0" w:color="auto"/>
              <w:left w:val="single" w:sz="4" w:space="0" w:color="auto"/>
              <w:right w:val="single" w:sz="4" w:space="0" w:color="auto"/>
            </w:tcBorders>
            <w:vAlign w:val="center"/>
          </w:tcPr>
          <w:p w14:paraId="434EDA0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土壤建设用地</w:t>
            </w:r>
            <w:r>
              <w:rPr>
                <w:rFonts w:ascii="Times New Roman" w:eastAsia="宋体" w:hAnsi="Times New Roman" w:cs="Times New Roman"/>
                <w:szCs w:val="21"/>
              </w:rPr>
              <w:t>45</w:t>
            </w:r>
            <w:r>
              <w:rPr>
                <w:rFonts w:ascii="Times New Roman" w:eastAsia="宋体" w:hAnsi="Times New Roman" w:cs="Times New Roman"/>
                <w:szCs w:val="21"/>
              </w:rPr>
              <w:t>项</w:t>
            </w:r>
          </w:p>
        </w:tc>
        <w:tc>
          <w:tcPr>
            <w:tcW w:w="621" w:type="pct"/>
            <w:vMerge w:val="restart"/>
            <w:tcBorders>
              <w:top w:val="single" w:sz="4" w:space="0" w:color="auto"/>
              <w:left w:val="single" w:sz="4" w:space="0" w:color="auto"/>
              <w:bottom w:val="single" w:sz="4" w:space="0" w:color="auto"/>
              <w:right w:val="single" w:sz="12" w:space="0" w:color="auto"/>
            </w:tcBorders>
            <w:vAlign w:val="center"/>
          </w:tcPr>
          <w:p w14:paraId="430FE40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天，</w:t>
            </w:r>
            <w:r>
              <w:rPr>
                <w:rFonts w:ascii="Times New Roman" w:eastAsia="宋体" w:hAnsi="Times New Roman" w:cs="Times New Roman"/>
                <w:szCs w:val="21"/>
              </w:rPr>
              <w:t>1</w:t>
            </w:r>
            <w:r>
              <w:rPr>
                <w:rFonts w:ascii="Times New Roman" w:eastAsia="宋体" w:hAnsi="Times New Roman" w:cs="Times New Roman"/>
                <w:szCs w:val="21"/>
              </w:rPr>
              <w:t>次</w:t>
            </w:r>
            <w:r>
              <w:rPr>
                <w:rFonts w:ascii="Times New Roman" w:eastAsia="宋体" w:hAnsi="Times New Roman" w:cs="Times New Roman"/>
                <w:szCs w:val="21"/>
              </w:rPr>
              <w:t>/</w:t>
            </w:r>
            <w:r>
              <w:rPr>
                <w:rFonts w:ascii="Times New Roman" w:eastAsia="宋体" w:hAnsi="Times New Roman" w:cs="Times New Roman"/>
                <w:szCs w:val="21"/>
              </w:rPr>
              <w:t>天</w:t>
            </w:r>
          </w:p>
        </w:tc>
      </w:tr>
      <w:tr w:rsidR="00D12939" w14:paraId="6D544FB9" w14:textId="77777777">
        <w:trPr>
          <w:jc w:val="center"/>
        </w:trPr>
        <w:tc>
          <w:tcPr>
            <w:tcW w:w="253" w:type="pct"/>
            <w:tcBorders>
              <w:top w:val="single" w:sz="4" w:space="0" w:color="auto"/>
              <w:left w:val="single" w:sz="12" w:space="0" w:color="auto"/>
              <w:bottom w:val="single" w:sz="4" w:space="0" w:color="auto"/>
              <w:right w:val="single" w:sz="4" w:space="0" w:color="auto"/>
            </w:tcBorders>
            <w:vAlign w:val="center"/>
          </w:tcPr>
          <w:p w14:paraId="0C654EA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855" w:type="pct"/>
            <w:tcBorders>
              <w:top w:val="single" w:sz="4" w:space="0" w:color="auto"/>
              <w:left w:val="single" w:sz="4" w:space="0" w:color="auto"/>
              <w:bottom w:val="single" w:sz="4" w:space="0" w:color="auto"/>
              <w:right w:val="single" w:sz="4" w:space="0" w:color="auto"/>
            </w:tcBorders>
            <w:vAlign w:val="center"/>
          </w:tcPr>
          <w:p w14:paraId="2586CCA3" w14:textId="77777777" w:rsidR="00D12939" w:rsidRDefault="004F47F5">
            <w:pPr>
              <w:tabs>
                <w:tab w:val="left" w:pos="5355"/>
              </w:tabs>
              <w:jc w:val="center"/>
              <w:rPr>
                <w:rFonts w:ascii="Times New Roman" w:eastAsia="宋体" w:hAnsi="Times New Roman" w:cs="Times New Roman"/>
                <w:szCs w:val="21"/>
              </w:rPr>
            </w:pPr>
            <w:r>
              <w:rPr>
                <w:rFonts w:ascii="Times New Roman" w:eastAsia="宋体" w:hAnsi="Times New Roman" w:cs="Times New Roman"/>
                <w:szCs w:val="21"/>
              </w:rPr>
              <w:t>项目一期拟建渗</w:t>
            </w:r>
          </w:p>
          <w:p w14:paraId="3F6541A3" w14:textId="77777777" w:rsidR="00D12939" w:rsidRDefault="004F47F5">
            <w:pPr>
              <w:tabs>
                <w:tab w:val="left" w:pos="5355"/>
              </w:tabs>
              <w:jc w:val="center"/>
              <w:rPr>
                <w:rFonts w:ascii="Times New Roman" w:eastAsia="宋体" w:hAnsi="Times New Roman" w:cs="Times New Roman"/>
                <w:szCs w:val="21"/>
              </w:rPr>
            </w:pPr>
            <w:r>
              <w:rPr>
                <w:rFonts w:ascii="Times New Roman" w:eastAsia="宋体" w:hAnsi="Times New Roman" w:cs="Times New Roman"/>
                <w:szCs w:val="21"/>
              </w:rPr>
              <w:t>沥液处理区处</w:t>
            </w:r>
            <w:r>
              <w:rPr>
                <w:rFonts w:ascii="Times New Roman" w:eastAsia="宋体" w:hAnsi="Times New Roman" w:cs="Times New Roman"/>
                <w:szCs w:val="21"/>
              </w:rPr>
              <w:lastRenderedPageBreak/>
              <w:t>表层样</w:t>
            </w:r>
          </w:p>
        </w:tc>
        <w:tc>
          <w:tcPr>
            <w:tcW w:w="592" w:type="pct"/>
            <w:tcBorders>
              <w:top w:val="single" w:sz="4" w:space="0" w:color="auto"/>
              <w:left w:val="single" w:sz="4" w:space="0" w:color="auto"/>
              <w:bottom w:val="single" w:sz="4" w:space="0" w:color="auto"/>
              <w:right w:val="single" w:sz="4" w:space="0" w:color="auto"/>
            </w:tcBorders>
            <w:vAlign w:val="center"/>
          </w:tcPr>
          <w:p w14:paraId="2A93DB7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lastRenderedPageBreak/>
              <w:t>表层样</w:t>
            </w:r>
          </w:p>
        </w:tc>
        <w:tc>
          <w:tcPr>
            <w:tcW w:w="621" w:type="pct"/>
            <w:tcBorders>
              <w:top w:val="single" w:sz="4" w:space="0" w:color="auto"/>
              <w:left w:val="single" w:sz="4" w:space="0" w:color="auto"/>
              <w:bottom w:val="single" w:sz="4" w:space="0" w:color="auto"/>
              <w:right w:val="single" w:sz="4" w:space="0" w:color="auto"/>
            </w:tcBorders>
            <w:vAlign w:val="center"/>
          </w:tcPr>
          <w:p w14:paraId="05562DA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内表</w:t>
            </w:r>
            <w:r>
              <w:rPr>
                <w:rFonts w:ascii="Times New Roman" w:eastAsia="宋体" w:hAnsi="Times New Roman" w:cs="Times New Roman"/>
                <w:szCs w:val="21"/>
              </w:rPr>
              <w:t>2</w:t>
            </w:r>
          </w:p>
        </w:tc>
        <w:tc>
          <w:tcPr>
            <w:tcW w:w="574" w:type="pct"/>
            <w:tcBorders>
              <w:top w:val="single" w:sz="4" w:space="0" w:color="auto"/>
              <w:left w:val="single" w:sz="4" w:space="0" w:color="auto"/>
              <w:bottom w:val="single" w:sz="4" w:space="0" w:color="auto"/>
              <w:right w:val="single" w:sz="4" w:space="0" w:color="auto"/>
            </w:tcBorders>
            <w:vAlign w:val="center"/>
          </w:tcPr>
          <w:p w14:paraId="56216070"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0~0.2m</w:t>
            </w:r>
          </w:p>
        </w:tc>
        <w:tc>
          <w:tcPr>
            <w:tcW w:w="1480" w:type="pct"/>
            <w:vMerge/>
            <w:tcBorders>
              <w:left w:val="single" w:sz="4" w:space="0" w:color="auto"/>
              <w:right w:val="single" w:sz="4" w:space="0" w:color="auto"/>
            </w:tcBorders>
            <w:vAlign w:val="center"/>
          </w:tcPr>
          <w:p w14:paraId="597D988E" w14:textId="77777777" w:rsidR="00D12939" w:rsidRDefault="00D12939">
            <w:pPr>
              <w:jc w:val="center"/>
              <w:rPr>
                <w:rFonts w:ascii="Times New Roman" w:eastAsia="宋体" w:hAnsi="Times New Roman" w:cs="Times New Roman"/>
                <w:szCs w:val="21"/>
              </w:rPr>
            </w:pPr>
          </w:p>
        </w:tc>
        <w:tc>
          <w:tcPr>
            <w:tcW w:w="621" w:type="pct"/>
            <w:vMerge/>
            <w:tcBorders>
              <w:top w:val="single" w:sz="4" w:space="0" w:color="auto"/>
              <w:left w:val="single" w:sz="4" w:space="0" w:color="auto"/>
              <w:bottom w:val="single" w:sz="4" w:space="0" w:color="auto"/>
              <w:right w:val="single" w:sz="12" w:space="0" w:color="auto"/>
            </w:tcBorders>
            <w:vAlign w:val="center"/>
          </w:tcPr>
          <w:p w14:paraId="425260B1" w14:textId="77777777" w:rsidR="00D12939" w:rsidRDefault="00D12939">
            <w:pPr>
              <w:jc w:val="left"/>
              <w:rPr>
                <w:rFonts w:ascii="Times New Roman" w:eastAsia="宋体" w:hAnsi="Times New Roman" w:cs="Times New Roman"/>
                <w:szCs w:val="21"/>
              </w:rPr>
            </w:pPr>
          </w:p>
        </w:tc>
      </w:tr>
      <w:tr w:rsidR="00D12939" w14:paraId="304DB153" w14:textId="77777777">
        <w:trPr>
          <w:trHeight w:val="614"/>
          <w:jc w:val="center"/>
        </w:trPr>
        <w:tc>
          <w:tcPr>
            <w:tcW w:w="253" w:type="pct"/>
            <w:tcBorders>
              <w:top w:val="single" w:sz="4" w:space="0" w:color="auto"/>
              <w:left w:val="single" w:sz="12" w:space="0" w:color="auto"/>
              <w:bottom w:val="single" w:sz="4" w:space="0" w:color="auto"/>
              <w:right w:val="single" w:sz="4" w:space="0" w:color="auto"/>
            </w:tcBorders>
            <w:vAlign w:val="center"/>
          </w:tcPr>
          <w:p w14:paraId="56835BD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lastRenderedPageBreak/>
              <w:t>3</w:t>
            </w:r>
          </w:p>
        </w:tc>
        <w:tc>
          <w:tcPr>
            <w:tcW w:w="855" w:type="pct"/>
            <w:tcBorders>
              <w:top w:val="single" w:sz="4" w:space="0" w:color="auto"/>
              <w:left w:val="single" w:sz="4" w:space="0" w:color="auto"/>
              <w:bottom w:val="single" w:sz="4" w:space="0" w:color="auto"/>
              <w:right w:val="single" w:sz="4" w:space="0" w:color="auto"/>
            </w:tcBorders>
            <w:vAlign w:val="center"/>
          </w:tcPr>
          <w:p w14:paraId="0867868D" w14:textId="77777777" w:rsidR="00D12939" w:rsidRDefault="004F47F5">
            <w:pPr>
              <w:tabs>
                <w:tab w:val="left" w:pos="5355"/>
              </w:tabs>
              <w:jc w:val="center"/>
              <w:rPr>
                <w:rFonts w:ascii="Times New Roman" w:eastAsia="宋体" w:hAnsi="Times New Roman" w:cs="Times New Roman"/>
                <w:szCs w:val="21"/>
              </w:rPr>
            </w:pPr>
            <w:r>
              <w:rPr>
                <w:rFonts w:ascii="Times New Roman" w:eastAsia="宋体" w:hAnsi="Times New Roman" w:cs="Times New Roman"/>
                <w:szCs w:val="21"/>
              </w:rPr>
              <w:t>项目一期拟建空地南侧表层样</w:t>
            </w:r>
          </w:p>
        </w:tc>
        <w:tc>
          <w:tcPr>
            <w:tcW w:w="592" w:type="pct"/>
            <w:tcBorders>
              <w:top w:val="single" w:sz="4" w:space="0" w:color="auto"/>
              <w:left w:val="single" w:sz="4" w:space="0" w:color="auto"/>
              <w:bottom w:val="single" w:sz="4" w:space="0" w:color="auto"/>
              <w:right w:val="single" w:sz="4" w:space="0" w:color="auto"/>
            </w:tcBorders>
            <w:vAlign w:val="center"/>
          </w:tcPr>
          <w:p w14:paraId="06A1863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表层样</w:t>
            </w:r>
          </w:p>
        </w:tc>
        <w:tc>
          <w:tcPr>
            <w:tcW w:w="621" w:type="pct"/>
            <w:tcBorders>
              <w:top w:val="single" w:sz="4" w:space="0" w:color="auto"/>
              <w:left w:val="single" w:sz="4" w:space="0" w:color="auto"/>
              <w:right w:val="single" w:sz="4" w:space="0" w:color="auto"/>
            </w:tcBorders>
            <w:vAlign w:val="center"/>
          </w:tcPr>
          <w:p w14:paraId="7DA6F89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内表</w:t>
            </w:r>
            <w:r>
              <w:rPr>
                <w:rFonts w:ascii="Times New Roman" w:eastAsia="宋体" w:hAnsi="Times New Roman" w:cs="Times New Roman"/>
                <w:szCs w:val="21"/>
              </w:rPr>
              <w:t>3</w:t>
            </w:r>
          </w:p>
        </w:tc>
        <w:tc>
          <w:tcPr>
            <w:tcW w:w="574" w:type="pct"/>
            <w:tcBorders>
              <w:top w:val="single" w:sz="4" w:space="0" w:color="auto"/>
              <w:left w:val="single" w:sz="4" w:space="0" w:color="auto"/>
              <w:bottom w:val="single" w:sz="4" w:space="0" w:color="auto"/>
              <w:right w:val="single" w:sz="4" w:space="0" w:color="auto"/>
            </w:tcBorders>
            <w:vAlign w:val="center"/>
          </w:tcPr>
          <w:p w14:paraId="099CC348" w14:textId="77777777" w:rsidR="00D12939" w:rsidRDefault="004F47F5">
            <w:pPr>
              <w:jc w:val="center"/>
              <w:rPr>
                <w:rFonts w:ascii="Times New Roman" w:eastAsia="宋体" w:hAnsi="Times New Roman" w:cs="Times New Roman"/>
              </w:rPr>
            </w:pPr>
            <w:r>
              <w:rPr>
                <w:rFonts w:ascii="Times New Roman" w:eastAsia="宋体" w:hAnsi="Times New Roman" w:cs="Times New Roman"/>
                <w:szCs w:val="21"/>
              </w:rPr>
              <w:t>0~0.2m</w:t>
            </w:r>
          </w:p>
        </w:tc>
        <w:tc>
          <w:tcPr>
            <w:tcW w:w="1480" w:type="pct"/>
            <w:vMerge/>
            <w:tcBorders>
              <w:left w:val="single" w:sz="4" w:space="0" w:color="auto"/>
              <w:right w:val="single" w:sz="4" w:space="0" w:color="auto"/>
            </w:tcBorders>
            <w:vAlign w:val="center"/>
          </w:tcPr>
          <w:p w14:paraId="5DFC5AA0" w14:textId="77777777" w:rsidR="00D12939" w:rsidRDefault="00D12939">
            <w:pPr>
              <w:jc w:val="center"/>
              <w:rPr>
                <w:rFonts w:ascii="Times New Roman" w:eastAsia="宋体" w:hAnsi="Times New Roman" w:cs="Times New Roman"/>
                <w:szCs w:val="21"/>
              </w:rPr>
            </w:pPr>
          </w:p>
        </w:tc>
        <w:tc>
          <w:tcPr>
            <w:tcW w:w="621" w:type="pct"/>
            <w:vMerge/>
            <w:tcBorders>
              <w:top w:val="single" w:sz="4" w:space="0" w:color="auto"/>
              <w:left w:val="single" w:sz="4" w:space="0" w:color="auto"/>
              <w:bottom w:val="single" w:sz="4" w:space="0" w:color="auto"/>
              <w:right w:val="single" w:sz="12" w:space="0" w:color="auto"/>
            </w:tcBorders>
            <w:vAlign w:val="center"/>
          </w:tcPr>
          <w:p w14:paraId="352D922E" w14:textId="77777777" w:rsidR="00D12939" w:rsidRDefault="00D12939">
            <w:pPr>
              <w:jc w:val="left"/>
              <w:rPr>
                <w:rFonts w:ascii="Times New Roman" w:eastAsia="宋体" w:hAnsi="Times New Roman" w:cs="Times New Roman"/>
                <w:szCs w:val="21"/>
              </w:rPr>
            </w:pPr>
          </w:p>
        </w:tc>
      </w:tr>
    </w:tbl>
    <w:p w14:paraId="2F9882FD"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）监测分析方法</w:t>
      </w:r>
    </w:p>
    <w:p w14:paraId="08E5E27B"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监测分析方法见表</w:t>
      </w:r>
      <w:r>
        <w:rPr>
          <w:rFonts w:ascii="Times New Roman" w:eastAsia="宋体" w:hAnsi="Times New Roman" w:cs="Times New Roman"/>
          <w:sz w:val="24"/>
          <w:szCs w:val="24"/>
        </w:rPr>
        <w:t>5.2-13</w:t>
      </w:r>
      <w:r>
        <w:rPr>
          <w:rFonts w:ascii="Times New Roman" w:eastAsia="宋体" w:hAnsi="Times New Roman" w:cs="Times New Roman"/>
          <w:sz w:val="24"/>
          <w:szCs w:val="24"/>
        </w:rPr>
        <w:t>。</w:t>
      </w:r>
    </w:p>
    <w:p w14:paraId="762E2F7E" w14:textId="77777777" w:rsidR="00D12939" w:rsidRDefault="004F47F5">
      <w:pPr>
        <w:jc w:val="center"/>
        <w:rPr>
          <w:rFonts w:ascii="黑体" w:eastAsia="黑体" w:hAnsi="黑体"/>
          <w:sz w:val="24"/>
          <w:szCs w:val="21"/>
        </w:rPr>
      </w:pPr>
      <w:r>
        <w:rPr>
          <w:rFonts w:ascii="黑体" w:eastAsia="黑体" w:hAnsi="黑体"/>
          <w:sz w:val="24"/>
          <w:szCs w:val="21"/>
        </w:rPr>
        <w:t>表5.2-13    土壤监测分析方法</w:t>
      </w:r>
    </w:p>
    <w:tbl>
      <w:tblPr>
        <w:tblStyle w:val="afff8"/>
        <w:tblW w:w="0" w:type="auto"/>
        <w:jc w:val="center"/>
        <w:tblLayout w:type="fixed"/>
        <w:tblLook w:val="04A0" w:firstRow="1" w:lastRow="0" w:firstColumn="1" w:lastColumn="0" w:noHBand="0" w:noVBand="1"/>
      </w:tblPr>
      <w:tblGrid>
        <w:gridCol w:w="1838"/>
        <w:gridCol w:w="3477"/>
        <w:gridCol w:w="1591"/>
        <w:gridCol w:w="2585"/>
      </w:tblGrid>
      <w:tr w:rsidR="00D12939" w14:paraId="3EFFE7FA" w14:textId="77777777">
        <w:trPr>
          <w:trHeight w:val="20"/>
          <w:jc w:val="center"/>
        </w:trPr>
        <w:tc>
          <w:tcPr>
            <w:tcW w:w="1838" w:type="dxa"/>
            <w:vAlign w:val="center"/>
          </w:tcPr>
          <w:p w14:paraId="64E0F86C"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检测项目</w:t>
            </w:r>
          </w:p>
        </w:tc>
        <w:tc>
          <w:tcPr>
            <w:tcW w:w="3477" w:type="dxa"/>
            <w:vAlign w:val="center"/>
          </w:tcPr>
          <w:p w14:paraId="25A7269F" w14:textId="77777777" w:rsidR="00D12939" w:rsidRDefault="004F47F5">
            <w:pPr>
              <w:jc w:val="center"/>
              <w:rPr>
                <w:rFonts w:ascii="Times New Roman" w:eastAsia="宋体" w:hAnsi="Times New Roman" w:cs="Times New Roman"/>
                <w:spacing w:val="-2"/>
                <w:kern w:val="0"/>
                <w:szCs w:val="21"/>
              </w:rPr>
            </w:pPr>
            <w:r>
              <w:rPr>
                <w:rFonts w:ascii="Times New Roman" w:eastAsia="宋体" w:hAnsi="Times New Roman" w:cs="Times New Roman"/>
                <w:kern w:val="0"/>
                <w:szCs w:val="21"/>
              </w:rPr>
              <w:t>分析依据</w:t>
            </w:r>
          </w:p>
        </w:tc>
        <w:tc>
          <w:tcPr>
            <w:tcW w:w="1591" w:type="dxa"/>
            <w:vAlign w:val="center"/>
          </w:tcPr>
          <w:p w14:paraId="18815E02"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检出限</w:t>
            </w:r>
          </w:p>
        </w:tc>
        <w:tc>
          <w:tcPr>
            <w:tcW w:w="2585" w:type="dxa"/>
            <w:vAlign w:val="center"/>
          </w:tcPr>
          <w:p w14:paraId="360027B4" w14:textId="77777777" w:rsidR="00D12939" w:rsidRDefault="004F47F5">
            <w:pPr>
              <w:jc w:val="center"/>
              <w:rPr>
                <w:rFonts w:ascii="Times New Roman" w:eastAsia="宋体" w:hAnsi="Times New Roman" w:cs="Times New Roman"/>
                <w:kern w:val="0"/>
                <w:szCs w:val="21"/>
              </w:rPr>
            </w:pPr>
            <w:r>
              <w:rPr>
                <w:rFonts w:ascii="Times New Roman" w:eastAsia="宋体" w:hAnsi="Times New Roman" w:cs="Times New Roman"/>
                <w:kern w:val="0"/>
                <w:szCs w:val="21"/>
              </w:rPr>
              <w:t>检测设备</w:t>
            </w:r>
          </w:p>
        </w:tc>
      </w:tr>
      <w:tr w:rsidR="00D12939" w14:paraId="73D8A077" w14:textId="77777777">
        <w:trPr>
          <w:trHeight w:val="20"/>
          <w:jc w:val="center"/>
        </w:trPr>
        <w:tc>
          <w:tcPr>
            <w:tcW w:w="1838" w:type="dxa"/>
            <w:vAlign w:val="center"/>
          </w:tcPr>
          <w:p w14:paraId="7A733583"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铅</w:t>
            </w:r>
          </w:p>
        </w:tc>
        <w:tc>
          <w:tcPr>
            <w:tcW w:w="3477" w:type="dxa"/>
            <w:vAlign w:val="center"/>
          </w:tcPr>
          <w:p w14:paraId="30D8DEAC" w14:textId="77777777" w:rsidR="00D12939" w:rsidRDefault="004F47F5">
            <w:pPr>
              <w:pStyle w:val="TableParagraph"/>
              <w:autoSpaceDE w:val="0"/>
              <w:autoSpaceDN w:val="0"/>
              <w:ind w:firstLineChars="0" w:firstLine="0"/>
              <w:jc w:val="center"/>
              <w:rPr>
                <w:rFonts w:ascii="Times New Roman" w:hAnsi="Times New Roman"/>
                <w:sz w:val="21"/>
                <w:szCs w:val="21"/>
                <w:lang w:eastAsia="zh-CN"/>
              </w:rPr>
            </w:pPr>
            <w:r>
              <w:rPr>
                <w:rFonts w:ascii="Times New Roman" w:hAnsi="Times New Roman"/>
                <w:sz w:val="21"/>
                <w:szCs w:val="21"/>
                <w:lang w:eastAsia="zh-CN"/>
              </w:rPr>
              <w:t>土壤和沉积物</w:t>
            </w:r>
          </w:p>
          <w:p w14:paraId="0AE33E89" w14:textId="77777777" w:rsidR="00D12939" w:rsidRDefault="004F47F5">
            <w:pPr>
              <w:pStyle w:val="TableParagraph"/>
              <w:autoSpaceDE w:val="0"/>
              <w:autoSpaceDN w:val="0"/>
              <w:ind w:firstLineChars="0" w:firstLine="0"/>
              <w:jc w:val="center"/>
              <w:rPr>
                <w:rFonts w:ascii="Times New Roman" w:hAnsi="Times New Roman"/>
                <w:sz w:val="21"/>
                <w:szCs w:val="21"/>
                <w:lang w:eastAsia="zh-CN" w:bidi="en-US"/>
              </w:rPr>
            </w:pPr>
            <w:r>
              <w:rPr>
                <w:rFonts w:ascii="Times New Roman" w:hAnsi="Times New Roman"/>
                <w:spacing w:val="-2"/>
                <w:sz w:val="21"/>
                <w:szCs w:val="21"/>
                <w:lang w:eastAsia="zh-CN"/>
              </w:rPr>
              <w:t>铜、锌、铅、镍、铬的测定</w:t>
            </w:r>
            <w:r>
              <w:rPr>
                <w:rFonts w:ascii="Times New Roman" w:hAnsi="Times New Roman"/>
                <w:sz w:val="21"/>
                <w:szCs w:val="21"/>
                <w:lang w:eastAsia="zh-CN"/>
              </w:rPr>
              <w:t>火焰原子吸收分光光度法</w:t>
            </w:r>
            <w:r>
              <w:rPr>
                <w:rFonts w:ascii="Times New Roman" w:hAnsi="Times New Roman"/>
                <w:sz w:val="21"/>
                <w:szCs w:val="21"/>
                <w:lang w:eastAsia="zh-CN"/>
              </w:rPr>
              <w:t>HJ</w:t>
            </w:r>
            <w:r>
              <w:rPr>
                <w:rFonts w:ascii="Times New Roman" w:hAnsi="Times New Roman"/>
                <w:spacing w:val="-1"/>
                <w:sz w:val="21"/>
                <w:szCs w:val="21"/>
                <w:lang w:eastAsia="zh-CN"/>
              </w:rPr>
              <w:t xml:space="preserve"> </w:t>
            </w:r>
            <w:r>
              <w:rPr>
                <w:rFonts w:ascii="Times New Roman" w:hAnsi="Times New Roman"/>
                <w:sz w:val="21"/>
                <w:szCs w:val="21"/>
                <w:lang w:eastAsia="zh-CN"/>
              </w:rPr>
              <w:t>491-2019</w:t>
            </w:r>
          </w:p>
        </w:tc>
        <w:tc>
          <w:tcPr>
            <w:tcW w:w="1591" w:type="dxa"/>
            <w:vAlign w:val="center"/>
          </w:tcPr>
          <w:p w14:paraId="4AE2BD46"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10mg/kg</w:t>
            </w:r>
          </w:p>
        </w:tc>
        <w:tc>
          <w:tcPr>
            <w:tcW w:w="2585" w:type="dxa"/>
            <w:vMerge w:val="restart"/>
            <w:vAlign w:val="center"/>
          </w:tcPr>
          <w:p w14:paraId="77840669"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1EF6DE23"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7FB49F15"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4F47D593"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11D94671"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57700EF4"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00FA7F6F"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24F7822B"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464971FB" w14:textId="77777777" w:rsidR="00D12939" w:rsidRDefault="004F47F5">
            <w:pPr>
              <w:pStyle w:val="TableParagraph"/>
              <w:autoSpaceDE w:val="0"/>
              <w:autoSpaceDN w:val="0"/>
              <w:ind w:firstLineChars="0" w:firstLine="0"/>
              <w:jc w:val="center"/>
              <w:rPr>
                <w:rFonts w:ascii="Times New Roman" w:hAnsi="Times New Roman"/>
                <w:sz w:val="21"/>
                <w:szCs w:val="21"/>
              </w:rPr>
            </w:pPr>
            <w:r>
              <w:rPr>
                <w:rFonts w:ascii="Times New Roman" w:hAnsi="Times New Roman"/>
                <w:sz w:val="21"/>
                <w:szCs w:val="21"/>
              </w:rPr>
              <w:t>WYS2200</w:t>
            </w:r>
          </w:p>
          <w:p w14:paraId="0AA67EA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原子吸收分光光度计</w:t>
            </w:r>
          </w:p>
          <w:p w14:paraId="30562510"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1A0685EF" w14:textId="77777777">
        <w:trPr>
          <w:trHeight w:val="20"/>
          <w:jc w:val="center"/>
        </w:trPr>
        <w:tc>
          <w:tcPr>
            <w:tcW w:w="1838" w:type="dxa"/>
            <w:vAlign w:val="center"/>
          </w:tcPr>
          <w:p w14:paraId="5890E446"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镉</w:t>
            </w:r>
          </w:p>
        </w:tc>
        <w:tc>
          <w:tcPr>
            <w:tcW w:w="3477" w:type="dxa"/>
            <w:vAlign w:val="center"/>
          </w:tcPr>
          <w:p w14:paraId="499232C3" w14:textId="77777777" w:rsidR="00D12939" w:rsidRDefault="004F47F5">
            <w:pPr>
              <w:pStyle w:val="TableParagraph"/>
              <w:autoSpaceDE w:val="0"/>
              <w:autoSpaceDN w:val="0"/>
              <w:ind w:firstLineChars="0" w:firstLine="0"/>
              <w:jc w:val="center"/>
              <w:rPr>
                <w:rFonts w:ascii="Times New Roman" w:hAnsi="Times New Roman"/>
                <w:sz w:val="21"/>
                <w:szCs w:val="21"/>
                <w:lang w:eastAsia="zh-CN"/>
              </w:rPr>
            </w:pPr>
            <w:r>
              <w:rPr>
                <w:rFonts w:ascii="Times New Roman" w:hAnsi="Times New Roman"/>
                <w:sz w:val="21"/>
                <w:szCs w:val="21"/>
                <w:lang w:eastAsia="zh-CN"/>
              </w:rPr>
              <w:t>土壤质量</w:t>
            </w:r>
            <w:r>
              <w:rPr>
                <w:rFonts w:ascii="Times New Roman" w:hAnsi="Times New Roman"/>
                <w:sz w:val="21"/>
                <w:szCs w:val="21"/>
                <w:lang w:eastAsia="zh-CN"/>
              </w:rPr>
              <w:t xml:space="preserve"> </w:t>
            </w:r>
            <w:r>
              <w:rPr>
                <w:rFonts w:ascii="Times New Roman" w:hAnsi="Times New Roman"/>
                <w:sz w:val="21"/>
                <w:szCs w:val="21"/>
                <w:lang w:eastAsia="zh-CN"/>
              </w:rPr>
              <w:t>铅、镉的测定石墨炉原子吸收分光光度法</w:t>
            </w:r>
          </w:p>
          <w:p w14:paraId="08B23ACF"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GB/T 17141-1997</w:t>
            </w:r>
          </w:p>
        </w:tc>
        <w:tc>
          <w:tcPr>
            <w:tcW w:w="1591" w:type="dxa"/>
            <w:vAlign w:val="center"/>
          </w:tcPr>
          <w:p w14:paraId="3886D41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0.01mg/kg</w:t>
            </w:r>
          </w:p>
        </w:tc>
        <w:tc>
          <w:tcPr>
            <w:tcW w:w="2585" w:type="dxa"/>
            <w:vMerge/>
            <w:vAlign w:val="center"/>
          </w:tcPr>
          <w:p w14:paraId="2784503A"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CDF2BA9" w14:textId="77777777">
        <w:trPr>
          <w:trHeight w:val="20"/>
          <w:jc w:val="center"/>
        </w:trPr>
        <w:tc>
          <w:tcPr>
            <w:tcW w:w="1838" w:type="dxa"/>
            <w:vAlign w:val="center"/>
          </w:tcPr>
          <w:p w14:paraId="074CD288"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镍</w:t>
            </w:r>
          </w:p>
        </w:tc>
        <w:tc>
          <w:tcPr>
            <w:tcW w:w="3477" w:type="dxa"/>
            <w:vMerge w:val="restart"/>
            <w:vAlign w:val="center"/>
          </w:tcPr>
          <w:p w14:paraId="2935616E"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7FE7915F" w14:textId="77777777" w:rsidR="00D12939" w:rsidRDefault="004F47F5">
            <w:pPr>
              <w:pStyle w:val="TableParagraph"/>
              <w:autoSpaceDE w:val="0"/>
              <w:autoSpaceDN w:val="0"/>
              <w:ind w:firstLineChars="0" w:firstLine="0"/>
              <w:jc w:val="center"/>
              <w:rPr>
                <w:rFonts w:ascii="Times New Roman" w:hAnsi="Times New Roman"/>
                <w:sz w:val="21"/>
                <w:szCs w:val="21"/>
                <w:lang w:eastAsia="zh-CN"/>
              </w:rPr>
            </w:pPr>
            <w:r>
              <w:rPr>
                <w:rFonts w:ascii="Times New Roman" w:hAnsi="Times New Roman"/>
                <w:sz w:val="21"/>
                <w:szCs w:val="21"/>
                <w:lang w:eastAsia="zh-CN"/>
              </w:rPr>
              <w:t>土壤和沉积物</w:t>
            </w:r>
          </w:p>
          <w:p w14:paraId="71C0F699" w14:textId="77777777" w:rsidR="00D12939" w:rsidRDefault="004F47F5">
            <w:pPr>
              <w:pStyle w:val="TableParagraph"/>
              <w:autoSpaceDE w:val="0"/>
              <w:autoSpaceDN w:val="0"/>
              <w:ind w:firstLineChars="0" w:firstLine="0"/>
              <w:jc w:val="center"/>
              <w:rPr>
                <w:rFonts w:ascii="Times New Roman" w:hAnsi="Times New Roman"/>
                <w:sz w:val="21"/>
                <w:szCs w:val="21"/>
                <w:lang w:eastAsia="zh-CN" w:bidi="en-US"/>
              </w:rPr>
            </w:pPr>
            <w:r>
              <w:rPr>
                <w:rFonts w:ascii="Times New Roman" w:hAnsi="Times New Roman"/>
                <w:spacing w:val="-2"/>
                <w:sz w:val="21"/>
                <w:szCs w:val="21"/>
                <w:lang w:eastAsia="zh-CN"/>
              </w:rPr>
              <w:t>铜、锌、铅、镍、铬的测定</w:t>
            </w:r>
            <w:r>
              <w:rPr>
                <w:rFonts w:ascii="Times New Roman" w:hAnsi="Times New Roman"/>
                <w:sz w:val="21"/>
                <w:szCs w:val="21"/>
                <w:lang w:eastAsia="zh-CN"/>
              </w:rPr>
              <w:t>火焰原子吸收分光光度法</w:t>
            </w:r>
            <w:r>
              <w:rPr>
                <w:rFonts w:ascii="Times New Roman" w:hAnsi="Times New Roman"/>
                <w:sz w:val="21"/>
                <w:szCs w:val="21"/>
                <w:lang w:eastAsia="zh-CN"/>
              </w:rPr>
              <w:t>HJ</w:t>
            </w:r>
            <w:r>
              <w:rPr>
                <w:rFonts w:ascii="Times New Roman" w:hAnsi="Times New Roman"/>
                <w:spacing w:val="-1"/>
                <w:sz w:val="21"/>
                <w:szCs w:val="21"/>
                <w:lang w:eastAsia="zh-CN"/>
              </w:rPr>
              <w:t xml:space="preserve"> </w:t>
            </w:r>
            <w:r>
              <w:rPr>
                <w:rFonts w:ascii="Times New Roman" w:hAnsi="Times New Roman"/>
                <w:sz w:val="21"/>
                <w:szCs w:val="21"/>
                <w:lang w:eastAsia="zh-CN"/>
              </w:rPr>
              <w:t>491-2019</w:t>
            </w:r>
          </w:p>
          <w:p w14:paraId="12C14CFC"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1CB32DB3"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3mg/kg</w:t>
            </w:r>
          </w:p>
        </w:tc>
        <w:tc>
          <w:tcPr>
            <w:tcW w:w="2585" w:type="dxa"/>
            <w:vMerge/>
            <w:vAlign w:val="center"/>
          </w:tcPr>
          <w:p w14:paraId="20ECF0D0"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524C0F86" w14:textId="77777777">
        <w:trPr>
          <w:trHeight w:val="20"/>
          <w:jc w:val="center"/>
        </w:trPr>
        <w:tc>
          <w:tcPr>
            <w:tcW w:w="1838" w:type="dxa"/>
            <w:vAlign w:val="center"/>
          </w:tcPr>
          <w:p w14:paraId="589AD2E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铜</w:t>
            </w:r>
          </w:p>
        </w:tc>
        <w:tc>
          <w:tcPr>
            <w:tcW w:w="3477" w:type="dxa"/>
            <w:vMerge/>
            <w:vAlign w:val="center"/>
          </w:tcPr>
          <w:p w14:paraId="4699BFF5"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13660441"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1mg/kg</w:t>
            </w:r>
          </w:p>
        </w:tc>
        <w:tc>
          <w:tcPr>
            <w:tcW w:w="2585" w:type="dxa"/>
            <w:vMerge/>
            <w:vAlign w:val="center"/>
          </w:tcPr>
          <w:p w14:paraId="4BBDFAD1"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21F5C449" w14:textId="77777777">
        <w:trPr>
          <w:trHeight w:val="20"/>
          <w:jc w:val="center"/>
        </w:trPr>
        <w:tc>
          <w:tcPr>
            <w:tcW w:w="1838" w:type="dxa"/>
            <w:vAlign w:val="center"/>
          </w:tcPr>
          <w:p w14:paraId="4AFC5B39"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六价铬</w:t>
            </w:r>
          </w:p>
        </w:tc>
        <w:tc>
          <w:tcPr>
            <w:tcW w:w="3477" w:type="dxa"/>
            <w:vAlign w:val="center"/>
          </w:tcPr>
          <w:p w14:paraId="4E4487DA" w14:textId="77777777" w:rsidR="00D12939" w:rsidRDefault="004F47F5">
            <w:pPr>
              <w:pStyle w:val="TableParagraph"/>
              <w:autoSpaceDE w:val="0"/>
              <w:autoSpaceDN w:val="0"/>
              <w:ind w:firstLineChars="0" w:firstLine="0"/>
              <w:jc w:val="center"/>
              <w:rPr>
                <w:rFonts w:ascii="Times New Roman" w:hAnsi="Times New Roman"/>
                <w:sz w:val="21"/>
                <w:szCs w:val="21"/>
                <w:lang w:eastAsia="zh-CN" w:bidi="en-US"/>
              </w:rPr>
            </w:pPr>
            <w:r>
              <w:rPr>
                <w:rFonts w:ascii="Times New Roman" w:hAnsi="Times New Roman"/>
                <w:sz w:val="21"/>
                <w:szCs w:val="21"/>
                <w:lang w:eastAsia="zh-CN"/>
              </w:rPr>
              <w:t>土壤和沉积物</w:t>
            </w:r>
            <w:r>
              <w:rPr>
                <w:rFonts w:ascii="Times New Roman" w:hAnsi="Times New Roman"/>
                <w:sz w:val="21"/>
                <w:szCs w:val="21"/>
                <w:lang w:eastAsia="zh-CN"/>
              </w:rPr>
              <w:t xml:space="preserve"> </w:t>
            </w:r>
            <w:r>
              <w:rPr>
                <w:rFonts w:ascii="Times New Roman" w:hAnsi="Times New Roman"/>
                <w:sz w:val="21"/>
                <w:szCs w:val="21"/>
                <w:lang w:eastAsia="zh-CN"/>
              </w:rPr>
              <w:t>六价铬的测定碱溶液提取</w:t>
            </w:r>
            <w:r>
              <w:rPr>
                <w:rFonts w:ascii="Times New Roman" w:hAnsi="Times New Roman"/>
                <w:sz w:val="21"/>
                <w:szCs w:val="21"/>
                <w:lang w:eastAsia="zh-CN"/>
              </w:rPr>
              <w:t>-</w:t>
            </w:r>
            <w:r>
              <w:rPr>
                <w:rFonts w:ascii="Times New Roman" w:hAnsi="Times New Roman"/>
                <w:sz w:val="21"/>
                <w:szCs w:val="21"/>
                <w:lang w:eastAsia="zh-CN"/>
              </w:rPr>
              <w:t>火焰原子吸收分光光度法</w:t>
            </w:r>
            <w:r>
              <w:rPr>
                <w:rFonts w:ascii="Times New Roman" w:hAnsi="Times New Roman"/>
                <w:sz w:val="21"/>
                <w:szCs w:val="21"/>
                <w:lang w:eastAsia="zh-CN"/>
              </w:rPr>
              <w:t xml:space="preserve"> HJ 1082-2019</w:t>
            </w:r>
          </w:p>
        </w:tc>
        <w:tc>
          <w:tcPr>
            <w:tcW w:w="1591" w:type="dxa"/>
            <w:vAlign w:val="center"/>
          </w:tcPr>
          <w:p w14:paraId="361C907C"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0.5mg/kg</w:t>
            </w:r>
          </w:p>
        </w:tc>
        <w:tc>
          <w:tcPr>
            <w:tcW w:w="2585" w:type="dxa"/>
            <w:vMerge/>
            <w:vAlign w:val="center"/>
          </w:tcPr>
          <w:p w14:paraId="00DFBA2B"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7A94725" w14:textId="77777777">
        <w:trPr>
          <w:trHeight w:val="20"/>
          <w:jc w:val="center"/>
        </w:trPr>
        <w:tc>
          <w:tcPr>
            <w:tcW w:w="1838" w:type="dxa"/>
            <w:vAlign w:val="center"/>
          </w:tcPr>
          <w:p w14:paraId="6C77F4F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汞</w:t>
            </w:r>
          </w:p>
        </w:tc>
        <w:tc>
          <w:tcPr>
            <w:tcW w:w="3477" w:type="dxa"/>
            <w:vMerge w:val="restart"/>
            <w:vAlign w:val="center"/>
          </w:tcPr>
          <w:p w14:paraId="50FE9CC3"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52D0B709"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2C0AB813" w14:textId="77777777" w:rsidR="00D12939" w:rsidRDefault="004F47F5">
            <w:pPr>
              <w:pStyle w:val="TableParagraph"/>
              <w:autoSpaceDE w:val="0"/>
              <w:autoSpaceDN w:val="0"/>
              <w:ind w:firstLineChars="0" w:firstLine="0"/>
              <w:jc w:val="center"/>
              <w:rPr>
                <w:rFonts w:ascii="Times New Roman" w:hAnsi="Times New Roman"/>
                <w:sz w:val="21"/>
                <w:szCs w:val="21"/>
                <w:lang w:eastAsia="zh-CN" w:bidi="en-US"/>
              </w:rPr>
            </w:pPr>
            <w:r>
              <w:rPr>
                <w:rFonts w:ascii="Times New Roman" w:hAnsi="Times New Roman"/>
                <w:spacing w:val="-3"/>
                <w:sz w:val="21"/>
                <w:szCs w:val="21"/>
                <w:lang w:eastAsia="zh-CN"/>
              </w:rPr>
              <w:t>土壤和沉积物</w:t>
            </w:r>
            <w:r>
              <w:rPr>
                <w:rFonts w:ascii="Times New Roman" w:hAnsi="Times New Roman"/>
                <w:spacing w:val="-3"/>
                <w:sz w:val="21"/>
                <w:szCs w:val="21"/>
                <w:lang w:eastAsia="zh-CN"/>
              </w:rPr>
              <w:t xml:space="preserve"> </w:t>
            </w:r>
            <w:r>
              <w:rPr>
                <w:rFonts w:ascii="Times New Roman" w:hAnsi="Times New Roman"/>
                <w:spacing w:val="-3"/>
                <w:sz w:val="21"/>
                <w:szCs w:val="21"/>
                <w:lang w:eastAsia="zh-CN"/>
              </w:rPr>
              <w:t>汞、砷、硒、铋、锑的测定</w:t>
            </w:r>
            <w:r>
              <w:rPr>
                <w:rFonts w:ascii="Times New Roman" w:hAnsi="Times New Roman"/>
                <w:spacing w:val="-3"/>
                <w:sz w:val="21"/>
                <w:szCs w:val="21"/>
                <w:lang w:eastAsia="zh-CN"/>
              </w:rPr>
              <w:t xml:space="preserve"> </w:t>
            </w:r>
            <w:r>
              <w:rPr>
                <w:rFonts w:ascii="Times New Roman" w:hAnsi="Times New Roman"/>
                <w:spacing w:val="-3"/>
                <w:sz w:val="21"/>
                <w:szCs w:val="21"/>
                <w:lang w:eastAsia="zh-CN"/>
              </w:rPr>
              <w:t>微波消解</w:t>
            </w:r>
            <w:r>
              <w:rPr>
                <w:rFonts w:ascii="Times New Roman" w:hAnsi="Times New Roman"/>
                <w:sz w:val="21"/>
                <w:szCs w:val="21"/>
                <w:lang w:eastAsia="zh-CN"/>
              </w:rPr>
              <w:t>/</w:t>
            </w:r>
            <w:r>
              <w:rPr>
                <w:rFonts w:ascii="Times New Roman" w:hAnsi="Times New Roman"/>
                <w:sz w:val="21"/>
                <w:szCs w:val="21"/>
                <w:lang w:eastAsia="zh-CN"/>
              </w:rPr>
              <w:t>原子荧光法</w:t>
            </w:r>
            <w:r>
              <w:rPr>
                <w:rFonts w:ascii="Times New Roman" w:hAnsi="Times New Roman"/>
                <w:sz w:val="21"/>
                <w:szCs w:val="21"/>
                <w:lang w:eastAsia="zh-CN"/>
              </w:rPr>
              <w:t>HJ</w:t>
            </w:r>
            <w:r>
              <w:rPr>
                <w:rFonts w:ascii="Times New Roman" w:hAnsi="Times New Roman"/>
                <w:spacing w:val="-1"/>
                <w:sz w:val="21"/>
                <w:szCs w:val="21"/>
                <w:lang w:eastAsia="zh-CN"/>
              </w:rPr>
              <w:t xml:space="preserve"> </w:t>
            </w:r>
            <w:r>
              <w:rPr>
                <w:rFonts w:ascii="Times New Roman" w:hAnsi="Times New Roman"/>
                <w:sz w:val="21"/>
                <w:szCs w:val="21"/>
                <w:lang w:eastAsia="zh-CN"/>
              </w:rPr>
              <w:t>680-2013</w:t>
            </w:r>
          </w:p>
          <w:p w14:paraId="324488A5"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0A3AF052"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0.002mg/kg</w:t>
            </w:r>
          </w:p>
        </w:tc>
        <w:tc>
          <w:tcPr>
            <w:tcW w:w="2585" w:type="dxa"/>
            <w:vMerge w:val="restart"/>
            <w:vAlign w:val="center"/>
          </w:tcPr>
          <w:p w14:paraId="12222D1E"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44299BA2"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0B44777D" w14:textId="77777777" w:rsidR="00D12939" w:rsidRDefault="004F47F5">
            <w:pPr>
              <w:pStyle w:val="TableParagraph"/>
              <w:autoSpaceDE w:val="0"/>
              <w:autoSpaceDN w:val="0"/>
              <w:ind w:firstLineChars="0" w:firstLine="0"/>
              <w:jc w:val="center"/>
              <w:rPr>
                <w:rFonts w:ascii="Times New Roman" w:hAnsi="Times New Roman"/>
                <w:sz w:val="21"/>
                <w:szCs w:val="21"/>
              </w:rPr>
            </w:pPr>
            <w:r>
              <w:rPr>
                <w:rFonts w:ascii="Times New Roman" w:hAnsi="Times New Roman"/>
                <w:sz w:val="21"/>
                <w:szCs w:val="21"/>
              </w:rPr>
              <w:t>PF31</w:t>
            </w:r>
          </w:p>
          <w:p w14:paraId="5CA89D85"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原子荧光光度计</w:t>
            </w:r>
          </w:p>
          <w:p w14:paraId="4BAFF07A"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482589A5" w14:textId="77777777">
        <w:trPr>
          <w:trHeight w:val="20"/>
          <w:jc w:val="center"/>
        </w:trPr>
        <w:tc>
          <w:tcPr>
            <w:tcW w:w="1838" w:type="dxa"/>
            <w:vAlign w:val="center"/>
          </w:tcPr>
          <w:p w14:paraId="741B3393"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砷</w:t>
            </w:r>
          </w:p>
        </w:tc>
        <w:tc>
          <w:tcPr>
            <w:tcW w:w="3477" w:type="dxa"/>
            <w:vMerge/>
            <w:vAlign w:val="center"/>
          </w:tcPr>
          <w:p w14:paraId="52968623"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73A4D0B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0.01mg/kg</w:t>
            </w:r>
          </w:p>
        </w:tc>
        <w:tc>
          <w:tcPr>
            <w:tcW w:w="2585" w:type="dxa"/>
            <w:vMerge/>
            <w:vAlign w:val="center"/>
          </w:tcPr>
          <w:p w14:paraId="14E8F5AC"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7F6EAF68" w14:textId="77777777">
        <w:trPr>
          <w:trHeight w:val="20"/>
          <w:jc w:val="center"/>
        </w:trPr>
        <w:tc>
          <w:tcPr>
            <w:tcW w:w="1838" w:type="dxa"/>
            <w:vAlign w:val="center"/>
          </w:tcPr>
          <w:p w14:paraId="631E67B0"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四氯化碳</w:t>
            </w:r>
          </w:p>
        </w:tc>
        <w:tc>
          <w:tcPr>
            <w:tcW w:w="3477" w:type="dxa"/>
            <w:vMerge w:val="restart"/>
            <w:vAlign w:val="center"/>
          </w:tcPr>
          <w:p w14:paraId="207CC898"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6E283A25"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184B8FDC"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25DAAC7C"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5117E86A"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1D3BFC68" w14:textId="77777777" w:rsidR="00D12939" w:rsidRDefault="004F47F5">
            <w:pPr>
              <w:pStyle w:val="TableParagraph"/>
              <w:autoSpaceDE w:val="0"/>
              <w:autoSpaceDN w:val="0"/>
              <w:ind w:firstLineChars="0" w:firstLine="0"/>
              <w:jc w:val="center"/>
              <w:rPr>
                <w:rFonts w:ascii="Times New Roman" w:hAnsi="Times New Roman"/>
                <w:sz w:val="21"/>
                <w:szCs w:val="21"/>
                <w:lang w:eastAsia="zh-CN"/>
              </w:rPr>
            </w:pPr>
            <w:r>
              <w:rPr>
                <w:rFonts w:ascii="Times New Roman" w:hAnsi="Times New Roman"/>
                <w:sz w:val="21"/>
                <w:szCs w:val="21"/>
                <w:lang w:eastAsia="zh-CN"/>
              </w:rPr>
              <w:t>土壤和沉积物</w:t>
            </w:r>
          </w:p>
          <w:p w14:paraId="214EE9B7" w14:textId="77777777" w:rsidR="00D12939" w:rsidRDefault="004F47F5">
            <w:pPr>
              <w:pStyle w:val="TableParagraph"/>
              <w:autoSpaceDE w:val="0"/>
              <w:autoSpaceDN w:val="0"/>
              <w:ind w:firstLineChars="0" w:firstLine="0"/>
              <w:jc w:val="center"/>
              <w:rPr>
                <w:rFonts w:ascii="Times New Roman" w:hAnsi="Times New Roman"/>
                <w:sz w:val="21"/>
                <w:szCs w:val="21"/>
                <w:lang w:eastAsia="zh-CN"/>
              </w:rPr>
            </w:pPr>
            <w:r>
              <w:rPr>
                <w:rFonts w:ascii="Times New Roman" w:hAnsi="Times New Roman"/>
                <w:sz w:val="21"/>
                <w:szCs w:val="21"/>
                <w:lang w:eastAsia="zh-CN"/>
              </w:rPr>
              <w:t>挥发性有机物的测定</w:t>
            </w:r>
            <w:r>
              <w:rPr>
                <w:rFonts w:ascii="Times New Roman" w:hAnsi="Times New Roman"/>
                <w:sz w:val="21"/>
                <w:szCs w:val="21"/>
                <w:lang w:eastAsia="zh-CN"/>
              </w:rPr>
              <w:t xml:space="preserve"> </w:t>
            </w:r>
            <w:r>
              <w:rPr>
                <w:rFonts w:ascii="Times New Roman" w:hAnsi="Times New Roman"/>
                <w:sz w:val="21"/>
                <w:szCs w:val="21"/>
                <w:lang w:eastAsia="zh-CN"/>
              </w:rPr>
              <w:t>吹扫捕集气相色谱</w:t>
            </w:r>
            <w:r>
              <w:rPr>
                <w:rFonts w:ascii="Times New Roman" w:hAnsi="Times New Roman"/>
                <w:sz w:val="21"/>
                <w:szCs w:val="21"/>
                <w:lang w:eastAsia="zh-CN"/>
              </w:rPr>
              <w:t>-</w:t>
            </w:r>
            <w:r>
              <w:rPr>
                <w:rFonts w:ascii="Times New Roman" w:hAnsi="Times New Roman"/>
                <w:spacing w:val="-6"/>
                <w:sz w:val="21"/>
                <w:szCs w:val="21"/>
                <w:lang w:eastAsia="zh-CN"/>
              </w:rPr>
              <w:t>质谱法</w:t>
            </w:r>
          </w:p>
          <w:p w14:paraId="6B68D35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HJ 605-2011</w:t>
            </w:r>
          </w:p>
        </w:tc>
        <w:tc>
          <w:tcPr>
            <w:tcW w:w="1591" w:type="dxa"/>
            <w:vAlign w:val="center"/>
          </w:tcPr>
          <w:p w14:paraId="2F80A3D9"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0.0013mg/kg</w:t>
            </w:r>
          </w:p>
        </w:tc>
        <w:tc>
          <w:tcPr>
            <w:tcW w:w="2585" w:type="dxa"/>
            <w:vMerge w:val="restart"/>
            <w:vAlign w:val="center"/>
          </w:tcPr>
          <w:p w14:paraId="751A7D64"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14496310"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5E6A087F"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24D4C602"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11BCF459"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18F6C7F6"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4E61E2BC" w14:textId="77777777" w:rsidR="00D12939" w:rsidRDefault="004F47F5">
            <w:pPr>
              <w:pStyle w:val="TableParagraph"/>
              <w:autoSpaceDE w:val="0"/>
              <w:autoSpaceDN w:val="0"/>
              <w:ind w:firstLineChars="0" w:firstLine="0"/>
              <w:jc w:val="center"/>
              <w:rPr>
                <w:rFonts w:ascii="Times New Roman" w:hAnsi="Times New Roman"/>
                <w:sz w:val="21"/>
                <w:szCs w:val="21"/>
              </w:rPr>
            </w:pPr>
            <w:r>
              <w:rPr>
                <w:rFonts w:ascii="Times New Roman" w:hAnsi="Times New Roman"/>
                <w:sz w:val="21"/>
                <w:szCs w:val="21"/>
              </w:rPr>
              <w:t xml:space="preserve">A91PLUS-AMD10 </w:t>
            </w:r>
            <w:r>
              <w:rPr>
                <w:rFonts w:ascii="Times New Roman" w:hAnsi="Times New Roman"/>
                <w:sz w:val="21"/>
                <w:szCs w:val="21"/>
              </w:rPr>
              <w:t>气</w:t>
            </w:r>
          </w:p>
          <w:p w14:paraId="1C44333F"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相色谱质谱联用仪</w:t>
            </w:r>
          </w:p>
        </w:tc>
      </w:tr>
      <w:tr w:rsidR="00D12939" w14:paraId="7871030C" w14:textId="77777777">
        <w:trPr>
          <w:trHeight w:val="20"/>
          <w:jc w:val="center"/>
        </w:trPr>
        <w:tc>
          <w:tcPr>
            <w:tcW w:w="1838" w:type="dxa"/>
            <w:vAlign w:val="center"/>
          </w:tcPr>
          <w:p w14:paraId="544C1979"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氯仿</w:t>
            </w:r>
          </w:p>
        </w:tc>
        <w:tc>
          <w:tcPr>
            <w:tcW w:w="3477" w:type="dxa"/>
            <w:vMerge/>
            <w:vAlign w:val="center"/>
          </w:tcPr>
          <w:p w14:paraId="067A17FE"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14F7275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0.0011mg/kg</w:t>
            </w:r>
          </w:p>
        </w:tc>
        <w:tc>
          <w:tcPr>
            <w:tcW w:w="2585" w:type="dxa"/>
            <w:vMerge/>
            <w:vAlign w:val="center"/>
          </w:tcPr>
          <w:p w14:paraId="68AE0E8C"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009F197" w14:textId="77777777">
        <w:trPr>
          <w:trHeight w:val="20"/>
          <w:jc w:val="center"/>
        </w:trPr>
        <w:tc>
          <w:tcPr>
            <w:tcW w:w="1838" w:type="dxa"/>
            <w:vAlign w:val="center"/>
          </w:tcPr>
          <w:p w14:paraId="228EDCAC"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氯甲烷</w:t>
            </w:r>
          </w:p>
        </w:tc>
        <w:tc>
          <w:tcPr>
            <w:tcW w:w="3477" w:type="dxa"/>
            <w:vMerge/>
            <w:vAlign w:val="center"/>
          </w:tcPr>
          <w:p w14:paraId="5DB468F5"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6D2B5ADD"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0.0010mg/kg</w:t>
            </w:r>
          </w:p>
        </w:tc>
        <w:tc>
          <w:tcPr>
            <w:tcW w:w="2585" w:type="dxa"/>
            <w:vMerge/>
            <w:vAlign w:val="center"/>
          </w:tcPr>
          <w:p w14:paraId="3349C4A6"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65F69EF4" w14:textId="77777777">
        <w:trPr>
          <w:trHeight w:val="20"/>
          <w:jc w:val="center"/>
        </w:trPr>
        <w:tc>
          <w:tcPr>
            <w:tcW w:w="1838" w:type="dxa"/>
            <w:vAlign w:val="center"/>
          </w:tcPr>
          <w:p w14:paraId="08860D2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1,1-</w:t>
            </w:r>
            <w:r>
              <w:rPr>
                <w:rFonts w:ascii="Times New Roman" w:hAnsi="Times New Roman"/>
                <w:sz w:val="21"/>
                <w:szCs w:val="21"/>
              </w:rPr>
              <w:t>二氯乙烷</w:t>
            </w:r>
          </w:p>
        </w:tc>
        <w:tc>
          <w:tcPr>
            <w:tcW w:w="3477" w:type="dxa"/>
            <w:vMerge/>
            <w:vAlign w:val="center"/>
          </w:tcPr>
          <w:p w14:paraId="19B3DFE6"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24A133A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574750E1"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61F5154B" w14:textId="77777777">
        <w:trPr>
          <w:trHeight w:val="20"/>
          <w:jc w:val="center"/>
        </w:trPr>
        <w:tc>
          <w:tcPr>
            <w:tcW w:w="1838" w:type="dxa"/>
            <w:vAlign w:val="center"/>
          </w:tcPr>
          <w:p w14:paraId="413CE0F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1,2-</w:t>
            </w:r>
            <w:r>
              <w:rPr>
                <w:rFonts w:ascii="Times New Roman" w:hAnsi="Times New Roman"/>
                <w:sz w:val="21"/>
                <w:szCs w:val="21"/>
              </w:rPr>
              <w:t>二氯乙烷</w:t>
            </w:r>
          </w:p>
        </w:tc>
        <w:tc>
          <w:tcPr>
            <w:tcW w:w="3477" w:type="dxa"/>
            <w:vMerge/>
            <w:vAlign w:val="center"/>
          </w:tcPr>
          <w:p w14:paraId="578F33E7"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2BC70C65"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0.0013mg/kg</w:t>
            </w:r>
          </w:p>
        </w:tc>
        <w:tc>
          <w:tcPr>
            <w:tcW w:w="2585" w:type="dxa"/>
            <w:vMerge/>
            <w:vAlign w:val="center"/>
          </w:tcPr>
          <w:p w14:paraId="0E33529D"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2A05E154" w14:textId="77777777">
        <w:trPr>
          <w:trHeight w:val="20"/>
          <w:jc w:val="center"/>
        </w:trPr>
        <w:tc>
          <w:tcPr>
            <w:tcW w:w="1838" w:type="dxa"/>
            <w:vAlign w:val="center"/>
          </w:tcPr>
          <w:p w14:paraId="123ECA4C"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1,1-</w:t>
            </w:r>
            <w:r>
              <w:rPr>
                <w:rFonts w:ascii="Times New Roman" w:hAnsi="Times New Roman"/>
                <w:sz w:val="21"/>
                <w:szCs w:val="21"/>
              </w:rPr>
              <w:t>二氯乙烯</w:t>
            </w:r>
          </w:p>
        </w:tc>
        <w:tc>
          <w:tcPr>
            <w:tcW w:w="3477" w:type="dxa"/>
            <w:vMerge/>
            <w:vAlign w:val="center"/>
          </w:tcPr>
          <w:p w14:paraId="0DE3763E"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6A3BD793"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0.0010mg/kg</w:t>
            </w:r>
          </w:p>
        </w:tc>
        <w:tc>
          <w:tcPr>
            <w:tcW w:w="2585" w:type="dxa"/>
            <w:vMerge/>
            <w:vAlign w:val="center"/>
          </w:tcPr>
          <w:p w14:paraId="14CA254E"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D205EF1" w14:textId="77777777">
        <w:trPr>
          <w:trHeight w:val="20"/>
          <w:jc w:val="center"/>
        </w:trPr>
        <w:tc>
          <w:tcPr>
            <w:tcW w:w="1838" w:type="dxa"/>
            <w:vAlign w:val="center"/>
          </w:tcPr>
          <w:p w14:paraId="3EA20BA3"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顺</w:t>
            </w:r>
            <w:r>
              <w:rPr>
                <w:rFonts w:ascii="Times New Roman" w:hAnsi="Times New Roman"/>
                <w:sz w:val="21"/>
                <w:szCs w:val="21"/>
              </w:rPr>
              <w:t>-1,2-</w:t>
            </w:r>
            <w:r>
              <w:rPr>
                <w:rFonts w:ascii="Times New Roman" w:hAnsi="Times New Roman"/>
                <w:sz w:val="21"/>
                <w:szCs w:val="21"/>
              </w:rPr>
              <w:t>二氯乙烯</w:t>
            </w:r>
          </w:p>
        </w:tc>
        <w:tc>
          <w:tcPr>
            <w:tcW w:w="3477" w:type="dxa"/>
            <w:vMerge/>
            <w:vAlign w:val="center"/>
          </w:tcPr>
          <w:p w14:paraId="69A547ED"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04C5358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0.0013mg/kg</w:t>
            </w:r>
          </w:p>
        </w:tc>
        <w:tc>
          <w:tcPr>
            <w:tcW w:w="2585" w:type="dxa"/>
            <w:vMerge/>
            <w:vAlign w:val="center"/>
          </w:tcPr>
          <w:p w14:paraId="1CA33B23"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4789A055" w14:textId="77777777">
        <w:trPr>
          <w:trHeight w:val="20"/>
          <w:jc w:val="center"/>
        </w:trPr>
        <w:tc>
          <w:tcPr>
            <w:tcW w:w="1838" w:type="dxa"/>
            <w:vAlign w:val="center"/>
          </w:tcPr>
          <w:p w14:paraId="1DE72A5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反</w:t>
            </w:r>
            <w:r>
              <w:rPr>
                <w:rFonts w:ascii="Times New Roman" w:hAnsi="Times New Roman"/>
                <w:sz w:val="21"/>
                <w:szCs w:val="21"/>
              </w:rPr>
              <w:t xml:space="preserve"> 1,2-</w:t>
            </w:r>
            <w:r>
              <w:rPr>
                <w:rFonts w:ascii="Times New Roman" w:hAnsi="Times New Roman"/>
                <w:sz w:val="21"/>
                <w:szCs w:val="21"/>
              </w:rPr>
              <w:t>二氯乙烯</w:t>
            </w:r>
          </w:p>
        </w:tc>
        <w:tc>
          <w:tcPr>
            <w:tcW w:w="3477" w:type="dxa"/>
            <w:vMerge/>
            <w:vAlign w:val="center"/>
          </w:tcPr>
          <w:p w14:paraId="4850A0A0"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582F0379"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0.0014mg/kg</w:t>
            </w:r>
          </w:p>
        </w:tc>
        <w:tc>
          <w:tcPr>
            <w:tcW w:w="2585" w:type="dxa"/>
            <w:vMerge w:val="restart"/>
            <w:vAlign w:val="center"/>
          </w:tcPr>
          <w:p w14:paraId="1EA521A2"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4008142D"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10FAD166"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014001BD"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0F8F4E4F"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07BBEB58"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4F404840"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7020A70F"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2FB5F0DF"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71E66FC1"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305A29AA"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0DFD1DA0"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426645D0"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6891095D" w14:textId="77777777" w:rsidR="00D12939" w:rsidRDefault="004F47F5">
            <w:pPr>
              <w:pStyle w:val="TableParagraph"/>
              <w:autoSpaceDE w:val="0"/>
              <w:autoSpaceDN w:val="0"/>
              <w:ind w:firstLineChars="0" w:firstLine="0"/>
              <w:jc w:val="center"/>
              <w:rPr>
                <w:rFonts w:ascii="Times New Roman" w:hAnsi="Times New Roman"/>
                <w:sz w:val="21"/>
                <w:szCs w:val="21"/>
              </w:rPr>
            </w:pPr>
            <w:r>
              <w:rPr>
                <w:rFonts w:ascii="Times New Roman" w:hAnsi="Times New Roman"/>
                <w:sz w:val="21"/>
                <w:szCs w:val="21"/>
              </w:rPr>
              <w:t xml:space="preserve">A91PLUS-AMD10 </w:t>
            </w:r>
            <w:r>
              <w:rPr>
                <w:rFonts w:ascii="Times New Roman" w:hAnsi="Times New Roman"/>
                <w:sz w:val="21"/>
                <w:szCs w:val="21"/>
              </w:rPr>
              <w:t>气</w:t>
            </w:r>
          </w:p>
          <w:p w14:paraId="1F211598"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相色谱质谱联用仪</w:t>
            </w:r>
          </w:p>
          <w:p w14:paraId="534635C5"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4FDB9261" w14:textId="77777777">
        <w:trPr>
          <w:trHeight w:val="20"/>
          <w:jc w:val="center"/>
        </w:trPr>
        <w:tc>
          <w:tcPr>
            <w:tcW w:w="1838" w:type="dxa"/>
            <w:vAlign w:val="center"/>
          </w:tcPr>
          <w:p w14:paraId="05D8A796"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二氯甲烷</w:t>
            </w:r>
          </w:p>
        </w:tc>
        <w:tc>
          <w:tcPr>
            <w:tcW w:w="3477" w:type="dxa"/>
            <w:vMerge/>
            <w:vAlign w:val="center"/>
          </w:tcPr>
          <w:p w14:paraId="63A1DCA3"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539A4D6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0.0015mg/kg</w:t>
            </w:r>
          </w:p>
        </w:tc>
        <w:tc>
          <w:tcPr>
            <w:tcW w:w="2585" w:type="dxa"/>
            <w:vMerge/>
            <w:vAlign w:val="center"/>
          </w:tcPr>
          <w:p w14:paraId="6199443C"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45E5747D" w14:textId="77777777">
        <w:trPr>
          <w:trHeight w:val="20"/>
          <w:jc w:val="center"/>
        </w:trPr>
        <w:tc>
          <w:tcPr>
            <w:tcW w:w="1838" w:type="dxa"/>
            <w:vAlign w:val="center"/>
          </w:tcPr>
          <w:p w14:paraId="358B7240"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1,2-</w:t>
            </w:r>
            <w:r>
              <w:rPr>
                <w:rFonts w:ascii="Times New Roman" w:hAnsi="Times New Roman"/>
                <w:sz w:val="21"/>
                <w:szCs w:val="21"/>
              </w:rPr>
              <w:t>二氯丙烷</w:t>
            </w:r>
          </w:p>
        </w:tc>
        <w:tc>
          <w:tcPr>
            <w:tcW w:w="3477" w:type="dxa"/>
            <w:vMerge/>
            <w:vAlign w:val="center"/>
          </w:tcPr>
          <w:p w14:paraId="41AAC104"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4EBB8008"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0.0011mg/kg</w:t>
            </w:r>
          </w:p>
        </w:tc>
        <w:tc>
          <w:tcPr>
            <w:tcW w:w="2585" w:type="dxa"/>
            <w:vMerge/>
            <w:vAlign w:val="center"/>
          </w:tcPr>
          <w:p w14:paraId="0A2B9AFC"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913741E" w14:textId="77777777">
        <w:trPr>
          <w:trHeight w:val="20"/>
          <w:jc w:val="center"/>
        </w:trPr>
        <w:tc>
          <w:tcPr>
            <w:tcW w:w="1838" w:type="dxa"/>
            <w:vAlign w:val="center"/>
          </w:tcPr>
          <w:p w14:paraId="0EB2A911"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1,1,1,2-</w:t>
            </w:r>
            <w:r>
              <w:rPr>
                <w:rFonts w:ascii="Times New Roman" w:hAnsi="Times New Roman"/>
                <w:sz w:val="21"/>
                <w:szCs w:val="21"/>
              </w:rPr>
              <w:t>四氯乙烷</w:t>
            </w:r>
          </w:p>
        </w:tc>
        <w:tc>
          <w:tcPr>
            <w:tcW w:w="3477" w:type="dxa"/>
            <w:vMerge/>
            <w:vAlign w:val="center"/>
          </w:tcPr>
          <w:p w14:paraId="770CB9DA"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3E42E7B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27C12E21"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58C10264" w14:textId="77777777">
        <w:trPr>
          <w:trHeight w:val="20"/>
          <w:jc w:val="center"/>
        </w:trPr>
        <w:tc>
          <w:tcPr>
            <w:tcW w:w="1838" w:type="dxa"/>
            <w:vAlign w:val="center"/>
          </w:tcPr>
          <w:p w14:paraId="3A5A6B5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1,1,2,2-</w:t>
            </w:r>
            <w:r>
              <w:rPr>
                <w:rFonts w:ascii="Times New Roman" w:hAnsi="Times New Roman"/>
                <w:sz w:val="21"/>
                <w:szCs w:val="21"/>
              </w:rPr>
              <w:t>四氯乙烷</w:t>
            </w:r>
          </w:p>
        </w:tc>
        <w:tc>
          <w:tcPr>
            <w:tcW w:w="3477" w:type="dxa"/>
            <w:vMerge/>
            <w:vAlign w:val="center"/>
          </w:tcPr>
          <w:p w14:paraId="39D54E56"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472B0FA2"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5A03A440"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5451908E" w14:textId="77777777">
        <w:trPr>
          <w:trHeight w:val="20"/>
          <w:jc w:val="center"/>
        </w:trPr>
        <w:tc>
          <w:tcPr>
            <w:tcW w:w="1838" w:type="dxa"/>
            <w:vAlign w:val="center"/>
          </w:tcPr>
          <w:p w14:paraId="7F8599A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lastRenderedPageBreak/>
              <w:t>四氯乙烯</w:t>
            </w:r>
          </w:p>
        </w:tc>
        <w:tc>
          <w:tcPr>
            <w:tcW w:w="3477" w:type="dxa"/>
            <w:vMerge/>
            <w:vAlign w:val="center"/>
          </w:tcPr>
          <w:p w14:paraId="4365A2DE"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2D2605D3"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0.0014mg/kg</w:t>
            </w:r>
          </w:p>
        </w:tc>
        <w:tc>
          <w:tcPr>
            <w:tcW w:w="2585" w:type="dxa"/>
            <w:vMerge/>
            <w:vAlign w:val="center"/>
          </w:tcPr>
          <w:p w14:paraId="26BA4E10"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A225EF9" w14:textId="77777777">
        <w:trPr>
          <w:trHeight w:val="20"/>
          <w:jc w:val="center"/>
        </w:trPr>
        <w:tc>
          <w:tcPr>
            <w:tcW w:w="1838" w:type="dxa"/>
            <w:vAlign w:val="center"/>
          </w:tcPr>
          <w:p w14:paraId="58238222"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lastRenderedPageBreak/>
              <w:t>1,1,1-</w:t>
            </w:r>
            <w:r>
              <w:rPr>
                <w:rFonts w:ascii="Times New Roman" w:hAnsi="Times New Roman"/>
                <w:sz w:val="21"/>
                <w:szCs w:val="21"/>
              </w:rPr>
              <w:t>三氯乙烷</w:t>
            </w:r>
          </w:p>
        </w:tc>
        <w:tc>
          <w:tcPr>
            <w:tcW w:w="3477" w:type="dxa"/>
            <w:vMerge/>
            <w:vAlign w:val="center"/>
          </w:tcPr>
          <w:p w14:paraId="6544376E"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050F5214"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0.0013mg/kg</w:t>
            </w:r>
          </w:p>
        </w:tc>
        <w:tc>
          <w:tcPr>
            <w:tcW w:w="2585" w:type="dxa"/>
            <w:vMerge/>
            <w:vAlign w:val="center"/>
          </w:tcPr>
          <w:p w14:paraId="37CC77F2"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5AB8CEA" w14:textId="77777777">
        <w:trPr>
          <w:trHeight w:val="20"/>
          <w:jc w:val="center"/>
        </w:trPr>
        <w:tc>
          <w:tcPr>
            <w:tcW w:w="1838" w:type="dxa"/>
            <w:vAlign w:val="center"/>
          </w:tcPr>
          <w:p w14:paraId="53A24B0D"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1,1,2-</w:t>
            </w:r>
            <w:r>
              <w:rPr>
                <w:rFonts w:ascii="Times New Roman" w:hAnsi="Times New Roman"/>
                <w:sz w:val="21"/>
                <w:szCs w:val="21"/>
              </w:rPr>
              <w:t>三氯乙烷</w:t>
            </w:r>
          </w:p>
        </w:tc>
        <w:tc>
          <w:tcPr>
            <w:tcW w:w="3477" w:type="dxa"/>
            <w:vMerge/>
            <w:vAlign w:val="center"/>
          </w:tcPr>
          <w:p w14:paraId="14260E56"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1300C034"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1EDA3EE5"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2E36C082" w14:textId="77777777">
        <w:trPr>
          <w:trHeight w:val="20"/>
          <w:jc w:val="center"/>
        </w:trPr>
        <w:tc>
          <w:tcPr>
            <w:tcW w:w="1838" w:type="dxa"/>
            <w:vAlign w:val="center"/>
          </w:tcPr>
          <w:p w14:paraId="1149CFE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三氯乙烯</w:t>
            </w:r>
          </w:p>
        </w:tc>
        <w:tc>
          <w:tcPr>
            <w:tcW w:w="3477" w:type="dxa"/>
            <w:vMerge/>
            <w:vAlign w:val="center"/>
          </w:tcPr>
          <w:p w14:paraId="57BA14DB"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18BEEF0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6FE48E5F"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5F2BEA28" w14:textId="77777777">
        <w:trPr>
          <w:trHeight w:val="20"/>
          <w:jc w:val="center"/>
        </w:trPr>
        <w:tc>
          <w:tcPr>
            <w:tcW w:w="1838" w:type="dxa"/>
            <w:vAlign w:val="center"/>
          </w:tcPr>
          <w:p w14:paraId="05840795"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1,2,3-</w:t>
            </w:r>
            <w:r>
              <w:rPr>
                <w:rFonts w:ascii="Times New Roman" w:hAnsi="Times New Roman"/>
                <w:sz w:val="21"/>
                <w:szCs w:val="21"/>
              </w:rPr>
              <w:t>三氯丙烷</w:t>
            </w:r>
          </w:p>
        </w:tc>
        <w:tc>
          <w:tcPr>
            <w:tcW w:w="3477" w:type="dxa"/>
            <w:vMerge/>
            <w:vAlign w:val="center"/>
          </w:tcPr>
          <w:p w14:paraId="35239621"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31432FE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7991886E"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19B1A7B8" w14:textId="77777777">
        <w:trPr>
          <w:trHeight w:val="20"/>
          <w:jc w:val="center"/>
        </w:trPr>
        <w:tc>
          <w:tcPr>
            <w:tcW w:w="1838" w:type="dxa"/>
            <w:vAlign w:val="center"/>
          </w:tcPr>
          <w:p w14:paraId="32C2E6A9"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氯乙烯</w:t>
            </w:r>
          </w:p>
        </w:tc>
        <w:tc>
          <w:tcPr>
            <w:tcW w:w="3477" w:type="dxa"/>
            <w:vMerge/>
            <w:vAlign w:val="center"/>
          </w:tcPr>
          <w:p w14:paraId="7A17AAF9"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7906FA8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0.0010mg/kg</w:t>
            </w:r>
          </w:p>
        </w:tc>
        <w:tc>
          <w:tcPr>
            <w:tcW w:w="2585" w:type="dxa"/>
            <w:vMerge/>
            <w:vAlign w:val="center"/>
          </w:tcPr>
          <w:p w14:paraId="1BC618C9"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58A5E17" w14:textId="77777777">
        <w:trPr>
          <w:trHeight w:val="20"/>
          <w:jc w:val="center"/>
        </w:trPr>
        <w:tc>
          <w:tcPr>
            <w:tcW w:w="1838" w:type="dxa"/>
            <w:vAlign w:val="center"/>
          </w:tcPr>
          <w:p w14:paraId="4F7C095F"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苯</w:t>
            </w:r>
          </w:p>
        </w:tc>
        <w:tc>
          <w:tcPr>
            <w:tcW w:w="3477" w:type="dxa"/>
            <w:vMerge/>
            <w:vAlign w:val="center"/>
          </w:tcPr>
          <w:p w14:paraId="64805EF2"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2BC75729"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0.0019mg/kg</w:t>
            </w:r>
          </w:p>
        </w:tc>
        <w:tc>
          <w:tcPr>
            <w:tcW w:w="2585" w:type="dxa"/>
            <w:vMerge/>
            <w:vAlign w:val="center"/>
          </w:tcPr>
          <w:p w14:paraId="1967934B"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298D3E53" w14:textId="77777777">
        <w:trPr>
          <w:trHeight w:val="20"/>
          <w:jc w:val="center"/>
        </w:trPr>
        <w:tc>
          <w:tcPr>
            <w:tcW w:w="1838" w:type="dxa"/>
            <w:vAlign w:val="center"/>
          </w:tcPr>
          <w:p w14:paraId="18487AE4"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氯苯</w:t>
            </w:r>
          </w:p>
        </w:tc>
        <w:tc>
          <w:tcPr>
            <w:tcW w:w="3477" w:type="dxa"/>
            <w:vMerge/>
            <w:vAlign w:val="center"/>
          </w:tcPr>
          <w:p w14:paraId="2F9F2AD6"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083B1B74"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5E98DE19"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7C8A6E3C" w14:textId="77777777">
        <w:trPr>
          <w:trHeight w:val="20"/>
          <w:jc w:val="center"/>
        </w:trPr>
        <w:tc>
          <w:tcPr>
            <w:tcW w:w="1838" w:type="dxa"/>
            <w:vAlign w:val="center"/>
          </w:tcPr>
          <w:p w14:paraId="2A9CB671"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1,2-</w:t>
            </w:r>
            <w:r>
              <w:rPr>
                <w:rFonts w:ascii="Times New Roman" w:hAnsi="Times New Roman"/>
                <w:sz w:val="21"/>
                <w:szCs w:val="21"/>
              </w:rPr>
              <w:t>二氯苯</w:t>
            </w:r>
          </w:p>
        </w:tc>
        <w:tc>
          <w:tcPr>
            <w:tcW w:w="3477" w:type="dxa"/>
            <w:vMerge/>
            <w:vAlign w:val="center"/>
          </w:tcPr>
          <w:p w14:paraId="590FE10B"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51395496"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0.0015mg/kg</w:t>
            </w:r>
          </w:p>
        </w:tc>
        <w:tc>
          <w:tcPr>
            <w:tcW w:w="2585" w:type="dxa"/>
            <w:vMerge/>
            <w:vAlign w:val="center"/>
          </w:tcPr>
          <w:p w14:paraId="1F6EE66C"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541DA5DC" w14:textId="77777777">
        <w:trPr>
          <w:trHeight w:val="20"/>
          <w:jc w:val="center"/>
        </w:trPr>
        <w:tc>
          <w:tcPr>
            <w:tcW w:w="1838" w:type="dxa"/>
            <w:vAlign w:val="center"/>
          </w:tcPr>
          <w:p w14:paraId="65B3EC0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1,4-</w:t>
            </w:r>
            <w:r>
              <w:rPr>
                <w:rFonts w:ascii="Times New Roman" w:hAnsi="Times New Roman"/>
                <w:sz w:val="21"/>
                <w:szCs w:val="21"/>
              </w:rPr>
              <w:t>二氯苯</w:t>
            </w:r>
          </w:p>
        </w:tc>
        <w:tc>
          <w:tcPr>
            <w:tcW w:w="3477" w:type="dxa"/>
            <w:vMerge/>
            <w:vAlign w:val="center"/>
          </w:tcPr>
          <w:p w14:paraId="4273C375"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6E1E2855"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0.0015mg/kg</w:t>
            </w:r>
          </w:p>
        </w:tc>
        <w:tc>
          <w:tcPr>
            <w:tcW w:w="2585" w:type="dxa"/>
            <w:vMerge/>
            <w:vAlign w:val="center"/>
          </w:tcPr>
          <w:p w14:paraId="15FE3400"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39CF6FD" w14:textId="77777777">
        <w:trPr>
          <w:trHeight w:val="20"/>
          <w:jc w:val="center"/>
        </w:trPr>
        <w:tc>
          <w:tcPr>
            <w:tcW w:w="1838" w:type="dxa"/>
            <w:vAlign w:val="center"/>
          </w:tcPr>
          <w:p w14:paraId="1070DC2A"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乙苯</w:t>
            </w:r>
          </w:p>
        </w:tc>
        <w:tc>
          <w:tcPr>
            <w:tcW w:w="3477" w:type="dxa"/>
            <w:vMerge/>
            <w:vAlign w:val="center"/>
          </w:tcPr>
          <w:p w14:paraId="54BAF8AB"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23E2A7E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49509625"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0084DAEE" w14:textId="77777777">
        <w:trPr>
          <w:trHeight w:val="20"/>
          <w:jc w:val="center"/>
        </w:trPr>
        <w:tc>
          <w:tcPr>
            <w:tcW w:w="1838" w:type="dxa"/>
            <w:vAlign w:val="center"/>
          </w:tcPr>
          <w:p w14:paraId="27BC10D1"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苯乙烯</w:t>
            </w:r>
          </w:p>
        </w:tc>
        <w:tc>
          <w:tcPr>
            <w:tcW w:w="3477" w:type="dxa"/>
            <w:vMerge/>
            <w:vAlign w:val="center"/>
          </w:tcPr>
          <w:p w14:paraId="74DDF1A6"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018C5157"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0.0011mg/kg</w:t>
            </w:r>
          </w:p>
        </w:tc>
        <w:tc>
          <w:tcPr>
            <w:tcW w:w="2585" w:type="dxa"/>
            <w:vMerge/>
            <w:vAlign w:val="center"/>
          </w:tcPr>
          <w:p w14:paraId="7F191699"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4659886" w14:textId="77777777">
        <w:trPr>
          <w:trHeight w:val="20"/>
          <w:jc w:val="center"/>
        </w:trPr>
        <w:tc>
          <w:tcPr>
            <w:tcW w:w="1838" w:type="dxa"/>
            <w:vAlign w:val="center"/>
          </w:tcPr>
          <w:p w14:paraId="03CF9855"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甲苯</w:t>
            </w:r>
          </w:p>
        </w:tc>
        <w:tc>
          <w:tcPr>
            <w:tcW w:w="3477" w:type="dxa"/>
            <w:vMerge/>
            <w:vAlign w:val="center"/>
          </w:tcPr>
          <w:p w14:paraId="4E13AD60"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63EF1F8F"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0.0013mg/kg</w:t>
            </w:r>
          </w:p>
        </w:tc>
        <w:tc>
          <w:tcPr>
            <w:tcW w:w="2585" w:type="dxa"/>
            <w:vMerge/>
            <w:vAlign w:val="center"/>
          </w:tcPr>
          <w:p w14:paraId="679AB02D"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5713431F" w14:textId="77777777">
        <w:trPr>
          <w:trHeight w:val="20"/>
          <w:jc w:val="center"/>
        </w:trPr>
        <w:tc>
          <w:tcPr>
            <w:tcW w:w="1838" w:type="dxa"/>
            <w:vAlign w:val="center"/>
          </w:tcPr>
          <w:p w14:paraId="38990EE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间，对</w:t>
            </w:r>
            <w:r>
              <w:rPr>
                <w:rFonts w:ascii="Times New Roman" w:hAnsi="Times New Roman"/>
                <w:sz w:val="21"/>
                <w:szCs w:val="21"/>
              </w:rPr>
              <w:t>-</w:t>
            </w:r>
            <w:r>
              <w:rPr>
                <w:rFonts w:ascii="Times New Roman" w:hAnsi="Times New Roman"/>
                <w:sz w:val="21"/>
                <w:szCs w:val="21"/>
              </w:rPr>
              <w:t>二甲苯</w:t>
            </w:r>
          </w:p>
        </w:tc>
        <w:tc>
          <w:tcPr>
            <w:tcW w:w="3477" w:type="dxa"/>
            <w:vMerge/>
            <w:vAlign w:val="center"/>
          </w:tcPr>
          <w:p w14:paraId="62DE16B9"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7D1AB0BD"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03FB3455"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112DC4D9" w14:textId="77777777">
        <w:trPr>
          <w:trHeight w:val="20"/>
          <w:jc w:val="center"/>
        </w:trPr>
        <w:tc>
          <w:tcPr>
            <w:tcW w:w="1838" w:type="dxa"/>
            <w:vAlign w:val="center"/>
          </w:tcPr>
          <w:p w14:paraId="1902D67A"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邻二甲苯</w:t>
            </w:r>
          </w:p>
        </w:tc>
        <w:tc>
          <w:tcPr>
            <w:tcW w:w="3477" w:type="dxa"/>
            <w:vMerge/>
            <w:vAlign w:val="center"/>
          </w:tcPr>
          <w:p w14:paraId="1CEAD479"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77E5EABD"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0.0012mg/kg</w:t>
            </w:r>
          </w:p>
        </w:tc>
        <w:tc>
          <w:tcPr>
            <w:tcW w:w="2585" w:type="dxa"/>
            <w:vMerge/>
            <w:vAlign w:val="center"/>
          </w:tcPr>
          <w:p w14:paraId="4A6B4B1F"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25345CC9" w14:textId="77777777">
        <w:trPr>
          <w:trHeight w:val="20"/>
          <w:jc w:val="center"/>
        </w:trPr>
        <w:tc>
          <w:tcPr>
            <w:tcW w:w="1838" w:type="dxa"/>
            <w:vAlign w:val="center"/>
          </w:tcPr>
          <w:p w14:paraId="23E5717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硝基苯</w:t>
            </w:r>
          </w:p>
        </w:tc>
        <w:tc>
          <w:tcPr>
            <w:tcW w:w="3477" w:type="dxa"/>
            <w:vMerge w:val="restart"/>
            <w:vAlign w:val="center"/>
          </w:tcPr>
          <w:p w14:paraId="343F3B73" w14:textId="77777777" w:rsidR="00D12939" w:rsidRDefault="004F47F5">
            <w:pPr>
              <w:pStyle w:val="TableParagraph"/>
              <w:autoSpaceDE w:val="0"/>
              <w:autoSpaceDN w:val="0"/>
              <w:ind w:firstLineChars="0" w:firstLine="0"/>
              <w:jc w:val="center"/>
              <w:rPr>
                <w:rFonts w:ascii="Times New Roman" w:hAnsi="Times New Roman"/>
                <w:sz w:val="21"/>
                <w:szCs w:val="21"/>
                <w:lang w:eastAsia="zh-CN"/>
              </w:rPr>
            </w:pPr>
            <w:r>
              <w:rPr>
                <w:rFonts w:ascii="Times New Roman" w:hAnsi="Times New Roman"/>
                <w:sz w:val="21"/>
                <w:szCs w:val="21"/>
                <w:lang w:eastAsia="zh-CN"/>
              </w:rPr>
              <w:t>土壤和沉积物</w:t>
            </w:r>
          </w:p>
          <w:p w14:paraId="78D8745B" w14:textId="77777777" w:rsidR="00D12939" w:rsidRDefault="004F47F5">
            <w:pPr>
              <w:pStyle w:val="TableParagraph"/>
              <w:autoSpaceDE w:val="0"/>
              <w:autoSpaceDN w:val="0"/>
              <w:ind w:firstLineChars="0" w:firstLine="0"/>
              <w:jc w:val="center"/>
              <w:rPr>
                <w:rFonts w:ascii="Times New Roman" w:hAnsi="Times New Roman"/>
                <w:sz w:val="21"/>
                <w:szCs w:val="21"/>
                <w:lang w:eastAsia="zh-CN"/>
              </w:rPr>
            </w:pPr>
            <w:r>
              <w:rPr>
                <w:rFonts w:ascii="Times New Roman" w:hAnsi="Times New Roman"/>
                <w:sz w:val="21"/>
                <w:szCs w:val="21"/>
                <w:lang w:eastAsia="zh-CN"/>
              </w:rPr>
              <w:t>半挥发性有机物的测定气相色谱</w:t>
            </w:r>
            <w:r>
              <w:rPr>
                <w:rFonts w:ascii="Times New Roman" w:hAnsi="Times New Roman"/>
                <w:sz w:val="21"/>
                <w:szCs w:val="21"/>
                <w:lang w:eastAsia="zh-CN"/>
              </w:rPr>
              <w:t>-</w:t>
            </w:r>
            <w:r>
              <w:rPr>
                <w:rFonts w:ascii="Times New Roman" w:hAnsi="Times New Roman"/>
                <w:sz w:val="21"/>
                <w:szCs w:val="21"/>
                <w:lang w:eastAsia="zh-CN"/>
              </w:rPr>
              <w:t>质谱法</w:t>
            </w:r>
          </w:p>
          <w:p w14:paraId="22F4AF23"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HJ 834-2017</w:t>
            </w:r>
          </w:p>
          <w:p w14:paraId="1FEF90BB"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4490268E"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0.09mg/kg</w:t>
            </w:r>
          </w:p>
        </w:tc>
        <w:tc>
          <w:tcPr>
            <w:tcW w:w="2585" w:type="dxa"/>
            <w:vMerge/>
            <w:vAlign w:val="center"/>
          </w:tcPr>
          <w:p w14:paraId="69240082"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00FA1D1C" w14:textId="77777777">
        <w:trPr>
          <w:trHeight w:val="20"/>
          <w:jc w:val="center"/>
        </w:trPr>
        <w:tc>
          <w:tcPr>
            <w:tcW w:w="1838" w:type="dxa"/>
            <w:vAlign w:val="center"/>
          </w:tcPr>
          <w:p w14:paraId="64D85186"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苯胺</w:t>
            </w:r>
          </w:p>
        </w:tc>
        <w:tc>
          <w:tcPr>
            <w:tcW w:w="3477" w:type="dxa"/>
            <w:vMerge/>
            <w:vAlign w:val="center"/>
          </w:tcPr>
          <w:p w14:paraId="59BC7EF5"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2F5F71D2"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0.1mg/kg</w:t>
            </w:r>
          </w:p>
        </w:tc>
        <w:tc>
          <w:tcPr>
            <w:tcW w:w="2585" w:type="dxa"/>
            <w:vMerge/>
            <w:vAlign w:val="center"/>
          </w:tcPr>
          <w:p w14:paraId="7B9E3F94"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60738DFE" w14:textId="77777777">
        <w:trPr>
          <w:trHeight w:val="20"/>
          <w:jc w:val="center"/>
        </w:trPr>
        <w:tc>
          <w:tcPr>
            <w:tcW w:w="1838" w:type="dxa"/>
            <w:vAlign w:val="center"/>
          </w:tcPr>
          <w:p w14:paraId="163B76E5"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2-</w:t>
            </w:r>
            <w:r>
              <w:rPr>
                <w:rFonts w:ascii="Times New Roman" w:hAnsi="Times New Roman"/>
                <w:sz w:val="21"/>
                <w:szCs w:val="21"/>
              </w:rPr>
              <w:t>氯酚</w:t>
            </w:r>
          </w:p>
        </w:tc>
        <w:tc>
          <w:tcPr>
            <w:tcW w:w="3477" w:type="dxa"/>
            <w:vMerge/>
            <w:vAlign w:val="center"/>
          </w:tcPr>
          <w:p w14:paraId="024CD9C2"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594A86AF"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0.06mg/kg</w:t>
            </w:r>
          </w:p>
        </w:tc>
        <w:tc>
          <w:tcPr>
            <w:tcW w:w="2585" w:type="dxa"/>
            <w:vMerge/>
            <w:vAlign w:val="center"/>
          </w:tcPr>
          <w:p w14:paraId="1B1DC74D"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54C8E673" w14:textId="77777777">
        <w:trPr>
          <w:trHeight w:val="20"/>
          <w:jc w:val="center"/>
        </w:trPr>
        <w:tc>
          <w:tcPr>
            <w:tcW w:w="1838" w:type="dxa"/>
            <w:vAlign w:val="center"/>
          </w:tcPr>
          <w:p w14:paraId="4C1B2BE1"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苯并</w:t>
            </w:r>
            <w:r>
              <w:rPr>
                <w:rFonts w:ascii="Times New Roman" w:hAnsi="Times New Roman"/>
                <w:sz w:val="21"/>
                <w:szCs w:val="21"/>
              </w:rPr>
              <w:t>[a]</w:t>
            </w:r>
            <w:r>
              <w:rPr>
                <w:rFonts w:ascii="Times New Roman" w:hAnsi="Times New Roman"/>
                <w:sz w:val="21"/>
                <w:szCs w:val="21"/>
              </w:rPr>
              <w:t>蒽</w:t>
            </w:r>
          </w:p>
        </w:tc>
        <w:tc>
          <w:tcPr>
            <w:tcW w:w="3477" w:type="dxa"/>
            <w:vMerge w:val="restart"/>
            <w:vAlign w:val="center"/>
          </w:tcPr>
          <w:p w14:paraId="496F3213"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49E0ECDA" w14:textId="77777777" w:rsidR="00D12939" w:rsidRDefault="00D12939">
            <w:pPr>
              <w:pStyle w:val="TableParagraph"/>
              <w:autoSpaceDE w:val="0"/>
              <w:autoSpaceDN w:val="0"/>
              <w:ind w:firstLineChars="0" w:firstLine="0"/>
              <w:jc w:val="center"/>
              <w:rPr>
                <w:rFonts w:ascii="Times New Roman" w:hAnsi="Times New Roman"/>
                <w:sz w:val="21"/>
                <w:szCs w:val="21"/>
                <w:lang w:eastAsia="zh-CN"/>
              </w:rPr>
            </w:pPr>
          </w:p>
          <w:p w14:paraId="54EB3AE4" w14:textId="77777777" w:rsidR="00D12939" w:rsidRDefault="004F47F5">
            <w:pPr>
              <w:pStyle w:val="TableParagraph"/>
              <w:autoSpaceDE w:val="0"/>
              <w:autoSpaceDN w:val="0"/>
              <w:ind w:firstLineChars="0" w:firstLine="0"/>
              <w:jc w:val="center"/>
              <w:rPr>
                <w:rFonts w:ascii="Times New Roman" w:hAnsi="Times New Roman"/>
                <w:sz w:val="21"/>
                <w:szCs w:val="21"/>
                <w:lang w:eastAsia="zh-CN" w:bidi="en-US"/>
              </w:rPr>
            </w:pPr>
            <w:r>
              <w:rPr>
                <w:rFonts w:ascii="Times New Roman" w:hAnsi="Times New Roman"/>
                <w:sz w:val="21"/>
                <w:szCs w:val="21"/>
                <w:lang w:eastAsia="zh-CN"/>
              </w:rPr>
              <w:t>土壤和沉积物</w:t>
            </w:r>
            <w:r>
              <w:rPr>
                <w:rFonts w:ascii="Times New Roman" w:hAnsi="Times New Roman"/>
                <w:sz w:val="21"/>
                <w:szCs w:val="21"/>
                <w:lang w:eastAsia="zh-CN"/>
              </w:rPr>
              <w:t xml:space="preserve"> </w:t>
            </w:r>
            <w:r>
              <w:rPr>
                <w:rFonts w:ascii="Times New Roman" w:hAnsi="Times New Roman"/>
                <w:spacing w:val="-3"/>
                <w:sz w:val="21"/>
                <w:szCs w:val="21"/>
                <w:lang w:eastAsia="zh-CN"/>
              </w:rPr>
              <w:t>多环芳烃的测定高效液相色谱法</w:t>
            </w:r>
            <w:r>
              <w:rPr>
                <w:rFonts w:ascii="Times New Roman" w:hAnsi="Times New Roman"/>
                <w:sz w:val="21"/>
                <w:szCs w:val="21"/>
                <w:lang w:eastAsia="zh-CN"/>
              </w:rPr>
              <w:t>HJ</w:t>
            </w:r>
            <w:r>
              <w:rPr>
                <w:rFonts w:ascii="Times New Roman" w:hAnsi="Times New Roman"/>
                <w:spacing w:val="-1"/>
                <w:sz w:val="21"/>
                <w:szCs w:val="21"/>
                <w:lang w:eastAsia="zh-CN"/>
              </w:rPr>
              <w:t xml:space="preserve"> </w:t>
            </w:r>
            <w:r>
              <w:rPr>
                <w:rFonts w:ascii="Times New Roman" w:hAnsi="Times New Roman"/>
                <w:sz w:val="21"/>
                <w:szCs w:val="21"/>
                <w:lang w:eastAsia="zh-CN"/>
              </w:rPr>
              <w:t>784-2016</w:t>
            </w:r>
          </w:p>
        </w:tc>
        <w:tc>
          <w:tcPr>
            <w:tcW w:w="1591" w:type="dxa"/>
            <w:vAlign w:val="center"/>
          </w:tcPr>
          <w:p w14:paraId="5F3F128B"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0.004mg/kg</w:t>
            </w:r>
          </w:p>
        </w:tc>
        <w:tc>
          <w:tcPr>
            <w:tcW w:w="2585" w:type="dxa"/>
            <w:vMerge w:val="restart"/>
            <w:vAlign w:val="center"/>
          </w:tcPr>
          <w:p w14:paraId="11B756E9"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418DD826"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79AA09C9" w14:textId="77777777" w:rsidR="00D12939" w:rsidRDefault="00D12939">
            <w:pPr>
              <w:pStyle w:val="TableParagraph"/>
              <w:autoSpaceDE w:val="0"/>
              <w:autoSpaceDN w:val="0"/>
              <w:ind w:firstLineChars="0" w:firstLine="0"/>
              <w:jc w:val="center"/>
              <w:rPr>
                <w:rFonts w:ascii="Times New Roman" w:hAnsi="Times New Roman"/>
                <w:sz w:val="21"/>
                <w:szCs w:val="21"/>
              </w:rPr>
            </w:pPr>
          </w:p>
          <w:p w14:paraId="0B465803" w14:textId="77777777" w:rsidR="00D12939" w:rsidRDefault="004F47F5">
            <w:pPr>
              <w:pStyle w:val="TableParagraph"/>
              <w:autoSpaceDE w:val="0"/>
              <w:autoSpaceDN w:val="0"/>
              <w:ind w:firstLineChars="0" w:firstLine="0"/>
              <w:jc w:val="center"/>
              <w:rPr>
                <w:rFonts w:ascii="Times New Roman" w:hAnsi="Times New Roman"/>
                <w:sz w:val="21"/>
                <w:szCs w:val="21"/>
              </w:rPr>
            </w:pPr>
            <w:r>
              <w:rPr>
                <w:rFonts w:ascii="Times New Roman" w:hAnsi="Times New Roman"/>
                <w:sz w:val="21"/>
                <w:szCs w:val="21"/>
              </w:rPr>
              <w:t>LC3000</w:t>
            </w:r>
          </w:p>
          <w:p w14:paraId="24AB2576"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液相色谱仪</w:t>
            </w:r>
          </w:p>
        </w:tc>
      </w:tr>
      <w:tr w:rsidR="00D12939" w14:paraId="7228E2C3" w14:textId="77777777">
        <w:trPr>
          <w:trHeight w:val="20"/>
          <w:jc w:val="center"/>
        </w:trPr>
        <w:tc>
          <w:tcPr>
            <w:tcW w:w="1838" w:type="dxa"/>
            <w:vAlign w:val="center"/>
          </w:tcPr>
          <w:p w14:paraId="3A3DA7AA"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苯并</w:t>
            </w:r>
            <w:r>
              <w:rPr>
                <w:rFonts w:ascii="Times New Roman" w:hAnsi="Times New Roman"/>
                <w:sz w:val="21"/>
                <w:szCs w:val="21"/>
              </w:rPr>
              <w:t>[a]</w:t>
            </w:r>
            <w:r>
              <w:rPr>
                <w:rFonts w:ascii="Times New Roman" w:hAnsi="Times New Roman"/>
                <w:sz w:val="21"/>
                <w:szCs w:val="21"/>
              </w:rPr>
              <w:t>芘</w:t>
            </w:r>
          </w:p>
        </w:tc>
        <w:tc>
          <w:tcPr>
            <w:tcW w:w="3477" w:type="dxa"/>
            <w:vMerge/>
            <w:vAlign w:val="center"/>
          </w:tcPr>
          <w:p w14:paraId="6A55EF16"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7DC20005"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0.005mg/kg</w:t>
            </w:r>
          </w:p>
        </w:tc>
        <w:tc>
          <w:tcPr>
            <w:tcW w:w="2585" w:type="dxa"/>
            <w:vMerge/>
            <w:vAlign w:val="center"/>
          </w:tcPr>
          <w:p w14:paraId="1687C8A3"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4B6950B7" w14:textId="77777777">
        <w:trPr>
          <w:trHeight w:val="20"/>
          <w:jc w:val="center"/>
        </w:trPr>
        <w:tc>
          <w:tcPr>
            <w:tcW w:w="1838" w:type="dxa"/>
            <w:vAlign w:val="center"/>
          </w:tcPr>
          <w:p w14:paraId="259052F8"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苯并</w:t>
            </w:r>
            <w:r>
              <w:rPr>
                <w:rFonts w:ascii="Times New Roman" w:hAnsi="Times New Roman"/>
                <w:sz w:val="21"/>
                <w:szCs w:val="21"/>
              </w:rPr>
              <w:t>[b]</w:t>
            </w:r>
            <w:r>
              <w:rPr>
                <w:rFonts w:ascii="Times New Roman" w:hAnsi="Times New Roman"/>
                <w:sz w:val="21"/>
                <w:szCs w:val="21"/>
              </w:rPr>
              <w:t>荧蒽</w:t>
            </w:r>
          </w:p>
        </w:tc>
        <w:tc>
          <w:tcPr>
            <w:tcW w:w="3477" w:type="dxa"/>
            <w:vMerge/>
            <w:vAlign w:val="center"/>
          </w:tcPr>
          <w:p w14:paraId="2CCBBEF3"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1F69355D"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0.005mg/kg</w:t>
            </w:r>
          </w:p>
        </w:tc>
        <w:tc>
          <w:tcPr>
            <w:tcW w:w="2585" w:type="dxa"/>
            <w:vMerge/>
            <w:vAlign w:val="center"/>
          </w:tcPr>
          <w:p w14:paraId="2230F665"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107C682C" w14:textId="77777777">
        <w:trPr>
          <w:trHeight w:val="20"/>
          <w:jc w:val="center"/>
        </w:trPr>
        <w:tc>
          <w:tcPr>
            <w:tcW w:w="1838" w:type="dxa"/>
            <w:vAlign w:val="center"/>
          </w:tcPr>
          <w:p w14:paraId="224A5606"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苯并</w:t>
            </w:r>
            <w:r>
              <w:rPr>
                <w:rFonts w:ascii="Times New Roman" w:hAnsi="Times New Roman"/>
                <w:sz w:val="21"/>
                <w:szCs w:val="21"/>
              </w:rPr>
              <w:t>[k]</w:t>
            </w:r>
            <w:r>
              <w:rPr>
                <w:rFonts w:ascii="Times New Roman" w:hAnsi="Times New Roman"/>
                <w:sz w:val="21"/>
                <w:szCs w:val="21"/>
              </w:rPr>
              <w:t>荧蒽</w:t>
            </w:r>
          </w:p>
        </w:tc>
        <w:tc>
          <w:tcPr>
            <w:tcW w:w="3477" w:type="dxa"/>
            <w:vMerge/>
            <w:vAlign w:val="center"/>
          </w:tcPr>
          <w:p w14:paraId="18D2D9FB"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6C0135B1"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0.005mg/kg</w:t>
            </w:r>
          </w:p>
        </w:tc>
        <w:tc>
          <w:tcPr>
            <w:tcW w:w="2585" w:type="dxa"/>
            <w:vMerge/>
            <w:vAlign w:val="center"/>
          </w:tcPr>
          <w:p w14:paraId="0575BA65"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3541F8D0" w14:textId="77777777">
        <w:trPr>
          <w:trHeight w:val="20"/>
          <w:jc w:val="center"/>
        </w:trPr>
        <w:tc>
          <w:tcPr>
            <w:tcW w:w="1838" w:type="dxa"/>
            <w:vAlign w:val="center"/>
          </w:tcPr>
          <w:p w14:paraId="0FB50B4C"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䓛</w:t>
            </w:r>
          </w:p>
        </w:tc>
        <w:tc>
          <w:tcPr>
            <w:tcW w:w="3477" w:type="dxa"/>
            <w:vMerge/>
            <w:vAlign w:val="center"/>
          </w:tcPr>
          <w:p w14:paraId="2F7F15A3"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396DDC71"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0.003mg/kg</w:t>
            </w:r>
          </w:p>
        </w:tc>
        <w:tc>
          <w:tcPr>
            <w:tcW w:w="2585" w:type="dxa"/>
            <w:vMerge/>
            <w:vAlign w:val="center"/>
          </w:tcPr>
          <w:p w14:paraId="46AEA6CE"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4D12D579" w14:textId="77777777">
        <w:trPr>
          <w:trHeight w:val="20"/>
          <w:jc w:val="center"/>
        </w:trPr>
        <w:tc>
          <w:tcPr>
            <w:tcW w:w="1838" w:type="dxa"/>
            <w:vAlign w:val="center"/>
          </w:tcPr>
          <w:p w14:paraId="3EF32472"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二苯并</w:t>
            </w:r>
            <w:r>
              <w:rPr>
                <w:rFonts w:ascii="Times New Roman" w:hAnsi="Times New Roman"/>
                <w:sz w:val="21"/>
                <w:szCs w:val="21"/>
              </w:rPr>
              <w:t>[a,h]</w:t>
            </w:r>
            <w:r>
              <w:rPr>
                <w:rFonts w:ascii="Times New Roman" w:hAnsi="Times New Roman"/>
                <w:sz w:val="21"/>
                <w:szCs w:val="21"/>
              </w:rPr>
              <w:t>蒽</w:t>
            </w:r>
          </w:p>
        </w:tc>
        <w:tc>
          <w:tcPr>
            <w:tcW w:w="3477" w:type="dxa"/>
            <w:vMerge/>
            <w:vAlign w:val="center"/>
          </w:tcPr>
          <w:p w14:paraId="10C9FDF0"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301F8F78"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0.005mg/kg</w:t>
            </w:r>
          </w:p>
        </w:tc>
        <w:tc>
          <w:tcPr>
            <w:tcW w:w="2585" w:type="dxa"/>
            <w:vMerge/>
            <w:vAlign w:val="center"/>
          </w:tcPr>
          <w:p w14:paraId="45CFB9AC"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2EAAECA9" w14:textId="77777777">
        <w:trPr>
          <w:trHeight w:val="20"/>
          <w:jc w:val="center"/>
        </w:trPr>
        <w:tc>
          <w:tcPr>
            <w:tcW w:w="1838" w:type="dxa"/>
            <w:vAlign w:val="center"/>
          </w:tcPr>
          <w:p w14:paraId="66946290"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茚并</w:t>
            </w:r>
            <w:r>
              <w:rPr>
                <w:rFonts w:ascii="Times New Roman" w:hAnsi="Times New Roman"/>
                <w:sz w:val="21"/>
                <w:szCs w:val="21"/>
              </w:rPr>
              <w:t>[1,2,3-cd]</w:t>
            </w:r>
            <w:r>
              <w:rPr>
                <w:rFonts w:ascii="Times New Roman" w:hAnsi="Times New Roman"/>
                <w:sz w:val="21"/>
                <w:szCs w:val="21"/>
              </w:rPr>
              <w:t>芘</w:t>
            </w:r>
          </w:p>
        </w:tc>
        <w:tc>
          <w:tcPr>
            <w:tcW w:w="3477" w:type="dxa"/>
            <w:vMerge/>
            <w:vAlign w:val="center"/>
          </w:tcPr>
          <w:p w14:paraId="659625D2"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4C35DEA0"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0.004mg/kg</w:t>
            </w:r>
          </w:p>
        </w:tc>
        <w:tc>
          <w:tcPr>
            <w:tcW w:w="2585" w:type="dxa"/>
            <w:vMerge/>
            <w:vAlign w:val="center"/>
          </w:tcPr>
          <w:p w14:paraId="49AA8B32" w14:textId="77777777" w:rsidR="00D12939" w:rsidRDefault="00D12939">
            <w:pPr>
              <w:autoSpaceDE w:val="0"/>
              <w:autoSpaceDN w:val="0"/>
              <w:jc w:val="center"/>
              <w:rPr>
                <w:rFonts w:ascii="Times New Roman" w:eastAsia="宋体" w:hAnsi="Times New Roman" w:cs="Times New Roman"/>
                <w:kern w:val="0"/>
                <w:szCs w:val="21"/>
              </w:rPr>
            </w:pPr>
          </w:p>
        </w:tc>
      </w:tr>
      <w:tr w:rsidR="00D12939" w14:paraId="031618AD" w14:textId="77777777">
        <w:trPr>
          <w:trHeight w:val="20"/>
          <w:jc w:val="center"/>
        </w:trPr>
        <w:tc>
          <w:tcPr>
            <w:tcW w:w="1838" w:type="dxa"/>
            <w:vAlign w:val="center"/>
          </w:tcPr>
          <w:p w14:paraId="6E45CDA8"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萘</w:t>
            </w:r>
          </w:p>
        </w:tc>
        <w:tc>
          <w:tcPr>
            <w:tcW w:w="3477" w:type="dxa"/>
            <w:vMerge/>
            <w:vAlign w:val="center"/>
          </w:tcPr>
          <w:p w14:paraId="06EFA411" w14:textId="77777777" w:rsidR="00D12939" w:rsidRDefault="00D12939">
            <w:pPr>
              <w:autoSpaceDE w:val="0"/>
              <w:autoSpaceDN w:val="0"/>
              <w:jc w:val="center"/>
              <w:rPr>
                <w:rFonts w:ascii="Times New Roman" w:eastAsia="宋体" w:hAnsi="Times New Roman" w:cs="Times New Roman"/>
                <w:kern w:val="0"/>
                <w:szCs w:val="21"/>
              </w:rPr>
            </w:pPr>
          </w:p>
        </w:tc>
        <w:tc>
          <w:tcPr>
            <w:tcW w:w="1591" w:type="dxa"/>
            <w:vAlign w:val="center"/>
          </w:tcPr>
          <w:p w14:paraId="3275C15F" w14:textId="77777777" w:rsidR="00D12939" w:rsidRDefault="004F47F5">
            <w:pPr>
              <w:pStyle w:val="TableParagraph"/>
              <w:autoSpaceDE w:val="0"/>
              <w:autoSpaceDN w:val="0"/>
              <w:ind w:firstLineChars="0" w:firstLine="0"/>
              <w:jc w:val="center"/>
              <w:rPr>
                <w:rFonts w:ascii="Times New Roman" w:hAnsi="Times New Roman"/>
                <w:sz w:val="21"/>
                <w:szCs w:val="21"/>
                <w:lang w:bidi="en-US"/>
              </w:rPr>
            </w:pPr>
            <w:r>
              <w:rPr>
                <w:rFonts w:ascii="Times New Roman" w:hAnsi="Times New Roman"/>
                <w:sz w:val="21"/>
                <w:szCs w:val="21"/>
              </w:rPr>
              <w:t>0.003mg/kg</w:t>
            </w:r>
          </w:p>
        </w:tc>
        <w:tc>
          <w:tcPr>
            <w:tcW w:w="2585" w:type="dxa"/>
            <w:vMerge/>
            <w:vAlign w:val="center"/>
          </w:tcPr>
          <w:p w14:paraId="6A881EE5" w14:textId="77777777" w:rsidR="00D12939" w:rsidRDefault="00D12939">
            <w:pPr>
              <w:autoSpaceDE w:val="0"/>
              <w:autoSpaceDN w:val="0"/>
              <w:jc w:val="center"/>
              <w:rPr>
                <w:rFonts w:ascii="Times New Roman" w:eastAsia="宋体" w:hAnsi="Times New Roman" w:cs="Times New Roman"/>
                <w:kern w:val="0"/>
                <w:szCs w:val="21"/>
              </w:rPr>
            </w:pPr>
          </w:p>
        </w:tc>
      </w:tr>
    </w:tbl>
    <w:p w14:paraId="01BD6464"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）监测结果及评价</w:t>
      </w:r>
    </w:p>
    <w:p w14:paraId="59C10501"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sectPr w:rsidR="00D12939">
          <w:pgSz w:w="11906" w:h="16838"/>
          <w:pgMar w:top="1440" w:right="1080" w:bottom="1440" w:left="1080" w:header="851" w:footer="992" w:gutter="0"/>
          <w:cols w:space="720"/>
          <w:docGrid w:type="lines" w:linePitch="312"/>
        </w:sectPr>
      </w:pPr>
      <w:r>
        <w:rPr>
          <w:rFonts w:ascii="Times New Roman" w:eastAsia="宋体" w:hAnsi="Times New Roman" w:cs="Times New Roman"/>
          <w:kern w:val="0"/>
          <w:sz w:val="24"/>
          <w:szCs w:val="24"/>
        </w:rPr>
        <w:t>监测结果见表</w:t>
      </w:r>
      <w:r>
        <w:rPr>
          <w:rFonts w:ascii="Times New Roman" w:eastAsia="宋体" w:hAnsi="Times New Roman" w:cs="Times New Roman"/>
          <w:kern w:val="0"/>
          <w:sz w:val="24"/>
          <w:szCs w:val="24"/>
        </w:rPr>
        <w:t>5.2-1</w:t>
      </w:r>
      <w:r>
        <w:rPr>
          <w:rFonts w:ascii="Times New Roman" w:eastAsia="宋体" w:hAnsi="Times New Roman" w:cs="Times New Roman" w:hint="eastAsia"/>
          <w:kern w:val="0"/>
          <w:sz w:val="24"/>
          <w:szCs w:val="24"/>
        </w:rPr>
        <w:t>4</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表</w:t>
      </w:r>
      <w:r>
        <w:rPr>
          <w:rFonts w:ascii="Times New Roman" w:eastAsia="宋体" w:hAnsi="Times New Roman" w:cs="Times New Roman"/>
          <w:kern w:val="0"/>
          <w:sz w:val="24"/>
          <w:szCs w:val="24"/>
        </w:rPr>
        <w:t>5.2-1</w:t>
      </w:r>
      <w:r>
        <w:rPr>
          <w:rFonts w:ascii="Times New Roman" w:eastAsia="宋体" w:hAnsi="Times New Roman" w:cs="Times New Roman" w:hint="eastAsia"/>
          <w:kern w:val="0"/>
          <w:sz w:val="24"/>
          <w:szCs w:val="24"/>
        </w:rPr>
        <w:t>5</w:t>
      </w:r>
      <w:r>
        <w:rPr>
          <w:rFonts w:ascii="Times New Roman" w:eastAsia="宋体" w:hAnsi="Times New Roman" w:cs="Times New Roman"/>
          <w:kern w:val="0"/>
          <w:sz w:val="24"/>
          <w:szCs w:val="24"/>
        </w:rPr>
        <w:t>。</w:t>
      </w:r>
    </w:p>
    <w:p w14:paraId="5CE9DC6F" w14:textId="77777777" w:rsidR="00D12939" w:rsidRDefault="004F47F5">
      <w:pPr>
        <w:jc w:val="center"/>
        <w:rPr>
          <w:rFonts w:ascii="黑体" w:eastAsia="黑体" w:hAnsi="黑体"/>
          <w:sz w:val="24"/>
          <w:szCs w:val="21"/>
        </w:rPr>
      </w:pPr>
      <w:r>
        <w:rPr>
          <w:rFonts w:ascii="黑体" w:eastAsia="黑体" w:hAnsi="黑体"/>
          <w:sz w:val="24"/>
          <w:szCs w:val="21"/>
        </w:rPr>
        <w:lastRenderedPageBreak/>
        <w:t xml:space="preserve">表5.2-14    </w:t>
      </w:r>
      <w:r>
        <w:rPr>
          <w:rFonts w:ascii="黑体" w:eastAsia="黑体" w:hAnsi="黑体" w:hint="eastAsia"/>
          <w:sz w:val="24"/>
          <w:szCs w:val="21"/>
        </w:rPr>
        <w:t>建设用地土壤监测结果表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355"/>
        <w:gridCol w:w="3015"/>
        <w:gridCol w:w="2543"/>
        <w:gridCol w:w="2651"/>
        <w:gridCol w:w="2402"/>
        <w:gridCol w:w="1682"/>
      </w:tblGrid>
      <w:tr w:rsidR="00D12939" w14:paraId="539551F0" w14:textId="77777777">
        <w:trPr>
          <w:trHeight w:val="623"/>
          <w:jc w:val="center"/>
        </w:trPr>
        <w:tc>
          <w:tcPr>
            <w:tcW w:w="804" w:type="pct"/>
            <w:vMerge w:val="restart"/>
            <w:tcBorders>
              <w:top w:val="single" w:sz="12" w:space="0" w:color="auto"/>
              <w:left w:val="single" w:sz="12" w:space="0" w:color="auto"/>
              <w:bottom w:val="single" w:sz="4" w:space="0" w:color="auto"/>
              <w:right w:val="single" w:sz="4" w:space="0" w:color="auto"/>
            </w:tcBorders>
            <w:vAlign w:val="center"/>
          </w:tcPr>
          <w:p w14:paraId="12BA882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监测</w:t>
            </w:r>
          </w:p>
          <w:p w14:paraId="19064DB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项目</w:t>
            </w:r>
          </w:p>
        </w:tc>
        <w:tc>
          <w:tcPr>
            <w:tcW w:w="1029" w:type="pct"/>
            <w:tcBorders>
              <w:top w:val="single" w:sz="12" w:space="0" w:color="auto"/>
              <w:left w:val="single" w:sz="4" w:space="0" w:color="auto"/>
              <w:bottom w:val="single" w:sz="4" w:space="0" w:color="auto"/>
              <w:right w:val="single" w:sz="4" w:space="0" w:color="auto"/>
            </w:tcBorders>
            <w:vAlign w:val="center"/>
          </w:tcPr>
          <w:p w14:paraId="21DFF72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项目一期拟建空地西北侧</w:t>
            </w:r>
          </w:p>
          <w:p w14:paraId="2819DB0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表层样</w:t>
            </w:r>
          </w:p>
        </w:tc>
        <w:tc>
          <w:tcPr>
            <w:tcW w:w="868" w:type="pct"/>
            <w:tcBorders>
              <w:top w:val="single" w:sz="12" w:space="0" w:color="auto"/>
              <w:left w:val="single" w:sz="4" w:space="0" w:color="auto"/>
              <w:bottom w:val="single" w:sz="4" w:space="0" w:color="auto"/>
              <w:right w:val="single" w:sz="4" w:space="0" w:color="auto"/>
            </w:tcBorders>
            <w:vAlign w:val="center"/>
          </w:tcPr>
          <w:p w14:paraId="02F3798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项目一期拟建渗</w:t>
            </w:r>
          </w:p>
          <w:p w14:paraId="518AD4F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沥液处理区处表层样</w:t>
            </w:r>
          </w:p>
        </w:tc>
        <w:tc>
          <w:tcPr>
            <w:tcW w:w="905" w:type="pct"/>
            <w:tcBorders>
              <w:top w:val="single" w:sz="12" w:space="0" w:color="auto"/>
              <w:left w:val="single" w:sz="4" w:space="0" w:color="auto"/>
              <w:bottom w:val="single" w:sz="4" w:space="0" w:color="auto"/>
              <w:right w:val="single" w:sz="4" w:space="0" w:color="auto"/>
            </w:tcBorders>
            <w:vAlign w:val="center"/>
          </w:tcPr>
          <w:p w14:paraId="5617D64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项目一期拟建空地南侧</w:t>
            </w:r>
          </w:p>
          <w:p w14:paraId="6B8534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表层样</w:t>
            </w:r>
          </w:p>
        </w:tc>
        <w:tc>
          <w:tcPr>
            <w:tcW w:w="820" w:type="pct"/>
            <w:vMerge w:val="restart"/>
            <w:tcBorders>
              <w:top w:val="single" w:sz="12" w:space="0" w:color="auto"/>
              <w:left w:val="single" w:sz="4" w:space="0" w:color="auto"/>
              <w:bottom w:val="single" w:sz="4" w:space="0" w:color="auto"/>
              <w:right w:val="single" w:sz="4" w:space="0" w:color="auto"/>
            </w:tcBorders>
            <w:vAlign w:val="center"/>
          </w:tcPr>
          <w:p w14:paraId="70297AC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标准限值</w:t>
            </w:r>
          </w:p>
          <w:p w14:paraId="02592CB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mg/kg</w:t>
            </w:r>
          </w:p>
        </w:tc>
        <w:tc>
          <w:tcPr>
            <w:tcW w:w="574" w:type="pct"/>
            <w:vMerge w:val="restart"/>
            <w:tcBorders>
              <w:top w:val="single" w:sz="12" w:space="0" w:color="auto"/>
              <w:left w:val="single" w:sz="4" w:space="0" w:color="auto"/>
              <w:bottom w:val="single" w:sz="4" w:space="0" w:color="auto"/>
              <w:right w:val="single" w:sz="12" w:space="0" w:color="auto"/>
            </w:tcBorders>
            <w:vAlign w:val="center"/>
          </w:tcPr>
          <w:p w14:paraId="321465E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达标情况</w:t>
            </w:r>
          </w:p>
        </w:tc>
      </w:tr>
      <w:tr w:rsidR="00D12939" w14:paraId="782A3833" w14:textId="77777777">
        <w:trPr>
          <w:trHeight w:val="623"/>
          <w:jc w:val="center"/>
        </w:trPr>
        <w:tc>
          <w:tcPr>
            <w:tcW w:w="804" w:type="pct"/>
            <w:vMerge/>
            <w:tcBorders>
              <w:top w:val="single" w:sz="12" w:space="0" w:color="auto"/>
              <w:left w:val="single" w:sz="12" w:space="0" w:color="auto"/>
              <w:bottom w:val="single" w:sz="4" w:space="0" w:color="auto"/>
              <w:right w:val="single" w:sz="4" w:space="0" w:color="auto"/>
            </w:tcBorders>
            <w:vAlign w:val="center"/>
          </w:tcPr>
          <w:p w14:paraId="227555EE" w14:textId="77777777" w:rsidR="00D12939" w:rsidRDefault="00D12939">
            <w:pPr>
              <w:jc w:val="center"/>
              <w:rPr>
                <w:rFonts w:ascii="Times New Roman" w:eastAsia="宋体" w:hAnsi="Times New Roman" w:cs="Times New Roman"/>
                <w:szCs w:val="21"/>
              </w:rPr>
            </w:pPr>
          </w:p>
        </w:tc>
        <w:tc>
          <w:tcPr>
            <w:tcW w:w="1029" w:type="pct"/>
            <w:tcBorders>
              <w:top w:val="single" w:sz="4" w:space="0" w:color="auto"/>
              <w:left w:val="single" w:sz="4" w:space="0" w:color="auto"/>
              <w:bottom w:val="single" w:sz="4" w:space="0" w:color="auto"/>
              <w:right w:val="single" w:sz="4" w:space="0" w:color="auto"/>
            </w:tcBorders>
            <w:vAlign w:val="center"/>
          </w:tcPr>
          <w:p w14:paraId="0A6E5AF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内表</w:t>
            </w:r>
            <w:r>
              <w:rPr>
                <w:rFonts w:ascii="Times New Roman" w:eastAsia="宋体" w:hAnsi="Times New Roman" w:cs="Times New Roman"/>
                <w:szCs w:val="21"/>
              </w:rPr>
              <w:t>1</w:t>
            </w:r>
          </w:p>
        </w:tc>
        <w:tc>
          <w:tcPr>
            <w:tcW w:w="868" w:type="pct"/>
            <w:tcBorders>
              <w:top w:val="single" w:sz="4" w:space="0" w:color="auto"/>
              <w:left w:val="single" w:sz="4" w:space="0" w:color="auto"/>
              <w:bottom w:val="single" w:sz="4" w:space="0" w:color="auto"/>
              <w:right w:val="single" w:sz="4" w:space="0" w:color="auto"/>
            </w:tcBorders>
            <w:vAlign w:val="center"/>
          </w:tcPr>
          <w:p w14:paraId="46A45E7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内表</w:t>
            </w:r>
            <w:r>
              <w:rPr>
                <w:rFonts w:ascii="Times New Roman" w:eastAsia="宋体" w:hAnsi="Times New Roman" w:cs="Times New Roman"/>
                <w:szCs w:val="21"/>
              </w:rPr>
              <w:t>2</w:t>
            </w:r>
          </w:p>
        </w:tc>
        <w:tc>
          <w:tcPr>
            <w:tcW w:w="905" w:type="pct"/>
            <w:tcBorders>
              <w:top w:val="single" w:sz="4" w:space="0" w:color="auto"/>
              <w:left w:val="single" w:sz="4" w:space="0" w:color="auto"/>
              <w:bottom w:val="single" w:sz="4" w:space="0" w:color="auto"/>
              <w:right w:val="single" w:sz="4" w:space="0" w:color="auto"/>
            </w:tcBorders>
            <w:vAlign w:val="center"/>
          </w:tcPr>
          <w:p w14:paraId="2AC9DA6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内表</w:t>
            </w:r>
            <w:r>
              <w:rPr>
                <w:rFonts w:ascii="Times New Roman" w:eastAsia="宋体" w:hAnsi="Times New Roman" w:cs="Times New Roman"/>
                <w:szCs w:val="21"/>
              </w:rPr>
              <w:t>3</w:t>
            </w:r>
          </w:p>
        </w:tc>
        <w:tc>
          <w:tcPr>
            <w:tcW w:w="820" w:type="pct"/>
            <w:vMerge/>
            <w:tcBorders>
              <w:top w:val="single" w:sz="12" w:space="0" w:color="auto"/>
              <w:left w:val="single" w:sz="4" w:space="0" w:color="auto"/>
              <w:bottom w:val="single" w:sz="4" w:space="0" w:color="auto"/>
              <w:right w:val="single" w:sz="4" w:space="0" w:color="auto"/>
            </w:tcBorders>
            <w:vAlign w:val="center"/>
          </w:tcPr>
          <w:p w14:paraId="1CCD2220" w14:textId="77777777" w:rsidR="00D12939" w:rsidRDefault="00D12939">
            <w:pPr>
              <w:jc w:val="center"/>
              <w:rPr>
                <w:rFonts w:ascii="Times New Roman" w:eastAsia="宋体" w:hAnsi="Times New Roman" w:cs="Times New Roman"/>
                <w:szCs w:val="21"/>
              </w:rPr>
            </w:pPr>
          </w:p>
        </w:tc>
        <w:tc>
          <w:tcPr>
            <w:tcW w:w="574" w:type="pct"/>
            <w:vMerge/>
            <w:tcBorders>
              <w:top w:val="single" w:sz="12" w:space="0" w:color="auto"/>
              <w:left w:val="single" w:sz="4" w:space="0" w:color="auto"/>
              <w:bottom w:val="single" w:sz="4" w:space="0" w:color="auto"/>
              <w:right w:val="single" w:sz="12" w:space="0" w:color="auto"/>
            </w:tcBorders>
            <w:vAlign w:val="center"/>
          </w:tcPr>
          <w:p w14:paraId="04A2E4A5" w14:textId="77777777" w:rsidR="00D12939" w:rsidRDefault="00D12939">
            <w:pPr>
              <w:jc w:val="center"/>
              <w:rPr>
                <w:rFonts w:ascii="Times New Roman" w:eastAsia="宋体" w:hAnsi="Times New Roman" w:cs="Times New Roman"/>
                <w:szCs w:val="21"/>
              </w:rPr>
            </w:pPr>
          </w:p>
        </w:tc>
      </w:tr>
      <w:tr w:rsidR="00D12939" w14:paraId="4FF5BD8C"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6BAE77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砷</w:t>
            </w:r>
          </w:p>
        </w:tc>
        <w:tc>
          <w:tcPr>
            <w:tcW w:w="1029" w:type="pct"/>
            <w:tcBorders>
              <w:top w:val="single" w:sz="4" w:space="0" w:color="auto"/>
              <w:left w:val="single" w:sz="4" w:space="0" w:color="auto"/>
              <w:bottom w:val="single" w:sz="4" w:space="0" w:color="auto"/>
              <w:right w:val="single" w:sz="4" w:space="0" w:color="auto"/>
            </w:tcBorders>
            <w:vAlign w:val="center"/>
          </w:tcPr>
          <w:p w14:paraId="4B4E086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11.8</w:t>
            </w:r>
          </w:p>
        </w:tc>
        <w:tc>
          <w:tcPr>
            <w:tcW w:w="868" w:type="pct"/>
            <w:tcBorders>
              <w:top w:val="single" w:sz="4" w:space="0" w:color="auto"/>
              <w:left w:val="single" w:sz="4" w:space="0" w:color="auto"/>
              <w:bottom w:val="single" w:sz="4" w:space="0" w:color="auto"/>
              <w:right w:val="single" w:sz="4" w:space="0" w:color="auto"/>
            </w:tcBorders>
            <w:vAlign w:val="center"/>
          </w:tcPr>
          <w:p w14:paraId="0BA571A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12.1</w:t>
            </w:r>
          </w:p>
        </w:tc>
        <w:tc>
          <w:tcPr>
            <w:tcW w:w="905" w:type="pct"/>
            <w:tcBorders>
              <w:top w:val="single" w:sz="4" w:space="0" w:color="auto"/>
              <w:left w:val="single" w:sz="4" w:space="0" w:color="auto"/>
              <w:bottom w:val="single" w:sz="4" w:space="0" w:color="auto"/>
              <w:right w:val="single" w:sz="4" w:space="0" w:color="auto"/>
            </w:tcBorders>
            <w:vAlign w:val="center"/>
          </w:tcPr>
          <w:p w14:paraId="6504B38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10.7</w:t>
            </w:r>
          </w:p>
        </w:tc>
        <w:tc>
          <w:tcPr>
            <w:tcW w:w="820" w:type="pct"/>
            <w:tcBorders>
              <w:top w:val="single" w:sz="4" w:space="0" w:color="auto"/>
              <w:left w:val="single" w:sz="4" w:space="0" w:color="auto"/>
              <w:bottom w:val="single" w:sz="4" w:space="0" w:color="auto"/>
              <w:right w:val="single" w:sz="4" w:space="0" w:color="auto"/>
            </w:tcBorders>
            <w:vAlign w:val="center"/>
          </w:tcPr>
          <w:p w14:paraId="006943C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60</w:t>
            </w:r>
          </w:p>
        </w:tc>
        <w:tc>
          <w:tcPr>
            <w:tcW w:w="574" w:type="pct"/>
            <w:tcBorders>
              <w:top w:val="single" w:sz="4" w:space="0" w:color="auto"/>
              <w:left w:val="single" w:sz="4" w:space="0" w:color="auto"/>
              <w:bottom w:val="single" w:sz="4" w:space="0" w:color="auto"/>
              <w:right w:val="single" w:sz="12" w:space="0" w:color="auto"/>
            </w:tcBorders>
            <w:vAlign w:val="center"/>
          </w:tcPr>
          <w:p w14:paraId="6159E01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4DC5107"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2175962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镉</w:t>
            </w:r>
          </w:p>
        </w:tc>
        <w:tc>
          <w:tcPr>
            <w:tcW w:w="1029" w:type="pct"/>
            <w:tcBorders>
              <w:top w:val="single" w:sz="4" w:space="0" w:color="auto"/>
              <w:left w:val="single" w:sz="4" w:space="0" w:color="auto"/>
              <w:bottom w:val="single" w:sz="4" w:space="0" w:color="auto"/>
              <w:right w:val="single" w:sz="4" w:space="0" w:color="auto"/>
            </w:tcBorders>
            <w:vAlign w:val="center"/>
          </w:tcPr>
          <w:p w14:paraId="370D238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0.10</w:t>
            </w:r>
          </w:p>
        </w:tc>
        <w:tc>
          <w:tcPr>
            <w:tcW w:w="868" w:type="pct"/>
            <w:tcBorders>
              <w:top w:val="single" w:sz="4" w:space="0" w:color="auto"/>
              <w:left w:val="single" w:sz="4" w:space="0" w:color="auto"/>
              <w:bottom w:val="single" w:sz="4" w:space="0" w:color="auto"/>
              <w:right w:val="single" w:sz="4" w:space="0" w:color="auto"/>
            </w:tcBorders>
            <w:vAlign w:val="center"/>
          </w:tcPr>
          <w:p w14:paraId="0E193DC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0.13</w:t>
            </w:r>
          </w:p>
        </w:tc>
        <w:tc>
          <w:tcPr>
            <w:tcW w:w="905" w:type="pct"/>
            <w:tcBorders>
              <w:top w:val="single" w:sz="4" w:space="0" w:color="auto"/>
              <w:left w:val="single" w:sz="4" w:space="0" w:color="auto"/>
              <w:bottom w:val="single" w:sz="4" w:space="0" w:color="auto"/>
              <w:right w:val="single" w:sz="4" w:space="0" w:color="auto"/>
            </w:tcBorders>
            <w:vAlign w:val="center"/>
          </w:tcPr>
          <w:p w14:paraId="7963AA3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0.12</w:t>
            </w:r>
          </w:p>
        </w:tc>
        <w:tc>
          <w:tcPr>
            <w:tcW w:w="820" w:type="pct"/>
            <w:tcBorders>
              <w:top w:val="single" w:sz="4" w:space="0" w:color="auto"/>
              <w:left w:val="single" w:sz="4" w:space="0" w:color="auto"/>
              <w:bottom w:val="single" w:sz="4" w:space="0" w:color="auto"/>
              <w:right w:val="single" w:sz="4" w:space="0" w:color="auto"/>
            </w:tcBorders>
            <w:vAlign w:val="center"/>
          </w:tcPr>
          <w:p w14:paraId="7F85352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65</w:t>
            </w:r>
          </w:p>
        </w:tc>
        <w:tc>
          <w:tcPr>
            <w:tcW w:w="574" w:type="pct"/>
            <w:tcBorders>
              <w:top w:val="single" w:sz="4" w:space="0" w:color="auto"/>
              <w:left w:val="single" w:sz="4" w:space="0" w:color="auto"/>
              <w:bottom w:val="single" w:sz="4" w:space="0" w:color="auto"/>
              <w:right w:val="single" w:sz="12" w:space="0" w:color="auto"/>
            </w:tcBorders>
            <w:vAlign w:val="center"/>
          </w:tcPr>
          <w:p w14:paraId="3453FB4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73A14EA1"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631D38C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六价铬</w:t>
            </w:r>
          </w:p>
        </w:tc>
        <w:tc>
          <w:tcPr>
            <w:tcW w:w="1029" w:type="pct"/>
            <w:tcBorders>
              <w:top w:val="single" w:sz="4" w:space="0" w:color="auto"/>
              <w:left w:val="single" w:sz="4" w:space="0" w:color="auto"/>
              <w:bottom w:val="single" w:sz="4" w:space="0" w:color="auto"/>
              <w:right w:val="single" w:sz="4" w:space="0" w:color="auto"/>
            </w:tcBorders>
            <w:vAlign w:val="center"/>
          </w:tcPr>
          <w:p w14:paraId="7318362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0.5ND</w:t>
            </w:r>
          </w:p>
        </w:tc>
        <w:tc>
          <w:tcPr>
            <w:tcW w:w="868" w:type="pct"/>
            <w:tcBorders>
              <w:top w:val="single" w:sz="4" w:space="0" w:color="auto"/>
              <w:left w:val="single" w:sz="4" w:space="0" w:color="auto"/>
              <w:bottom w:val="single" w:sz="4" w:space="0" w:color="auto"/>
              <w:right w:val="single" w:sz="4" w:space="0" w:color="auto"/>
            </w:tcBorders>
            <w:vAlign w:val="center"/>
          </w:tcPr>
          <w:p w14:paraId="02E387A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0.5ND</w:t>
            </w:r>
          </w:p>
        </w:tc>
        <w:tc>
          <w:tcPr>
            <w:tcW w:w="905" w:type="pct"/>
            <w:tcBorders>
              <w:top w:val="single" w:sz="4" w:space="0" w:color="auto"/>
              <w:left w:val="single" w:sz="4" w:space="0" w:color="auto"/>
              <w:bottom w:val="single" w:sz="4" w:space="0" w:color="auto"/>
              <w:right w:val="single" w:sz="4" w:space="0" w:color="auto"/>
            </w:tcBorders>
            <w:vAlign w:val="center"/>
          </w:tcPr>
          <w:p w14:paraId="6DD734A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0.5ND</w:t>
            </w:r>
          </w:p>
        </w:tc>
        <w:tc>
          <w:tcPr>
            <w:tcW w:w="820" w:type="pct"/>
            <w:tcBorders>
              <w:top w:val="single" w:sz="4" w:space="0" w:color="auto"/>
              <w:left w:val="single" w:sz="4" w:space="0" w:color="auto"/>
              <w:bottom w:val="single" w:sz="4" w:space="0" w:color="auto"/>
              <w:right w:val="single" w:sz="4" w:space="0" w:color="auto"/>
            </w:tcBorders>
            <w:vAlign w:val="center"/>
          </w:tcPr>
          <w:p w14:paraId="740CE77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5.7</w:t>
            </w:r>
          </w:p>
        </w:tc>
        <w:tc>
          <w:tcPr>
            <w:tcW w:w="574" w:type="pct"/>
            <w:tcBorders>
              <w:top w:val="single" w:sz="4" w:space="0" w:color="auto"/>
              <w:left w:val="single" w:sz="4" w:space="0" w:color="auto"/>
              <w:bottom w:val="single" w:sz="4" w:space="0" w:color="auto"/>
              <w:right w:val="single" w:sz="12" w:space="0" w:color="auto"/>
            </w:tcBorders>
            <w:vAlign w:val="center"/>
          </w:tcPr>
          <w:p w14:paraId="2E1841C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B5B18E7" w14:textId="77777777">
        <w:trPr>
          <w:trHeight w:val="2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E526BA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铜</w:t>
            </w:r>
          </w:p>
        </w:tc>
        <w:tc>
          <w:tcPr>
            <w:tcW w:w="1029" w:type="pct"/>
            <w:tcBorders>
              <w:top w:val="single" w:sz="4" w:space="0" w:color="auto"/>
              <w:left w:val="single" w:sz="4" w:space="0" w:color="auto"/>
              <w:bottom w:val="single" w:sz="4" w:space="0" w:color="auto"/>
              <w:right w:val="single" w:sz="4" w:space="0" w:color="auto"/>
            </w:tcBorders>
            <w:vAlign w:val="center"/>
          </w:tcPr>
          <w:p w14:paraId="0AF9A8F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32</w:t>
            </w:r>
          </w:p>
        </w:tc>
        <w:tc>
          <w:tcPr>
            <w:tcW w:w="868" w:type="pct"/>
            <w:tcBorders>
              <w:top w:val="single" w:sz="4" w:space="0" w:color="auto"/>
              <w:left w:val="single" w:sz="4" w:space="0" w:color="auto"/>
              <w:bottom w:val="single" w:sz="4" w:space="0" w:color="auto"/>
              <w:right w:val="single" w:sz="4" w:space="0" w:color="auto"/>
            </w:tcBorders>
            <w:vAlign w:val="center"/>
          </w:tcPr>
          <w:p w14:paraId="26D49CE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28</w:t>
            </w:r>
          </w:p>
        </w:tc>
        <w:tc>
          <w:tcPr>
            <w:tcW w:w="905" w:type="pct"/>
            <w:tcBorders>
              <w:top w:val="single" w:sz="4" w:space="0" w:color="auto"/>
              <w:left w:val="single" w:sz="4" w:space="0" w:color="auto"/>
              <w:bottom w:val="single" w:sz="4" w:space="0" w:color="auto"/>
              <w:right w:val="single" w:sz="4" w:space="0" w:color="auto"/>
            </w:tcBorders>
            <w:vAlign w:val="center"/>
          </w:tcPr>
          <w:p w14:paraId="4594C74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29</w:t>
            </w:r>
          </w:p>
        </w:tc>
        <w:tc>
          <w:tcPr>
            <w:tcW w:w="820" w:type="pct"/>
            <w:tcBorders>
              <w:top w:val="single" w:sz="4" w:space="0" w:color="auto"/>
              <w:left w:val="single" w:sz="4" w:space="0" w:color="auto"/>
              <w:bottom w:val="single" w:sz="4" w:space="0" w:color="auto"/>
              <w:right w:val="single" w:sz="4" w:space="0" w:color="auto"/>
            </w:tcBorders>
            <w:vAlign w:val="center"/>
          </w:tcPr>
          <w:p w14:paraId="77ACC0F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18000</w:t>
            </w:r>
          </w:p>
        </w:tc>
        <w:tc>
          <w:tcPr>
            <w:tcW w:w="574" w:type="pct"/>
            <w:tcBorders>
              <w:top w:val="single" w:sz="4" w:space="0" w:color="auto"/>
              <w:left w:val="single" w:sz="4" w:space="0" w:color="auto"/>
              <w:bottom w:val="single" w:sz="4" w:space="0" w:color="auto"/>
              <w:right w:val="single" w:sz="12" w:space="0" w:color="auto"/>
            </w:tcBorders>
            <w:vAlign w:val="center"/>
          </w:tcPr>
          <w:p w14:paraId="3973679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583F6BBB"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0D71D1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铅</w:t>
            </w:r>
          </w:p>
        </w:tc>
        <w:tc>
          <w:tcPr>
            <w:tcW w:w="1029" w:type="pct"/>
            <w:tcBorders>
              <w:top w:val="single" w:sz="4" w:space="0" w:color="auto"/>
              <w:left w:val="single" w:sz="4" w:space="0" w:color="auto"/>
              <w:bottom w:val="single" w:sz="4" w:space="0" w:color="auto"/>
              <w:right w:val="single" w:sz="4" w:space="0" w:color="auto"/>
            </w:tcBorders>
            <w:vAlign w:val="center"/>
          </w:tcPr>
          <w:p w14:paraId="2784375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26</w:t>
            </w:r>
          </w:p>
        </w:tc>
        <w:tc>
          <w:tcPr>
            <w:tcW w:w="868" w:type="pct"/>
            <w:tcBorders>
              <w:top w:val="single" w:sz="4" w:space="0" w:color="auto"/>
              <w:left w:val="single" w:sz="4" w:space="0" w:color="auto"/>
              <w:bottom w:val="single" w:sz="4" w:space="0" w:color="auto"/>
              <w:right w:val="single" w:sz="4" w:space="0" w:color="auto"/>
            </w:tcBorders>
            <w:vAlign w:val="center"/>
          </w:tcPr>
          <w:p w14:paraId="164C476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30</w:t>
            </w:r>
          </w:p>
        </w:tc>
        <w:tc>
          <w:tcPr>
            <w:tcW w:w="905" w:type="pct"/>
            <w:tcBorders>
              <w:top w:val="single" w:sz="4" w:space="0" w:color="auto"/>
              <w:left w:val="single" w:sz="4" w:space="0" w:color="auto"/>
              <w:bottom w:val="single" w:sz="4" w:space="0" w:color="auto"/>
              <w:right w:val="single" w:sz="4" w:space="0" w:color="auto"/>
            </w:tcBorders>
            <w:vAlign w:val="center"/>
          </w:tcPr>
          <w:p w14:paraId="075CB7E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24</w:t>
            </w:r>
          </w:p>
        </w:tc>
        <w:tc>
          <w:tcPr>
            <w:tcW w:w="820" w:type="pct"/>
            <w:tcBorders>
              <w:top w:val="single" w:sz="4" w:space="0" w:color="auto"/>
              <w:left w:val="single" w:sz="4" w:space="0" w:color="auto"/>
              <w:bottom w:val="single" w:sz="4" w:space="0" w:color="auto"/>
              <w:right w:val="single" w:sz="4" w:space="0" w:color="auto"/>
            </w:tcBorders>
            <w:vAlign w:val="center"/>
          </w:tcPr>
          <w:p w14:paraId="0B07DF3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800</w:t>
            </w:r>
          </w:p>
        </w:tc>
        <w:tc>
          <w:tcPr>
            <w:tcW w:w="574" w:type="pct"/>
            <w:tcBorders>
              <w:top w:val="single" w:sz="4" w:space="0" w:color="auto"/>
              <w:left w:val="single" w:sz="4" w:space="0" w:color="auto"/>
              <w:bottom w:val="single" w:sz="4" w:space="0" w:color="auto"/>
              <w:right w:val="single" w:sz="12" w:space="0" w:color="auto"/>
            </w:tcBorders>
            <w:vAlign w:val="center"/>
          </w:tcPr>
          <w:p w14:paraId="480A8FE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6F2DE585" w14:textId="77777777">
        <w:trPr>
          <w:trHeight w:val="62"/>
          <w:jc w:val="center"/>
        </w:trPr>
        <w:tc>
          <w:tcPr>
            <w:tcW w:w="804" w:type="pct"/>
            <w:tcBorders>
              <w:top w:val="single" w:sz="4" w:space="0" w:color="auto"/>
              <w:left w:val="single" w:sz="12" w:space="0" w:color="auto"/>
              <w:bottom w:val="single" w:sz="4" w:space="0" w:color="auto"/>
              <w:right w:val="single" w:sz="4" w:space="0" w:color="auto"/>
            </w:tcBorders>
            <w:vAlign w:val="center"/>
          </w:tcPr>
          <w:p w14:paraId="1414C47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汞</w:t>
            </w:r>
          </w:p>
        </w:tc>
        <w:tc>
          <w:tcPr>
            <w:tcW w:w="1029" w:type="pct"/>
            <w:tcBorders>
              <w:top w:val="single" w:sz="4" w:space="0" w:color="auto"/>
              <w:left w:val="single" w:sz="4" w:space="0" w:color="auto"/>
              <w:bottom w:val="single" w:sz="4" w:space="0" w:color="auto"/>
              <w:right w:val="single" w:sz="4" w:space="0" w:color="auto"/>
            </w:tcBorders>
            <w:vAlign w:val="center"/>
          </w:tcPr>
          <w:p w14:paraId="7BC1F9C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0.064</w:t>
            </w:r>
          </w:p>
        </w:tc>
        <w:tc>
          <w:tcPr>
            <w:tcW w:w="868" w:type="pct"/>
            <w:tcBorders>
              <w:top w:val="single" w:sz="4" w:space="0" w:color="auto"/>
              <w:left w:val="single" w:sz="4" w:space="0" w:color="auto"/>
              <w:bottom w:val="single" w:sz="4" w:space="0" w:color="auto"/>
              <w:right w:val="single" w:sz="4" w:space="0" w:color="auto"/>
            </w:tcBorders>
            <w:vAlign w:val="center"/>
          </w:tcPr>
          <w:p w14:paraId="5B97F40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0.052</w:t>
            </w:r>
          </w:p>
        </w:tc>
        <w:tc>
          <w:tcPr>
            <w:tcW w:w="905" w:type="pct"/>
            <w:tcBorders>
              <w:top w:val="single" w:sz="4" w:space="0" w:color="auto"/>
              <w:left w:val="single" w:sz="4" w:space="0" w:color="auto"/>
              <w:bottom w:val="single" w:sz="4" w:space="0" w:color="auto"/>
              <w:right w:val="single" w:sz="4" w:space="0" w:color="auto"/>
            </w:tcBorders>
            <w:vAlign w:val="center"/>
          </w:tcPr>
          <w:p w14:paraId="6F7974F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0.079</w:t>
            </w:r>
          </w:p>
        </w:tc>
        <w:tc>
          <w:tcPr>
            <w:tcW w:w="820" w:type="pct"/>
            <w:tcBorders>
              <w:top w:val="single" w:sz="4" w:space="0" w:color="auto"/>
              <w:left w:val="single" w:sz="4" w:space="0" w:color="auto"/>
              <w:bottom w:val="single" w:sz="4" w:space="0" w:color="auto"/>
              <w:right w:val="single" w:sz="4" w:space="0" w:color="auto"/>
            </w:tcBorders>
            <w:vAlign w:val="center"/>
          </w:tcPr>
          <w:p w14:paraId="2188884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38</w:t>
            </w:r>
          </w:p>
        </w:tc>
        <w:tc>
          <w:tcPr>
            <w:tcW w:w="574" w:type="pct"/>
            <w:tcBorders>
              <w:top w:val="single" w:sz="4" w:space="0" w:color="auto"/>
              <w:left w:val="single" w:sz="4" w:space="0" w:color="auto"/>
              <w:bottom w:val="single" w:sz="4" w:space="0" w:color="auto"/>
              <w:right w:val="single" w:sz="12" w:space="0" w:color="auto"/>
            </w:tcBorders>
            <w:vAlign w:val="center"/>
          </w:tcPr>
          <w:p w14:paraId="0DE0411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2916A5ED" w14:textId="77777777">
        <w:trPr>
          <w:trHeight w:val="62"/>
          <w:jc w:val="center"/>
        </w:trPr>
        <w:tc>
          <w:tcPr>
            <w:tcW w:w="804" w:type="pct"/>
            <w:tcBorders>
              <w:top w:val="single" w:sz="4" w:space="0" w:color="auto"/>
              <w:left w:val="single" w:sz="12" w:space="0" w:color="auto"/>
              <w:bottom w:val="single" w:sz="4" w:space="0" w:color="auto"/>
              <w:right w:val="single" w:sz="4" w:space="0" w:color="auto"/>
            </w:tcBorders>
            <w:vAlign w:val="center"/>
          </w:tcPr>
          <w:p w14:paraId="4ECB1B2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镍</w:t>
            </w:r>
          </w:p>
        </w:tc>
        <w:tc>
          <w:tcPr>
            <w:tcW w:w="1029" w:type="pct"/>
            <w:tcBorders>
              <w:top w:val="single" w:sz="4" w:space="0" w:color="auto"/>
              <w:left w:val="single" w:sz="4" w:space="0" w:color="auto"/>
              <w:bottom w:val="single" w:sz="4" w:space="0" w:color="auto"/>
              <w:right w:val="single" w:sz="4" w:space="0" w:color="auto"/>
            </w:tcBorders>
            <w:vAlign w:val="center"/>
          </w:tcPr>
          <w:p w14:paraId="60DE4A9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38</w:t>
            </w:r>
          </w:p>
        </w:tc>
        <w:tc>
          <w:tcPr>
            <w:tcW w:w="868" w:type="pct"/>
            <w:tcBorders>
              <w:top w:val="single" w:sz="4" w:space="0" w:color="auto"/>
              <w:left w:val="single" w:sz="4" w:space="0" w:color="auto"/>
              <w:bottom w:val="single" w:sz="4" w:space="0" w:color="auto"/>
              <w:right w:val="single" w:sz="4" w:space="0" w:color="auto"/>
            </w:tcBorders>
            <w:vAlign w:val="center"/>
          </w:tcPr>
          <w:p w14:paraId="4ADF5F8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33</w:t>
            </w:r>
          </w:p>
        </w:tc>
        <w:tc>
          <w:tcPr>
            <w:tcW w:w="905" w:type="pct"/>
            <w:tcBorders>
              <w:top w:val="single" w:sz="4" w:space="0" w:color="auto"/>
              <w:left w:val="single" w:sz="4" w:space="0" w:color="auto"/>
              <w:bottom w:val="single" w:sz="4" w:space="0" w:color="auto"/>
              <w:right w:val="single" w:sz="4" w:space="0" w:color="auto"/>
            </w:tcBorders>
            <w:vAlign w:val="center"/>
          </w:tcPr>
          <w:p w14:paraId="765FFF5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35</w:t>
            </w:r>
          </w:p>
        </w:tc>
        <w:tc>
          <w:tcPr>
            <w:tcW w:w="820" w:type="pct"/>
            <w:tcBorders>
              <w:top w:val="single" w:sz="4" w:space="0" w:color="auto"/>
              <w:left w:val="single" w:sz="4" w:space="0" w:color="auto"/>
              <w:bottom w:val="single" w:sz="4" w:space="0" w:color="auto"/>
              <w:right w:val="single" w:sz="4" w:space="0" w:color="auto"/>
            </w:tcBorders>
            <w:vAlign w:val="center"/>
          </w:tcPr>
          <w:p w14:paraId="5BD3121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900</w:t>
            </w:r>
          </w:p>
        </w:tc>
        <w:tc>
          <w:tcPr>
            <w:tcW w:w="574" w:type="pct"/>
            <w:tcBorders>
              <w:top w:val="single" w:sz="4" w:space="0" w:color="auto"/>
              <w:left w:val="single" w:sz="4" w:space="0" w:color="auto"/>
              <w:bottom w:val="single" w:sz="4" w:space="0" w:color="auto"/>
              <w:right w:val="single" w:sz="12" w:space="0" w:color="auto"/>
            </w:tcBorders>
            <w:vAlign w:val="center"/>
          </w:tcPr>
          <w:p w14:paraId="4B697E1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42F707A0" w14:textId="77777777">
        <w:trPr>
          <w:trHeight w:val="133"/>
          <w:jc w:val="center"/>
        </w:trPr>
        <w:tc>
          <w:tcPr>
            <w:tcW w:w="804" w:type="pct"/>
            <w:tcBorders>
              <w:top w:val="single" w:sz="4" w:space="0" w:color="auto"/>
              <w:left w:val="single" w:sz="12" w:space="0" w:color="auto"/>
              <w:bottom w:val="single" w:sz="4" w:space="0" w:color="auto"/>
              <w:right w:val="single" w:sz="4" w:space="0" w:color="auto"/>
            </w:tcBorders>
            <w:vAlign w:val="center"/>
          </w:tcPr>
          <w:p w14:paraId="64E834B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四氯化碳</w:t>
            </w:r>
          </w:p>
        </w:tc>
        <w:tc>
          <w:tcPr>
            <w:tcW w:w="1029" w:type="pct"/>
            <w:tcBorders>
              <w:top w:val="single" w:sz="4" w:space="0" w:color="auto"/>
              <w:left w:val="single" w:sz="4" w:space="0" w:color="auto"/>
              <w:bottom w:val="single" w:sz="4" w:space="0" w:color="auto"/>
              <w:right w:val="single" w:sz="4" w:space="0" w:color="auto"/>
            </w:tcBorders>
            <w:vAlign w:val="center"/>
          </w:tcPr>
          <w:p w14:paraId="3B3B0C2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68" w:type="pct"/>
            <w:tcBorders>
              <w:top w:val="single" w:sz="4" w:space="0" w:color="auto"/>
              <w:left w:val="single" w:sz="4" w:space="0" w:color="auto"/>
              <w:bottom w:val="single" w:sz="4" w:space="0" w:color="auto"/>
              <w:right w:val="single" w:sz="4" w:space="0" w:color="auto"/>
            </w:tcBorders>
            <w:vAlign w:val="center"/>
          </w:tcPr>
          <w:p w14:paraId="634CF19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905" w:type="pct"/>
            <w:tcBorders>
              <w:top w:val="single" w:sz="4" w:space="0" w:color="auto"/>
              <w:left w:val="single" w:sz="4" w:space="0" w:color="auto"/>
              <w:bottom w:val="single" w:sz="4" w:space="0" w:color="auto"/>
              <w:right w:val="single" w:sz="4" w:space="0" w:color="auto"/>
            </w:tcBorders>
            <w:vAlign w:val="center"/>
          </w:tcPr>
          <w:p w14:paraId="19DC9F5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20" w:type="pct"/>
            <w:tcBorders>
              <w:top w:val="single" w:sz="4" w:space="0" w:color="auto"/>
              <w:left w:val="single" w:sz="4" w:space="0" w:color="auto"/>
              <w:bottom w:val="single" w:sz="4" w:space="0" w:color="auto"/>
              <w:right w:val="single" w:sz="4" w:space="0" w:color="auto"/>
            </w:tcBorders>
            <w:vAlign w:val="center"/>
          </w:tcPr>
          <w:p w14:paraId="3FD8DD7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574" w:type="pct"/>
            <w:tcBorders>
              <w:top w:val="single" w:sz="4" w:space="0" w:color="auto"/>
              <w:left w:val="single" w:sz="4" w:space="0" w:color="auto"/>
              <w:bottom w:val="single" w:sz="4" w:space="0" w:color="auto"/>
              <w:right w:val="single" w:sz="12" w:space="0" w:color="auto"/>
            </w:tcBorders>
            <w:vAlign w:val="center"/>
          </w:tcPr>
          <w:p w14:paraId="7DB5CFE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42F6D772"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9EC4C1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氯仿（三氯甲烷）</w:t>
            </w:r>
          </w:p>
        </w:tc>
        <w:tc>
          <w:tcPr>
            <w:tcW w:w="1029" w:type="pct"/>
            <w:tcBorders>
              <w:top w:val="single" w:sz="4" w:space="0" w:color="auto"/>
              <w:left w:val="single" w:sz="4" w:space="0" w:color="auto"/>
              <w:bottom w:val="single" w:sz="4" w:space="0" w:color="auto"/>
              <w:right w:val="single" w:sz="4" w:space="0" w:color="auto"/>
            </w:tcBorders>
            <w:vAlign w:val="center"/>
          </w:tcPr>
          <w:p w14:paraId="192F9BF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868" w:type="pct"/>
            <w:tcBorders>
              <w:top w:val="single" w:sz="4" w:space="0" w:color="auto"/>
              <w:left w:val="single" w:sz="4" w:space="0" w:color="auto"/>
              <w:bottom w:val="single" w:sz="4" w:space="0" w:color="auto"/>
              <w:right w:val="single" w:sz="4" w:space="0" w:color="auto"/>
            </w:tcBorders>
            <w:vAlign w:val="center"/>
          </w:tcPr>
          <w:p w14:paraId="52803B5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905" w:type="pct"/>
            <w:tcBorders>
              <w:top w:val="single" w:sz="4" w:space="0" w:color="auto"/>
              <w:left w:val="single" w:sz="4" w:space="0" w:color="auto"/>
              <w:bottom w:val="single" w:sz="4" w:space="0" w:color="auto"/>
              <w:right w:val="single" w:sz="4" w:space="0" w:color="auto"/>
            </w:tcBorders>
            <w:vAlign w:val="center"/>
          </w:tcPr>
          <w:p w14:paraId="1C721B5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820" w:type="pct"/>
            <w:tcBorders>
              <w:top w:val="single" w:sz="4" w:space="0" w:color="auto"/>
              <w:left w:val="single" w:sz="4" w:space="0" w:color="auto"/>
              <w:bottom w:val="single" w:sz="4" w:space="0" w:color="auto"/>
              <w:right w:val="single" w:sz="4" w:space="0" w:color="auto"/>
            </w:tcBorders>
            <w:vAlign w:val="center"/>
          </w:tcPr>
          <w:p w14:paraId="608F365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0.9</w:t>
            </w:r>
          </w:p>
        </w:tc>
        <w:tc>
          <w:tcPr>
            <w:tcW w:w="574" w:type="pct"/>
            <w:tcBorders>
              <w:top w:val="single" w:sz="4" w:space="0" w:color="auto"/>
              <w:left w:val="single" w:sz="4" w:space="0" w:color="auto"/>
              <w:bottom w:val="single" w:sz="4" w:space="0" w:color="auto"/>
              <w:right w:val="single" w:sz="12" w:space="0" w:color="auto"/>
            </w:tcBorders>
            <w:vAlign w:val="center"/>
          </w:tcPr>
          <w:p w14:paraId="7125673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0DE43338"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2B3F82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氯甲烷</w:t>
            </w:r>
          </w:p>
        </w:tc>
        <w:tc>
          <w:tcPr>
            <w:tcW w:w="1029" w:type="pct"/>
            <w:tcBorders>
              <w:top w:val="single" w:sz="4" w:space="0" w:color="auto"/>
              <w:left w:val="single" w:sz="4" w:space="0" w:color="auto"/>
              <w:bottom w:val="single" w:sz="4" w:space="0" w:color="auto"/>
              <w:right w:val="single" w:sz="4" w:space="0" w:color="auto"/>
            </w:tcBorders>
            <w:vAlign w:val="center"/>
          </w:tcPr>
          <w:p w14:paraId="1D42909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868" w:type="pct"/>
            <w:tcBorders>
              <w:top w:val="single" w:sz="4" w:space="0" w:color="auto"/>
              <w:left w:val="single" w:sz="4" w:space="0" w:color="auto"/>
              <w:bottom w:val="single" w:sz="4" w:space="0" w:color="auto"/>
              <w:right w:val="single" w:sz="4" w:space="0" w:color="auto"/>
            </w:tcBorders>
            <w:vAlign w:val="center"/>
          </w:tcPr>
          <w:p w14:paraId="1DB17D5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905" w:type="pct"/>
            <w:tcBorders>
              <w:top w:val="single" w:sz="4" w:space="0" w:color="auto"/>
              <w:left w:val="single" w:sz="4" w:space="0" w:color="auto"/>
              <w:bottom w:val="single" w:sz="4" w:space="0" w:color="auto"/>
              <w:right w:val="single" w:sz="4" w:space="0" w:color="auto"/>
            </w:tcBorders>
            <w:vAlign w:val="center"/>
          </w:tcPr>
          <w:p w14:paraId="3D2365C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820" w:type="pct"/>
            <w:tcBorders>
              <w:top w:val="single" w:sz="4" w:space="0" w:color="auto"/>
              <w:left w:val="single" w:sz="4" w:space="0" w:color="auto"/>
              <w:bottom w:val="single" w:sz="4" w:space="0" w:color="auto"/>
              <w:right w:val="single" w:sz="4" w:space="0" w:color="auto"/>
            </w:tcBorders>
            <w:vAlign w:val="center"/>
          </w:tcPr>
          <w:p w14:paraId="12053D7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37</w:t>
            </w:r>
          </w:p>
        </w:tc>
        <w:tc>
          <w:tcPr>
            <w:tcW w:w="574" w:type="pct"/>
            <w:tcBorders>
              <w:top w:val="single" w:sz="4" w:space="0" w:color="auto"/>
              <w:left w:val="single" w:sz="4" w:space="0" w:color="auto"/>
              <w:bottom w:val="single" w:sz="4" w:space="0" w:color="auto"/>
              <w:right w:val="single" w:sz="12" w:space="0" w:color="auto"/>
            </w:tcBorders>
            <w:vAlign w:val="center"/>
          </w:tcPr>
          <w:p w14:paraId="6E13EFD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7AAE1FD"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68D9C6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1,1-</w:t>
            </w:r>
            <w:r>
              <w:rPr>
                <w:rFonts w:ascii="Times New Roman" w:hAnsi="Times New Roman"/>
                <w:sz w:val="24"/>
              </w:rPr>
              <w:t>二氯乙烷</w:t>
            </w:r>
          </w:p>
        </w:tc>
        <w:tc>
          <w:tcPr>
            <w:tcW w:w="1029" w:type="pct"/>
            <w:tcBorders>
              <w:top w:val="single" w:sz="4" w:space="0" w:color="auto"/>
              <w:left w:val="single" w:sz="4" w:space="0" w:color="auto"/>
              <w:bottom w:val="single" w:sz="4" w:space="0" w:color="auto"/>
              <w:right w:val="single" w:sz="4" w:space="0" w:color="auto"/>
            </w:tcBorders>
            <w:vAlign w:val="center"/>
          </w:tcPr>
          <w:p w14:paraId="01B6B41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59280D4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70915F3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13FEA15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w:t>
            </w:r>
          </w:p>
        </w:tc>
        <w:tc>
          <w:tcPr>
            <w:tcW w:w="574" w:type="pct"/>
            <w:tcBorders>
              <w:top w:val="single" w:sz="4" w:space="0" w:color="auto"/>
              <w:left w:val="single" w:sz="4" w:space="0" w:color="auto"/>
              <w:bottom w:val="single" w:sz="4" w:space="0" w:color="auto"/>
              <w:right w:val="single" w:sz="12" w:space="0" w:color="auto"/>
            </w:tcBorders>
            <w:vAlign w:val="center"/>
          </w:tcPr>
          <w:p w14:paraId="2A8050D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044EE62D"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1AC672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1,2-</w:t>
            </w:r>
            <w:r>
              <w:rPr>
                <w:rFonts w:ascii="Times New Roman" w:hAnsi="Times New Roman"/>
                <w:sz w:val="24"/>
              </w:rPr>
              <w:t>二氯乙烷</w:t>
            </w:r>
          </w:p>
        </w:tc>
        <w:tc>
          <w:tcPr>
            <w:tcW w:w="1029" w:type="pct"/>
            <w:tcBorders>
              <w:top w:val="single" w:sz="4" w:space="0" w:color="auto"/>
              <w:left w:val="single" w:sz="4" w:space="0" w:color="auto"/>
              <w:bottom w:val="single" w:sz="4" w:space="0" w:color="auto"/>
              <w:right w:val="single" w:sz="4" w:space="0" w:color="auto"/>
            </w:tcBorders>
            <w:vAlign w:val="center"/>
          </w:tcPr>
          <w:p w14:paraId="1DFD03A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68" w:type="pct"/>
            <w:tcBorders>
              <w:top w:val="single" w:sz="4" w:space="0" w:color="auto"/>
              <w:left w:val="single" w:sz="4" w:space="0" w:color="auto"/>
              <w:bottom w:val="single" w:sz="4" w:space="0" w:color="auto"/>
              <w:right w:val="single" w:sz="4" w:space="0" w:color="auto"/>
            </w:tcBorders>
            <w:vAlign w:val="center"/>
          </w:tcPr>
          <w:p w14:paraId="0E81ED0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905" w:type="pct"/>
            <w:tcBorders>
              <w:top w:val="single" w:sz="4" w:space="0" w:color="auto"/>
              <w:left w:val="single" w:sz="4" w:space="0" w:color="auto"/>
              <w:bottom w:val="single" w:sz="4" w:space="0" w:color="auto"/>
              <w:right w:val="single" w:sz="4" w:space="0" w:color="auto"/>
            </w:tcBorders>
            <w:vAlign w:val="center"/>
          </w:tcPr>
          <w:p w14:paraId="296E9A0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20" w:type="pct"/>
            <w:tcBorders>
              <w:top w:val="single" w:sz="4" w:space="0" w:color="auto"/>
              <w:left w:val="single" w:sz="4" w:space="0" w:color="auto"/>
              <w:bottom w:val="single" w:sz="4" w:space="0" w:color="auto"/>
              <w:right w:val="single" w:sz="4" w:space="0" w:color="auto"/>
            </w:tcBorders>
            <w:vAlign w:val="center"/>
          </w:tcPr>
          <w:p w14:paraId="1316F34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574" w:type="pct"/>
            <w:tcBorders>
              <w:top w:val="single" w:sz="4" w:space="0" w:color="auto"/>
              <w:left w:val="single" w:sz="4" w:space="0" w:color="auto"/>
              <w:bottom w:val="single" w:sz="4" w:space="0" w:color="auto"/>
              <w:right w:val="single" w:sz="12" w:space="0" w:color="auto"/>
            </w:tcBorders>
            <w:vAlign w:val="center"/>
          </w:tcPr>
          <w:p w14:paraId="727EC4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347766E1" w14:textId="77777777">
        <w:trPr>
          <w:trHeight w:val="318"/>
          <w:jc w:val="center"/>
        </w:trPr>
        <w:tc>
          <w:tcPr>
            <w:tcW w:w="804" w:type="pct"/>
            <w:tcBorders>
              <w:top w:val="single" w:sz="4" w:space="0" w:color="auto"/>
              <w:left w:val="single" w:sz="12" w:space="0" w:color="auto"/>
              <w:bottom w:val="single" w:sz="4" w:space="0" w:color="auto"/>
              <w:right w:val="single" w:sz="4" w:space="0" w:color="auto"/>
            </w:tcBorders>
            <w:vAlign w:val="center"/>
          </w:tcPr>
          <w:p w14:paraId="61E0F98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1,1-</w:t>
            </w:r>
            <w:r>
              <w:rPr>
                <w:rFonts w:ascii="Times New Roman" w:hAnsi="Times New Roman"/>
                <w:sz w:val="24"/>
              </w:rPr>
              <w:t>二氯乙烯</w:t>
            </w:r>
          </w:p>
        </w:tc>
        <w:tc>
          <w:tcPr>
            <w:tcW w:w="1029" w:type="pct"/>
            <w:tcBorders>
              <w:top w:val="single" w:sz="4" w:space="0" w:color="auto"/>
              <w:left w:val="single" w:sz="4" w:space="0" w:color="auto"/>
              <w:bottom w:val="single" w:sz="4" w:space="0" w:color="auto"/>
              <w:right w:val="single" w:sz="4" w:space="0" w:color="auto"/>
            </w:tcBorders>
            <w:vAlign w:val="center"/>
          </w:tcPr>
          <w:p w14:paraId="0ED19E3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868" w:type="pct"/>
            <w:tcBorders>
              <w:top w:val="single" w:sz="4" w:space="0" w:color="auto"/>
              <w:left w:val="single" w:sz="4" w:space="0" w:color="auto"/>
              <w:bottom w:val="single" w:sz="4" w:space="0" w:color="auto"/>
              <w:right w:val="single" w:sz="4" w:space="0" w:color="auto"/>
            </w:tcBorders>
            <w:vAlign w:val="center"/>
          </w:tcPr>
          <w:p w14:paraId="1AAE71B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905" w:type="pct"/>
            <w:tcBorders>
              <w:top w:val="single" w:sz="4" w:space="0" w:color="auto"/>
              <w:left w:val="single" w:sz="4" w:space="0" w:color="auto"/>
              <w:bottom w:val="single" w:sz="4" w:space="0" w:color="auto"/>
              <w:right w:val="single" w:sz="4" w:space="0" w:color="auto"/>
            </w:tcBorders>
            <w:vAlign w:val="center"/>
          </w:tcPr>
          <w:p w14:paraId="314DC1B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820" w:type="pct"/>
            <w:tcBorders>
              <w:top w:val="single" w:sz="4" w:space="0" w:color="auto"/>
              <w:left w:val="single" w:sz="4" w:space="0" w:color="auto"/>
              <w:bottom w:val="single" w:sz="4" w:space="0" w:color="auto"/>
              <w:right w:val="single" w:sz="4" w:space="0" w:color="auto"/>
            </w:tcBorders>
            <w:vAlign w:val="center"/>
          </w:tcPr>
          <w:p w14:paraId="0F0C63F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66</w:t>
            </w:r>
          </w:p>
        </w:tc>
        <w:tc>
          <w:tcPr>
            <w:tcW w:w="574" w:type="pct"/>
            <w:tcBorders>
              <w:top w:val="single" w:sz="4" w:space="0" w:color="auto"/>
              <w:left w:val="single" w:sz="4" w:space="0" w:color="auto"/>
              <w:bottom w:val="single" w:sz="4" w:space="0" w:color="auto"/>
              <w:right w:val="single" w:sz="12" w:space="0" w:color="auto"/>
            </w:tcBorders>
            <w:vAlign w:val="center"/>
          </w:tcPr>
          <w:p w14:paraId="6963CB3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20946F85"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63B2892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顺式</w:t>
            </w:r>
            <w:r>
              <w:rPr>
                <w:rFonts w:ascii="Times New Roman" w:hAnsi="Times New Roman"/>
                <w:sz w:val="24"/>
              </w:rPr>
              <w:t>-1,2-</w:t>
            </w:r>
            <w:r>
              <w:rPr>
                <w:rFonts w:ascii="Times New Roman" w:hAnsi="Times New Roman"/>
                <w:sz w:val="24"/>
              </w:rPr>
              <w:t>二氯乙烯</w:t>
            </w:r>
          </w:p>
        </w:tc>
        <w:tc>
          <w:tcPr>
            <w:tcW w:w="1029" w:type="pct"/>
            <w:tcBorders>
              <w:top w:val="single" w:sz="4" w:space="0" w:color="auto"/>
              <w:left w:val="single" w:sz="4" w:space="0" w:color="auto"/>
              <w:bottom w:val="single" w:sz="4" w:space="0" w:color="auto"/>
              <w:right w:val="single" w:sz="4" w:space="0" w:color="auto"/>
            </w:tcBorders>
            <w:vAlign w:val="center"/>
          </w:tcPr>
          <w:p w14:paraId="5345491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68" w:type="pct"/>
            <w:tcBorders>
              <w:top w:val="single" w:sz="4" w:space="0" w:color="auto"/>
              <w:left w:val="single" w:sz="4" w:space="0" w:color="auto"/>
              <w:bottom w:val="single" w:sz="4" w:space="0" w:color="auto"/>
              <w:right w:val="single" w:sz="4" w:space="0" w:color="auto"/>
            </w:tcBorders>
            <w:vAlign w:val="center"/>
          </w:tcPr>
          <w:p w14:paraId="24126EC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905" w:type="pct"/>
            <w:tcBorders>
              <w:top w:val="single" w:sz="4" w:space="0" w:color="auto"/>
              <w:left w:val="single" w:sz="4" w:space="0" w:color="auto"/>
              <w:bottom w:val="single" w:sz="4" w:space="0" w:color="auto"/>
              <w:right w:val="single" w:sz="4" w:space="0" w:color="auto"/>
            </w:tcBorders>
            <w:vAlign w:val="center"/>
          </w:tcPr>
          <w:p w14:paraId="72304CD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20" w:type="pct"/>
            <w:tcBorders>
              <w:top w:val="single" w:sz="4" w:space="0" w:color="auto"/>
              <w:left w:val="single" w:sz="4" w:space="0" w:color="auto"/>
              <w:bottom w:val="single" w:sz="4" w:space="0" w:color="auto"/>
              <w:right w:val="single" w:sz="4" w:space="0" w:color="auto"/>
            </w:tcBorders>
            <w:vAlign w:val="center"/>
          </w:tcPr>
          <w:p w14:paraId="4201973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596</w:t>
            </w:r>
          </w:p>
        </w:tc>
        <w:tc>
          <w:tcPr>
            <w:tcW w:w="574" w:type="pct"/>
            <w:tcBorders>
              <w:top w:val="single" w:sz="4" w:space="0" w:color="auto"/>
              <w:left w:val="single" w:sz="4" w:space="0" w:color="auto"/>
              <w:bottom w:val="single" w:sz="4" w:space="0" w:color="auto"/>
              <w:right w:val="single" w:sz="12" w:space="0" w:color="auto"/>
            </w:tcBorders>
            <w:vAlign w:val="center"/>
          </w:tcPr>
          <w:p w14:paraId="52123BF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2C6A67CB"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7986F88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反式</w:t>
            </w:r>
            <w:r>
              <w:rPr>
                <w:rFonts w:ascii="Times New Roman" w:hAnsi="Times New Roman"/>
                <w:sz w:val="24"/>
              </w:rPr>
              <w:t xml:space="preserve"> 1,2-</w:t>
            </w:r>
            <w:r>
              <w:rPr>
                <w:rFonts w:ascii="Times New Roman" w:hAnsi="Times New Roman"/>
                <w:sz w:val="24"/>
              </w:rPr>
              <w:t>二氯乙烯</w:t>
            </w:r>
          </w:p>
        </w:tc>
        <w:tc>
          <w:tcPr>
            <w:tcW w:w="1029" w:type="pct"/>
            <w:tcBorders>
              <w:top w:val="single" w:sz="4" w:space="0" w:color="auto"/>
              <w:left w:val="single" w:sz="4" w:space="0" w:color="auto"/>
              <w:bottom w:val="single" w:sz="4" w:space="0" w:color="auto"/>
              <w:right w:val="single" w:sz="4" w:space="0" w:color="auto"/>
            </w:tcBorders>
            <w:vAlign w:val="center"/>
          </w:tcPr>
          <w:p w14:paraId="49F99AF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0.0014ND</w:t>
            </w:r>
          </w:p>
        </w:tc>
        <w:tc>
          <w:tcPr>
            <w:tcW w:w="868" w:type="pct"/>
            <w:tcBorders>
              <w:top w:val="single" w:sz="4" w:space="0" w:color="auto"/>
              <w:left w:val="single" w:sz="4" w:space="0" w:color="auto"/>
              <w:bottom w:val="single" w:sz="4" w:space="0" w:color="auto"/>
              <w:right w:val="single" w:sz="4" w:space="0" w:color="auto"/>
            </w:tcBorders>
            <w:vAlign w:val="center"/>
          </w:tcPr>
          <w:p w14:paraId="07BA4DC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0.0014ND</w:t>
            </w:r>
          </w:p>
        </w:tc>
        <w:tc>
          <w:tcPr>
            <w:tcW w:w="905" w:type="pct"/>
            <w:tcBorders>
              <w:top w:val="single" w:sz="4" w:space="0" w:color="auto"/>
              <w:left w:val="single" w:sz="4" w:space="0" w:color="auto"/>
              <w:bottom w:val="single" w:sz="4" w:space="0" w:color="auto"/>
              <w:right w:val="single" w:sz="4" w:space="0" w:color="auto"/>
            </w:tcBorders>
            <w:vAlign w:val="center"/>
          </w:tcPr>
          <w:p w14:paraId="114745B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0.0014ND</w:t>
            </w:r>
          </w:p>
        </w:tc>
        <w:tc>
          <w:tcPr>
            <w:tcW w:w="820" w:type="pct"/>
            <w:tcBorders>
              <w:top w:val="single" w:sz="4" w:space="0" w:color="auto"/>
              <w:left w:val="single" w:sz="4" w:space="0" w:color="auto"/>
              <w:bottom w:val="single" w:sz="4" w:space="0" w:color="auto"/>
              <w:right w:val="single" w:sz="4" w:space="0" w:color="auto"/>
            </w:tcBorders>
            <w:vAlign w:val="center"/>
          </w:tcPr>
          <w:p w14:paraId="7649E5E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54</w:t>
            </w:r>
          </w:p>
        </w:tc>
        <w:tc>
          <w:tcPr>
            <w:tcW w:w="574" w:type="pct"/>
            <w:tcBorders>
              <w:top w:val="single" w:sz="4" w:space="0" w:color="auto"/>
              <w:left w:val="single" w:sz="4" w:space="0" w:color="auto"/>
              <w:bottom w:val="single" w:sz="4" w:space="0" w:color="auto"/>
              <w:right w:val="single" w:sz="12" w:space="0" w:color="auto"/>
            </w:tcBorders>
            <w:vAlign w:val="center"/>
          </w:tcPr>
          <w:p w14:paraId="0C04BA4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70ABA9B4"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91CAD3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二氯甲烷</w:t>
            </w:r>
          </w:p>
        </w:tc>
        <w:tc>
          <w:tcPr>
            <w:tcW w:w="1029" w:type="pct"/>
            <w:tcBorders>
              <w:top w:val="single" w:sz="4" w:space="0" w:color="auto"/>
              <w:left w:val="single" w:sz="4" w:space="0" w:color="auto"/>
              <w:bottom w:val="single" w:sz="4" w:space="0" w:color="auto"/>
              <w:right w:val="single" w:sz="4" w:space="0" w:color="auto"/>
            </w:tcBorders>
            <w:vAlign w:val="center"/>
          </w:tcPr>
          <w:p w14:paraId="2C2DE1F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868" w:type="pct"/>
            <w:tcBorders>
              <w:top w:val="single" w:sz="4" w:space="0" w:color="auto"/>
              <w:left w:val="single" w:sz="4" w:space="0" w:color="auto"/>
              <w:bottom w:val="single" w:sz="4" w:space="0" w:color="auto"/>
              <w:right w:val="single" w:sz="4" w:space="0" w:color="auto"/>
            </w:tcBorders>
            <w:vAlign w:val="center"/>
          </w:tcPr>
          <w:p w14:paraId="7743539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905" w:type="pct"/>
            <w:tcBorders>
              <w:top w:val="single" w:sz="4" w:space="0" w:color="auto"/>
              <w:left w:val="single" w:sz="4" w:space="0" w:color="auto"/>
              <w:bottom w:val="single" w:sz="4" w:space="0" w:color="auto"/>
              <w:right w:val="single" w:sz="4" w:space="0" w:color="auto"/>
            </w:tcBorders>
            <w:vAlign w:val="center"/>
          </w:tcPr>
          <w:p w14:paraId="6CE9C56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820" w:type="pct"/>
            <w:tcBorders>
              <w:top w:val="single" w:sz="4" w:space="0" w:color="auto"/>
              <w:left w:val="single" w:sz="4" w:space="0" w:color="auto"/>
              <w:bottom w:val="single" w:sz="4" w:space="0" w:color="auto"/>
              <w:right w:val="single" w:sz="4" w:space="0" w:color="auto"/>
            </w:tcBorders>
            <w:vAlign w:val="center"/>
          </w:tcPr>
          <w:p w14:paraId="5F46F7A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616</w:t>
            </w:r>
          </w:p>
        </w:tc>
        <w:tc>
          <w:tcPr>
            <w:tcW w:w="574" w:type="pct"/>
            <w:tcBorders>
              <w:top w:val="single" w:sz="4" w:space="0" w:color="auto"/>
              <w:left w:val="single" w:sz="4" w:space="0" w:color="auto"/>
              <w:bottom w:val="single" w:sz="4" w:space="0" w:color="auto"/>
              <w:right w:val="single" w:sz="12" w:space="0" w:color="auto"/>
            </w:tcBorders>
            <w:vAlign w:val="center"/>
          </w:tcPr>
          <w:p w14:paraId="4096B50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52F859F7"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49A484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1,2-</w:t>
            </w:r>
            <w:r>
              <w:rPr>
                <w:rFonts w:ascii="Times New Roman" w:hAnsi="Times New Roman"/>
                <w:sz w:val="24"/>
              </w:rPr>
              <w:t>二氯丙烷</w:t>
            </w:r>
          </w:p>
        </w:tc>
        <w:tc>
          <w:tcPr>
            <w:tcW w:w="1029" w:type="pct"/>
            <w:tcBorders>
              <w:top w:val="single" w:sz="4" w:space="0" w:color="auto"/>
              <w:left w:val="single" w:sz="4" w:space="0" w:color="auto"/>
              <w:bottom w:val="single" w:sz="4" w:space="0" w:color="auto"/>
              <w:right w:val="single" w:sz="4" w:space="0" w:color="auto"/>
            </w:tcBorders>
            <w:vAlign w:val="center"/>
          </w:tcPr>
          <w:p w14:paraId="2DD3258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868" w:type="pct"/>
            <w:tcBorders>
              <w:top w:val="single" w:sz="4" w:space="0" w:color="auto"/>
              <w:left w:val="single" w:sz="4" w:space="0" w:color="auto"/>
              <w:bottom w:val="single" w:sz="4" w:space="0" w:color="auto"/>
              <w:right w:val="single" w:sz="4" w:space="0" w:color="auto"/>
            </w:tcBorders>
            <w:vAlign w:val="center"/>
          </w:tcPr>
          <w:p w14:paraId="1852A6A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905" w:type="pct"/>
            <w:tcBorders>
              <w:top w:val="single" w:sz="4" w:space="0" w:color="auto"/>
              <w:left w:val="single" w:sz="4" w:space="0" w:color="auto"/>
              <w:bottom w:val="single" w:sz="4" w:space="0" w:color="auto"/>
              <w:right w:val="single" w:sz="4" w:space="0" w:color="auto"/>
            </w:tcBorders>
            <w:vAlign w:val="center"/>
          </w:tcPr>
          <w:p w14:paraId="35D0E20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820" w:type="pct"/>
            <w:tcBorders>
              <w:top w:val="single" w:sz="4" w:space="0" w:color="auto"/>
              <w:left w:val="single" w:sz="4" w:space="0" w:color="auto"/>
              <w:bottom w:val="single" w:sz="4" w:space="0" w:color="auto"/>
              <w:right w:val="single" w:sz="4" w:space="0" w:color="auto"/>
            </w:tcBorders>
            <w:vAlign w:val="center"/>
          </w:tcPr>
          <w:p w14:paraId="297C4D0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w:t>
            </w:r>
          </w:p>
        </w:tc>
        <w:tc>
          <w:tcPr>
            <w:tcW w:w="574" w:type="pct"/>
            <w:tcBorders>
              <w:top w:val="single" w:sz="4" w:space="0" w:color="auto"/>
              <w:left w:val="single" w:sz="4" w:space="0" w:color="auto"/>
              <w:bottom w:val="single" w:sz="4" w:space="0" w:color="auto"/>
              <w:right w:val="single" w:sz="12" w:space="0" w:color="auto"/>
            </w:tcBorders>
            <w:vAlign w:val="center"/>
          </w:tcPr>
          <w:p w14:paraId="20A41CF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7AF0CEDE"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CA04CF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1,1,1,2-</w:t>
            </w:r>
            <w:r>
              <w:rPr>
                <w:rFonts w:ascii="Times New Roman" w:hAnsi="Times New Roman"/>
                <w:sz w:val="24"/>
              </w:rPr>
              <w:t>四氯乙烷</w:t>
            </w:r>
          </w:p>
        </w:tc>
        <w:tc>
          <w:tcPr>
            <w:tcW w:w="1029" w:type="pct"/>
            <w:tcBorders>
              <w:top w:val="single" w:sz="4" w:space="0" w:color="auto"/>
              <w:left w:val="single" w:sz="4" w:space="0" w:color="auto"/>
              <w:bottom w:val="single" w:sz="4" w:space="0" w:color="auto"/>
              <w:right w:val="single" w:sz="4" w:space="0" w:color="auto"/>
            </w:tcBorders>
            <w:vAlign w:val="center"/>
          </w:tcPr>
          <w:p w14:paraId="4CB4AF3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4AB1A50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1C148FD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5BDE77C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w:t>
            </w:r>
          </w:p>
        </w:tc>
        <w:tc>
          <w:tcPr>
            <w:tcW w:w="574" w:type="pct"/>
            <w:tcBorders>
              <w:top w:val="single" w:sz="4" w:space="0" w:color="auto"/>
              <w:left w:val="single" w:sz="4" w:space="0" w:color="auto"/>
              <w:bottom w:val="single" w:sz="4" w:space="0" w:color="auto"/>
              <w:right w:val="single" w:sz="12" w:space="0" w:color="auto"/>
            </w:tcBorders>
            <w:vAlign w:val="center"/>
          </w:tcPr>
          <w:p w14:paraId="00A5FD3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5F4D0D02" w14:textId="77777777">
        <w:trPr>
          <w:trHeight w:val="318"/>
          <w:jc w:val="center"/>
        </w:trPr>
        <w:tc>
          <w:tcPr>
            <w:tcW w:w="804" w:type="pct"/>
            <w:tcBorders>
              <w:top w:val="single" w:sz="4" w:space="0" w:color="auto"/>
              <w:left w:val="single" w:sz="12" w:space="0" w:color="auto"/>
              <w:bottom w:val="single" w:sz="4" w:space="0" w:color="auto"/>
              <w:right w:val="single" w:sz="4" w:space="0" w:color="auto"/>
            </w:tcBorders>
            <w:vAlign w:val="center"/>
          </w:tcPr>
          <w:p w14:paraId="033D265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1,1,2,2-</w:t>
            </w:r>
            <w:r>
              <w:rPr>
                <w:rFonts w:ascii="Times New Roman" w:hAnsi="Times New Roman"/>
                <w:sz w:val="24"/>
              </w:rPr>
              <w:t>四氯乙烷</w:t>
            </w:r>
          </w:p>
        </w:tc>
        <w:tc>
          <w:tcPr>
            <w:tcW w:w="1029" w:type="pct"/>
            <w:tcBorders>
              <w:top w:val="single" w:sz="4" w:space="0" w:color="auto"/>
              <w:left w:val="single" w:sz="4" w:space="0" w:color="auto"/>
              <w:bottom w:val="single" w:sz="4" w:space="0" w:color="auto"/>
              <w:right w:val="single" w:sz="4" w:space="0" w:color="auto"/>
            </w:tcBorders>
            <w:vAlign w:val="center"/>
          </w:tcPr>
          <w:p w14:paraId="5BF3C69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3217896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4BFECB0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08C05FA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6.8</w:t>
            </w:r>
          </w:p>
        </w:tc>
        <w:tc>
          <w:tcPr>
            <w:tcW w:w="574" w:type="pct"/>
            <w:tcBorders>
              <w:top w:val="single" w:sz="4" w:space="0" w:color="auto"/>
              <w:left w:val="single" w:sz="4" w:space="0" w:color="auto"/>
              <w:bottom w:val="single" w:sz="4" w:space="0" w:color="auto"/>
              <w:right w:val="single" w:sz="12" w:space="0" w:color="auto"/>
            </w:tcBorders>
            <w:vAlign w:val="center"/>
          </w:tcPr>
          <w:p w14:paraId="572270C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6D13AB24"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29F8DE9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四氯乙烯</w:t>
            </w:r>
          </w:p>
        </w:tc>
        <w:tc>
          <w:tcPr>
            <w:tcW w:w="1029" w:type="pct"/>
            <w:tcBorders>
              <w:top w:val="single" w:sz="4" w:space="0" w:color="auto"/>
              <w:left w:val="single" w:sz="4" w:space="0" w:color="auto"/>
              <w:bottom w:val="single" w:sz="4" w:space="0" w:color="auto"/>
              <w:right w:val="single" w:sz="4" w:space="0" w:color="auto"/>
            </w:tcBorders>
            <w:vAlign w:val="center"/>
          </w:tcPr>
          <w:p w14:paraId="4B80310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0.0014ND</w:t>
            </w:r>
          </w:p>
        </w:tc>
        <w:tc>
          <w:tcPr>
            <w:tcW w:w="868" w:type="pct"/>
            <w:tcBorders>
              <w:top w:val="single" w:sz="4" w:space="0" w:color="auto"/>
              <w:left w:val="single" w:sz="4" w:space="0" w:color="auto"/>
              <w:bottom w:val="single" w:sz="4" w:space="0" w:color="auto"/>
              <w:right w:val="single" w:sz="4" w:space="0" w:color="auto"/>
            </w:tcBorders>
            <w:vAlign w:val="center"/>
          </w:tcPr>
          <w:p w14:paraId="0FE5C22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0.0014ND</w:t>
            </w:r>
          </w:p>
        </w:tc>
        <w:tc>
          <w:tcPr>
            <w:tcW w:w="905" w:type="pct"/>
            <w:tcBorders>
              <w:top w:val="single" w:sz="4" w:space="0" w:color="auto"/>
              <w:left w:val="single" w:sz="4" w:space="0" w:color="auto"/>
              <w:bottom w:val="single" w:sz="4" w:space="0" w:color="auto"/>
              <w:right w:val="single" w:sz="4" w:space="0" w:color="auto"/>
            </w:tcBorders>
            <w:vAlign w:val="center"/>
          </w:tcPr>
          <w:p w14:paraId="7C55CEC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0.0014ND</w:t>
            </w:r>
          </w:p>
        </w:tc>
        <w:tc>
          <w:tcPr>
            <w:tcW w:w="820" w:type="pct"/>
            <w:tcBorders>
              <w:top w:val="single" w:sz="4" w:space="0" w:color="auto"/>
              <w:left w:val="single" w:sz="4" w:space="0" w:color="auto"/>
              <w:bottom w:val="single" w:sz="4" w:space="0" w:color="auto"/>
              <w:right w:val="single" w:sz="4" w:space="0" w:color="auto"/>
            </w:tcBorders>
            <w:vAlign w:val="center"/>
          </w:tcPr>
          <w:p w14:paraId="02EB3B4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53</w:t>
            </w:r>
          </w:p>
        </w:tc>
        <w:tc>
          <w:tcPr>
            <w:tcW w:w="574" w:type="pct"/>
            <w:tcBorders>
              <w:top w:val="single" w:sz="4" w:space="0" w:color="auto"/>
              <w:left w:val="single" w:sz="4" w:space="0" w:color="auto"/>
              <w:bottom w:val="single" w:sz="4" w:space="0" w:color="auto"/>
              <w:right w:val="single" w:sz="12" w:space="0" w:color="auto"/>
            </w:tcBorders>
            <w:vAlign w:val="center"/>
          </w:tcPr>
          <w:p w14:paraId="154E049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724F5EEB"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2699661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1,1,1-</w:t>
            </w:r>
            <w:r>
              <w:rPr>
                <w:rFonts w:ascii="Times New Roman" w:hAnsi="Times New Roman"/>
                <w:sz w:val="24"/>
              </w:rPr>
              <w:t>三氯乙烷</w:t>
            </w:r>
          </w:p>
        </w:tc>
        <w:tc>
          <w:tcPr>
            <w:tcW w:w="1029" w:type="pct"/>
            <w:tcBorders>
              <w:top w:val="single" w:sz="4" w:space="0" w:color="auto"/>
              <w:left w:val="single" w:sz="4" w:space="0" w:color="auto"/>
              <w:bottom w:val="single" w:sz="4" w:space="0" w:color="auto"/>
              <w:right w:val="single" w:sz="4" w:space="0" w:color="auto"/>
            </w:tcBorders>
            <w:vAlign w:val="center"/>
          </w:tcPr>
          <w:p w14:paraId="65EE23F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68" w:type="pct"/>
            <w:tcBorders>
              <w:top w:val="single" w:sz="4" w:space="0" w:color="auto"/>
              <w:left w:val="single" w:sz="4" w:space="0" w:color="auto"/>
              <w:bottom w:val="single" w:sz="4" w:space="0" w:color="auto"/>
              <w:right w:val="single" w:sz="4" w:space="0" w:color="auto"/>
            </w:tcBorders>
            <w:vAlign w:val="center"/>
          </w:tcPr>
          <w:p w14:paraId="7BE5DF7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905" w:type="pct"/>
            <w:tcBorders>
              <w:top w:val="single" w:sz="4" w:space="0" w:color="auto"/>
              <w:left w:val="single" w:sz="4" w:space="0" w:color="auto"/>
              <w:bottom w:val="single" w:sz="4" w:space="0" w:color="auto"/>
              <w:right w:val="single" w:sz="4" w:space="0" w:color="auto"/>
            </w:tcBorders>
            <w:vAlign w:val="center"/>
          </w:tcPr>
          <w:p w14:paraId="3CBACF4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20" w:type="pct"/>
            <w:tcBorders>
              <w:top w:val="single" w:sz="4" w:space="0" w:color="auto"/>
              <w:left w:val="single" w:sz="4" w:space="0" w:color="auto"/>
              <w:bottom w:val="single" w:sz="4" w:space="0" w:color="auto"/>
              <w:right w:val="single" w:sz="4" w:space="0" w:color="auto"/>
            </w:tcBorders>
            <w:vAlign w:val="center"/>
          </w:tcPr>
          <w:p w14:paraId="65AF3BD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840</w:t>
            </w:r>
          </w:p>
        </w:tc>
        <w:tc>
          <w:tcPr>
            <w:tcW w:w="574" w:type="pct"/>
            <w:tcBorders>
              <w:top w:val="single" w:sz="4" w:space="0" w:color="auto"/>
              <w:left w:val="single" w:sz="4" w:space="0" w:color="auto"/>
              <w:bottom w:val="single" w:sz="4" w:space="0" w:color="auto"/>
              <w:right w:val="single" w:sz="12" w:space="0" w:color="auto"/>
            </w:tcBorders>
            <w:vAlign w:val="center"/>
          </w:tcPr>
          <w:p w14:paraId="0E97D83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7015BECA"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69F9578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1,1,2-</w:t>
            </w:r>
            <w:r>
              <w:rPr>
                <w:rFonts w:ascii="Times New Roman" w:hAnsi="Times New Roman"/>
                <w:sz w:val="24"/>
              </w:rPr>
              <w:t>三氯乙烷</w:t>
            </w:r>
          </w:p>
        </w:tc>
        <w:tc>
          <w:tcPr>
            <w:tcW w:w="1029" w:type="pct"/>
            <w:tcBorders>
              <w:top w:val="single" w:sz="4" w:space="0" w:color="auto"/>
              <w:left w:val="single" w:sz="4" w:space="0" w:color="auto"/>
              <w:bottom w:val="single" w:sz="4" w:space="0" w:color="auto"/>
              <w:right w:val="single" w:sz="4" w:space="0" w:color="auto"/>
            </w:tcBorders>
            <w:vAlign w:val="center"/>
          </w:tcPr>
          <w:p w14:paraId="1D9ECCB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701FCAE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0EB75AD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2B24544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574" w:type="pct"/>
            <w:tcBorders>
              <w:top w:val="single" w:sz="4" w:space="0" w:color="auto"/>
              <w:left w:val="single" w:sz="4" w:space="0" w:color="auto"/>
              <w:bottom w:val="single" w:sz="4" w:space="0" w:color="auto"/>
              <w:right w:val="single" w:sz="12" w:space="0" w:color="auto"/>
            </w:tcBorders>
            <w:vAlign w:val="center"/>
          </w:tcPr>
          <w:p w14:paraId="2BC2ED4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31D01B4B"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D45513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lastRenderedPageBreak/>
              <w:t>三氯乙烯</w:t>
            </w:r>
          </w:p>
        </w:tc>
        <w:tc>
          <w:tcPr>
            <w:tcW w:w="1029" w:type="pct"/>
            <w:tcBorders>
              <w:top w:val="single" w:sz="4" w:space="0" w:color="auto"/>
              <w:left w:val="single" w:sz="4" w:space="0" w:color="auto"/>
              <w:bottom w:val="single" w:sz="4" w:space="0" w:color="auto"/>
              <w:right w:val="single" w:sz="4" w:space="0" w:color="auto"/>
            </w:tcBorders>
            <w:vAlign w:val="center"/>
          </w:tcPr>
          <w:p w14:paraId="3749219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0B9B693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641F388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1CC8173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574" w:type="pct"/>
            <w:tcBorders>
              <w:top w:val="single" w:sz="4" w:space="0" w:color="auto"/>
              <w:left w:val="single" w:sz="4" w:space="0" w:color="auto"/>
              <w:bottom w:val="single" w:sz="4" w:space="0" w:color="auto"/>
              <w:right w:val="single" w:sz="12" w:space="0" w:color="auto"/>
            </w:tcBorders>
            <w:vAlign w:val="center"/>
          </w:tcPr>
          <w:p w14:paraId="43305F9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4B7C9B81"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7B3D44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1,2,3-</w:t>
            </w:r>
            <w:r>
              <w:rPr>
                <w:rFonts w:ascii="Times New Roman" w:hAnsi="Times New Roman"/>
                <w:sz w:val="24"/>
              </w:rPr>
              <w:t>三氯丙烷</w:t>
            </w:r>
          </w:p>
        </w:tc>
        <w:tc>
          <w:tcPr>
            <w:tcW w:w="1029" w:type="pct"/>
            <w:tcBorders>
              <w:top w:val="single" w:sz="4" w:space="0" w:color="auto"/>
              <w:left w:val="single" w:sz="4" w:space="0" w:color="auto"/>
              <w:bottom w:val="single" w:sz="4" w:space="0" w:color="auto"/>
              <w:right w:val="single" w:sz="4" w:space="0" w:color="auto"/>
            </w:tcBorders>
            <w:vAlign w:val="center"/>
          </w:tcPr>
          <w:p w14:paraId="68E28A7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55E6002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73A159C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0FFDC6D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0.5</w:t>
            </w:r>
          </w:p>
        </w:tc>
        <w:tc>
          <w:tcPr>
            <w:tcW w:w="574" w:type="pct"/>
            <w:tcBorders>
              <w:top w:val="single" w:sz="4" w:space="0" w:color="auto"/>
              <w:left w:val="single" w:sz="4" w:space="0" w:color="auto"/>
              <w:bottom w:val="single" w:sz="4" w:space="0" w:color="auto"/>
              <w:right w:val="single" w:sz="12" w:space="0" w:color="auto"/>
            </w:tcBorders>
            <w:vAlign w:val="center"/>
          </w:tcPr>
          <w:p w14:paraId="15C1EBB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64288E5B"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6667D6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氯乙烯</w:t>
            </w:r>
          </w:p>
        </w:tc>
        <w:tc>
          <w:tcPr>
            <w:tcW w:w="1029" w:type="pct"/>
            <w:tcBorders>
              <w:top w:val="single" w:sz="4" w:space="0" w:color="auto"/>
              <w:left w:val="single" w:sz="4" w:space="0" w:color="auto"/>
              <w:bottom w:val="single" w:sz="4" w:space="0" w:color="auto"/>
              <w:right w:val="single" w:sz="4" w:space="0" w:color="auto"/>
            </w:tcBorders>
            <w:vAlign w:val="center"/>
          </w:tcPr>
          <w:p w14:paraId="24E5B49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868" w:type="pct"/>
            <w:tcBorders>
              <w:top w:val="single" w:sz="4" w:space="0" w:color="auto"/>
              <w:left w:val="single" w:sz="4" w:space="0" w:color="auto"/>
              <w:bottom w:val="single" w:sz="4" w:space="0" w:color="auto"/>
              <w:right w:val="single" w:sz="4" w:space="0" w:color="auto"/>
            </w:tcBorders>
            <w:vAlign w:val="center"/>
          </w:tcPr>
          <w:p w14:paraId="1B4D7BA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905" w:type="pct"/>
            <w:tcBorders>
              <w:top w:val="single" w:sz="4" w:space="0" w:color="auto"/>
              <w:left w:val="single" w:sz="4" w:space="0" w:color="auto"/>
              <w:bottom w:val="single" w:sz="4" w:space="0" w:color="auto"/>
              <w:right w:val="single" w:sz="4" w:space="0" w:color="auto"/>
            </w:tcBorders>
            <w:vAlign w:val="center"/>
          </w:tcPr>
          <w:p w14:paraId="068D0F4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0.0010ND</w:t>
            </w:r>
          </w:p>
        </w:tc>
        <w:tc>
          <w:tcPr>
            <w:tcW w:w="820" w:type="pct"/>
            <w:tcBorders>
              <w:top w:val="single" w:sz="4" w:space="0" w:color="auto"/>
              <w:left w:val="single" w:sz="4" w:space="0" w:color="auto"/>
              <w:bottom w:val="single" w:sz="4" w:space="0" w:color="auto"/>
              <w:right w:val="single" w:sz="4" w:space="0" w:color="auto"/>
            </w:tcBorders>
            <w:vAlign w:val="center"/>
          </w:tcPr>
          <w:p w14:paraId="6C90FD2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0.43</w:t>
            </w:r>
          </w:p>
        </w:tc>
        <w:tc>
          <w:tcPr>
            <w:tcW w:w="574" w:type="pct"/>
            <w:tcBorders>
              <w:top w:val="single" w:sz="4" w:space="0" w:color="auto"/>
              <w:left w:val="single" w:sz="4" w:space="0" w:color="auto"/>
              <w:bottom w:val="single" w:sz="4" w:space="0" w:color="auto"/>
              <w:right w:val="single" w:sz="12" w:space="0" w:color="auto"/>
            </w:tcBorders>
            <w:vAlign w:val="center"/>
          </w:tcPr>
          <w:p w14:paraId="114D790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98F33BF"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2EA153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苯</w:t>
            </w:r>
          </w:p>
        </w:tc>
        <w:tc>
          <w:tcPr>
            <w:tcW w:w="1029" w:type="pct"/>
            <w:tcBorders>
              <w:top w:val="single" w:sz="4" w:space="0" w:color="auto"/>
              <w:left w:val="single" w:sz="4" w:space="0" w:color="auto"/>
              <w:bottom w:val="single" w:sz="4" w:space="0" w:color="auto"/>
              <w:right w:val="single" w:sz="4" w:space="0" w:color="auto"/>
            </w:tcBorders>
            <w:vAlign w:val="center"/>
          </w:tcPr>
          <w:p w14:paraId="693CEF3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0.0019ND</w:t>
            </w:r>
          </w:p>
        </w:tc>
        <w:tc>
          <w:tcPr>
            <w:tcW w:w="868" w:type="pct"/>
            <w:tcBorders>
              <w:top w:val="single" w:sz="4" w:space="0" w:color="auto"/>
              <w:left w:val="single" w:sz="4" w:space="0" w:color="auto"/>
              <w:bottom w:val="single" w:sz="4" w:space="0" w:color="auto"/>
              <w:right w:val="single" w:sz="4" w:space="0" w:color="auto"/>
            </w:tcBorders>
            <w:vAlign w:val="center"/>
          </w:tcPr>
          <w:p w14:paraId="61B2041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0.0019ND</w:t>
            </w:r>
          </w:p>
        </w:tc>
        <w:tc>
          <w:tcPr>
            <w:tcW w:w="905" w:type="pct"/>
            <w:tcBorders>
              <w:top w:val="single" w:sz="4" w:space="0" w:color="auto"/>
              <w:left w:val="single" w:sz="4" w:space="0" w:color="auto"/>
              <w:bottom w:val="single" w:sz="4" w:space="0" w:color="auto"/>
              <w:right w:val="single" w:sz="4" w:space="0" w:color="auto"/>
            </w:tcBorders>
            <w:vAlign w:val="center"/>
          </w:tcPr>
          <w:p w14:paraId="0553176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0.0019ND</w:t>
            </w:r>
          </w:p>
        </w:tc>
        <w:tc>
          <w:tcPr>
            <w:tcW w:w="820" w:type="pct"/>
            <w:tcBorders>
              <w:top w:val="single" w:sz="4" w:space="0" w:color="auto"/>
              <w:left w:val="single" w:sz="4" w:space="0" w:color="auto"/>
              <w:bottom w:val="single" w:sz="4" w:space="0" w:color="auto"/>
              <w:right w:val="single" w:sz="4" w:space="0" w:color="auto"/>
            </w:tcBorders>
            <w:vAlign w:val="center"/>
          </w:tcPr>
          <w:p w14:paraId="5FB4D33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w:t>
            </w:r>
          </w:p>
        </w:tc>
        <w:tc>
          <w:tcPr>
            <w:tcW w:w="574" w:type="pct"/>
            <w:tcBorders>
              <w:top w:val="single" w:sz="4" w:space="0" w:color="auto"/>
              <w:left w:val="single" w:sz="4" w:space="0" w:color="auto"/>
              <w:bottom w:val="single" w:sz="4" w:space="0" w:color="auto"/>
              <w:right w:val="single" w:sz="12" w:space="0" w:color="auto"/>
            </w:tcBorders>
            <w:vAlign w:val="center"/>
          </w:tcPr>
          <w:p w14:paraId="3717727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68364281" w14:textId="77777777">
        <w:trPr>
          <w:trHeight w:val="318"/>
          <w:jc w:val="center"/>
        </w:trPr>
        <w:tc>
          <w:tcPr>
            <w:tcW w:w="804" w:type="pct"/>
            <w:tcBorders>
              <w:top w:val="single" w:sz="4" w:space="0" w:color="auto"/>
              <w:left w:val="single" w:sz="12" w:space="0" w:color="auto"/>
              <w:bottom w:val="single" w:sz="4" w:space="0" w:color="auto"/>
              <w:right w:val="single" w:sz="4" w:space="0" w:color="auto"/>
            </w:tcBorders>
            <w:vAlign w:val="center"/>
          </w:tcPr>
          <w:p w14:paraId="25C0EB2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氯苯</w:t>
            </w:r>
          </w:p>
        </w:tc>
        <w:tc>
          <w:tcPr>
            <w:tcW w:w="1029" w:type="pct"/>
            <w:tcBorders>
              <w:top w:val="single" w:sz="4" w:space="0" w:color="auto"/>
              <w:left w:val="single" w:sz="4" w:space="0" w:color="auto"/>
              <w:bottom w:val="single" w:sz="4" w:space="0" w:color="auto"/>
              <w:right w:val="single" w:sz="4" w:space="0" w:color="auto"/>
            </w:tcBorders>
            <w:vAlign w:val="center"/>
          </w:tcPr>
          <w:p w14:paraId="750AC71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3984512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242983C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67B06D5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270</w:t>
            </w:r>
          </w:p>
        </w:tc>
        <w:tc>
          <w:tcPr>
            <w:tcW w:w="574" w:type="pct"/>
            <w:tcBorders>
              <w:top w:val="single" w:sz="4" w:space="0" w:color="auto"/>
              <w:left w:val="single" w:sz="4" w:space="0" w:color="auto"/>
              <w:bottom w:val="single" w:sz="4" w:space="0" w:color="auto"/>
              <w:right w:val="single" w:sz="12" w:space="0" w:color="auto"/>
            </w:tcBorders>
            <w:vAlign w:val="center"/>
          </w:tcPr>
          <w:p w14:paraId="766051F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3CF083EF"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04A248C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1,2-</w:t>
            </w:r>
            <w:r>
              <w:rPr>
                <w:rFonts w:ascii="Times New Roman" w:hAnsi="Times New Roman"/>
                <w:sz w:val="24"/>
              </w:rPr>
              <w:t>二氯苯</w:t>
            </w:r>
          </w:p>
        </w:tc>
        <w:tc>
          <w:tcPr>
            <w:tcW w:w="1029" w:type="pct"/>
            <w:tcBorders>
              <w:top w:val="single" w:sz="4" w:space="0" w:color="auto"/>
              <w:left w:val="single" w:sz="4" w:space="0" w:color="auto"/>
              <w:bottom w:val="single" w:sz="4" w:space="0" w:color="auto"/>
              <w:right w:val="single" w:sz="4" w:space="0" w:color="auto"/>
            </w:tcBorders>
            <w:vAlign w:val="center"/>
          </w:tcPr>
          <w:p w14:paraId="60CE9BB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868" w:type="pct"/>
            <w:tcBorders>
              <w:top w:val="single" w:sz="4" w:space="0" w:color="auto"/>
              <w:left w:val="single" w:sz="4" w:space="0" w:color="auto"/>
              <w:bottom w:val="single" w:sz="4" w:space="0" w:color="auto"/>
              <w:right w:val="single" w:sz="4" w:space="0" w:color="auto"/>
            </w:tcBorders>
            <w:vAlign w:val="center"/>
          </w:tcPr>
          <w:p w14:paraId="71386F6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905" w:type="pct"/>
            <w:tcBorders>
              <w:top w:val="single" w:sz="4" w:space="0" w:color="auto"/>
              <w:left w:val="single" w:sz="4" w:space="0" w:color="auto"/>
              <w:bottom w:val="single" w:sz="4" w:space="0" w:color="auto"/>
              <w:right w:val="single" w:sz="4" w:space="0" w:color="auto"/>
            </w:tcBorders>
            <w:vAlign w:val="center"/>
          </w:tcPr>
          <w:p w14:paraId="1D16BDE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820" w:type="pct"/>
            <w:tcBorders>
              <w:top w:val="single" w:sz="4" w:space="0" w:color="auto"/>
              <w:left w:val="single" w:sz="4" w:space="0" w:color="auto"/>
              <w:bottom w:val="single" w:sz="4" w:space="0" w:color="auto"/>
              <w:right w:val="single" w:sz="4" w:space="0" w:color="auto"/>
            </w:tcBorders>
            <w:vAlign w:val="center"/>
          </w:tcPr>
          <w:p w14:paraId="0C80079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560</w:t>
            </w:r>
          </w:p>
        </w:tc>
        <w:tc>
          <w:tcPr>
            <w:tcW w:w="574" w:type="pct"/>
            <w:tcBorders>
              <w:top w:val="single" w:sz="4" w:space="0" w:color="auto"/>
              <w:left w:val="single" w:sz="4" w:space="0" w:color="auto"/>
              <w:bottom w:val="single" w:sz="4" w:space="0" w:color="auto"/>
              <w:right w:val="single" w:sz="12" w:space="0" w:color="auto"/>
            </w:tcBorders>
            <w:vAlign w:val="center"/>
          </w:tcPr>
          <w:p w14:paraId="26AFAF9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7E1BFB08"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72022B4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1,4-</w:t>
            </w:r>
            <w:r>
              <w:rPr>
                <w:rFonts w:ascii="Times New Roman" w:hAnsi="Times New Roman"/>
                <w:sz w:val="24"/>
              </w:rPr>
              <w:t>二氯苯</w:t>
            </w:r>
          </w:p>
        </w:tc>
        <w:tc>
          <w:tcPr>
            <w:tcW w:w="1029" w:type="pct"/>
            <w:tcBorders>
              <w:top w:val="single" w:sz="4" w:space="0" w:color="auto"/>
              <w:left w:val="single" w:sz="4" w:space="0" w:color="auto"/>
              <w:bottom w:val="single" w:sz="4" w:space="0" w:color="auto"/>
              <w:right w:val="single" w:sz="4" w:space="0" w:color="auto"/>
            </w:tcBorders>
            <w:vAlign w:val="center"/>
          </w:tcPr>
          <w:p w14:paraId="58426F1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868" w:type="pct"/>
            <w:tcBorders>
              <w:top w:val="single" w:sz="4" w:space="0" w:color="auto"/>
              <w:left w:val="single" w:sz="4" w:space="0" w:color="auto"/>
              <w:bottom w:val="single" w:sz="4" w:space="0" w:color="auto"/>
              <w:right w:val="single" w:sz="4" w:space="0" w:color="auto"/>
            </w:tcBorders>
            <w:vAlign w:val="center"/>
          </w:tcPr>
          <w:p w14:paraId="07ACF01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905" w:type="pct"/>
            <w:tcBorders>
              <w:top w:val="single" w:sz="4" w:space="0" w:color="auto"/>
              <w:left w:val="single" w:sz="4" w:space="0" w:color="auto"/>
              <w:bottom w:val="single" w:sz="4" w:space="0" w:color="auto"/>
              <w:right w:val="single" w:sz="4" w:space="0" w:color="auto"/>
            </w:tcBorders>
            <w:vAlign w:val="center"/>
          </w:tcPr>
          <w:p w14:paraId="1084872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0.0015ND</w:t>
            </w:r>
          </w:p>
        </w:tc>
        <w:tc>
          <w:tcPr>
            <w:tcW w:w="820" w:type="pct"/>
            <w:tcBorders>
              <w:top w:val="single" w:sz="4" w:space="0" w:color="auto"/>
              <w:left w:val="single" w:sz="4" w:space="0" w:color="auto"/>
              <w:bottom w:val="single" w:sz="4" w:space="0" w:color="auto"/>
              <w:right w:val="single" w:sz="4" w:space="0" w:color="auto"/>
            </w:tcBorders>
            <w:vAlign w:val="center"/>
          </w:tcPr>
          <w:p w14:paraId="47422F0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20</w:t>
            </w:r>
          </w:p>
        </w:tc>
        <w:tc>
          <w:tcPr>
            <w:tcW w:w="574" w:type="pct"/>
            <w:tcBorders>
              <w:top w:val="single" w:sz="4" w:space="0" w:color="auto"/>
              <w:left w:val="single" w:sz="4" w:space="0" w:color="auto"/>
              <w:bottom w:val="single" w:sz="4" w:space="0" w:color="auto"/>
              <w:right w:val="single" w:sz="12" w:space="0" w:color="auto"/>
            </w:tcBorders>
            <w:vAlign w:val="center"/>
          </w:tcPr>
          <w:p w14:paraId="5113C29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C376030"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27A514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乙苯</w:t>
            </w:r>
          </w:p>
        </w:tc>
        <w:tc>
          <w:tcPr>
            <w:tcW w:w="1029" w:type="pct"/>
            <w:tcBorders>
              <w:top w:val="single" w:sz="4" w:space="0" w:color="auto"/>
              <w:left w:val="single" w:sz="4" w:space="0" w:color="auto"/>
              <w:bottom w:val="single" w:sz="4" w:space="0" w:color="auto"/>
              <w:right w:val="single" w:sz="4" w:space="0" w:color="auto"/>
            </w:tcBorders>
            <w:vAlign w:val="center"/>
          </w:tcPr>
          <w:p w14:paraId="798BDB1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0560EF3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72C55C7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1878C1A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28</w:t>
            </w:r>
          </w:p>
        </w:tc>
        <w:tc>
          <w:tcPr>
            <w:tcW w:w="574" w:type="pct"/>
            <w:tcBorders>
              <w:top w:val="single" w:sz="4" w:space="0" w:color="auto"/>
              <w:left w:val="single" w:sz="4" w:space="0" w:color="auto"/>
              <w:bottom w:val="single" w:sz="4" w:space="0" w:color="auto"/>
              <w:right w:val="single" w:sz="12" w:space="0" w:color="auto"/>
            </w:tcBorders>
            <w:vAlign w:val="center"/>
          </w:tcPr>
          <w:p w14:paraId="6BAB0DA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0E30A535"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371E4F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苯乙烯</w:t>
            </w:r>
          </w:p>
        </w:tc>
        <w:tc>
          <w:tcPr>
            <w:tcW w:w="1029" w:type="pct"/>
            <w:tcBorders>
              <w:top w:val="single" w:sz="4" w:space="0" w:color="auto"/>
              <w:left w:val="single" w:sz="4" w:space="0" w:color="auto"/>
              <w:bottom w:val="single" w:sz="4" w:space="0" w:color="auto"/>
              <w:right w:val="single" w:sz="4" w:space="0" w:color="auto"/>
            </w:tcBorders>
            <w:vAlign w:val="center"/>
          </w:tcPr>
          <w:p w14:paraId="136A5F5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868" w:type="pct"/>
            <w:tcBorders>
              <w:top w:val="single" w:sz="4" w:space="0" w:color="auto"/>
              <w:left w:val="single" w:sz="4" w:space="0" w:color="auto"/>
              <w:bottom w:val="single" w:sz="4" w:space="0" w:color="auto"/>
              <w:right w:val="single" w:sz="4" w:space="0" w:color="auto"/>
            </w:tcBorders>
            <w:vAlign w:val="center"/>
          </w:tcPr>
          <w:p w14:paraId="72D7F3C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905" w:type="pct"/>
            <w:tcBorders>
              <w:top w:val="single" w:sz="4" w:space="0" w:color="auto"/>
              <w:left w:val="single" w:sz="4" w:space="0" w:color="auto"/>
              <w:bottom w:val="single" w:sz="4" w:space="0" w:color="auto"/>
              <w:right w:val="single" w:sz="4" w:space="0" w:color="auto"/>
            </w:tcBorders>
            <w:vAlign w:val="center"/>
          </w:tcPr>
          <w:p w14:paraId="61B0FAF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0.0011ND</w:t>
            </w:r>
          </w:p>
        </w:tc>
        <w:tc>
          <w:tcPr>
            <w:tcW w:w="820" w:type="pct"/>
            <w:tcBorders>
              <w:top w:val="single" w:sz="4" w:space="0" w:color="auto"/>
              <w:left w:val="single" w:sz="4" w:space="0" w:color="auto"/>
              <w:bottom w:val="single" w:sz="4" w:space="0" w:color="auto"/>
              <w:right w:val="single" w:sz="4" w:space="0" w:color="auto"/>
            </w:tcBorders>
            <w:vAlign w:val="center"/>
          </w:tcPr>
          <w:p w14:paraId="5D9849A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1290</w:t>
            </w:r>
          </w:p>
        </w:tc>
        <w:tc>
          <w:tcPr>
            <w:tcW w:w="574" w:type="pct"/>
            <w:tcBorders>
              <w:top w:val="single" w:sz="4" w:space="0" w:color="auto"/>
              <w:left w:val="single" w:sz="4" w:space="0" w:color="auto"/>
              <w:bottom w:val="single" w:sz="4" w:space="0" w:color="auto"/>
              <w:right w:val="single" w:sz="12" w:space="0" w:color="auto"/>
            </w:tcBorders>
            <w:vAlign w:val="center"/>
          </w:tcPr>
          <w:p w14:paraId="364EF59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283023B5"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7B3EA5B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甲苯</w:t>
            </w:r>
          </w:p>
        </w:tc>
        <w:tc>
          <w:tcPr>
            <w:tcW w:w="1029" w:type="pct"/>
            <w:tcBorders>
              <w:top w:val="single" w:sz="4" w:space="0" w:color="auto"/>
              <w:left w:val="single" w:sz="4" w:space="0" w:color="auto"/>
              <w:bottom w:val="single" w:sz="4" w:space="0" w:color="auto"/>
              <w:right w:val="single" w:sz="4" w:space="0" w:color="auto"/>
            </w:tcBorders>
            <w:vAlign w:val="center"/>
          </w:tcPr>
          <w:p w14:paraId="2D673D0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68" w:type="pct"/>
            <w:tcBorders>
              <w:top w:val="single" w:sz="4" w:space="0" w:color="auto"/>
              <w:left w:val="single" w:sz="4" w:space="0" w:color="auto"/>
              <w:bottom w:val="single" w:sz="4" w:space="0" w:color="auto"/>
              <w:right w:val="single" w:sz="4" w:space="0" w:color="auto"/>
            </w:tcBorders>
            <w:vAlign w:val="center"/>
          </w:tcPr>
          <w:p w14:paraId="6C9E467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905" w:type="pct"/>
            <w:tcBorders>
              <w:top w:val="single" w:sz="4" w:space="0" w:color="auto"/>
              <w:left w:val="single" w:sz="4" w:space="0" w:color="auto"/>
              <w:bottom w:val="single" w:sz="4" w:space="0" w:color="auto"/>
              <w:right w:val="single" w:sz="4" w:space="0" w:color="auto"/>
            </w:tcBorders>
            <w:vAlign w:val="center"/>
          </w:tcPr>
          <w:p w14:paraId="0F02DB5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0.0013ND</w:t>
            </w:r>
          </w:p>
        </w:tc>
        <w:tc>
          <w:tcPr>
            <w:tcW w:w="820" w:type="pct"/>
            <w:tcBorders>
              <w:top w:val="single" w:sz="4" w:space="0" w:color="auto"/>
              <w:left w:val="single" w:sz="4" w:space="0" w:color="auto"/>
              <w:bottom w:val="single" w:sz="4" w:space="0" w:color="auto"/>
              <w:right w:val="single" w:sz="4" w:space="0" w:color="auto"/>
            </w:tcBorders>
            <w:vAlign w:val="center"/>
          </w:tcPr>
          <w:p w14:paraId="7BA4650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1200</w:t>
            </w:r>
          </w:p>
        </w:tc>
        <w:tc>
          <w:tcPr>
            <w:tcW w:w="574" w:type="pct"/>
            <w:tcBorders>
              <w:top w:val="single" w:sz="4" w:space="0" w:color="auto"/>
              <w:left w:val="single" w:sz="4" w:space="0" w:color="auto"/>
              <w:bottom w:val="single" w:sz="4" w:space="0" w:color="auto"/>
              <w:right w:val="single" w:sz="12" w:space="0" w:color="auto"/>
            </w:tcBorders>
            <w:vAlign w:val="center"/>
          </w:tcPr>
          <w:p w14:paraId="6CC3A22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49F8C2C4"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59D6AE7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对（间）</w:t>
            </w:r>
            <w:r>
              <w:rPr>
                <w:rFonts w:ascii="Times New Roman" w:hAnsi="Times New Roman"/>
                <w:sz w:val="24"/>
              </w:rPr>
              <w:t>-</w:t>
            </w:r>
            <w:r>
              <w:rPr>
                <w:rFonts w:ascii="Times New Roman" w:hAnsi="Times New Roman"/>
                <w:sz w:val="24"/>
              </w:rPr>
              <w:t>二甲苯</w:t>
            </w:r>
          </w:p>
        </w:tc>
        <w:tc>
          <w:tcPr>
            <w:tcW w:w="1029" w:type="pct"/>
            <w:tcBorders>
              <w:top w:val="single" w:sz="4" w:space="0" w:color="auto"/>
              <w:left w:val="single" w:sz="4" w:space="0" w:color="auto"/>
              <w:bottom w:val="single" w:sz="4" w:space="0" w:color="auto"/>
              <w:right w:val="single" w:sz="4" w:space="0" w:color="auto"/>
            </w:tcBorders>
            <w:vAlign w:val="center"/>
          </w:tcPr>
          <w:p w14:paraId="1BF10C8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0979D74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2244A8E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3F10147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570</w:t>
            </w:r>
          </w:p>
        </w:tc>
        <w:tc>
          <w:tcPr>
            <w:tcW w:w="574" w:type="pct"/>
            <w:tcBorders>
              <w:top w:val="single" w:sz="4" w:space="0" w:color="auto"/>
              <w:left w:val="single" w:sz="4" w:space="0" w:color="auto"/>
              <w:bottom w:val="single" w:sz="4" w:space="0" w:color="auto"/>
              <w:right w:val="single" w:sz="12" w:space="0" w:color="auto"/>
            </w:tcBorders>
            <w:vAlign w:val="center"/>
          </w:tcPr>
          <w:p w14:paraId="66EDC05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EA48782" w14:textId="77777777">
        <w:trPr>
          <w:trHeight w:val="318"/>
          <w:jc w:val="center"/>
        </w:trPr>
        <w:tc>
          <w:tcPr>
            <w:tcW w:w="804" w:type="pct"/>
            <w:tcBorders>
              <w:top w:val="single" w:sz="4" w:space="0" w:color="auto"/>
              <w:left w:val="single" w:sz="12" w:space="0" w:color="auto"/>
              <w:bottom w:val="single" w:sz="4" w:space="0" w:color="auto"/>
              <w:right w:val="single" w:sz="4" w:space="0" w:color="auto"/>
            </w:tcBorders>
            <w:vAlign w:val="center"/>
          </w:tcPr>
          <w:p w14:paraId="6754A80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邻</w:t>
            </w:r>
            <w:r>
              <w:rPr>
                <w:rFonts w:ascii="Times New Roman" w:hAnsi="Times New Roman"/>
                <w:sz w:val="24"/>
              </w:rPr>
              <w:t>-</w:t>
            </w:r>
            <w:r>
              <w:rPr>
                <w:rFonts w:ascii="Times New Roman" w:hAnsi="Times New Roman"/>
                <w:sz w:val="24"/>
              </w:rPr>
              <w:t>二甲苯</w:t>
            </w:r>
          </w:p>
        </w:tc>
        <w:tc>
          <w:tcPr>
            <w:tcW w:w="1029" w:type="pct"/>
            <w:tcBorders>
              <w:top w:val="single" w:sz="4" w:space="0" w:color="auto"/>
              <w:left w:val="single" w:sz="4" w:space="0" w:color="auto"/>
              <w:bottom w:val="single" w:sz="4" w:space="0" w:color="auto"/>
              <w:right w:val="single" w:sz="4" w:space="0" w:color="auto"/>
            </w:tcBorders>
            <w:vAlign w:val="center"/>
          </w:tcPr>
          <w:p w14:paraId="35BEF1A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68" w:type="pct"/>
            <w:tcBorders>
              <w:top w:val="single" w:sz="4" w:space="0" w:color="auto"/>
              <w:left w:val="single" w:sz="4" w:space="0" w:color="auto"/>
              <w:bottom w:val="single" w:sz="4" w:space="0" w:color="auto"/>
              <w:right w:val="single" w:sz="4" w:space="0" w:color="auto"/>
            </w:tcBorders>
            <w:vAlign w:val="center"/>
          </w:tcPr>
          <w:p w14:paraId="794A719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905" w:type="pct"/>
            <w:tcBorders>
              <w:top w:val="single" w:sz="4" w:space="0" w:color="auto"/>
              <w:left w:val="single" w:sz="4" w:space="0" w:color="auto"/>
              <w:bottom w:val="single" w:sz="4" w:space="0" w:color="auto"/>
              <w:right w:val="single" w:sz="4" w:space="0" w:color="auto"/>
            </w:tcBorders>
            <w:vAlign w:val="center"/>
          </w:tcPr>
          <w:p w14:paraId="37F4450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0.0012ND</w:t>
            </w:r>
          </w:p>
        </w:tc>
        <w:tc>
          <w:tcPr>
            <w:tcW w:w="820" w:type="pct"/>
            <w:tcBorders>
              <w:top w:val="single" w:sz="4" w:space="0" w:color="auto"/>
              <w:left w:val="single" w:sz="4" w:space="0" w:color="auto"/>
              <w:bottom w:val="single" w:sz="4" w:space="0" w:color="auto"/>
              <w:right w:val="single" w:sz="4" w:space="0" w:color="auto"/>
            </w:tcBorders>
            <w:vAlign w:val="center"/>
          </w:tcPr>
          <w:p w14:paraId="31083C8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640</w:t>
            </w:r>
          </w:p>
        </w:tc>
        <w:tc>
          <w:tcPr>
            <w:tcW w:w="574" w:type="pct"/>
            <w:tcBorders>
              <w:top w:val="single" w:sz="4" w:space="0" w:color="auto"/>
              <w:left w:val="single" w:sz="4" w:space="0" w:color="auto"/>
              <w:bottom w:val="single" w:sz="4" w:space="0" w:color="auto"/>
              <w:right w:val="single" w:sz="12" w:space="0" w:color="auto"/>
            </w:tcBorders>
            <w:vAlign w:val="center"/>
          </w:tcPr>
          <w:p w14:paraId="24063ED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7C545DB"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28EF46D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硝基苯</w:t>
            </w:r>
          </w:p>
        </w:tc>
        <w:tc>
          <w:tcPr>
            <w:tcW w:w="1029" w:type="pct"/>
            <w:tcBorders>
              <w:top w:val="single" w:sz="4" w:space="0" w:color="auto"/>
              <w:left w:val="single" w:sz="4" w:space="0" w:color="auto"/>
              <w:bottom w:val="single" w:sz="4" w:space="0" w:color="auto"/>
              <w:right w:val="single" w:sz="4" w:space="0" w:color="auto"/>
            </w:tcBorders>
            <w:vAlign w:val="center"/>
          </w:tcPr>
          <w:p w14:paraId="7E7C896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0.09ND</w:t>
            </w:r>
          </w:p>
        </w:tc>
        <w:tc>
          <w:tcPr>
            <w:tcW w:w="868" w:type="pct"/>
            <w:tcBorders>
              <w:top w:val="single" w:sz="4" w:space="0" w:color="auto"/>
              <w:left w:val="single" w:sz="4" w:space="0" w:color="auto"/>
              <w:bottom w:val="single" w:sz="4" w:space="0" w:color="auto"/>
              <w:right w:val="single" w:sz="4" w:space="0" w:color="auto"/>
            </w:tcBorders>
            <w:vAlign w:val="center"/>
          </w:tcPr>
          <w:p w14:paraId="0AB1221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0.09ND</w:t>
            </w:r>
          </w:p>
        </w:tc>
        <w:tc>
          <w:tcPr>
            <w:tcW w:w="905" w:type="pct"/>
            <w:tcBorders>
              <w:top w:val="single" w:sz="4" w:space="0" w:color="auto"/>
              <w:left w:val="single" w:sz="4" w:space="0" w:color="auto"/>
              <w:bottom w:val="single" w:sz="4" w:space="0" w:color="auto"/>
              <w:right w:val="single" w:sz="4" w:space="0" w:color="auto"/>
            </w:tcBorders>
            <w:vAlign w:val="center"/>
          </w:tcPr>
          <w:p w14:paraId="4874CF9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0.09ND</w:t>
            </w:r>
          </w:p>
        </w:tc>
        <w:tc>
          <w:tcPr>
            <w:tcW w:w="820" w:type="pct"/>
            <w:tcBorders>
              <w:top w:val="single" w:sz="4" w:space="0" w:color="auto"/>
              <w:left w:val="single" w:sz="4" w:space="0" w:color="auto"/>
              <w:bottom w:val="single" w:sz="4" w:space="0" w:color="auto"/>
              <w:right w:val="single" w:sz="4" w:space="0" w:color="auto"/>
            </w:tcBorders>
            <w:vAlign w:val="center"/>
          </w:tcPr>
          <w:p w14:paraId="444D103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76</w:t>
            </w:r>
          </w:p>
        </w:tc>
        <w:tc>
          <w:tcPr>
            <w:tcW w:w="574" w:type="pct"/>
            <w:tcBorders>
              <w:top w:val="single" w:sz="4" w:space="0" w:color="auto"/>
              <w:left w:val="single" w:sz="4" w:space="0" w:color="auto"/>
              <w:bottom w:val="single" w:sz="4" w:space="0" w:color="auto"/>
              <w:right w:val="single" w:sz="12" w:space="0" w:color="auto"/>
            </w:tcBorders>
            <w:vAlign w:val="center"/>
          </w:tcPr>
          <w:p w14:paraId="5B744D4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EE509A1" w14:textId="77777777">
        <w:trPr>
          <w:trHeight w:val="57"/>
          <w:jc w:val="center"/>
        </w:trPr>
        <w:tc>
          <w:tcPr>
            <w:tcW w:w="804" w:type="pct"/>
            <w:tcBorders>
              <w:top w:val="single" w:sz="4" w:space="0" w:color="auto"/>
              <w:left w:val="single" w:sz="12" w:space="0" w:color="auto"/>
              <w:bottom w:val="single" w:sz="4" w:space="0" w:color="auto"/>
              <w:right w:val="single" w:sz="4" w:space="0" w:color="auto"/>
            </w:tcBorders>
            <w:vAlign w:val="center"/>
          </w:tcPr>
          <w:p w14:paraId="0615AAB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苯胺</w:t>
            </w:r>
          </w:p>
        </w:tc>
        <w:tc>
          <w:tcPr>
            <w:tcW w:w="1029" w:type="pct"/>
            <w:tcBorders>
              <w:top w:val="single" w:sz="4" w:space="0" w:color="auto"/>
              <w:left w:val="single" w:sz="4" w:space="0" w:color="auto"/>
              <w:bottom w:val="single" w:sz="4" w:space="0" w:color="auto"/>
              <w:right w:val="single" w:sz="4" w:space="0" w:color="auto"/>
            </w:tcBorders>
            <w:vAlign w:val="center"/>
          </w:tcPr>
          <w:p w14:paraId="0843054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0.1ND</w:t>
            </w:r>
          </w:p>
        </w:tc>
        <w:tc>
          <w:tcPr>
            <w:tcW w:w="868" w:type="pct"/>
            <w:tcBorders>
              <w:top w:val="single" w:sz="4" w:space="0" w:color="auto"/>
              <w:left w:val="single" w:sz="4" w:space="0" w:color="auto"/>
              <w:bottom w:val="single" w:sz="4" w:space="0" w:color="auto"/>
              <w:right w:val="single" w:sz="4" w:space="0" w:color="auto"/>
            </w:tcBorders>
            <w:vAlign w:val="center"/>
          </w:tcPr>
          <w:p w14:paraId="0E2D28C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0.1ND</w:t>
            </w:r>
          </w:p>
        </w:tc>
        <w:tc>
          <w:tcPr>
            <w:tcW w:w="905" w:type="pct"/>
            <w:tcBorders>
              <w:top w:val="single" w:sz="4" w:space="0" w:color="auto"/>
              <w:left w:val="single" w:sz="4" w:space="0" w:color="auto"/>
              <w:bottom w:val="single" w:sz="4" w:space="0" w:color="auto"/>
              <w:right w:val="single" w:sz="4" w:space="0" w:color="auto"/>
            </w:tcBorders>
            <w:vAlign w:val="center"/>
          </w:tcPr>
          <w:p w14:paraId="7581A9B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0.1ND</w:t>
            </w:r>
          </w:p>
        </w:tc>
        <w:tc>
          <w:tcPr>
            <w:tcW w:w="820" w:type="pct"/>
            <w:tcBorders>
              <w:top w:val="single" w:sz="4" w:space="0" w:color="auto"/>
              <w:left w:val="single" w:sz="4" w:space="0" w:color="auto"/>
              <w:bottom w:val="single" w:sz="4" w:space="0" w:color="auto"/>
              <w:right w:val="single" w:sz="4" w:space="0" w:color="auto"/>
            </w:tcBorders>
            <w:vAlign w:val="center"/>
          </w:tcPr>
          <w:p w14:paraId="0A599CE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260</w:t>
            </w:r>
          </w:p>
        </w:tc>
        <w:tc>
          <w:tcPr>
            <w:tcW w:w="574" w:type="pct"/>
            <w:tcBorders>
              <w:top w:val="single" w:sz="4" w:space="0" w:color="auto"/>
              <w:left w:val="single" w:sz="4" w:space="0" w:color="auto"/>
              <w:bottom w:val="single" w:sz="4" w:space="0" w:color="auto"/>
              <w:right w:val="single" w:sz="12" w:space="0" w:color="auto"/>
            </w:tcBorders>
            <w:vAlign w:val="center"/>
          </w:tcPr>
          <w:p w14:paraId="2AE4999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30E8FE71"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53AF1BC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2-</w:t>
            </w:r>
            <w:r>
              <w:rPr>
                <w:rFonts w:ascii="Times New Roman" w:hAnsi="Times New Roman"/>
                <w:sz w:val="24"/>
              </w:rPr>
              <w:t>氯苯酚</w:t>
            </w:r>
          </w:p>
        </w:tc>
        <w:tc>
          <w:tcPr>
            <w:tcW w:w="1029" w:type="pct"/>
            <w:tcBorders>
              <w:top w:val="single" w:sz="4" w:space="0" w:color="auto"/>
              <w:left w:val="single" w:sz="4" w:space="0" w:color="auto"/>
              <w:bottom w:val="single" w:sz="4" w:space="0" w:color="auto"/>
              <w:right w:val="single" w:sz="4" w:space="0" w:color="auto"/>
            </w:tcBorders>
            <w:vAlign w:val="center"/>
          </w:tcPr>
          <w:p w14:paraId="7FCAC87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0.06ND</w:t>
            </w:r>
          </w:p>
        </w:tc>
        <w:tc>
          <w:tcPr>
            <w:tcW w:w="868" w:type="pct"/>
            <w:tcBorders>
              <w:top w:val="single" w:sz="4" w:space="0" w:color="auto"/>
              <w:left w:val="single" w:sz="4" w:space="0" w:color="auto"/>
              <w:bottom w:val="single" w:sz="4" w:space="0" w:color="auto"/>
              <w:right w:val="single" w:sz="4" w:space="0" w:color="auto"/>
            </w:tcBorders>
            <w:vAlign w:val="center"/>
          </w:tcPr>
          <w:p w14:paraId="217A39A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0.06ND</w:t>
            </w:r>
          </w:p>
        </w:tc>
        <w:tc>
          <w:tcPr>
            <w:tcW w:w="905" w:type="pct"/>
            <w:tcBorders>
              <w:top w:val="single" w:sz="4" w:space="0" w:color="auto"/>
              <w:left w:val="single" w:sz="4" w:space="0" w:color="auto"/>
              <w:bottom w:val="single" w:sz="4" w:space="0" w:color="auto"/>
              <w:right w:val="single" w:sz="4" w:space="0" w:color="auto"/>
            </w:tcBorders>
            <w:vAlign w:val="center"/>
          </w:tcPr>
          <w:p w14:paraId="6902983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0.06ND</w:t>
            </w:r>
          </w:p>
        </w:tc>
        <w:tc>
          <w:tcPr>
            <w:tcW w:w="820" w:type="pct"/>
            <w:tcBorders>
              <w:top w:val="single" w:sz="4" w:space="0" w:color="auto"/>
              <w:left w:val="single" w:sz="4" w:space="0" w:color="auto"/>
              <w:bottom w:val="single" w:sz="4" w:space="0" w:color="auto"/>
              <w:right w:val="single" w:sz="4" w:space="0" w:color="auto"/>
            </w:tcBorders>
            <w:vAlign w:val="center"/>
          </w:tcPr>
          <w:p w14:paraId="2395E93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2256</w:t>
            </w:r>
          </w:p>
        </w:tc>
        <w:tc>
          <w:tcPr>
            <w:tcW w:w="574" w:type="pct"/>
            <w:tcBorders>
              <w:top w:val="single" w:sz="4" w:space="0" w:color="auto"/>
              <w:left w:val="single" w:sz="4" w:space="0" w:color="auto"/>
              <w:bottom w:val="single" w:sz="4" w:space="0" w:color="auto"/>
              <w:right w:val="single" w:sz="12" w:space="0" w:color="auto"/>
            </w:tcBorders>
            <w:vAlign w:val="center"/>
          </w:tcPr>
          <w:p w14:paraId="4921CE0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2647361E"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7575F51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苯并</w:t>
            </w:r>
            <w:r>
              <w:rPr>
                <w:rFonts w:ascii="Times New Roman" w:hAnsi="Times New Roman"/>
                <w:sz w:val="24"/>
              </w:rPr>
              <w:t>[a]</w:t>
            </w:r>
            <w:r>
              <w:rPr>
                <w:rFonts w:ascii="Times New Roman" w:hAnsi="Times New Roman"/>
                <w:sz w:val="24"/>
              </w:rPr>
              <w:t>蒽</w:t>
            </w:r>
          </w:p>
        </w:tc>
        <w:tc>
          <w:tcPr>
            <w:tcW w:w="1029" w:type="pct"/>
            <w:tcBorders>
              <w:top w:val="single" w:sz="4" w:space="0" w:color="auto"/>
              <w:left w:val="single" w:sz="4" w:space="0" w:color="auto"/>
              <w:bottom w:val="single" w:sz="4" w:space="0" w:color="auto"/>
              <w:right w:val="single" w:sz="4" w:space="0" w:color="auto"/>
            </w:tcBorders>
            <w:vAlign w:val="center"/>
          </w:tcPr>
          <w:p w14:paraId="49493EF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0.004ND</w:t>
            </w:r>
          </w:p>
        </w:tc>
        <w:tc>
          <w:tcPr>
            <w:tcW w:w="868" w:type="pct"/>
            <w:tcBorders>
              <w:top w:val="single" w:sz="4" w:space="0" w:color="auto"/>
              <w:left w:val="single" w:sz="4" w:space="0" w:color="auto"/>
              <w:bottom w:val="single" w:sz="4" w:space="0" w:color="auto"/>
              <w:right w:val="single" w:sz="4" w:space="0" w:color="auto"/>
            </w:tcBorders>
            <w:vAlign w:val="center"/>
          </w:tcPr>
          <w:p w14:paraId="1A0247A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0.004ND</w:t>
            </w:r>
          </w:p>
        </w:tc>
        <w:tc>
          <w:tcPr>
            <w:tcW w:w="905" w:type="pct"/>
            <w:tcBorders>
              <w:top w:val="single" w:sz="4" w:space="0" w:color="auto"/>
              <w:left w:val="single" w:sz="4" w:space="0" w:color="auto"/>
              <w:bottom w:val="single" w:sz="4" w:space="0" w:color="auto"/>
              <w:right w:val="single" w:sz="4" w:space="0" w:color="auto"/>
            </w:tcBorders>
            <w:vAlign w:val="center"/>
          </w:tcPr>
          <w:p w14:paraId="6483A00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0.004ND</w:t>
            </w:r>
          </w:p>
        </w:tc>
        <w:tc>
          <w:tcPr>
            <w:tcW w:w="820" w:type="pct"/>
            <w:tcBorders>
              <w:top w:val="single" w:sz="4" w:space="0" w:color="auto"/>
              <w:left w:val="single" w:sz="4" w:space="0" w:color="auto"/>
              <w:bottom w:val="single" w:sz="4" w:space="0" w:color="auto"/>
              <w:right w:val="single" w:sz="4" w:space="0" w:color="auto"/>
            </w:tcBorders>
            <w:vAlign w:val="center"/>
          </w:tcPr>
          <w:p w14:paraId="289F9FB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574" w:type="pct"/>
            <w:tcBorders>
              <w:top w:val="single" w:sz="4" w:space="0" w:color="auto"/>
              <w:left w:val="single" w:sz="4" w:space="0" w:color="auto"/>
              <w:bottom w:val="single" w:sz="4" w:space="0" w:color="auto"/>
              <w:right w:val="single" w:sz="12" w:space="0" w:color="auto"/>
            </w:tcBorders>
            <w:vAlign w:val="center"/>
          </w:tcPr>
          <w:p w14:paraId="0EBDE6A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67F696F5"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4F3EA6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苯并</w:t>
            </w:r>
            <w:r>
              <w:rPr>
                <w:rFonts w:ascii="Times New Roman" w:hAnsi="Times New Roman"/>
                <w:sz w:val="24"/>
              </w:rPr>
              <w:t>[a]</w:t>
            </w:r>
            <w:r>
              <w:rPr>
                <w:rFonts w:ascii="Times New Roman" w:hAnsi="Times New Roman"/>
                <w:sz w:val="24"/>
              </w:rPr>
              <w:t>芘</w:t>
            </w:r>
          </w:p>
        </w:tc>
        <w:tc>
          <w:tcPr>
            <w:tcW w:w="1029" w:type="pct"/>
            <w:tcBorders>
              <w:top w:val="single" w:sz="4" w:space="0" w:color="auto"/>
              <w:left w:val="single" w:sz="4" w:space="0" w:color="auto"/>
              <w:bottom w:val="single" w:sz="4" w:space="0" w:color="auto"/>
              <w:right w:val="single" w:sz="4" w:space="0" w:color="auto"/>
            </w:tcBorders>
            <w:vAlign w:val="center"/>
          </w:tcPr>
          <w:p w14:paraId="6C7337A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868" w:type="pct"/>
            <w:tcBorders>
              <w:top w:val="single" w:sz="4" w:space="0" w:color="auto"/>
              <w:left w:val="single" w:sz="4" w:space="0" w:color="auto"/>
              <w:bottom w:val="single" w:sz="4" w:space="0" w:color="auto"/>
              <w:right w:val="single" w:sz="4" w:space="0" w:color="auto"/>
            </w:tcBorders>
            <w:vAlign w:val="center"/>
          </w:tcPr>
          <w:p w14:paraId="1B2B905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905" w:type="pct"/>
            <w:tcBorders>
              <w:top w:val="single" w:sz="4" w:space="0" w:color="auto"/>
              <w:left w:val="single" w:sz="4" w:space="0" w:color="auto"/>
              <w:bottom w:val="single" w:sz="4" w:space="0" w:color="auto"/>
              <w:right w:val="single" w:sz="4" w:space="0" w:color="auto"/>
            </w:tcBorders>
            <w:vAlign w:val="center"/>
          </w:tcPr>
          <w:p w14:paraId="714C03D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820" w:type="pct"/>
            <w:tcBorders>
              <w:top w:val="single" w:sz="4" w:space="0" w:color="auto"/>
              <w:left w:val="single" w:sz="4" w:space="0" w:color="auto"/>
              <w:bottom w:val="single" w:sz="4" w:space="0" w:color="auto"/>
              <w:right w:val="single" w:sz="4" w:space="0" w:color="auto"/>
            </w:tcBorders>
            <w:vAlign w:val="center"/>
          </w:tcPr>
          <w:p w14:paraId="0C3BFA1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574" w:type="pct"/>
            <w:tcBorders>
              <w:top w:val="single" w:sz="4" w:space="0" w:color="auto"/>
              <w:left w:val="single" w:sz="4" w:space="0" w:color="auto"/>
              <w:bottom w:val="single" w:sz="4" w:space="0" w:color="auto"/>
              <w:right w:val="single" w:sz="12" w:space="0" w:color="auto"/>
            </w:tcBorders>
            <w:vAlign w:val="center"/>
          </w:tcPr>
          <w:p w14:paraId="73F70E9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658CD84B" w14:textId="77777777">
        <w:trPr>
          <w:trHeight w:val="318"/>
          <w:jc w:val="center"/>
        </w:trPr>
        <w:tc>
          <w:tcPr>
            <w:tcW w:w="804" w:type="pct"/>
            <w:tcBorders>
              <w:top w:val="single" w:sz="4" w:space="0" w:color="auto"/>
              <w:left w:val="single" w:sz="12" w:space="0" w:color="auto"/>
              <w:bottom w:val="single" w:sz="4" w:space="0" w:color="auto"/>
              <w:right w:val="single" w:sz="4" w:space="0" w:color="auto"/>
            </w:tcBorders>
            <w:vAlign w:val="center"/>
          </w:tcPr>
          <w:p w14:paraId="7A0A1D8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苯并</w:t>
            </w:r>
            <w:r>
              <w:rPr>
                <w:rFonts w:ascii="Times New Roman" w:hAnsi="Times New Roman"/>
                <w:sz w:val="24"/>
              </w:rPr>
              <w:t>[b]</w:t>
            </w:r>
            <w:r>
              <w:rPr>
                <w:rFonts w:ascii="Times New Roman" w:hAnsi="Times New Roman"/>
                <w:sz w:val="24"/>
              </w:rPr>
              <w:t>荧蒽</w:t>
            </w:r>
          </w:p>
        </w:tc>
        <w:tc>
          <w:tcPr>
            <w:tcW w:w="1029" w:type="pct"/>
            <w:tcBorders>
              <w:top w:val="single" w:sz="4" w:space="0" w:color="auto"/>
              <w:left w:val="single" w:sz="4" w:space="0" w:color="auto"/>
              <w:bottom w:val="single" w:sz="4" w:space="0" w:color="auto"/>
              <w:right w:val="single" w:sz="4" w:space="0" w:color="auto"/>
            </w:tcBorders>
            <w:vAlign w:val="center"/>
          </w:tcPr>
          <w:p w14:paraId="711BACC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868" w:type="pct"/>
            <w:tcBorders>
              <w:top w:val="single" w:sz="4" w:space="0" w:color="auto"/>
              <w:left w:val="single" w:sz="4" w:space="0" w:color="auto"/>
              <w:bottom w:val="single" w:sz="4" w:space="0" w:color="auto"/>
              <w:right w:val="single" w:sz="4" w:space="0" w:color="auto"/>
            </w:tcBorders>
            <w:vAlign w:val="center"/>
          </w:tcPr>
          <w:p w14:paraId="4DC0BF3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905" w:type="pct"/>
            <w:tcBorders>
              <w:top w:val="single" w:sz="4" w:space="0" w:color="auto"/>
              <w:left w:val="single" w:sz="4" w:space="0" w:color="auto"/>
              <w:bottom w:val="single" w:sz="4" w:space="0" w:color="auto"/>
              <w:right w:val="single" w:sz="4" w:space="0" w:color="auto"/>
            </w:tcBorders>
            <w:vAlign w:val="center"/>
          </w:tcPr>
          <w:p w14:paraId="76736D6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820" w:type="pct"/>
            <w:tcBorders>
              <w:top w:val="single" w:sz="4" w:space="0" w:color="auto"/>
              <w:left w:val="single" w:sz="4" w:space="0" w:color="auto"/>
              <w:bottom w:val="single" w:sz="4" w:space="0" w:color="auto"/>
              <w:right w:val="single" w:sz="4" w:space="0" w:color="auto"/>
            </w:tcBorders>
            <w:vAlign w:val="center"/>
          </w:tcPr>
          <w:p w14:paraId="4537ED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574" w:type="pct"/>
            <w:tcBorders>
              <w:top w:val="single" w:sz="4" w:space="0" w:color="auto"/>
              <w:left w:val="single" w:sz="4" w:space="0" w:color="auto"/>
              <w:bottom w:val="single" w:sz="4" w:space="0" w:color="auto"/>
              <w:right w:val="single" w:sz="12" w:space="0" w:color="auto"/>
            </w:tcBorders>
            <w:vAlign w:val="center"/>
          </w:tcPr>
          <w:p w14:paraId="0D8C971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19228A7B"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6752A304"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苯并</w:t>
            </w:r>
            <w:r>
              <w:rPr>
                <w:rFonts w:ascii="Times New Roman" w:hAnsi="Times New Roman"/>
                <w:sz w:val="24"/>
              </w:rPr>
              <w:t>[k]</w:t>
            </w:r>
            <w:r>
              <w:rPr>
                <w:rFonts w:ascii="Times New Roman" w:hAnsi="Times New Roman"/>
                <w:sz w:val="24"/>
              </w:rPr>
              <w:t>荧蒽</w:t>
            </w:r>
          </w:p>
        </w:tc>
        <w:tc>
          <w:tcPr>
            <w:tcW w:w="1029" w:type="pct"/>
            <w:tcBorders>
              <w:top w:val="single" w:sz="4" w:space="0" w:color="auto"/>
              <w:left w:val="single" w:sz="4" w:space="0" w:color="auto"/>
              <w:bottom w:val="single" w:sz="4" w:space="0" w:color="auto"/>
              <w:right w:val="single" w:sz="4" w:space="0" w:color="auto"/>
            </w:tcBorders>
            <w:vAlign w:val="center"/>
          </w:tcPr>
          <w:p w14:paraId="6844AE4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868" w:type="pct"/>
            <w:tcBorders>
              <w:top w:val="single" w:sz="4" w:space="0" w:color="auto"/>
              <w:left w:val="single" w:sz="4" w:space="0" w:color="auto"/>
              <w:bottom w:val="single" w:sz="4" w:space="0" w:color="auto"/>
              <w:right w:val="single" w:sz="4" w:space="0" w:color="auto"/>
            </w:tcBorders>
            <w:vAlign w:val="center"/>
          </w:tcPr>
          <w:p w14:paraId="2DDE2A1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905" w:type="pct"/>
            <w:tcBorders>
              <w:top w:val="single" w:sz="4" w:space="0" w:color="auto"/>
              <w:left w:val="single" w:sz="4" w:space="0" w:color="auto"/>
              <w:bottom w:val="single" w:sz="4" w:space="0" w:color="auto"/>
              <w:right w:val="single" w:sz="4" w:space="0" w:color="auto"/>
            </w:tcBorders>
            <w:vAlign w:val="center"/>
          </w:tcPr>
          <w:p w14:paraId="3F008CF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820" w:type="pct"/>
            <w:tcBorders>
              <w:top w:val="single" w:sz="4" w:space="0" w:color="auto"/>
              <w:left w:val="single" w:sz="4" w:space="0" w:color="auto"/>
              <w:bottom w:val="single" w:sz="4" w:space="0" w:color="auto"/>
              <w:right w:val="single" w:sz="4" w:space="0" w:color="auto"/>
            </w:tcBorders>
            <w:vAlign w:val="center"/>
          </w:tcPr>
          <w:p w14:paraId="132CC1D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151</w:t>
            </w:r>
          </w:p>
        </w:tc>
        <w:tc>
          <w:tcPr>
            <w:tcW w:w="574" w:type="pct"/>
            <w:tcBorders>
              <w:top w:val="single" w:sz="4" w:space="0" w:color="auto"/>
              <w:left w:val="single" w:sz="4" w:space="0" w:color="auto"/>
              <w:bottom w:val="single" w:sz="4" w:space="0" w:color="auto"/>
              <w:right w:val="single" w:sz="12" w:space="0" w:color="auto"/>
            </w:tcBorders>
            <w:vAlign w:val="center"/>
          </w:tcPr>
          <w:p w14:paraId="3714197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2A5B7D43"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5D2761C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䓛</w:t>
            </w:r>
          </w:p>
        </w:tc>
        <w:tc>
          <w:tcPr>
            <w:tcW w:w="1029" w:type="pct"/>
            <w:tcBorders>
              <w:top w:val="single" w:sz="4" w:space="0" w:color="auto"/>
              <w:left w:val="single" w:sz="4" w:space="0" w:color="auto"/>
              <w:bottom w:val="single" w:sz="4" w:space="0" w:color="auto"/>
              <w:right w:val="single" w:sz="4" w:space="0" w:color="auto"/>
            </w:tcBorders>
            <w:vAlign w:val="center"/>
          </w:tcPr>
          <w:p w14:paraId="4ADE177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0.003ND</w:t>
            </w:r>
          </w:p>
        </w:tc>
        <w:tc>
          <w:tcPr>
            <w:tcW w:w="868" w:type="pct"/>
            <w:tcBorders>
              <w:top w:val="single" w:sz="4" w:space="0" w:color="auto"/>
              <w:left w:val="single" w:sz="4" w:space="0" w:color="auto"/>
              <w:bottom w:val="single" w:sz="4" w:space="0" w:color="auto"/>
              <w:right w:val="single" w:sz="4" w:space="0" w:color="auto"/>
            </w:tcBorders>
            <w:vAlign w:val="center"/>
          </w:tcPr>
          <w:p w14:paraId="4537B8E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0.003ND</w:t>
            </w:r>
          </w:p>
        </w:tc>
        <w:tc>
          <w:tcPr>
            <w:tcW w:w="905" w:type="pct"/>
            <w:tcBorders>
              <w:top w:val="single" w:sz="4" w:space="0" w:color="auto"/>
              <w:left w:val="single" w:sz="4" w:space="0" w:color="auto"/>
              <w:bottom w:val="single" w:sz="4" w:space="0" w:color="auto"/>
              <w:right w:val="single" w:sz="4" w:space="0" w:color="auto"/>
            </w:tcBorders>
            <w:vAlign w:val="center"/>
          </w:tcPr>
          <w:p w14:paraId="05BC587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0.003ND</w:t>
            </w:r>
          </w:p>
        </w:tc>
        <w:tc>
          <w:tcPr>
            <w:tcW w:w="820" w:type="pct"/>
            <w:tcBorders>
              <w:top w:val="single" w:sz="4" w:space="0" w:color="auto"/>
              <w:left w:val="single" w:sz="4" w:space="0" w:color="auto"/>
              <w:bottom w:val="single" w:sz="4" w:space="0" w:color="auto"/>
              <w:right w:val="single" w:sz="4" w:space="0" w:color="auto"/>
            </w:tcBorders>
            <w:vAlign w:val="center"/>
          </w:tcPr>
          <w:p w14:paraId="259BC1E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1293</w:t>
            </w:r>
          </w:p>
        </w:tc>
        <w:tc>
          <w:tcPr>
            <w:tcW w:w="574" w:type="pct"/>
            <w:tcBorders>
              <w:top w:val="single" w:sz="4" w:space="0" w:color="auto"/>
              <w:left w:val="single" w:sz="4" w:space="0" w:color="auto"/>
              <w:bottom w:val="single" w:sz="4" w:space="0" w:color="auto"/>
              <w:right w:val="single" w:sz="12" w:space="0" w:color="auto"/>
            </w:tcBorders>
            <w:vAlign w:val="center"/>
          </w:tcPr>
          <w:p w14:paraId="636B670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2146CF4B"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12E13C6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二苯并</w:t>
            </w:r>
            <w:r>
              <w:rPr>
                <w:rFonts w:ascii="Times New Roman" w:hAnsi="Times New Roman"/>
                <w:sz w:val="24"/>
              </w:rPr>
              <w:t>[a,h]</w:t>
            </w:r>
            <w:r>
              <w:rPr>
                <w:rFonts w:ascii="Times New Roman" w:hAnsi="Times New Roman"/>
                <w:sz w:val="24"/>
              </w:rPr>
              <w:t>蒽</w:t>
            </w:r>
          </w:p>
        </w:tc>
        <w:tc>
          <w:tcPr>
            <w:tcW w:w="1029" w:type="pct"/>
            <w:tcBorders>
              <w:top w:val="single" w:sz="4" w:space="0" w:color="auto"/>
              <w:left w:val="single" w:sz="4" w:space="0" w:color="auto"/>
              <w:bottom w:val="single" w:sz="4" w:space="0" w:color="auto"/>
              <w:right w:val="single" w:sz="4" w:space="0" w:color="auto"/>
            </w:tcBorders>
            <w:vAlign w:val="center"/>
          </w:tcPr>
          <w:p w14:paraId="65D6CC5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868" w:type="pct"/>
            <w:tcBorders>
              <w:top w:val="single" w:sz="4" w:space="0" w:color="auto"/>
              <w:left w:val="single" w:sz="4" w:space="0" w:color="auto"/>
              <w:bottom w:val="single" w:sz="4" w:space="0" w:color="auto"/>
              <w:right w:val="single" w:sz="4" w:space="0" w:color="auto"/>
            </w:tcBorders>
            <w:vAlign w:val="center"/>
          </w:tcPr>
          <w:p w14:paraId="7C6A747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905" w:type="pct"/>
            <w:tcBorders>
              <w:top w:val="single" w:sz="4" w:space="0" w:color="auto"/>
              <w:left w:val="single" w:sz="4" w:space="0" w:color="auto"/>
              <w:bottom w:val="single" w:sz="4" w:space="0" w:color="auto"/>
              <w:right w:val="single" w:sz="4" w:space="0" w:color="auto"/>
            </w:tcBorders>
            <w:vAlign w:val="center"/>
          </w:tcPr>
          <w:p w14:paraId="1B03801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0.005ND</w:t>
            </w:r>
          </w:p>
        </w:tc>
        <w:tc>
          <w:tcPr>
            <w:tcW w:w="820" w:type="pct"/>
            <w:tcBorders>
              <w:top w:val="single" w:sz="4" w:space="0" w:color="auto"/>
              <w:left w:val="single" w:sz="4" w:space="0" w:color="auto"/>
              <w:bottom w:val="single" w:sz="4" w:space="0" w:color="auto"/>
              <w:right w:val="single" w:sz="4" w:space="0" w:color="auto"/>
            </w:tcBorders>
            <w:vAlign w:val="center"/>
          </w:tcPr>
          <w:p w14:paraId="7055609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574" w:type="pct"/>
            <w:tcBorders>
              <w:top w:val="single" w:sz="4" w:space="0" w:color="auto"/>
              <w:left w:val="single" w:sz="4" w:space="0" w:color="auto"/>
              <w:bottom w:val="single" w:sz="4" w:space="0" w:color="auto"/>
              <w:right w:val="single" w:sz="12" w:space="0" w:color="auto"/>
            </w:tcBorders>
            <w:vAlign w:val="center"/>
          </w:tcPr>
          <w:p w14:paraId="1667A58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781CD7FC" w14:textId="77777777">
        <w:trPr>
          <w:trHeight w:val="305"/>
          <w:jc w:val="center"/>
        </w:trPr>
        <w:tc>
          <w:tcPr>
            <w:tcW w:w="804" w:type="pct"/>
            <w:tcBorders>
              <w:top w:val="single" w:sz="4" w:space="0" w:color="auto"/>
              <w:left w:val="single" w:sz="12" w:space="0" w:color="auto"/>
              <w:bottom w:val="single" w:sz="4" w:space="0" w:color="auto"/>
              <w:right w:val="single" w:sz="4" w:space="0" w:color="auto"/>
            </w:tcBorders>
            <w:vAlign w:val="center"/>
          </w:tcPr>
          <w:p w14:paraId="348B252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茚并</w:t>
            </w:r>
            <w:r>
              <w:rPr>
                <w:rFonts w:ascii="Times New Roman" w:hAnsi="Times New Roman"/>
                <w:sz w:val="24"/>
              </w:rPr>
              <w:t>[1,2,3-cd]</w:t>
            </w:r>
            <w:r>
              <w:rPr>
                <w:rFonts w:ascii="Times New Roman" w:hAnsi="Times New Roman"/>
                <w:sz w:val="24"/>
              </w:rPr>
              <w:t>芘</w:t>
            </w:r>
          </w:p>
        </w:tc>
        <w:tc>
          <w:tcPr>
            <w:tcW w:w="1029" w:type="pct"/>
            <w:tcBorders>
              <w:top w:val="single" w:sz="4" w:space="0" w:color="auto"/>
              <w:left w:val="single" w:sz="4" w:space="0" w:color="auto"/>
              <w:bottom w:val="single" w:sz="4" w:space="0" w:color="auto"/>
              <w:right w:val="single" w:sz="4" w:space="0" w:color="auto"/>
            </w:tcBorders>
            <w:vAlign w:val="center"/>
          </w:tcPr>
          <w:p w14:paraId="591CDF6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0.004ND</w:t>
            </w:r>
          </w:p>
        </w:tc>
        <w:tc>
          <w:tcPr>
            <w:tcW w:w="868" w:type="pct"/>
            <w:tcBorders>
              <w:top w:val="single" w:sz="4" w:space="0" w:color="auto"/>
              <w:left w:val="single" w:sz="4" w:space="0" w:color="auto"/>
              <w:bottom w:val="single" w:sz="4" w:space="0" w:color="auto"/>
              <w:right w:val="single" w:sz="4" w:space="0" w:color="auto"/>
            </w:tcBorders>
            <w:vAlign w:val="center"/>
          </w:tcPr>
          <w:p w14:paraId="43B40A0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0.004ND</w:t>
            </w:r>
          </w:p>
        </w:tc>
        <w:tc>
          <w:tcPr>
            <w:tcW w:w="905" w:type="pct"/>
            <w:tcBorders>
              <w:top w:val="single" w:sz="4" w:space="0" w:color="auto"/>
              <w:left w:val="single" w:sz="4" w:space="0" w:color="auto"/>
              <w:bottom w:val="single" w:sz="4" w:space="0" w:color="auto"/>
              <w:right w:val="single" w:sz="4" w:space="0" w:color="auto"/>
            </w:tcBorders>
            <w:vAlign w:val="center"/>
          </w:tcPr>
          <w:p w14:paraId="6CF26A1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0.004ND</w:t>
            </w:r>
          </w:p>
        </w:tc>
        <w:tc>
          <w:tcPr>
            <w:tcW w:w="820" w:type="pct"/>
            <w:tcBorders>
              <w:top w:val="single" w:sz="4" w:space="0" w:color="auto"/>
              <w:left w:val="single" w:sz="4" w:space="0" w:color="auto"/>
              <w:bottom w:val="single" w:sz="4" w:space="0" w:color="auto"/>
              <w:right w:val="single" w:sz="4" w:space="0" w:color="auto"/>
            </w:tcBorders>
            <w:vAlign w:val="center"/>
          </w:tcPr>
          <w:p w14:paraId="2ADBE3B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15</w:t>
            </w:r>
          </w:p>
        </w:tc>
        <w:tc>
          <w:tcPr>
            <w:tcW w:w="574" w:type="pct"/>
            <w:tcBorders>
              <w:top w:val="single" w:sz="4" w:space="0" w:color="auto"/>
              <w:left w:val="single" w:sz="4" w:space="0" w:color="auto"/>
              <w:bottom w:val="single" w:sz="4" w:space="0" w:color="auto"/>
              <w:right w:val="single" w:sz="12" w:space="0" w:color="auto"/>
            </w:tcBorders>
            <w:vAlign w:val="center"/>
          </w:tcPr>
          <w:p w14:paraId="50BCDAA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r w:rsidR="00D12939" w14:paraId="099C8609" w14:textId="77777777">
        <w:trPr>
          <w:trHeight w:val="156"/>
          <w:jc w:val="center"/>
        </w:trPr>
        <w:tc>
          <w:tcPr>
            <w:tcW w:w="804" w:type="pct"/>
            <w:tcBorders>
              <w:top w:val="single" w:sz="4" w:space="0" w:color="auto"/>
              <w:left w:val="single" w:sz="12" w:space="0" w:color="auto"/>
              <w:bottom w:val="single" w:sz="4" w:space="0" w:color="auto"/>
              <w:right w:val="single" w:sz="4" w:space="0" w:color="auto"/>
            </w:tcBorders>
            <w:vAlign w:val="center"/>
          </w:tcPr>
          <w:p w14:paraId="0596DBE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萘</w:t>
            </w:r>
          </w:p>
        </w:tc>
        <w:tc>
          <w:tcPr>
            <w:tcW w:w="1029" w:type="pct"/>
            <w:tcBorders>
              <w:top w:val="single" w:sz="4" w:space="0" w:color="auto"/>
              <w:left w:val="single" w:sz="4" w:space="0" w:color="auto"/>
              <w:bottom w:val="single" w:sz="4" w:space="0" w:color="auto"/>
              <w:right w:val="single" w:sz="4" w:space="0" w:color="auto"/>
            </w:tcBorders>
            <w:vAlign w:val="center"/>
          </w:tcPr>
          <w:p w14:paraId="077F026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0.003ND</w:t>
            </w:r>
          </w:p>
        </w:tc>
        <w:tc>
          <w:tcPr>
            <w:tcW w:w="868" w:type="pct"/>
            <w:tcBorders>
              <w:top w:val="single" w:sz="4" w:space="0" w:color="auto"/>
              <w:left w:val="single" w:sz="4" w:space="0" w:color="auto"/>
              <w:bottom w:val="single" w:sz="4" w:space="0" w:color="auto"/>
              <w:right w:val="single" w:sz="4" w:space="0" w:color="auto"/>
            </w:tcBorders>
            <w:vAlign w:val="center"/>
          </w:tcPr>
          <w:p w14:paraId="2E8C59A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0.003ND</w:t>
            </w:r>
          </w:p>
        </w:tc>
        <w:tc>
          <w:tcPr>
            <w:tcW w:w="905" w:type="pct"/>
            <w:tcBorders>
              <w:top w:val="single" w:sz="4" w:space="0" w:color="auto"/>
              <w:left w:val="single" w:sz="4" w:space="0" w:color="auto"/>
              <w:bottom w:val="single" w:sz="4" w:space="0" w:color="auto"/>
              <w:right w:val="single" w:sz="4" w:space="0" w:color="auto"/>
            </w:tcBorders>
            <w:vAlign w:val="center"/>
          </w:tcPr>
          <w:p w14:paraId="5958178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0.003ND</w:t>
            </w:r>
          </w:p>
        </w:tc>
        <w:tc>
          <w:tcPr>
            <w:tcW w:w="820" w:type="pct"/>
            <w:tcBorders>
              <w:top w:val="single" w:sz="4" w:space="0" w:color="auto"/>
              <w:left w:val="single" w:sz="4" w:space="0" w:color="auto"/>
              <w:bottom w:val="single" w:sz="4" w:space="0" w:color="auto"/>
              <w:right w:val="single" w:sz="4" w:space="0" w:color="auto"/>
            </w:tcBorders>
            <w:vAlign w:val="center"/>
          </w:tcPr>
          <w:p w14:paraId="238BC1A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70</w:t>
            </w:r>
          </w:p>
        </w:tc>
        <w:tc>
          <w:tcPr>
            <w:tcW w:w="574" w:type="pct"/>
            <w:tcBorders>
              <w:top w:val="single" w:sz="4" w:space="0" w:color="auto"/>
              <w:left w:val="single" w:sz="4" w:space="0" w:color="auto"/>
              <w:bottom w:val="single" w:sz="4" w:space="0" w:color="auto"/>
              <w:right w:val="single" w:sz="12" w:space="0" w:color="auto"/>
            </w:tcBorders>
            <w:vAlign w:val="center"/>
          </w:tcPr>
          <w:p w14:paraId="439015A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达标</w:t>
            </w:r>
          </w:p>
        </w:tc>
      </w:tr>
    </w:tbl>
    <w:p w14:paraId="54CEC83B" w14:textId="77777777" w:rsidR="00D12939" w:rsidRDefault="00D12939">
      <w:pPr>
        <w:jc w:val="center"/>
        <w:rPr>
          <w:rFonts w:eastAsia="黑体"/>
          <w:szCs w:val="21"/>
        </w:rPr>
      </w:pPr>
    </w:p>
    <w:p w14:paraId="1BE46BC8" w14:textId="77777777" w:rsidR="00D12939" w:rsidRDefault="00D12939"/>
    <w:p w14:paraId="2507A429" w14:textId="77777777" w:rsidR="00D12939" w:rsidRDefault="00D12939"/>
    <w:p w14:paraId="31317DD4" w14:textId="77777777" w:rsidR="00D12939" w:rsidRDefault="00D12939"/>
    <w:p w14:paraId="52B50C0D" w14:textId="77777777" w:rsidR="00D12939" w:rsidRDefault="00D12939">
      <w:pPr>
        <w:sectPr w:rsidR="00D12939">
          <w:pgSz w:w="16838" w:h="11906" w:orient="landscape"/>
          <w:pgMar w:top="1440" w:right="1080" w:bottom="1440" w:left="1080" w:header="851" w:footer="992" w:gutter="0"/>
          <w:cols w:space="720"/>
          <w:docGrid w:type="lines" w:linePitch="312"/>
        </w:sectPr>
      </w:pPr>
    </w:p>
    <w:p w14:paraId="069C26FE" w14:textId="77777777" w:rsidR="00D12939" w:rsidRDefault="004F47F5">
      <w:pPr>
        <w:jc w:val="center"/>
        <w:rPr>
          <w:rFonts w:ascii="黑体" w:eastAsia="黑体" w:hAnsi="黑体"/>
          <w:sz w:val="24"/>
          <w:szCs w:val="21"/>
        </w:rPr>
      </w:pPr>
      <w:r>
        <w:rPr>
          <w:rFonts w:ascii="黑体" w:eastAsia="黑体" w:hAnsi="黑体"/>
          <w:sz w:val="24"/>
          <w:szCs w:val="21"/>
        </w:rPr>
        <w:lastRenderedPageBreak/>
        <w:t>表5.2-15    土壤理化性质调查表</w:t>
      </w:r>
    </w:p>
    <w:tbl>
      <w:tblPr>
        <w:tblW w:w="10459"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1332"/>
        <w:gridCol w:w="841"/>
        <w:gridCol w:w="1223"/>
        <w:gridCol w:w="960"/>
        <w:gridCol w:w="1730"/>
        <w:gridCol w:w="4373"/>
      </w:tblGrid>
      <w:tr w:rsidR="00D12939" w14:paraId="28F1B183" w14:textId="77777777">
        <w:trPr>
          <w:jc w:val="center"/>
        </w:trPr>
        <w:tc>
          <w:tcPr>
            <w:tcW w:w="1332" w:type="dxa"/>
            <w:tcBorders>
              <w:top w:val="single" w:sz="4" w:space="0" w:color="auto"/>
              <w:left w:val="single" w:sz="4" w:space="0" w:color="auto"/>
              <w:bottom w:val="single" w:sz="4" w:space="0" w:color="auto"/>
              <w:right w:val="single" w:sz="4" w:space="0" w:color="auto"/>
            </w:tcBorders>
            <w:vAlign w:val="center"/>
          </w:tcPr>
          <w:p w14:paraId="2F9090B4" w14:textId="77777777" w:rsidR="00D12939" w:rsidRDefault="004F47F5">
            <w:pPr>
              <w:autoSpaceDE w:val="0"/>
              <w:autoSpaceDN w:val="0"/>
              <w:jc w:val="center"/>
              <w:rPr>
                <w:rFonts w:ascii="Times New Roman" w:eastAsia="宋体" w:hAnsi="Times New Roman" w:cs="Times New Roman"/>
                <w:b/>
                <w:sz w:val="24"/>
                <w:lang w:eastAsia="en-US" w:bidi="en-US"/>
              </w:rPr>
            </w:pPr>
            <w:r>
              <w:rPr>
                <w:rFonts w:ascii="Times New Roman" w:eastAsia="宋体" w:hAnsi="Times New Roman" w:cs="Times New Roman"/>
                <w:b/>
                <w:sz w:val="24"/>
                <w:lang w:eastAsia="en-US" w:bidi="en-US"/>
              </w:rPr>
              <w:t>采样日期</w:t>
            </w:r>
          </w:p>
        </w:tc>
        <w:tc>
          <w:tcPr>
            <w:tcW w:w="4754" w:type="dxa"/>
            <w:gridSpan w:val="4"/>
            <w:tcBorders>
              <w:top w:val="single" w:sz="4" w:space="0" w:color="auto"/>
              <w:left w:val="single" w:sz="4" w:space="0" w:color="auto"/>
              <w:bottom w:val="single" w:sz="4" w:space="0" w:color="auto"/>
              <w:right w:val="single" w:sz="4" w:space="0" w:color="auto"/>
            </w:tcBorders>
            <w:vAlign w:val="center"/>
          </w:tcPr>
          <w:p w14:paraId="580C063B" w14:textId="77777777" w:rsidR="00D12939" w:rsidRDefault="004F47F5">
            <w:pPr>
              <w:autoSpaceDE w:val="0"/>
              <w:autoSpaceDN w:val="0"/>
              <w:jc w:val="center"/>
              <w:rPr>
                <w:rFonts w:ascii="Times New Roman" w:eastAsia="宋体" w:hAnsi="Times New Roman" w:cs="Times New Roman"/>
                <w:b/>
                <w:sz w:val="24"/>
                <w:lang w:eastAsia="en-US" w:bidi="en-US"/>
              </w:rPr>
            </w:pPr>
            <w:r>
              <w:rPr>
                <w:rFonts w:ascii="Times New Roman" w:eastAsia="宋体" w:hAnsi="Times New Roman" w:cs="Times New Roman"/>
                <w:b/>
                <w:sz w:val="24"/>
                <w:lang w:eastAsia="en-US" w:bidi="en-US"/>
              </w:rPr>
              <w:t>监测点位</w:t>
            </w:r>
          </w:p>
        </w:tc>
        <w:tc>
          <w:tcPr>
            <w:tcW w:w="4373" w:type="dxa"/>
            <w:tcBorders>
              <w:top w:val="single" w:sz="4" w:space="0" w:color="auto"/>
              <w:left w:val="single" w:sz="4" w:space="0" w:color="auto"/>
              <w:bottom w:val="single" w:sz="4" w:space="0" w:color="auto"/>
              <w:right w:val="single" w:sz="4" w:space="0" w:color="auto"/>
            </w:tcBorders>
            <w:vAlign w:val="center"/>
          </w:tcPr>
          <w:p w14:paraId="6057F227" w14:textId="77777777" w:rsidR="00D12939" w:rsidRDefault="004F47F5">
            <w:pPr>
              <w:autoSpaceDE w:val="0"/>
              <w:autoSpaceDN w:val="0"/>
              <w:jc w:val="center"/>
              <w:rPr>
                <w:rFonts w:ascii="Times New Roman" w:eastAsia="宋体" w:hAnsi="Times New Roman" w:cs="Times New Roman"/>
                <w:sz w:val="24"/>
                <w:lang w:bidi="en-US"/>
              </w:rPr>
            </w:pPr>
            <w:r>
              <w:rPr>
                <w:rFonts w:ascii="Times New Roman" w:eastAsia="宋体" w:hAnsi="Times New Roman" w:cs="Times New Roman"/>
                <w:sz w:val="24"/>
                <w:lang w:bidi="en-US"/>
              </w:rPr>
              <w:t>1#</w:t>
            </w:r>
            <w:r>
              <w:rPr>
                <w:rFonts w:ascii="Times New Roman" w:eastAsia="宋体" w:hAnsi="Times New Roman" w:cs="Times New Roman"/>
                <w:sz w:val="24"/>
                <w:lang w:bidi="en-US"/>
              </w:rPr>
              <w:t>项目一期拟建空地西北侧</w:t>
            </w:r>
          </w:p>
        </w:tc>
      </w:tr>
      <w:tr w:rsidR="00D12939" w14:paraId="09C0BAAA" w14:textId="77777777">
        <w:trPr>
          <w:jc w:val="center"/>
        </w:trPr>
        <w:tc>
          <w:tcPr>
            <w:tcW w:w="1332" w:type="dxa"/>
            <w:vMerge w:val="restart"/>
            <w:tcBorders>
              <w:top w:val="single" w:sz="4" w:space="0" w:color="auto"/>
              <w:left w:val="single" w:sz="4" w:space="0" w:color="auto"/>
              <w:bottom w:val="single" w:sz="4" w:space="0" w:color="auto"/>
              <w:right w:val="single" w:sz="4" w:space="0" w:color="auto"/>
            </w:tcBorders>
            <w:vAlign w:val="center"/>
          </w:tcPr>
          <w:p w14:paraId="5B33C548"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 xml:space="preserve">2022 </w:t>
            </w:r>
            <w:r>
              <w:rPr>
                <w:rFonts w:ascii="Times New Roman" w:eastAsia="宋体" w:hAnsi="Times New Roman" w:cs="Times New Roman"/>
                <w:sz w:val="24"/>
                <w:lang w:eastAsia="en-US" w:bidi="en-US"/>
              </w:rPr>
              <w:t>年</w:t>
            </w:r>
          </w:p>
          <w:p w14:paraId="6C243B10"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 xml:space="preserve">11 </w:t>
            </w:r>
            <w:r>
              <w:rPr>
                <w:rFonts w:ascii="Times New Roman" w:eastAsia="宋体" w:hAnsi="Times New Roman" w:cs="Times New Roman"/>
                <w:sz w:val="24"/>
                <w:lang w:eastAsia="en-US" w:bidi="en-US"/>
              </w:rPr>
              <w:t>月</w:t>
            </w:r>
            <w:r>
              <w:rPr>
                <w:rFonts w:ascii="Times New Roman" w:eastAsia="宋体" w:hAnsi="Times New Roman" w:cs="Times New Roman"/>
                <w:sz w:val="24"/>
                <w:lang w:eastAsia="en-US" w:bidi="en-US"/>
              </w:rPr>
              <w:t xml:space="preserve"> 19 </w:t>
            </w:r>
            <w:r>
              <w:rPr>
                <w:rFonts w:ascii="Times New Roman" w:eastAsia="宋体" w:hAnsi="Times New Roman" w:cs="Times New Roman"/>
                <w:sz w:val="24"/>
                <w:lang w:eastAsia="en-US" w:bidi="en-US"/>
              </w:rPr>
              <w:t>日</w:t>
            </w:r>
          </w:p>
        </w:tc>
        <w:tc>
          <w:tcPr>
            <w:tcW w:w="2064" w:type="dxa"/>
            <w:gridSpan w:val="2"/>
            <w:vMerge w:val="restart"/>
            <w:tcBorders>
              <w:top w:val="single" w:sz="4" w:space="0" w:color="auto"/>
              <w:left w:val="single" w:sz="4" w:space="0" w:color="auto"/>
              <w:bottom w:val="single" w:sz="4" w:space="0" w:color="auto"/>
              <w:right w:val="single" w:sz="4" w:space="0" w:color="auto"/>
            </w:tcBorders>
            <w:vAlign w:val="center"/>
          </w:tcPr>
          <w:p w14:paraId="44FAC1D5"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监测点位坐标</w:t>
            </w:r>
          </w:p>
        </w:tc>
        <w:tc>
          <w:tcPr>
            <w:tcW w:w="2690" w:type="dxa"/>
            <w:gridSpan w:val="2"/>
            <w:tcBorders>
              <w:top w:val="single" w:sz="4" w:space="0" w:color="auto"/>
              <w:left w:val="single" w:sz="4" w:space="0" w:color="auto"/>
              <w:bottom w:val="single" w:sz="4" w:space="0" w:color="auto"/>
              <w:right w:val="single" w:sz="4" w:space="0" w:color="auto"/>
            </w:tcBorders>
            <w:vAlign w:val="center"/>
          </w:tcPr>
          <w:p w14:paraId="62EAED4E"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E</w:t>
            </w:r>
          </w:p>
        </w:tc>
        <w:tc>
          <w:tcPr>
            <w:tcW w:w="4373" w:type="dxa"/>
            <w:tcBorders>
              <w:top w:val="single" w:sz="4" w:space="0" w:color="auto"/>
              <w:left w:val="single" w:sz="4" w:space="0" w:color="auto"/>
              <w:bottom w:val="single" w:sz="4" w:space="0" w:color="auto"/>
              <w:right w:val="single" w:sz="4" w:space="0" w:color="auto"/>
            </w:tcBorders>
            <w:vAlign w:val="center"/>
          </w:tcPr>
          <w:p w14:paraId="699EBCE0"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b/>
                <w:sz w:val="24"/>
                <w:lang w:eastAsia="en-US" w:bidi="en-US"/>
              </w:rPr>
              <w:t>E</w:t>
            </w:r>
            <w:r>
              <w:rPr>
                <w:rFonts w:ascii="Times New Roman" w:eastAsia="宋体" w:hAnsi="Times New Roman" w:cs="Times New Roman"/>
                <w:b/>
                <w:sz w:val="24"/>
                <w:lang w:eastAsia="en-US" w:bidi="en-US"/>
              </w:rPr>
              <w:t>：</w:t>
            </w:r>
            <w:r>
              <w:rPr>
                <w:rFonts w:ascii="Times New Roman" w:eastAsia="宋体" w:hAnsi="Times New Roman" w:cs="Times New Roman"/>
                <w:b/>
                <w:sz w:val="24"/>
                <w:lang w:eastAsia="en-US" w:bidi="en-US"/>
              </w:rPr>
              <w:t>109°13′59.14</w:t>
            </w:r>
            <w:r>
              <w:rPr>
                <w:rFonts w:ascii="Times New Roman" w:eastAsia="宋体" w:hAnsi="Times New Roman" w:cs="Times New Roman"/>
                <w:sz w:val="24"/>
                <w:lang w:eastAsia="en-US" w:bidi="en-US"/>
              </w:rPr>
              <w:t>″</w:t>
            </w:r>
          </w:p>
        </w:tc>
      </w:tr>
      <w:tr w:rsidR="00D12939" w14:paraId="6C13FC9E"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41C5C4B4"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2064" w:type="dxa"/>
            <w:gridSpan w:val="2"/>
            <w:vMerge/>
            <w:tcBorders>
              <w:top w:val="single" w:sz="4" w:space="0" w:color="auto"/>
              <w:left w:val="single" w:sz="4" w:space="0" w:color="auto"/>
              <w:bottom w:val="single" w:sz="4" w:space="0" w:color="auto"/>
              <w:right w:val="single" w:sz="4" w:space="0" w:color="auto"/>
            </w:tcBorders>
            <w:vAlign w:val="center"/>
          </w:tcPr>
          <w:p w14:paraId="5B180907"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2690" w:type="dxa"/>
            <w:gridSpan w:val="2"/>
            <w:tcBorders>
              <w:top w:val="single" w:sz="4" w:space="0" w:color="auto"/>
              <w:left w:val="single" w:sz="4" w:space="0" w:color="auto"/>
              <w:bottom w:val="single" w:sz="4" w:space="0" w:color="auto"/>
              <w:right w:val="single" w:sz="4" w:space="0" w:color="auto"/>
            </w:tcBorders>
            <w:vAlign w:val="center"/>
          </w:tcPr>
          <w:p w14:paraId="441F3100"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N</w:t>
            </w:r>
          </w:p>
        </w:tc>
        <w:tc>
          <w:tcPr>
            <w:tcW w:w="4373" w:type="dxa"/>
            <w:tcBorders>
              <w:top w:val="single" w:sz="4" w:space="0" w:color="auto"/>
              <w:left w:val="single" w:sz="4" w:space="0" w:color="auto"/>
              <w:bottom w:val="single" w:sz="4" w:space="0" w:color="auto"/>
              <w:right w:val="single" w:sz="4" w:space="0" w:color="auto"/>
            </w:tcBorders>
            <w:vAlign w:val="center"/>
          </w:tcPr>
          <w:p w14:paraId="7BA7B692"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b/>
                <w:sz w:val="24"/>
                <w:lang w:eastAsia="en-US" w:bidi="en-US"/>
              </w:rPr>
              <w:t>N</w:t>
            </w:r>
            <w:r>
              <w:rPr>
                <w:rFonts w:ascii="Times New Roman" w:eastAsia="宋体" w:hAnsi="Times New Roman" w:cs="Times New Roman"/>
                <w:b/>
                <w:sz w:val="24"/>
                <w:lang w:eastAsia="en-US" w:bidi="en-US"/>
              </w:rPr>
              <w:t>：</w:t>
            </w:r>
            <w:r>
              <w:rPr>
                <w:rFonts w:ascii="Times New Roman" w:eastAsia="宋体" w:hAnsi="Times New Roman" w:cs="Times New Roman"/>
                <w:b/>
                <w:sz w:val="24"/>
                <w:lang w:eastAsia="en-US" w:bidi="en-US"/>
              </w:rPr>
              <w:t>33°39′35.37</w:t>
            </w:r>
            <w:r>
              <w:rPr>
                <w:rFonts w:ascii="Times New Roman" w:eastAsia="宋体" w:hAnsi="Times New Roman" w:cs="Times New Roman"/>
                <w:sz w:val="24"/>
                <w:lang w:eastAsia="en-US" w:bidi="en-US"/>
              </w:rPr>
              <w:t>″</w:t>
            </w:r>
          </w:p>
        </w:tc>
      </w:tr>
      <w:tr w:rsidR="00D12939" w14:paraId="45629A4A"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55CF23B8"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4754" w:type="dxa"/>
            <w:gridSpan w:val="4"/>
            <w:tcBorders>
              <w:top w:val="single" w:sz="4" w:space="0" w:color="auto"/>
              <w:left w:val="single" w:sz="4" w:space="0" w:color="auto"/>
              <w:bottom w:val="single" w:sz="4" w:space="0" w:color="auto"/>
              <w:right w:val="single" w:sz="4" w:space="0" w:color="auto"/>
            </w:tcBorders>
            <w:vAlign w:val="center"/>
          </w:tcPr>
          <w:p w14:paraId="069A4076"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层次</w:t>
            </w:r>
          </w:p>
        </w:tc>
        <w:tc>
          <w:tcPr>
            <w:tcW w:w="4373" w:type="dxa"/>
            <w:tcBorders>
              <w:top w:val="single" w:sz="4" w:space="0" w:color="auto"/>
              <w:left w:val="single" w:sz="4" w:space="0" w:color="auto"/>
              <w:bottom w:val="single" w:sz="4" w:space="0" w:color="auto"/>
              <w:right w:val="single" w:sz="4" w:space="0" w:color="auto"/>
            </w:tcBorders>
            <w:vAlign w:val="center"/>
          </w:tcPr>
          <w:p w14:paraId="66A79095"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表层</w:t>
            </w:r>
            <w:r>
              <w:rPr>
                <w:rFonts w:ascii="Times New Roman" w:eastAsia="宋体" w:hAnsi="Times New Roman" w:cs="Times New Roman"/>
                <w:sz w:val="24"/>
                <w:lang w:eastAsia="en-US" w:bidi="en-US"/>
              </w:rPr>
              <w:t xml:space="preserve"> 0~20cm</w:t>
            </w:r>
          </w:p>
        </w:tc>
      </w:tr>
      <w:tr w:rsidR="00D12939" w14:paraId="59E1E846"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72C5F3E1"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val="restart"/>
            <w:tcBorders>
              <w:top w:val="single" w:sz="4" w:space="0" w:color="auto"/>
              <w:left w:val="single" w:sz="4" w:space="0" w:color="auto"/>
              <w:bottom w:val="single" w:sz="4" w:space="0" w:color="auto"/>
              <w:right w:val="single" w:sz="4" w:space="0" w:color="auto"/>
            </w:tcBorders>
            <w:vAlign w:val="center"/>
          </w:tcPr>
          <w:p w14:paraId="2F29E744"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现场记录</w:t>
            </w:r>
          </w:p>
        </w:tc>
        <w:tc>
          <w:tcPr>
            <w:tcW w:w="3913" w:type="dxa"/>
            <w:gridSpan w:val="3"/>
            <w:tcBorders>
              <w:top w:val="single" w:sz="4" w:space="0" w:color="auto"/>
              <w:left w:val="single" w:sz="4" w:space="0" w:color="auto"/>
              <w:bottom w:val="single" w:sz="4" w:space="0" w:color="auto"/>
              <w:right w:val="single" w:sz="4" w:space="0" w:color="auto"/>
            </w:tcBorders>
            <w:vAlign w:val="center"/>
          </w:tcPr>
          <w:p w14:paraId="7599DE29"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颜色</w:t>
            </w:r>
          </w:p>
        </w:tc>
        <w:tc>
          <w:tcPr>
            <w:tcW w:w="4373" w:type="dxa"/>
            <w:tcBorders>
              <w:top w:val="single" w:sz="4" w:space="0" w:color="auto"/>
              <w:left w:val="single" w:sz="4" w:space="0" w:color="auto"/>
              <w:bottom w:val="single" w:sz="4" w:space="0" w:color="auto"/>
              <w:right w:val="single" w:sz="4" w:space="0" w:color="auto"/>
            </w:tcBorders>
            <w:vAlign w:val="center"/>
          </w:tcPr>
          <w:p w14:paraId="2AECCF85"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棕壤</w:t>
            </w:r>
          </w:p>
        </w:tc>
      </w:tr>
      <w:tr w:rsidR="00D12939" w14:paraId="2088FC9D"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4A989FCB"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5C370AD5"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3913" w:type="dxa"/>
            <w:gridSpan w:val="3"/>
            <w:tcBorders>
              <w:top w:val="single" w:sz="4" w:space="0" w:color="auto"/>
              <w:left w:val="single" w:sz="4" w:space="0" w:color="auto"/>
              <w:bottom w:val="single" w:sz="4" w:space="0" w:color="auto"/>
              <w:right w:val="single" w:sz="4" w:space="0" w:color="auto"/>
            </w:tcBorders>
            <w:vAlign w:val="center"/>
          </w:tcPr>
          <w:p w14:paraId="46A77049"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质地</w:t>
            </w:r>
          </w:p>
        </w:tc>
        <w:tc>
          <w:tcPr>
            <w:tcW w:w="4373" w:type="dxa"/>
            <w:tcBorders>
              <w:top w:val="single" w:sz="4" w:space="0" w:color="auto"/>
              <w:left w:val="single" w:sz="4" w:space="0" w:color="auto"/>
              <w:bottom w:val="single" w:sz="4" w:space="0" w:color="auto"/>
              <w:right w:val="single" w:sz="4" w:space="0" w:color="auto"/>
            </w:tcBorders>
            <w:vAlign w:val="center"/>
          </w:tcPr>
          <w:p w14:paraId="208B715F"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砂土</w:t>
            </w:r>
          </w:p>
        </w:tc>
      </w:tr>
      <w:tr w:rsidR="00D12939" w14:paraId="5CEEA8B2"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424FE83B"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0E8CE712"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3913" w:type="dxa"/>
            <w:gridSpan w:val="3"/>
            <w:tcBorders>
              <w:top w:val="single" w:sz="4" w:space="0" w:color="auto"/>
              <w:left w:val="single" w:sz="4" w:space="0" w:color="auto"/>
              <w:bottom w:val="single" w:sz="4" w:space="0" w:color="auto"/>
              <w:right w:val="single" w:sz="4" w:space="0" w:color="auto"/>
            </w:tcBorders>
            <w:vAlign w:val="center"/>
          </w:tcPr>
          <w:p w14:paraId="4E894387"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砂砾含量（</w:t>
            </w:r>
            <w:r>
              <w:rPr>
                <w:rFonts w:ascii="Times New Roman" w:eastAsia="宋体" w:hAnsi="Times New Roman" w:cs="Times New Roman"/>
                <w:sz w:val="24"/>
                <w:lang w:eastAsia="en-US" w:bidi="en-US"/>
              </w:rPr>
              <w:t>%</w:t>
            </w:r>
            <w:r>
              <w:rPr>
                <w:rFonts w:ascii="Times New Roman" w:eastAsia="宋体" w:hAnsi="Times New Roman" w:cs="Times New Roman"/>
                <w:sz w:val="24"/>
                <w:lang w:eastAsia="en-US" w:bidi="en-US"/>
              </w:rPr>
              <w:t>）</w:t>
            </w:r>
          </w:p>
        </w:tc>
        <w:tc>
          <w:tcPr>
            <w:tcW w:w="4373" w:type="dxa"/>
            <w:tcBorders>
              <w:top w:val="single" w:sz="4" w:space="0" w:color="auto"/>
              <w:left w:val="single" w:sz="4" w:space="0" w:color="auto"/>
              <w:bottom w:val="single" w:sz="4" w:space="0" w:color="auto"/>
              <w:right w:val="single" w:sz="4" w:space="0" w:color="auto"/>
            </w:tcBorders>
            <w:vAlign w:val="center"/>
          </w:tcPr>
          <w:p w14:paraId="02F06F68"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89</w:t>
            </w:r>
          </w:p>
        </w:tc>
      </w:tr>
      <w:tr w:rsidR="00D12939" w14:paraId="7EB2A6D2"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4ACA8C2F"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5770B78C"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3913" w:type="dxa"/>
            <w:gridSpan w:val="3"/>
            <w:tcBorders>
              <w:top w:val="single" w:sz="4" w:space="0" w:color="auto"/>
              <w:left w:val="single" w:sz="4" w:space="0" w:color="auto"/>
              <w:bottom w:val="single" w:sz="4" w:space="0" w:color="auto"/>
              <w:right w:val="single" w:sz="4" w:space="0" w:color="auto"/>
            </w:tcBorders>
            <w:vAlign w:val="center"/>
          </w:tcPr>
          <w:p w14:paraId="1A3E52D9"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其他异物</w:t>
            </w:r>
          </w:p>
        </w:tc>
        <w:tc>
          <w:tcPr>
            <w:tcW w:w="4373" w:type="dxa"/>
            <w:tcBorders>
              <w:top w:val="single" w:sz="4" w:space="0" w:color="auto"/>
              <w:left w:val="single" w:sz="4" w:space="0" w:color="auto"/>
              <w:bottom w:val="single" w:sz="4" w:space="0" w:color="auto"/>
              <w:right w:val="single" w:sz="4" w:space="0" w:color="auto"/>
            </w:tcBorders>
            <w:vAlign w:val="center"/>
          </w:tcPr>
          <w:p w14:paraId="63FD1244"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无</w:t>
            </w:r>
          </w:p>
        </w:tc>
      </w:tr>
      <w:tr w:rsidR="00D12939" w14:paraId="71372E30"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26B6CA9D"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4D87BA7B"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2183" w:type="dxa"/>
            <w:gridSpan w:val="2"/>
            <w:tcBorders>
              <w:top w:val="single" w:sz="4" w:space="0" w:color="auto"/>
              <w:left w:val="single" w:sz="4" w:space="0" w:color="auto"/>
              <w:bottom w:val="single" w:sz="4" w:space="0" w:color="auto"/>
              <w:right w:val="single" w:sz="4" w:space="0" w:color="auto"/>
            </w:tcBorders>
            <w:vAlign w:val="center"/>
          </w:tcPr>
          <w:p w14:paraId="6B09EB87"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阳离子交换量</w:t>
            </w:r>
          </w:p>
        </w:tc>
        <w:tc>
          <w:tcPr>
            <w:tcW w:w="1730" w:type="dxa"/>
            <w:tcBorders>
              <w:top w:val="single" w:sz="4" w:space="0" w:color="auto"/>
              <w:left w:val="single" w:sz="4" w:space="0" w:color="auto"/>
              <w:bottom w:val="single" w:sz="4" w:space="0" w:color="auto"/>
              <w:right w:val="single" w:sz="4" w:space="0" w:color="auto"/>
            </w:tcBorders>
            <w:vAlign w:val="center"/>
          </w:tcPr>
          <w:p w14:paraId="769D9AFE"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w:t>
            </w:r>
            <w:r>
              <w:rPr>
                <w:rFonts w:ascii="Times New Roman" w:eastAsia="宋体" w:hAnsi="Times New Roman" w:cs="Times New Roman"/>
                <w:sz w:val="24"/>
                <w:lang w:eastAsia="en-US" w:bidi="en-US"/>
              </w:rPr>
              <w:t>cmol</w:t>
            </w:r>
            <w:r>
              <w:rPr>
                <w:rFonts w:ascii="Times New Roman" w:eastAsia="宋体" w:hAnsi="Times New Roman" w:cs="Times New Roman"/>
                <w:position w:val="8"/>
                <w:sz w:val="15"/>
                <w:lang w:eastAsia="en-US" w:bidi="en-US"/>
              </w:rPr>
              <w:t>+</w:t>
            </w:r>
            <w:r>
              <w:rPr>
                <w:rFonts w:ascii="Times New Roman" w:eastAsia="宋体" w:hAnsi="Times New Roman" w:cs="Times New Roman"/>
                <w:sz w:val="24"/>
                <w:lang w:eastAsia="en-US" w:bidi="en-US"/>
              </w:rPr>
              <w:t>/kg</w:t>
            </w:r>
            <w:r>
              <w:rPr>
                <w:rFonts w:ascii="Times New Roman" w:eastAsia="宋体" w:hAnsi="Times New Roman" w:cs="Times New Roman"/>
                <w:sz w:val="24"/>
                <w:lang w:eastAsia="en-US" w:bidi="en-US"/>
              </w:rPr>
              <w:t>）</w:t>
            </w:r>
          </w:p>
        </w:tc>
        <w:tc>
          <w:tcPr>
            <w:tcW w:w="4373" w:type="dxa"/>
            <w:tcBorders>
              <w:top w:val="single" w:sz="4" w:space="0" w:color="auto"/>
              <w:left w:val="single" w:sz="4" w:space="0" w:color="auto"/>
              <w:bottom w:val="single" w:sz="4" w:space="0" w:color="auto"/>
              <w:right w:val="single" w:sz="4" w:space="0" w:color="auto"/>
            </w:tcBorders>
            <w:vAlign w:val="center"/>
          </w:tcPr>
          <w:p w14:paraId="174FF358"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4.4</w:t>
            </w:r>
          </w:p>
        </w:tc>
      </w:tr>
      <w:tr w:rsidR="00D12939" w14:paraId="7F46A54D"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6CF3E29E"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6349B8EA"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2183" w:type="dxa"/>
            <w:gridSpan w:val="2"/>
            <w:tcBorders>
              <w:top w:val="single" w:sz="4" w:space="0" w:color="auto"/>
              <w:left w:val="single" w:sz="4" w:space="0" w:color="auto"/>
              <w:bottom w:val="single" w:sz="4" w:space="0" w:color="auto"/>
              <w:right w:val="single" w:sz="4" w:space="0" w:color="auto"/>
            </w:tcBorders>
            <w:vAlign w:val="center"/>
          </w:tcPr>
          <w:p w14:paraId="1E47CA0B"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氧化还原电位</w:t>
            </w:r>
          </w:p>
        </w:tc>
        <w:tc>
          <w:tcPr>
            <w:tcW w:w="1730" w:type="dxa"/>
            <w:tcBorders>
              <w:top w:val="single" w:sz="4" w:space="0" w:color="auto"/>
              <w:left w:val="single" w:sz="4" w:space="0" w:color="auto"/>
              <w:bottom w:val="single" w:sz="4" w:space="0" w:color="auto"/>
              <w:right w:val="single" w:sz="4" w:space="0" w:color="auto"/>
            </w:tcBorders>
            <w:vAlign w:val="center"/>
          </w:tcPr>
          <w:p w14:paraId="431EC417"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w:t>
            </w:r>
            <w:r>
              <w:rPr>
                <w:rFonts w:ascii="Times New Roman" w:eastAsia="宋体" w:hAnsi="Times New Roman" w:cs="Times New Roman"/>
                <w:sz w:val="24"/>
                <w:lang w:eastAsia="en-US" w:bidi="en-US"/>
              </w:rPr>
              <w:t>mV</w:t>
            </w:r>
            <w:r>
              <w:rPr>
                <w:rFonts w:ascii="Times New Roman" w:eastAsia="宋体" w:hAnsi="Times New Roman" w:cs="Times New Roman"/>
                <w:sz w:val="24"/>
                <w:lang w:eastAsia="en-US" w:bidi="en-US"/>
              </w:rPr>
              <w:t>）</w:t>
            </w:r>
          </w:p>
        </w:tc>
        <w:tc>
          <w:tcPr>
            <w:tcW w:w="4373" w:type="dxa"/>
            <w:tcBorders>
              <w:top w:val="single" w:sz="4" w:space="0" w:color="auto"/>
              <w:left w:val="single" w:sz="4" w:space="0" w:color="auto"/>
              <w:bottom w:val="single" w:sz="4" w:space="0" w:color="auto"/>
              <w:right w:val="single" w:sz="4" w:space="0" w:color="auto"/>
            </w:tcBorders>
            <w:vAlign w:val="center"/>
          </w:tcPr>
          <w:p w14:paraId="0E5573C2"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450</w:t>
            </w:r>
          </w:p>
        </w:tc>
      </w:tr>
      <w:tr w:rsidR="00D12939" w14:paraId="3185D456"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54407448"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47B9CAFE"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1223" w:type="dxa"/>
            <w:vMerge w:val="restart"/>
            <w:tcBorders>
              <w:top w:val="single" w:sz="4" w:space="0" w:color="auto"/>
              <w:left w:val="single" w:sz="4" w:space="0" w:color="auto"/>
              <w:bottom w:val="single" w:sz="4" w:space="0" w:color="auto"/>
              <w:right w:val="single" w:sz="4" w:space="0" w:color="auto"/>
            </w:tcBorders>
            <w:vAlign w:val="center"/>
          </w:tcPr>
          <w:p w14:paraId="3DAD4E23"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土壤渗透性</w:t>
            </w:r>
          </w:p>
        </w:tc>
        <w:tc>
          <w:tcPr>
            <w:tcW w:w="960" w:type="dxa"/>
            <w:tcBorders>
              <w:top w:val="single" w:sz="4" w:space="0" w:color="auto"/>
              <w:left w:val="single" w:sz="4" w:space="0" w:color="auto"/>
              <w:bottom w:val="single" w:sz="4" w:space="0" w:color="auto"/>
              <w:right w:val="single" w:sz="4" w:space="0" w:color="auto"/>
            </w:tcBorders>
            <w:vAlign w:val="center"/>
          </w:tcPr>
          <w:p w14:paraId="3C9B62B7"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w w:val="105"/>
                <w:position w:val="2"/>
                <w:sz w:val="24"/>
                <w:lang w:eastAsia="en-US" w:bidi="en-US"/>
              </w:rPr>
              <w:t>K</w:t>
            </w:r>
            <w:r>
              <w:rPr>
                <w:rFonts w:ascii="Times New Roman" w:eastAsia="宋体" w:hAnsi="Times New Roman" w:cs="Times New Roman"/>
                <w:w w:val="105"/>
                <w:position w:val="2"/>
                <w:sz w:val="24"/>
                <w:vertAlign w:val="subscript"/>
                <w:lang w:eastAsia="en-US" w:bidi="en-US"/>
              </w:rPr>
              <w:t>18</w:t>
            </w:r>
          </w:p>
        </w:tc>
        <w:tc>
          <w:tcPr>
            <w:tcW w:w="1730" w:type="dxa"/>
            <w:tcBorders>
              <w:top w:val="single" w:sz="4" w:space="0" w:color="auto"/>
              <w:left w:val="single" w:sz="4" w:space="0" w:color="auto"/>
              <w:bottom w:val="single" w:sz="4" w:space="0" w:color="auto"/>
              <w:right w:val="single" w:sz="4" w:space="0" w:color="auto"/>
            </w:tcBorders>
            <w:vAlign w:val="center"/>
          </w:tcPr>
          <w:p w14:paraId="3026E3B1"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(mm/min)</w:t>
            </w:r>
          </w:p>
        </w:tc>
        <w:tc>
          <w:tcPr>
            <w:tcW w:w="4373" w:type="dxa"/>
            <w:tcBorders>
              <w:top w:val="single" w:sz="4" w:space="0" w:color="auto"/>
              <w:left w:val="single" w:sz="4" w:space="0" w:color="auto"/>
              <w:bottom w:val="single" w:sz="4" w:space="0" w:color="auto"/>
              <w:right w:val="single" w:sz="4" w:space="0" w:color="auto"/>
            </w:tcBorders>
            <w:vAlign w:val="center"/>
          </w:tcPr>
          <w:p w14:paraId="5EF9D5A4"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0.39</w:t>
            </w:r>
          </w:p>
        </w:tc>
      </w:tr>
      <w:tr w:rsidR="00D12939" w14:paraId="3A65F668"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762FC653"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21D84B40"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1223" w:type="dxa"/>
            <w:vMerge/>
            <w:tcBorders>
              <w:top w:val="single" w:sz="4" w:space="0" w:color="auto"/>
              <w:left w:val="single" w:sz="4" w:space="0" w:color="auto"/>
              <w:bottom w:val="single" w:sz="4" w:space="0" w:color="auto"/>
              <w:right w:val="single" w:sz="4" w:space="0" w:color="auto"/>
            </w:tcBorders>
            <w:vAlign w:val="center"/>
          </w:tcPr>
          <w:p w14:paraId="01CB9BB6"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960" w:type="dxa"/>
            <w:tcBorders>
              <w:top w:val="single" w:sz="4" w:space="0" w:color="auto"/>
              <w:left w:val="single" w:sz="4" w:space="0" w:color="auto"/>
              <w:bottom w:val="single" w:sz="4" w:space="0" w:color="auto"/>
              <w:right w:val="single" w:sz="4" w:space="0" w:color="auto"/>
            </w:tcBorders>
            <w:vAlign w:val="center"/>
          </w:tcPr>
          <w:p w14:paraId="7B215733"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w w:val="105"/>
                <w:position w:val="2"/>
                <w:sz w:val="24"/>
                <w:lang w:eastAsia="en-US" w:bidi="en-US"/>
              </w:rPr>
              <w:t>K</w:t>
            </w:r>
            <w:r>
              <w:rPr>
                <w:rFonts w:ascii="Times New Roman" w:eastAsia="宋体" w:hAnsi="Times New Roman" w:cs="Times New Roman"/>
                <w:w w:val="105"/>
                <w:position w:val="2"/>
                <w:sz w:val="24"/>
                <w:vertAlign w:val="subscript"/>
                <w:lang w:eastAsia="en-US" w:bidi="en-US"/>
              </w:rPr>
              <w:t>10</w:t>
            </w:r>
          </w:p>
        </w:tc>
        <w:tc>
          <w:tcPr>
            <w:tcW w:w="1730" w:type="dxa"/>
            <w:tcBorders>
              <w:top w:val="single" w:sz="4" w:space="0" w:color="auto"/>
              <w:left w:val="single" w:sz="4" w:space="0" w:color="auto"/>
              <w:bottom w:val="single" w:sz="4" w:space="0" w:color="auto"/>
              <w:right w:val="single" w:sz="4" w:space="0" w:color="auto"/>
            </w:tcBorders>
            <w:vAlign w:val="center"/>
          </w:tcPr>
          <w:p w14:paraId="491B47AD"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(mm/min)</w:t>
            </w:r>
          </w:p>
        </w:tc>
        <w:tc>
          <w:tcPr>
            <w:tcW w:w="4373" w:type="dxa"/>
            <w:tcBorders>
              <w:top w:val="single" w:sz="4" w:space="0" w:color="auto"/>
              <w:left w:val="single" w:sz="4" w:space="0" w:color="auto"/>
              <w:bottom w:val="single" w:sz="4" w:space="0" w:color="auto"/>
              <w:right w:val="single" w:sz="4" w:space="0" w:color="auto"/>
            </w:tcBorders>
            <w:vAlign w:val="center"/>
          </w:tcPr>
          <w:p w14:paraId="369983E7"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0.31</w:t>
            </w:r>
          </w:p>
        </w:tc>
      </w:tr>
      <w:tr w:rsidR="00D12939" w14:paraId="4D3A26FE"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74AAC42D"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5634EEBA"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2183" w:type="dxa"/>
            <w:gridSpan w:val="2"/>
            <w:tcBorders>
              <w:top w:val="single" w:sz="4" w:space="0" w:color="auto"/>
              <w:left w:val="single" w:sz="4" w:space="0" w:color="auto"/>
              <w:bottom w:val="single" w:sz="4" w:space="0" w:color="auto"/>
              <w:right w:val="single" w:sz="4" w:space="0" w:color="auto"/>
            </w:tcBorders>
            <w:vAlign w:val="center"/>
          </w:tcPr>
          <w:p w14:paraId="47B7437D"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土壤容重</w:t>
            </w:r>
          </w:p>
        </w:tc>
        <w:tc>
          <w:tcPr>
            <w:tcW w:w="1730" w:type="dxa"/>
            <w:tcBorders>
              <w:top w:val="single" w:sz="4" w:space="0" w:color="auto"/>
              <w:left w:val="single" w:sz="4" w:space="0" w:color="auto"/>
              <w:bottom w:val="single" w:sz="4" w:space="0" w:color="auto"/>
              <w:right w:val="single" w:sz="4" w:space="0" w:color="auto"/>
            </w:tcBorders>
            <w:vAlign w:val="center"/>
          </w:tcPr>
          <w:p w14:paraId="5CA4FE28"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(g/cm</w:t>
            </w:r>
            <w:r>
              <w:rPr>
                <w:rFonts w:ascii="Times New Roman" w:eastAsia="宋体" w:hAnsi="Times New Roman" w:cs="Times New Roman"/>
                <w:position w:val="8"/>
                <w:sz w:val="15"/>
                <w:lang w:eastAsia="en-US" w:bidi="en-US"/>
              </w:rPr>
              <w:t>3</w:t>
            </w:r>
            <w:r>
              <w:rPr>
                <w:rFonts w:ascii="Times New Roman" w:eastAsia="宋体" w:hAnsi="Times New Roman" w:cs="Times New Roman"/>
                <w:sz w:val="24"/>
                <w:lang w:eastAsia="en-US" w:bidi="en-US"/>
              </w:rPr>
              <w:t>)</w:t>
            </w:r>
          </w:p>
        </w:tc>
        <w:tc>
          <w:tcPr>
            <w:tcW w:w="4373" w:type="dxa"/>
            <w:tcBorders>
              <w:top w:val="single" w:sz="4" w:space="0" w:color="auto"/>
              <w:left w:val="single" w:sz="4" w:space="0" w:color="auto"/>
              <w:bottom w:val="single" w:sz="4" w:space="0" w:color="auto"/>
              <w:right w:val="single" w:sz="4" w:space="0" w:color="auto"/>
            </w:tcBorders>
            <w:vAlign w:val="center"/>
          </w:tcPr>
          <w:p w14:paraId="40B72603"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1.26</w:t>
            </w:r>
          </w:p>
        </w:tc>
      </w:tr>
      <w:tr w:rsidR="00D12939" w14:paraId="685A4C3E" w14:textId="77777777">
        <w:trPr>
          <w:jc w:val="center"/>
        </w:trPr>
        <w:tc>
          <w:tcPr>
            <w:tcW w:w="1332" w:type="dxa"/>
            <w:vMerge/>
            <w:tcBorders>
              <w:top w:val="single" w:sz="4" w:space="0" w:color="auto"/>
              <w:left w:val="single" w:sz="4" w:space="0" w:color="auto"/>
              <w:bottom w:val="single" w:sz="4" w:space="0" w:color="auto"/>
              <w:right w:val="single" w:sz="4" w:space="0" w:color="auto"/>
            </w:tcBorders>
            <w:vAlign w:val="center"/>
          </w:tcPr>
          <w:p w14:paraId="4AF6B950"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841" w:type="dxa"/>
            <w:vMerge/>
            <w:tcBorders>
              <w:top w:val="single" w:sz="4" w:space="0" w:color="auto"/>
              <w:left w:val="single" w:sz="4" w:space="0" w:color="auto"/>
              <w:bottom w:val="single" w:sz="4" w:space="0" w:color="auto"/>
              <w:right w:val="single" w:sz="4" w:space="0" w:color="auto"/>
            </w:tcBorders>
            <w:vAlign w:val="center"/>
          </w:tcPr>
          <w:p w14:paraId="76300023" w14:textId="77777777" w:rsidR="00D12939" w:rsidRDefault="00D12939">
            <w:pPr>
              <w:autoSpaceDE w:val="0"/>
              <w:autoSpaceDN w:val="0"/>
              <w:jc w:val="center"/>
              <w:rPr>
                <w:rFonts w:ascii="Times New Roman" w:eastAsia="宋体" w:hAnsi="Times New Roman" w:cs="Times New Roman"/>
                <w:kern w:val="0"/>
                <w:sz w:val="2"/>
                <w:szCs w:val="2"/>
                <w:lang w:eastAsia="en-US" w:bidi="en-US"/>
              </w:rPr>
            </w:pPr>
          </w:p>
        </w:tc>
        <w:tc>
          <w:tcPr>
            <w:tcW w:w="2183" w:type="dxa"/>
            <w:gridSpan w:val="2"/>
            <w:tcBorders>
              <w:top w:val="single" w:sz="4" w:space="0" w:color="auto"/>
              <w:left w:val="single" w:sz="4" w:space="0" w:color="auto"/>
              <w:bottom w:val="single" w:sz="4" w:space="0" w:color="auto"/>
              <w:right w:val="single" w:sz="4" w:space="0" w:color="auto"/>
            </w:tcBorders>
            <w:vAlign w:val="center"/>
          </w:tcPr>
          <w:p w14:paraId="2A8222E5"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总孔隙度</w:t>
            </w:r>
          </w:p>
        </w:tc>
        <w:tc>
          <w:tcPr>
            <w:tcW w:w="1730" w:type="dxa"/>
            <w:tcBorders>
              <w:top w:val="single" w:sz="4" w:space="0" w:color="auto"/>
              <w:left w:val="single" w:sz="4" w:space="0" w:color="auto"/>
              <w:bottom w:val="single" w:sz="4" w:space="0" w:color="auto"/>
              <w:right w:val="single" w:sz="4" w:space="0" w:color="auto"/>
            </w:tcBorders>
            <w:vAlign w:val="center"/>
          </w:tcPr>
          <w:p w14:paraId="5D817F7C"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w:t>
            </w:r>
            <w:r>
              <w:rPr>
                <w:rFonts w:ascii="Times New Roman" w:eastAsia="宋体" w:hAnsi="Times New Roman" w:cs="Times New Roman"/>
                <w:sz w:val="24"/>
                <w:lang w:eastAsia="en-US" w:bidi="en-US"/>
              </w:rPr>
              <w:t>%</w:t>
            </w:r>
            <w:r>
              <w:rPr>
                <w:rFonts w:ascii="Times New Roman" w:eastAsia="宋体" w:hAnsi="Times New Roman" w:cs="Times New Roman"/>
                <w:sz w:val="24"/>
                <w:lang w:eastAsia="en-US" w:bidi="en-US"/>
              </w:rPr>
              <w:t>）</w:t>
            </w:r>
          </w:p>
        </w:tc>
        <w:tc>
          <w:tcPr>
            <w:tcW w:w="4373" w:type="dxa"/>
            <w:tcBorders>
              <w:top w:val="single" w:sz="4" w:space="0" w:color="auto"/>
              <w:left w:val="single" w:sz="4" w:space="0" w:color="auto"/>
              <w:bottom w:val="single" w:sz="4" w:space="0" w:color="auto"/>
              <w:right w:val="single" w:sz="4" w:space="0" w:color="auto"/>
            </w:tcBorders>
            <w:vAlign w:val="center"/>
          </w:tcPr>
          <w:p w14:paraId="4C049F26" w14:textId="77777777" w:rsidR="00D12939" w:rsidRDefault="004F47F5">
            <w:pPr>
              <w:autoSpaceDE w:val="0"/>
              <w:autoSpaceDN w:val="0"/>
              <w:jc w:val="center"/>
              <w:rPr>
                <w:rFonts w:ascii="Times New Roman" w:eastAsia="宋体" w:hAnsi="Times New Roman" w:cs="Times New Roman"/>
                <w:sz w:val="24"/>
                <w:lang w:eastAsia="en-US" w:bidi="en-US"/>
              </w:rPr>
            </w:pPr>
            <w:r>
              <w:rPr>
                <w:rFonts w:ascii="Times New Roman" w:eastAsia="宋体" w:hAnsi="Times New Roman" w:cs="Times New Roman"/>
                <w:sz w:val="24"/>
                <w:lang w:eastAsia="en-US" w:bidi="en-US"/>
              </w:rPr>
              <w:t>40.3</w:t>
            </w:r>
          </w:p>
        </w:tc>
      </w:tr>
    </w:tbl>
    <w:p w14:paraId="6B2BE5C0"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由表</w:t>
      </w:r>
      <w:r>
        <w:rPr>
          <w:rFonts w:ascii="Times New Roman" w:eastAsia="宋体" w:hAnsi="Times New Roman" w:cs="Times New Roman"/>
          <w:kern w:val="0"/>
          <w:sz w:val="24"/>
          <w:szCs w:val="24"/>
        </w:rPr>
        <w:t>5.2-1</w:t>
      </w:r>
      <w:r>
        <w:rPr>
          <w:rFonts w:ascii="Times New Roman" w:eastAsia="宋体" w:hAnsi="Times New Roman" w:cs="Times New Roman" w:hint="eastAsia"/>
          <w:kern w:val="0"/>
          <w:sz w:val="24"/>
          <w:szCs w:val="24"/>
        </w:rPr>
        <w:t>4</w:t>
      </w:r>
      <w:r>
        <w:rPr>
          <w:rFonts w:ascii="Times New Roman" w:eastAsia="宋体" w:hAnsi="Times New Roman" w:cs="Times New Roman"/>
          <w:kern w:val="0"/>
          <w:sz w:val="24"/>
          <w:szCs w:val="24"/>
        </w:rPr>
        <w:t>监测结果对照标准可以看出，厂区内各监测点位监测因子均满足《土壤环境质量</w:t>
      </w:r>
      <w:r>
        <w:rPr>
          <w:rFonts w:ascii="Times New Roman" w:eastAsia="宋体" w:hAnsi="Times New Roman" w:cs="Times New Roman"/>
          <w:kern w:val="0"/>
          <w:sz w:val="24"/>
          <w:szCs w:val="24"/>
        </w:rPr>
        <w:t xml:space="preserve">  </w:t>
      </w:r>
      <w:r>
        <w:rPr>
          <w:rFonts w:ascii="Times New Roman" w:eastAsia="宋体" w:hAnsi="Times New Roman" w:cs="Times New Roman"/>
          <w:kern w:val="0"/>
          <w:sz w:val="24"/>
          <w:szCs w:val="24"/>
        </w:rPr>
        <w:t>建设用地土壤污染管控标准（试行）》（</w:t>
      </w:r>
      <w:r>
        <w:rPr>
          <w:rFonts w:ascii="Times New Roman" w:eastAsia="宋体" w:hAnsi="Times New Roman" w:cs="Times New Roman"/>
          <w:kern w:val="0"/>
          <w:sz w:val="24"/>
          <w:szCs w:val="24"/>
        </w:rPr>
        <w:t>GB36600-2018</w:t>
      </w:r>
      <w:r>
        <w:rPr>
          <w:rFonts w:ascii="Times New Roman" w:eastAsia="宋体" w:hAnsi="Times New Roman" w:cs="Times New Roman"/>
          <w:kern w:val="0"/>
          <w:sz w:val="24"/>
          <w:szCs w:val="24"/>
        </w:rPr>
        <w:t>）表</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、表</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第二类用地筛选值，表明项目区土壤环境质量现状良好。</w:t>
      </w:r>
    </w:p>
    <w:p w14:paraId="0E19E0ED"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29" w:name="_Toc60666767"/>
      <w:bookmarkStart w:id="430" w:name="_Toc60667393"/>
      <w:bookmarkStart w:id="431" w:name="_Toc121411754"/>
      <w:bookmarkStart w:id="432" w:name="_Toc60667080"/>
      <w:r>
        <w:rPr>
          <w:rFonts w:ascii="Times New Roman" w:eastAsia="黑体" w:hAnsi="Times New Roman" w:cs="Times New Roman"/>
          <w:b w:val="0"/>
          <w:sz w:val="24"/>
        </w:rPr>
        <w:t xml:space="preserve">5.3.6 </w:t>
      </w:r>
      <w:r>
        <w:rPr>
          <w:rFonts w:ascii="Times New Roman" w:eastAsia="黑体" w:hAnsi="Times New Roman" w:cs="Times New Roman" w:hint="eastAsia"/>
          <w:b w:val="0"/>
          <w:sz w:val="24"/>
        </w:rPr>
        <w:t>声环境</w:t>
      </w:r>
      <w:r>
        <w:rPr>
          <w:rFonts w:ascii="Times New Roman" w:eastAsia="黑体" w:hAnsi="Times New Roman" w:cs="Times New Roman"/>
          <w:b w:val="0"/>
          <w:sz w:val="24"/>
        </w:rPr>
        <w:t>质量现状调查与评价</w:t>
      </w:r>
      <w:bookmarkEnd w:id="429"/>
      <w:bookmarkEnd w:id="430"/>
      <w:bookmarkEnd w:id="431"/>
      <w:bookmarkEnd w:id="432"/>
    </w:p>
    <w:p w14:paraId="11D6A66A" w14:textId="77777777" w:rsidR="00D12939" w:rsidRDefault="004F47F5">
      <w:pPr>
        <w:spacing w:line="360" w:lineRule="auto"/>
        <w:ind w:firstLine="480"/>
        <w:rPr>
          <w:rFonts w:ascii="Times New Roman" w:eastAsia="宋体" w:hAnsi="Times New Roman" w:cs="Times New Roman"/>
          <w:sz w:val="24"/>
          <w:szCs w:val="24"/>
        </w:rPr>
      </w:pPr>
      <w:bookmarkStart w:id="433" w:name="_Toc41500979"/>
      <w:bookmarkStart w:id="434" w:name="_Toc41467422"/>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）监测点位</w:t>
      </w:r>
      <w:bookmarkEnd w:id="433"/>
      <w:bookmarkEnd w:id="434"/>
    </w:p>
    <w:p w14:paraId="72BADA77"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 xml:space="preserve">9 </w:t>
      </w:r>
      <w:r>
        <w:rPr>
          <w:rFonts w:ascii="Times New Roman" w:eastAsia="宋体" w:hAnsi="Times New Roman" w:cs="Times New Roman"/>
          <w:sz w:val="24"/>
          <w:szCs w:val="24"/>
        </w:rPr>
        <w:t>个监测点位；项目地北侧、项目地西侧</w:t>
      </w:r>
      <w:r>
        <w:rPr>
          <w:rFonts w:ascii="Times New Roman" w:eastAsia="宋体" w:hAnsi="Times New Roman" w:cs="Times New Roman"/>
          <w:sz w:val="24"/>
          <w:szCs w:val="24"/>
        </w:rPr>
        <w:t xml:space="preserve"> 1 </w:t>
      </w:r>
      <w:r>
        <w:rPr>
          <w:rFonts w:ascii="Times New Roman" w:eastAsia="宋体" w:hAnsi="Times New Roman" w:cs="Times New Roman"/>
          <w:sz w:val="24"/>
          <w:szCs w:val="24"/>
        </w:rPr>
        <w:t>号点、项目地西侧</w:t>
      </w:r>
      <w:r>
        <w:rPr>
          <w:rFonts w:ascii="Times New Roman" w:eastAsia="宋体" w:hAnsi="Times New Roman" w:cs="Times New Roman"/>
          <w:sz w:val="24"/>
          <w:szCs w:val="24"/>
        </w:rPr>
        <w:t xml:space="preserve"> 2 </w:t>
      </w:r>
      <w:r>
        <w:rPr>
          <w:rFonts w:ascii="Times New Roman" w:eastAsia="宋体" w:hAnsi="Times New Roman" w:cs="Times New Roman"/>
          <w:sz w:val="24"/>
          <w:szCs w:val="24"/>
        </w:rPr>
        <w:t>号点、项目地西侧</w:t>
      </w:r>
      <w:r>
        <w:rPr>
          <w:rFonts w:ascii="Times New Roman" w:eastAsia="宋体" w:hAnsi="Times New Roman" w:cs="Times New Roman"/>
          <w:sz w:val="24"/>
          <w:szCs w:val="24"/>
        </w:rPr>
        <w:t xml:space="preserve"> 3 </w:t>
      </w:r>
      <w:r>
        <w:rPr>
          <w:rFonts w:ascii="Times New Roman" w:eastAsia="宋体" w:hAnsi="Times New Roman" w:cs="Times New Roman"/>
          <w:sz w:val="24"/>
          <w:szCs w:val="24"/>
        </w:rPr>
        <w:t>号点、项目地南侧</w:t>
      </w:r>
      <w:r>
        <w:rPr>
          <w:rFonts w:ascii="Times New Roman" w:eastAsia="宋体" w:hAnsi="Times New Roman" w:cs="Times New Roman"/>
          <w:sz w:val="24"/>
          <w:szCs w:val="24"/>
        </w:rPr>
        <w:t xml:space="preserve"> 1 </w:t>
      </w:r>
      <w:r>
        <w:rPr>
          <w:rFonts w:ascii="Times New Roman" w:eastAsia="宋体" w:hAnsi="Times New Roman" w:cs="Times New Roman"/>
          <w:sz w:val="24"/>
          <w:szCs w:val="24"/>
        </w:rPr>
        <w:t>号点、项目地南侧</w:t>
      </w:r>
      <w:r>
        <w:rPr>
          <w:rFonts w:ascii="Times New Roman" w:eastAsia="宋体" w:hAnsi="Times New Roman" w:cs="Times New Roman"/>
          <w:sz w:val="24"/>
          <w:szCs w:val="24"/>
        </w:rPr>
        <w:t xml:space="preserve"> 2 </w:t>
      </w:r>
      <w:r>
        <w:rPr>
          <w:rFonts w:ascii="Times New Roman" w:eastAsia="宋体" w:hAnsi="Times New Roman" w:cs="Times New Roman"/>
          <w:sz w:val="24"/>
          <w:szCs w:val="24"/>
        </w:rPr>
        <w:t>号点、项目地南侧</w:t>
      </w:r>
      <w:r>
        <w:rPr>
          <w:rFonts w:ascii="Times New Roman" w:eastAsia="宋体" w:hAnsi="Times New Roman" w:cs="Times New Roman"/>
          <w:sz w:val="24"/>
          <w:szCs w:val="24"/>
        </w:rPr>
        <w:t xml:space="preserve"> 3 </w:t>
      </w:r>
      <w:r>
        <w:rPr>
          <w:rFonts w:ascii="Times New Roman" w:eastAsia="宋体" w:hAnsi="Times New Roman" w:cs="Times New Roman"/>
          <w:sz w:val="24"/>
          <w:szCs w:val="24"/>
        </w:rPr>
        <w:t>号点、项目地东侧</w:t>
      </w:r>
      <w:r>
        <w:rPr>
          <w:rFonts w:ascii="Times New Roman" w:eastAsia="宋体" w:hAnsi="Times New Roman" w:cs="Times New Roman"/>
          <w:sz w:val="24"/>
          <w:szCs w:val="24"/>
        </w:rPr>
        <w:t xml:space="preserve"> 1 </w:t>
      </w:r>
      <w:r>
        <w:rPr>
          <w:rFonts w:ascii="Times New Roman" w:eastAsia="宋体" w:hAnsi="Times New Roman" w:cs="Times New Roman"/>
          <w:sz w:val="24"/>
          <w:szCs w:val="24"/>
        </w:rPr>
        <w:t>号点、项目地东侧</w:t>
      </w:r>
      <w:r>
        <w:rPr>
          <w:rFonts w:ascii="Times New Roman" w:eastAsia="宋体" w:hAnsi="Times New Roman" w:cs="Times New Roman"/>
          <w:sz w:val="24"/>
          <w:szCs w:val="24"/>
        </w:rPr>
        <w:t xml:space="preserve"> 2 </w:t>
      </w:r>
      <w:r>
        <w:rPr>
          <w:rFonts w:ascii="Times New Roman" w:eastAsia="宋体" w:hAnsi="Times New Roman" w:cs="Times New Roman"/>
          <w:sz w:val="24"/>
          <w:szCs w:val="24"/>
        </w:rPr>
        <w:t>号点。声环境质量现状监测点位布置见图</w:t>
      </w:r>
      <w:r>
        <w:rPr>
          <w:rFonts w:ascii="Times New Roman" w:eastAsia="宋体" w:hAnsi="Times New Roman" w:cs="Times New Roman"/>
          <w:sz w:val="24"/>
          <w:szCs w:val="24"/>
        </w:rPr>
        <w:t>5.2-3</w:t>
      </w:r>
      <w:r>
        <w:rPr>
          <w:rFonts w:ascii="Times New Roman" w:eastAsia="宋体" w:hAnsi="Times New Roman" w:cs="Times New Roman"/>
          <w:sz w:val="24"/>
          <w:szCs w:val="24"/>
        </w:rPr>
        <w:t>。</w:t>
      </w:r>
    </w:p>
    <w:p w14:paraId="055BFCA6" w14:textId="77777777" w:rsidR="00D12939" w:rsidRDefault="004F47F5">
      <w:pPr>
        <w:ind w:firstLineChars="200" w:firstLine="420"/>
        <w:jc w:val="center"/>
      </w:pPr>
      <w:r>
        <w:rPr>
          <w:noProof/>
        </w:rPr>
        <w:drawing>
          <wp:inline distT="0" distB="0" distL="114300" distR="114300">
            <wp:extent cx="3809365" cy="2995930"/>
            <wp:effectExtent l="0" t="0" r="635" b="0"/>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49"/>
                    <a:stretch>
                      <a:fillRect/>
                    </a:stretch>
                  </pic:blipFill>
                  <pic:spPr>
                    <a:xfrm>
                      <a:off x="0" y="0"/>
                      <a:ext cx="3814710" cy="3000264"/>
                    </a:xfrm>
                    <a:prstGeom prst="rect">
                      <a:avLst/>
                    </a:prstGeom>
                    <a:noFill/>
                    <a:ln>
                      <a:noFill/>
                    </a:ln>
                  </pic:spPr>
                </pic:pic>
              </a:graphicData>
            </a:graphic>
          </wp:inline>
        </w:drawing>
      </w:r>
    </w:p>
    <w:p w14:paraId="34F811B2" w14:textId="77777777" w:rsidR="00D12939" w:rsidRDefault="004F47F5">
      <w:pPr>
        <w:pStyle w:val="2"/>
        <w:ind w:firstLine="480"/>
        <w:jc w:val="center"/>
      </w:pPr>
      <w:bookmarkStart w:id="435" w:name="_Toc121411755"/>
      <w:r>
        <w:rPr>
          <w:rFonts w:hint="eastAsia"/>
        </w:rPr>
        <w:lastRenderedPageBreak/>
        <w:t>图</w:t>
      </w:r>
      <w:r>
        <w:rPr>
          <w:rFonts w:hint="eastAsia"/>
        </w:rPr>
        <w:t>5.2-</w:t>
      </w:r>
      <w:r>
        <w:t xml:space="preserve">3 </w:t>
      </w:r>
      <w:r>
        <w:rPr>
          <w:rFonts w:hint="eastAsia"/>
        </w:rPr>
        <w:t xml:space="preserve"> </w:t>
      </w:r>
      <w:r>
        <w:rPr>
          <w:rFonts w:hint="eastAsia"/>
        </w:rPr>
        <w:t>声现状监测点位示意图</w:t>
      </w:r>
      <w:bookmarkEnd w:id="435"/>
    </w:p>
    <w:p w14:paraId="2BCBA5A5" w14:textId="77777777" w:rsidR="00D12939" w:rsidRDefault="004F47F5">
      <w:pPr>
        <w:spacing w:line="360" w:lineRule="auto"/>
        <w:ind w:firstLine="480"/>
        <w:rPr>
          <w:rFonts w:ascii="Times New Roman" w:eastAsia="宋体" w:hAnsi="Times New Roman" w:cs="Times New Roman"/>
          <w:sz w:val="24"/>
          <w:szCs w:val="24"/>
        </w:rPr>
      </w:pPr>
      <w:bookmarkStart w:id="436" w:name="_Toc41467423"/>
      <w:bookmarkStart w:id="437" w:name="_Toc41500980"/>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）监测时间与频率</w:t>
      </w:r>
      <w:bookmarkEnd w:id="436"/>
      <w:bookmarkEnd w:id="437"/>
    </w:p>
    <w:p w14:paraId="3E9E6576"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本项目委托陕西速跑环境检测技术研究有限公司于</w:t>
      </w:r>
      <w:r>
        <w:rPr>
          <w:rFonts w:ascii="Times New Roman" w:eastAsia="宋体" w:hAnsi="Times New Roman" w:cs="Times New Roman"/>
          <w:sz w:val="24"/>
          <w:szCs w:val="24"/>
        </w:rPr>
        <w:t>202</w:t>
      </w:r>
      <w:r>
        <w:rPr>
          <w:rFonts w:ascii="Times New Roman" w:eastAsia="宋体" w:hAnsi="Times New Roman" w:cs="Times New Roman" w:hint="eastAsia"/>
          <w:sz w:val="24"/>
          <w:szCs w:val="24"/>
        </w:rPr>
        <w:t>2</w:t>
      </w:r>
      <w:r>
        <w:rPr>
          <w:rFonts w:ascii="Times New Roman" w:eastAsia="宋体" w:hAnsi="Times New Roman" w:cs="Times New Roman"/>
          <w:sz w:val="24"/>
          <w:szCs w:val="24"/>
        </w:rPr>
        <w:t>年</w:t>
      </w:r>
      <w:r>
        <w:rPr>
          <w:rFonts w:ascii="Times New Roman" w:eastAsia="宋体" w:hAnsi="Times New Roman" w:cs="Times New Roman"/>
          <w:sz w:val="24"/>
          <w:szCs w:val="24"/>
        </w:rPr>
        <w:t>1</w:t>
      </w:r>
      <w:r>
        <w:rPr>
          <w:rFonts w:ascii="Times New Roman" w:eastAsia="宋体" w:hAnsi="Times New Roman" w:cs="Times New Roman" w:hint="eastAsia"/>
          <w:sz w:val="24"/>
          <w:szCs w:val="24"/>
        </w:rPr>
        <w:t>1</w:t>
      </w:r>
      <w:r>
        <w:rPr>
          <w:rFonts w:ascii="Times New Roman" w:eastAsia="宋体" w:hAnsi="Times New Roman" w:cs="Times New Roman"/>
          <w:sz w:val="24"/>
          <w:szCs w:val="24"/>
        </w:rPr>
        <w:t>月对厂界四周的声环境质量进行监测，连续监测</w:t>
      </w:r>
      <w:r>
        <w:rPr>
          <w:rFonts w:ascii="Times New Roman" w:eastAsia="宋体" w:hAnsi="Times New Roman" w:cs="Times New Roman"/>
          <w:sz w:val="24"/>
          <w:szCs w:val="24"/>
        </w:rPr>
        <w:t xml:space="preserve"> 2 </w:t>
      </w:r>
      <w:r>
        <w:rPr>
          <w:rFonts w:ascii="Times New Roman" w:eastAsia="宋体" w:hAnsi="Times New Roman" w:cs="Times New Roman"/>
          <w:sz w:val="24"/>
          <w:szCs w:val="24"/>
        </w:rPr>
        <w:t>天，昼、夜各监测</w:t>
      </w:r>
      <w:r>
        <w:rPr>
          <w:rFonts w:ascii="Times New Roman" w:eastAsia="宋体" w:hAnsi="Times New Roman" w:cs="Times New Roman"/>
          <w:sz w:val="24"/>
          <w:szCs w:val="24"/>
        </w:rPr>
        <w:t xml:space="preserve"> 1 </w:t>
      </w:r>
      <w:r>
        <w:rPr>
          <w:rFonts w:ascii="Times New Roman" w:eastAsia="宋体" w:hAnsi="Times New Roman" w:cs="Times New Roman"/>
          <w:sz w:val="24"/>
          <w:szCs w:val="24"/>
        </w:rPr>
        <w:t>次。</w:t>
      </w:r>
    </w:p>
    <w:p w14:paraId="5DA73463" w14:textId="77777777" w:rsidR="00D12939" w:rsidRDefault="004F47F5">
      <w:pPr>
        <w:spacing w:line="360" w:lineRule="auto"/>
        <w:ind w:firstLine="480"/>
        <w:rPr>
          <w:rFonts w:ascii="Times New Roman" w:eastAsia="宋体" w:hAnsi="Times New Roman" w:cs="Times New Roman"/>
          <w:sz w:val="24"/>
          <w:szCs w:val="24"/>
        </w:rPr>
      </w:pPr>
      <w:bookmarkStart w:id="438" w:name="_Toc41467424"/>
      <w:bookmarkStart w:id="439" w:name="_Toc41500981"/>
      <w:r>
        <w:rPr>
          <w:rFonts w:ascii="Times New Roman" w:eastAsia="宋体" w:hAnsi="Times New Roman" w:cs="Times New Roman"/>
          <w:sz w:val="24"/>
          <w:szCs w:val="24"/>
        </w:rPr>
        <w:t>（</w:t>
      </w:r>
      <w:r>
        <w:rPr>
          <w:rFonts w:ascii="Times New Roman" w:eastAsia="宋体" w:hAnsi="Times New Roman" w:cs="Times New Roman"/>
          <w:sz w:val="24"/>
          <w:szCs w:val="24"/>
        </w:rPr>
        <w:t>3</w:t>
      </w:r>
      <w:r>
        <w:rPr>
          <w:rFonts w:ascii="Times New Roman" w:eastAsia="宋体" w:hAnsi="Times New Roman" w:cs="Times New Roman"/>
          <w:sz w:val="24"/>
          <w:szCs w:val="24"/>
        </w:rPr>
        <w:t>）监测方法</w:t>
      </w:r>
      <w:bookmarkEnd w:id="438"/>
      <w:bookmarkEnd w:id="439"/>
    </w:p>
    <w:p w14:paraId="72918F9B"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噪声监测方法按《声环境质量标准》（</w:t>
      </w:r>
      <w:r>
        <w:rPr>
          <w:rFonts w:ascii="Times New Roman" w:eastAsia="宋体" w:hAnsi="Times New Roman" w:cs="Times New Roman"/>
          <w:sz w:val="24"/>
          <w:szCs w:val="24"/>
        </w:rPr>
        <w:t>GB3096-2008</w:t>
      </w:r>
      <w:r>
        <w:rPr>
          <w:rFonts w:ascii="Times New Roman" w:eastAsia="宋体" w:hAnsi="Times New Roman" w:cs="Times New Roman"/>
          <w:sz w:val="24"/>
          <w:szCs w:val="24"/>
        </w:rPr>
        <w:t>）中相关要求进行。</w:t>
      </w:r>
    </w:p>
    <w:p w14:paraId="553F1EC0" w14:textId="77777777" w:rsidR="00D12939" w:rsidRDefault="004F47F5">
      <w:pPr>
        <w:spacing w:line="360" w:lineRule="auto"/>
        <w:ind w:firstLine="480"/>
        <w:rPr>
          <w:rFonts w:ascii="Times New Roman" w:eastAsia="宋体" w:hAnsi="Times New Roman" w:cs="Times New Roman"/>
          <w:sz w:val="24"/>
          <w:szCs w:val="24"/>
        </w:rPr>
      </w:pPr>
      <w:bookmarkStart w:id="440" w:name="_Toc41500982"/>
      <w:bookmarkStart w:id="441" w:name="_Toc41467425"/>
      <w:r>
        <w:rPr>
          <w:rFonts w:ascii="Times New Roman" w:eastAsia="宋体" w:hAnsi="Times New Roman" w:cs="Times New Roman"/>
          <w:sz w:val="24"/>
          <w:szCs w:val="24"/>
        </w:rPr>
        <w:t>（</w:t>
      </w:r>
      <w:r>
        <w:rPr>
          <w:rFonts w:ascii="Times New Roman" w:eastAsia="宋体" w:hAnsi="Times New Roman" w:cs="Times New Roman"/>
          <w:sz w:val="24"/>
          <w:szCs w:val="24"/>
        </w:rPr>
        <w:t>4</w:t>
      </w:r>
      <w:r>
        <w:rPr>
          <w:rFonts w:ascii="Times New Roman" w:eastAsia="宋体" w:hAnsi="Times New Roman" w:cs="Times New Roman"/>
          <w:sz w:val="24"/>
          <w:szCs w:val="24"/>
        </w:rPr>
        <w:t>）监测结果与评价</w:t>
      </w:r>
      <w:bookmarkEnd w:id="440"/>
      <w:bookmarkEnd w:id="441"/>
    </w:p>
    <w:p w14:paraId="718B85E3" w14:textId="77777777" w:rsidR="00D12939" w:rsidRDefault="004F47F5">
      <w:pPr>
        <w:spacing w:line="360" w:lineRule="auto"/>
        <w:ind w:firstLine="480"/>
        <w:rPr>
          <w:szCs w:val="24"/>
        </w:rPr>
      </w:pPr>
      <w:r>
        <w:rPr>
          <w:rFonts w:ascii="Times New Roman" w:eastAsia="宋体" w:hAnsi="Times New Roman" w:cs="Times New Roman"/>
          <w:sz w:val="24"/>
          <w:szCs w:val="24"/>
        </w:rPr>
        <w:t>根据噪声实际监测数据统计，噪声现状监测结果见表</w:t>
      </w:r>
      <w:r>
        <w:rPr>
          <w:rFonts w:ascii="Times New Roman" w:eastAsia="宋体" w:hAnsi="Times New Roman" w:cs="Times New Roman"/>
          <w:sz w:val="24"/>
          <w:szCs w:val="24"/>
        </w:rPr>
        <w:t>5.2-1</w:t>
      </w:r>
      <w:r>
        <w:rPr>
          <w:rFonts w:ascii="Times New Roman" w:eastAsia="宋体" w:hAnsi="Times New Roman" w:cs="Times New Roman" w:hint="eastAsia"/>
          <w:sz w:val="24"/>
          <w:szCs w:val="24"/>
        </w:rPr>
        <w:t>6</w:t>
      </w:r>
      <w:r>
        <w:rPr>
          <w:rFonts w:ascii="Times New Roman" w:eastAsia="宋体" w:hAnsi="Times New Roman" w:cs="Times New Roman"/>
          <w:sz w:val="24"/>
          <w:szCs w:val="24"/>
        </w:rPr>
        <w:t>。</w:t>
      </w:r>
    </w:p>
    <w:p w14:paraId="109C4303" w14:textId="77777777" w:rsidR="00D12939" w:rsidRDefault="004F47F5">
      <w:pPr>
        <w:wordWrap w:val="0"/>
        <w:jc w:val="right"/>
        <w:rPr>
          <w:rFonts w:ascii="黑体" w:eastAsia="黑体" w:hAnsi="黑体"/>
          <w:bCs/>
          <w:sz w:val="24"/>
          <w:szCs w:val="18"/>
        </w:rPr>
      </w:pPr>
      <w:r>
        <w:rPr>
          <w:rFonts w:ascii="黑体" w:eastAsia="黑体" w:hAnsi="黑体"/>
          <w:bCs/>
          <w:sz w:val="24"/>
          <w:szCs w:val="18"/>
        </w:rPr>
        <w:t>表5.3</w:t>
      </w:r>
      <w:r>
        <w:rPr>
          <w:rFonts w:ascii="黑体" w:eastAsia="黑体" w:hAnsi="黑体" w:hint="eastAsia"/>
          <w:bCs/>
          <w:sz w:val="24"/>
          <w:szCs w:val="18"/>
        </w:rPr>
        <w:t>-1</w:t>
      </w:r>
      <w:r>
        <w:rPr>
          <w:rFonts w:ascii="黑体" w:eastAsia="黑体" w:hAnsi="黑体"/>
          <w:bCs/>
          <w:sz w:val="24"/>
          <w:szCs w:val="18"/>
        </w:rPr>
        <w:t>7  噪声监测结果                    单位：dB(A)</w:t>
      </w:r>
    </w:p>
    <w:tbl>
      <w:tblPr>
        <w:tblW w:w="9640"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4A0" w:firstRow="1" w:lastRow="0" w:firstColumn="1" w:lastColumn="0" w:noHBand="0" w:noVBand="1"/>
      </w:tblPr>
      <w:tblGrid>
        <w:gridCol w:w="825"/>
        <w:gridCol w:w="2458"/>
        <w:gridCol w:w="1040"/>
        <w:gridCol w:w="665"/>
        <w:gridCol w:w="1017"/>
        <w:gridCol w:w="998"/>
        <w:gridCol w:w="1185"/>
        <w:gridCol w:w="1452"/>
      </w:tblGrid>
      <w:tr w:rsidR="00D12939" w14:paraId="219D47E4" w14:textId="77777777">
        <w:trPr>
          <w:trHeight w:val="34"/>
          <w:jc w:val="center"/>
        </w:trPr>
        <w:tc>
          <w:tcPr>
            <w:tcW w:w="3283" w:type="dxa"/>
            <w:gridSpan w:val="2"/>
            <w:tcBorders>
              <w:top w:val="single" w:sz="4" w:space="0" w:color="000000"/>
              <w:bottom w:val="single" w:sz="4" w:space="0" w:color="000000"/>
              <w:right w:val="single" w:sz="4" w:space="0" w:color="000000"/>
            </w:tcBorders>
            <w:vAlign w:val="center"/>
          </w:tcPr>
          <w:p w14:paraId="55C39325" w14:textId="77777777" w:rsidR="00D12939" w:rsidRDefault="004F47F5">
            <w:pPr>
              <w:pStyle w:val="TableParagraph"/>
              <w:ind w:firstLineChars="0" w:firstLine="0"/>
              <w:jc w:val="center"/>
              <w:rPr>
                <w:rFonts w:ascii="Times New Roman" w:hAnsi="Times New Roman"/>
                <w:b/>
                <w:sz w:val="24"/>
              </w:rPr>
            </w:pPr>
            <w:r>
              <w:rPr>
                <w:rFonts w:ascii="Times New Roman" w:hAnsi="Times New Roman"/>
                <w:b/>
                <w:sz w:val="24"/>
              </w:rPr>
              <w:t>监测日期</w:t>
            </w:r>
          </w:p>
        </w:tc>
        <w:tc>
          <w:tcPr>
            <w:tcW w:w="1705" w:type="dxa"/>
            <w:gridSpan w:val="2"/>
            <w:tcBorders>
              <w:top w:val="single" w:sz="4" w:space="0" w:color="000000"/>
              <w:left w:val="single" w:sz="4" w:space="0" w:color="000000"/>
              <w:bottom w:val="single" w:sz="4" w:space="0" w:color="000000"/>
              <w:right w:val="single" w:sz="4" w:space="0" w:color="000000"/>
            </w:tcBorders>
            <w:vAlign w:val="center"/>
          </w:tcPr>
          <w:p w14:paraId="4AF0D01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 xml:space="preserve">11 </w:t>
            </w:r>
            <w:r>
              <w:rPr>
                <w:rFonts w:ascii="Times New Roman" w:hAnsi="Times New Roman"/>
                <w:sz w:val="24"/>
              </w:rPr>
              <w:t>月</w:t>
            </w:r>
            <w:r>
              <w:rPr>
                <w:rFonts w:ascii="Times New Roman" w:hAnsi="Times New Roman"/>
                <w:sz w:val="24"/>
              </w:rPr>
              <w:t xml:space="preserve"> 19 </w:t>
            </w:r>
            <w:r>
              <w:rPr>
                <w:rFonts w:ascii="Times New Roman" w:hAnsi="Times New Roman"/>
                <w:sz w:val="24"/>
              </w:rPr>
              <w:t>日</w:t>
            </w:r>
          </w:p>
        </w:tc>
        <w:tc>
          <w:tcPr>
            <w:tcW w:w="2015" w:type="dxa"/>
            <w:gridSpan w:val="2"/>
            <w:tcBorders>
              <w:top w:val="single" w:sz="4" w:space="0" w:color="000000"/>
              <w:left w:val="single" w:sz="4" w:space="0" w:color="000000"/>
              <w:bottom w:val="single" w:sz="4" w:space="0" w:color="000000"/>
            </w:tcBorders>
            <w:vAlign w:val="center"/>
          </w:tcPr>
          <w:p w14:paraId="136C513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 xml:space="preserve">11 </w:t>
            </w:r>
            <w:r>
              <w:rPr>
                <w:rFonts w:ascii="Times New Roman" w:hAnsi="Times New Roman"/>
                <w:sz w:val="24"/>
              </w:rPr>
              <w:t>月</w:t>
            </w:r>
            <w:r>
              <w:rPr>
                <w:rFonts w:ascii="Times New Roman" w:hAnsi="Times New Roman"/>
                <w:sz w:val="24"/>
              </w:rPr>
              <w:t xml:space="preserve"> 20 </w:t>
            </w:r>
            <w:r>
              <w:rPr>
                <w:rFonts w:ascii="Times New Roman" w:hAnsi="Times New Roman"/>
                <w:sz w:val="24"/>
              </w:rPr>
              <w:t>日</w:t>
            </w:r>
          </w:p>
        </w:tc>
        <w:tc>
          <w:tcPr>
            <w:tcW w:w="1185" w:type="dxa"/>
            <w:vMerge w:val="restart"/>
            <w:tcBorders>
              <w:top w:val="single" w:sz="4" w:space="0" w:color="000000"/>
              <w:left w:val="single" w:sz="4" w:space="0" w:color="000000"/>
            </w:tcBorders>
            <w:vAlign w:val="center"/>
          </w:tcPr>
          <w:p w14:paraId="3D7531D4" w14:textId="77777777" w:rsidR="00D12939" w:rsidRDefault="004F47F5">
            <w:pPr>
              <w:pStyle w:val="TableParagraph"/>
              <w:ind w:firstLineChars="0" w:firstLine="0"/>
              <w:jc w:val="center"/>
              <w:rPr>
                <w:rFonts w:ascii="Times New Roman" w:hAnsi="Times New Roman"/>
                <w:sz w:val="24"/>
                <w:lang w:eastAsia="zh-CN"/>
              </w:rPr>
            </w:pPr>
            <w:r>
              <w:rPr>
                <w:rFonts w:ascii="Times New Roman" w:hAnsi="Times New Roman" w:hint="eastAsia"/>
                <w:sz w:val="24"/>
                <w:lang w:eastAsia="zh-CN"/>
              </w:rPr>
              <w:t>评价</w:t>
            </w:r>
          </w:p>
          <w:p w14:paraId="54057359" w14:textId="77777777" w:rsidR="00D12939" w:rsidRDefault="004F47F5">
            <w:pPr>
              <w:pStyle w:val="TableParagraph"/>
              <w:ind w:firstLineChars="0" w:firstLine="0"/>
              <w:jc w:val="center"/>
              <w:rPr>
                <w:rFonts w:ascii="Times New Roman" w:hAnsi="Times New Roman"/>
                <w:sz w:val="24"/>
                <w:lang w:eastAsia="zh-CN"/>
              </w:rPr>
            </w:pPr>
            <w:r>
              <w:rPr>
                <w:rFonts w:ascii="Times New Roman" w:hAnsi="Times New Roman" w:hint="eastAsia"/>
                <w:sz w:val="24"/>
                <w:lang w:eastAsia="zh-CN"/>
              </w:rPr>
              <w:t>标准</w:t>
            </w:r>
          </w:p>
        </w:tc>
        <w:tc>
          <w:tcPr>
            <w:tcW w:w="1452" w:type="dxa"/>
            <w:vMerge w:val="restart"/>
            <w:tcBorders>
              <w:top w:val="single" w:sz="4" w:space="0" w:color="000000"/>
              <w:left w:val="single" w:sz="4" w:space="0" w:color="000000"/>
            </w:tcBorders>
            <w:vAlign w:val="center"/>
          </w:tcPr>
          <w:p w14:paraId="7026F54C" w14:textId="77777777" w:rsidR="00D12939" w:rsidRDefault="004F47F5">
            <w:pPr>
              <w:pStyle w:val="TableParagraph"/>
              <w:ind w:firstLineChars="0" w:firstLine="0"/>
              <w:jc w:val="center"/>
              <w:rPr>
                <w:rFonts w:ascii="Times New Roman" w:hAnsi="Times New Roman"/>
                <w:sz w:val="24"/>
                <w:lang w:eastAsia="zh-CN"/>
              </w:rPr>
            </w:pPr>
            <w:r>
              <w:rPr>
                <w:rFonts w:ascii="Times New Roman" w:hAnsi="Times New Roman"/>
                <w:sz w:val="24"/>
                <w:lang w:eastAsia="zh-CN"/>
              </w:rPr>
              <w:t>是否达标</w:t>
            </w:r>
          </w:p>
        </w:tc>
      </w:tr>
      <w:tr w:rsidR="00D12939" w14:paraId="22B587D7"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29DBC33B" w14:textId="77777777" w:rsidR="00D12939" w:rsidRDefault="004F47F5">
            <w:pPr>
              <w:pStyle w:val="TableParagraph"/>
              <w:ind w:firstLineChars="0" w:firstLine="0"/>
              <w:jc w:val="center"/>
              <w:rPr>
                <w:rFonts w:ascii="Times New Roman" w:hAnsi="Times New Roman"/>
                <w:b/>
                <w:sz w:val="24"/>
              </w:rPr>
            </w:pPr>
            <w:r>
              <w:rPr>
                <w:rFonts w:ascii="Times New Roman" w:hAnsi="Times New Roman"/>
                <w:b/>
                <w:sz w:val="24"/>
              </w:rPr>
              <w:t>编号</w:t>
            </w:r>
          </w:p>
        </w:tc>
        <w:tc>
          <w:tcPr>
            <w:tcW w:w="2458" w:type="dxa"/>
            <w:tcBorders>
              <w:top w:val="single" w:sz="4" w:space="0" w:color="000000"/>
              <w:left w:val="single" w:sz="4" w:space="0" w:color="000000"/>
              <w:bottom w:val="single" w:sz="4" w:space="0" w:color="000000"/>
              <w:right w:val="single" w:sz="4" w:space="0" w:color="000000"/>
            </w:tcBorders>
            <w:vAlign w:val="center"/>
          </w:tcPr>
          <w:p w14:paraId="6EDD7A42" w14:textId="77777777" w:rsidR="00D12939" w:rsidRDefault="004F47F5">
            <w:pPr>
              <w:pStyle w:val="TableParagraph"/>
              <w:ind w:firstLineChars="0" w:firstLine="0"/>
              <w:jc w:val="center"/>
              <w:rPr>
                <w:rFonts w:ascii="Times New Roman" w:hAnsi="Times New Roman"/>
                <w:b/>
                <w:sz w:val="24"/>
              </w:rPr>
            </w:pPr>
            <w:r>
              <w:rPr>
                <w:rFonts w:ascii="Times New Roman" w:hAnsi="Times New Roman"/>
                <w:b/>
                <w:sz w:val="24"/>
              </w:rPr>
              <w:t>监测点位</w:t>
            </w:r>
          </w:p>
        </w:tc>
        <w:tc>
          <w:tcPr>
            <w:tcW w:w="1040" w:type="dxa"/>
            <w:tcBorders>
              <w:top w:val="single" w:sz="4" w:space="0" w:color="000000"/>
              <w:left w:val="single" w:sz="4" w:space="0" w:color="000000"/>
              <w:bottom w:val="single" w:sz="4" w:space="0" w:color="000000"/>
              <w:right w:val="single" w:sz="4" w:space="0" w:color="000000"/>
            </w:tcBorders>
            <w:vAlign w:val="center"/>
          </w:tcPr>
          <w:p w14:paraId="41A82F4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昼间</w:t>
            </w:r>
          </w:p>
        </w:tc>
        <w:tc>
          <w:tcPr>
            <w:tcW w:w="664" w:type="dxa"/>
            <w:tcBorders>
              <w:top w:val="single" w:sz="4" w:space="0" w:color="000000"/>
              <w:left w:val="single" w:sz="4" w:space="0" w:color="000000"/>
              <w:bottom w:val="single" w:sz="4" w:space="0" w:color="000000"/>
              <w:right w:val="single" w:sz="4" w:space="0" w:color="000000"/>
            </w:tcBorders>
            <w:vAlign w:val="center"/>
          </w:tcPr>
          <w:p w14:paraId="6C2AE05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夜间</w:t>
            </w:r>
          </w:p>
        </w:tc>
        <w:tc>
          <w:tcPr>
            <w:tcW w:w="1017" w:type="dxa"/>
            <w:tcBorders>
              <w:top w:val="single" w:sz="4" w:space="0" w:color="000000"/>
              <w:left w:val="single" w:sz="4" w:space="0" w:color="000000"/>
              <w:bottom w:val="single" w:sz="4" w:space="0" w:color="000000"/>
              <w:right w:val="single" w:sz="4" w:space="0" w:color="000000"/>
            </w:tcBorders>
            <w:vAlign w:val="center"/>
          </w:tcPr>
          <w:p w14:paraId="43EDDEE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昼间</w:t>
            </w:r>
          </w:p>
        </w:tc>
        <w:tc>
          <w:tcPr>
            <w:tcW w:w="997" w:type="dxa"/>
            <w:tcBorders>
              <w:top w:val="single" w:sz="4" w:space="0" w:color="000000"/>
              <w:left w:val="single" w:sz="4" w:space="0" w:color="000000"/>
              <w:bottom w:val="single" w:sz="4" w:space="0" w:color="000000"/>
            </w:tcBorders>
            <w:vAlign w:val="center"/>
          </w:tcPr>
          <w:p w14:paraId="178DD1E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夜间</w:t>
            </w:r>
          </w:p>
        </w:tc>
        <w:tc>
          <w:tcPr>
            <w:tcW w:w="1185" w:type="dxa"/>
            <w:vMerge/>
            <w:tcBorders>
              <w:left w:val="single" w:sz="4" w:space="0" w:color="000000"/>
              <w:bottom w:val="single" w:sz="4" w:space="0" w:color="000000"/>
            </w:tcBorders>
            <w:vAlign w:val="center"/>
          </w:tcPr>
          <w:p w14:paraId="36B9B640" w14:textId="77777777" w:rsidR="00D12939" w:rsidRDefault="00D12939">
            <w:pPr>
              <w:pStyle w:val="TableParagraph"/>
              <w:ind w:firstLineChars="0" w:firstLine="0"/>
              <w:jc w:val="center"/>
              <w:rPr>
                <w:rFonts w:ascii="Times New Roman" w:hAnsi="Times New Roman"/>
                <w:sz w:val="24"/>
              </w:rPr>
            </w:pPr>
          </w:p>
        </w:tc>
        <w:tc>
          <w:tcPr>
            <w:tcW w:w="1452" w:type="dxa"/>
            <w:vMerge/>
            <w:tcBorders>
              <w:left w:val="single" w:sz="4" w:space="0" w:color="000000"/>
              <w:bottom w:val="single" w:sz="4" w:space="0" w:color="000000"/>
            </w:tcBorders>
            <w:vAlign w:val="center"/>
          </w:tcPr>
          <w:p w14:paraId="0D91855A" w14:textId="77777777" w:rsidR="00D12939" w:rsidRDefault="00D12939">
            <w:pPr>
              <w:pStyle w:val="TableParagraph"/>
              <w:ind w:firstLineChars="0" w:firstLine="0"/>
              <w:jc w:val="center"/>
              <w:rPr>
                <w:rFonts w:ascii="Times New Roman" w:hAnsi="Times New Roman"/>
                <w:sz w:val="24"/>
              </w:rPr>
            </w:pPr>
          </w:p>
        </w:tc>
      </w:tr>
      <w:tr w:rsidR="00D12939" w14:paraId="1E8DE599"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29291B2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N1</w:t>
            </w:r>
          </w:p>
        </w:tc>
        <w:tc>
          <w:tcPr>
            <w:tcW w:w="2458" w:type="dxa"/>
            <w:tcBorders>
              <w:top w:val="single" w:sz="4" w:space="0" w:color="000000"/>
              <w:left w:val="single" w:sz="4" w:space="0" w:color="000000"/>
              <w:bottom w:val="single" w:sz="4" w:space="0" w:color="000000"/>
              <w:right w:val="single" w:sz="4" w:space="0" w:color="000000"/>
            </w:tcBorders>
            <w:vAlign w:val="center"/>
          </w:tcPr>
          <w:p w14:paraId="290344B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项目地西北侧</w:t>
            </w:r>
          </w:p>
        </w:tc>
        <w:tc>
          <w:tcPr>
            <w:tcW w:w="1040" w:type="dxa"/>
            <w:tcBorders>
              <w:top w:val="single" w:sz="4" w:space="0" w:color="000000"/>
              <w:left w:val="single" w:sz="4" w:space="0" w:color="000000"/>
              <w:bottom w:val="single" w:sz="4" w:space="0" w:color="000000"/>
              <w:right w:val="single" w:sz="4" w:space="0" w:color="000000"/>
            </w:tcBorders>
            <w:vAlign w:val="center"/>
          </w:tcPr>
          <w:p w14:paraId="7D6F038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51</w:t>
            </w:r>
          </w:p>
        </w:tc>
        <w:tc>
          <w:tcPr>
            <w:tcW w:w="664" w:type="dxa"/>
            <w:tcBorders>
              <w:top w:val="single" w:sz="4" w:space="0" w:color="000000"/>
              <w:left w:val="single" w:sz="4" w:space="0" w:color="000000"/>
              <w:bottom w:val="single" w:sz="4" w:space="0" w:color="000000"/>
              <w:right w:val="single" w:sz="4" w:space="0" w:color="000000"/>
            </w:tcBorders>
            <w:vAlign w:val="center"/>
          </w:tcPr>
          <w:p w14:paraId="26E6577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43</w:t>
            </w:r>
          </w:p>
        </w:tc>
        <w:tc>
          <w:tcPr>
            <w:tcW w:w="1017" w:type="dxa"/>
            <w:tcBorders>
              <w:top w:val="single" w:sz="4" w:space="0" w:color="000000"/>
              <w:left w:val="single" w:sz="4" w:space="0" w:color="000000"/>
              <w:bottom w:val="single" w:sz="4" w:space="0" w:color="000000"/>
              <w:right w:val="single" w:sz="4" w:space="0" w:color="000000"/>
            </w:tcBorders>
            <w:vAlign w:val="center"/>
          </w:tcPr>
          <w:p w14:paraId="6DB61D6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52</w:t>
            </w:r>
          </w:p>
        </w:tc>
        <w:tc>
          <w:tcPr>
            <w:tcW w:w="997" w:type="dxa"/>
            <w:tcBorders>
              <w:top w:val="single" w:sz="4" w:space="0" w:color="000000"/>
              <w:left w:val="single" w:sz="4" w:space="0" w:color="000000"/>
              <w:bottom w:val="single" w:sz="4" w:space="0" w:color="000000"/>
            </w:tcBorders>
            <w:vAlign w:val="center"/>
          </w:tcPr>
          <w:p w14:paraId="7E93334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42</w:t>
            </w:r>
          </w:p>
        </w:tc>
        <w:tc>
          <w:tcPr>
            <w:tcW w:w="1185" w:type="dxa"/>
            <w:vMerge w:val="restart"/>
            <w:tcBorders>
              <w:top w:val="single" w:sz="4" w:space="0" w:color="000000"/>
              <w:left w:val="single" w:sz="4" w:space="0" w:color="000000"/>
            </w:tcBorders>
            <w:vAlign w:val="center"/>
          </w:tcPr>
          <w:p w14:paraId="70237852" w14:textId="77777777" w:rsidR="00D12939" w:rsidRDefault="004F47F5">
            <w:pPr>
              <w:pStyle w:val="TableParagraph"/>
              <w:ind w:firstLineChars="0" w:firstLine="0"/>
              <w:jc w:val="center"/>
              <w:rPr>
                <w:rFonts w:ascii="Times New Roman" w:hAnsi="Times New Roman"/>
                <w:sz w:val="24"/>
                <w:lang w:eastAsia="zh-CN"/>
              </w:rPr>
            </w:pPr>
            <w:r>
              <w:rPr>
                <w:rFonts w:ascii="Times New Roman" w:hAnsi="Times New Roman"/>
                <w:sz w:val="24"/>
                <w:lang w:eastAsia="zh-CN"/>
              </w:rPr>
              <w:t>昼间</w:t>
            </w:r>
            <w:r>
              <w:rPr>
                <w:rFonts w:ascii="Times New Roman" w:hAnsi="Times New Roman"/>
                <w:sz w:val="24"/>
                <w:lang w:eastAsia="zh-CN"/>
              </w:rPr>
              <w:t>60</w:t>
            </w:r>
          </w:p>
          <w:p w14:paraId="1BCBC4E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lang w:eastAsia="zh-CN"/>
              </w:rPr>
              <w:t>夜间</w:t>
            </w:r>
            <w:r>
              <w:rPr>
                <w:rFonts w:ascii="Times New Roman" w:hAnsi="Times New Roman"/>
                <w:sz w:val="24"/>
                <w:lang w:eastAsia="zh-CN"/>
              </w:rPr>
              <w:t>50</w:t>
            </w:r>
          </w:p>
        </w:tc>
        <w:tc>
          <w:tcPr>
            <w:tcW w:w="1452" w:type="dxa"/>
            <w:tcBorders>
              <w:top w:val="single" w:sz="4" w:space="0" w:color="000000"/>
              <w:left w:val="single" w:sz="4" w:space="0" w:color="000000"/>
              <w:bottom w:val="single" w:sz="4" w:space="0" w:color="000000"/>
            </w:tcBorders>
            <w:vAlign w:val="center"/>
          </w:tcPr>
          <w:p w14:paraId="734E5132"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r w:rsidR="00D12939" w14:paraId="32DE3059"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44ADF0E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N2</w:t>
            </w:r>
          </w:p>
        </w:tc>
        <w:tc>
          <w:tcPr>
            <w:tcW w:w="2458" w:type="dxa"/>
            <w:tcBorders>
              <w:top w:val="single" w:sz="4" w:space="0" w:color="000000"/>
              <w:left w:val="single" w:sz="4" w:space="0" w:color="000000"/>
              <w:bottom w:val="single" w:sz="4" w:space="0" w:color="000000"/>
              <w:right w:val="single" w:sz="4" w:space="0" w:color="000000"/>
            </w:tcBorders>
            <w:vAlign w:val="center"/>
          </w:tcPr>
          <w:p w14:paraId="6000A5D6"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项目地西侧</w:t>
            </w:r>
            <w:r>
              <w:rPr>
                <w:rFonts w:ascii="Times New Roman" w:hAnsi="Times New Roman"/>
                <w:sz w:val="24"/>
              </w:rPr>
              <w:t xml:space="preserve"> 1 </w:t>
            </w:r>
            <w:r>
              <w:rPr>
                <w:rFonts w:ascii="Times New Roman" w:hAnsi="Times New Roman"/>
                <w:sz w:val="24"/>
              </w:rPr>
              <w:t>号点</w:t>
            </w:r>
          </w:p>
        </w:tc>
        <w:tc>
          <w:tcPr>
            <w:tcW w:w="1040" w:type="dxa"/>
            <w:tcBorders>
              <w:top w:val="single" w:sz="4" w:space="0" w:color="000000"/>
              <w:left w:val="single" w:sz="4" w:space="0" w:color="000000"/>
              <w:bottom w:val="single" w:sz="4" w:space="0" w:color="000000"/>
              <w:right w:val="single" w:sz="4" w:space="0" w:color="000000"/>
            </w:tcBorders>
            <w:vAlign w:val="center"/>
          </w:tcPr>
          <w:p w14:paraId="13E6F89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52</w:t>
            </w:r>
          </w:p>
        </w:tc>
        <w:tc>
          <w:tcPr>
            <w:tcW w:w="664" w:type="dxa"/>
            <w:tcBorders>
              <w:top w:val="single" w:sz="4" w:space="0" w:color="000000"/>
              <w:left w:val="single" w:sz="4" w:space="0" w:color="000000"/>
              <w:bottom w:val="single" w:sz="4" w:space="0" w:color="000000"/>
              <w:right w:val="single" w:sz="4" w:space="0" w:color="000000"/>
            </w:tcBorders>
            <w:vAlign w:val="center"/>
          </w:tcPr>
          <w:p w14:paraId="1EDC216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42</w:t>
            </w:r>
          </w:p>
        </w:tc>
        <w:tc>
          <w:tcPr>
            <w:tcW w:w="1017" w:type="dxa"/>
            <w:tcBorders>
              <w:top w:val="single" w:sz="4" w:space="0" w:color="000000"/>
              <w:left w:val="single" w:sz="4" w:space="0" w:color="000000"/>
              <w:bottom w:val="single" w:sz="4" w:space="0" w:color="000000"/>
              <w:right w:val="single" w:sz="4" w:space="0" w:color="000000"/>
            </w:tcBorders>
            <w:vAlign w:val="center"/>
          </w:tcPr>
          <w:p w14:paraId="7DFB71F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52</w:t>
            </w:r>
          </w:p>
        </w:tc>
        <w:tc>
          <w:tcPr>
            <w:tcW w:w="997" w:type="dxa"/>
            <w:tcBorders>
              <w:top w:val="single" w:sz="4" w:space="0" w:color="000000"/>
              <w:left w:val="single" w:sz="4" w:space="0" w:color="000000"/>
              <w:bottom w:val="single" w:sz="4" w:space="0" w:color="000000"/>
            </w:tcBorders>
            <w:vAlign w:val="center"/>
          </w:tcPr>
          <w:p w14:paraId="32501E5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42</w:t>
            </w:r>
          </w:p>
        </w:tc>
        <w:tc>
          <w:tcPr>
            <w:tcW w:w="1185" w:type="dxa"/>
            <w:vMerge/>
            <w:tcBorders>
              <w:left w:val="single" w:sz="4" w:space="0" w:color="000000"/>
            </w:tcBorders>
            <w:vAlign w:val="center"/>
          </w:tcPr>
          <w:p w14:paraId="46A8FB7F" w14:textId="77777777" w:rsidR="00D12939" w:rsidRDefault="00D12939">
            <w:pPr>
              <w:jc w:val="center"/>
              <w:rPr>
                <w:rFonts w:ascii="Times New Roman" w:eastAsia="宋体" w:hAnsi="Times New Roman" w:cs="Times New Roman"/>
                <w:sz w:val="24"/>
              </w:rPr>
            </w:pPr>
          </w:p>
        </w:tc>
        <w:tc>
          <w:tcPr>
            <w:tcW w:w="1452" w:type="dxa"/>
            <w:tcBorders>
              <w:top w:val="single" w:sz="4" w:space="0" w:color="000000"/>
              <w:left w:val="single" w:sz="4" w:space="0" w:color="000000"/>
              <w:bottom w:val="single" w:sz="4" w:space="0" w:color="000000"/>
            </w:tcBorders>
            <w:vAlign w:val="center"/>
          </w:tcPr>
          <w:p w14:paraId="5BC515B2"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r w:rsidR="00D12939" w14:paraId="7FA776C2"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10F1824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N3</w:t>
            </w:r>
          </w:p>
        </w:tc>
        <w:tc>
          <w:tcPr>
            <w:tcW w:w="2458" w:type="dxa"/>
            <w:tcBorders>
              <w:top w:val="single" w:sz="4" w:space="0" w:color="000000"/>
              <w:left w:val="single" w:sz="4" w:space="0" w:color="000000"/>
              <w:bottom w:val="single" w:sz="4" w:space="0" w:color="000000"/>
              <w:right w:val="single" w:sz="4" w:space="0" w:color="000000"/>
            </w:tcBorders>
            <w:vAlign w:val="center"/>
          </w:tcPr>
          <w:p w14:paraId="1C1F9D4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项目地西</w:t>
            </w:r>
            <w:r>
              <w:rPr>
                <w:rFonts w:ascii="Times New Roman" w:hAnsi="Times New Roman"/>
                <w:spacing w:val="-30"/>
                <w:sz w:val="24"/>
              </w:rPr>
              <w:t>侧</w:t>
            </w:r>
            <w:r>
              <w:rPr>
                <w:rFonts w:ascii="Times New Roman" w:hAnsi="Times New Roman"/>
                <w:spacing w:val="-30"/>
                <w:sz w:val="24"/>
              </w:rPr>
              <w:t xml:space="preserve"> </w:t>
            </w:r>
            <w:r>
              <w:rPr>
                <w:rFonts w:ascii="Times New Roman" w:hAnsi="Times New Roman"/>
                <w:sz w:val="24"/>
              </w:rPr>
              <w:t xml:space="preserve">2 </w:t>
            </w:r>
            <w:r>
              <w:rPr>
                <w:rFonts w:ascii="Times New Roman" w:hAnsi="Times New Roman"/>
                <w:sz w:val="24"/>
              </w:rPr>
              <w:t>号点</w:t>
            </w:r>
          </w:p>
        </w:tc>
        <w:tc>
          <w:tcPr>
            <w:tcW w:w="1040" w:type="dxa"/>
            <w:tcBorders>
              <w:top w:val="single" w:sz="4" w:space="0" w:color="000000"/>
              <w:left w:val="single" w:sz="4" w:space="0" w:color="000000"/>
              <w:bottom w:val="single" w:sz="4" w:space="0" w:color="000000"/>
              <w:right w:val="single" w:sz="4" w:space="0" w:color="000000"/>
            </w:tcBorders>
            <w:vAlign w:val="center"/>
          </w:tcPr>
          <w:p w14:paraId="03E0C10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53</w:t>
            </w:r>
          </w:p>
        </w:tc>
        <w:tc>
          <w:tcPr>
            <w:tcW w:w="664" w:type="dxa"/>
            <w:tcBorders>
              <w:top w:val="single" w:sz="4" w:space="0" w:color="000000"/>
              <w:left w:val="single" w:sz="4" w:space="0" w:color="000000"/>
              <w:bottom w:val="single" w:sz="4" w:space="0" w:color="000000"/>
              <w:right w:val="single" w:sz="4" w:space="0" w:color="000000"/>
            </w:tcBorders>
            <w:vAlign w:val="center"/>
          </w:tcPr>
          <w:p w14:paraId="605ABB8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43</w:t>
            </w:r>
          </w:p>
        </w:tc>
        <w:tc>
          <w:tcPr>
            <w:tcW w:w="1017" w:type="dxa"/>
            <w:tcBorders>
              <w:top w:val="single" w:sz="4" w:space="0" w:color="000000"/>
              <w:left w:val="single" w:sz="4" w:space="0" w:color="000000"/>
              <w:bottom w:val="single" w:sz="4" w:space="0" w:color="000000"/>
              <w:right w:val="single" w:sz="4" w:space="0" w:color="000000"/>
            </w:tcBorders>
            <w:vAlign w:val="center"/>
          </w:tcPr>
          <w:p w14:paraId="13DA1A6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53</w:t>
            </w:r>
          </w:p>
        </w:tc>
        <w:tc>
          <w:tcPr>
            <w:tcW w:w="997" w:type="dxa"/>
            <w:tcBorders>
              <w:top w:val="single" w:sz="4" w:space="0" w:color="000000"/>
              <w:left w:val="single" w:sz="4" w:space="0" w:color="000000"/>
              <w:bottom w:val="single" w:sz="4" w:space="0" w:color="000000"/>
            </w:tcBorders>
            <w:vAlign w:val="center"/>
          </w:tcPr>
          <w:p w14:paraId="3133461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43</w:t>
            </w:r>
          </w:p>
        </w:tc>
        <w:tc>
          <w:tcPr>
            <w:tcW w:w="1185" w:type="dxa"/>
            <w:vMerge/>
            <w:tcBorders>
              <w:left w:val="single" w:sz="4" w:space="0" w:color="000000"/>
            </w:tcBorders>
            <w:vAlign w:val="center"/>
          </w:tcPr>
          <w:p w14:paraId="1713EEEB" w14:textId="77777777" w:rsidR="00D12939" w:rsidRDefault="00D12939">
            <w:pPr>
              <w:jc w:val="center"/>
              <w:rPr>
                <w:rFonts w:ascii="Times New Roman" w:eastAsia="宋体" w:hAnsi="Times New Roman" w:cs="Times New Roman"/>
                <w:sz w:val="24"/>
              </w:rPr>
            </w:pPr>
          </w:p>
        </w:tc>
        <w:tc>
          <w:tcPr>
            <w:tcW w:w="1452" w:type="dxa"/>
            <w:tcBorders>
              <w:top w:val="single" w:sz="4" w:space="0" w:color="000000"/>
              <w:left w:val="single" w:sz="4" w:space="0" w:color="000000"/>
              <w:bottom w:val="single" w:sz="4" w:space="0" w:color="000000"/>
            </w:tcBorders>
            <w:vAlign w:val="center"/>
          </w:tcPr>
          <w:p w14:paraId="72C160B2"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r w:rsidR="00D12939" w14:paraId="2003D11F"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5683F87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N4</w:t>
            </w:r>
          </w:p>
        </w:tc>
        <w:tc>
          <w:tcPr>
            <w:tcW w:w="2458" w:type="dxa"/>
            <w:tcBorders>
              <w:top w:val="single" w:sz="4" w:space="0" w:color="000000"/>
              <w:left w:val="single" w:sz="4" w:space="0" w:color="000000"/>
              <w:bottom w:val="single" w:sz="4" w:space="0" w:color="000000"/>
              <w:right w:val="single" w:sz="4" w:space="0" w:color="000000"/>
            </w:tcBorders>
            <w:vAlign w:val="center"/>
          </w:tcPr>
          <w:p w14:paraId="1FE0078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项目地西侧</w:t>
            </w:r>
            <w:r>
              <w:rPr>
                <w:rFonts w:ascii="Times New Roman" w:hAnsi="Times New Roman"/>
                <w:sz w:val="24"/>
              </w:rPr>
              <w:t xml:space="preserve"> 3 </w:t>
            </w:r>
            <w:r>
              <w:rPr>
                <w:rFonts w:ascii="Times New Roman" w:hAnsi="Times New Roman"/>
                <w:sz w:val="24"/>
              </w:rPr>
              <w:t>号点</w:t>
            </w:r>
          </w:p>
        </w:tc>
        <w:tc>
          <w:tcPr>
            <w:tcW w:w="1040" w:type="dxa"/>
            <w:tcBorders>
              <w:top w:val="single" w:sz="4" w:space="0" w:color="000000"/>
              <w:left w:val="single" w:sz="4" w:space="0" w:color="000000"/>
              <w:bottom w:val="single" w:sz="4" w:space="0" w:color="000000"/>
              <w:right w:val="single" w:sz="4" w:space="0" w:color="000000"/>
            </w:tcBorders>
            <w:vAlign w:val="center"/>
          </w:tcPr>
          <w:p w14:paraId="708CDFF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54</w:t>
            </w:r>
          </w:p>
        </w:tc>
        <w:tc>
          <w:tcPr>
            <w:tcW w:w="664" w:type="dxa"/>
            <w:tcBorders>
              <w:top w:val="single" w:sz="4" w:space="0" w:color="000000"/>
              <w:left w:val="single" w:sz="4" w:space="0" w:color="000000"/>
              <w:bottom w:val="single" w:sz="4" w:space="0" w:color="000000"/>
              <w:right w:val="single" w:sz="4" w:space="0" w:color="000000"/>
            </w:tcBorders>
            <w:vAlign w:val="center"/>
          </w:tcPr>
          <w:p w14:paraId="6779DDF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43</w:t>
            </w:r>
          </w:p>
        </w:tc>
        <w:tc>
          <w:tcPr>
            <w:tcW w:w="1017" w:type="dxa"/>
            <w:tcBorders>
              <w:top w:val="single" w:sz="4" w:space="0" w:color="000000"/>
              <w:left w:val="single" w:sz="4" w:space="0" w:color="000000"/>
              <w:bottom w:val="single" w:sz="4" w:space="0" w:color="000000"/>
              <w:right w:val="single" w:sz="4" w:space="0" w:color="000000"/>
            </w:tcBorders>
            <w:vAlign w:val="center"/>
          </w:tcPr>
          <w:p w14:paraId="49459D6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53</w:t>
            </w:r>
          </w:p>
        </w:tc>
        <w:tc>
          <w:tcPr>
            <w:tcW w:w="997" w:type="dxa"/>
            <w:tcBorders>
              <w:top w:val="single" w:sz="4" w:space="0" w:color="000000"/>
              <w:left w:val="single" w:sz="4" w:space="0" w:color="000000"/>
              <w:bottom w:val="single" w:sz="4" w:space="0" w:color="000000"/>
            </w:tcBorders>
            <w:vAlign w:val="center"/>
          </w:tcPr>
          <w:p w14:paraId="0EB4739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43</w:t>
            </w:r>
          </w:p>
        </w:tc>
        <w:tc>
          <w:tcPr>
            <w:tcW w:w="1185" w:type="dxa"/>
            <w:vMerge/>
            <w:tcBorders>
              <w:left w:val="single" w:sz="4" w:space="0" w:color="000000"/>
            </w:tcBorders>
            <w:vAlign w:val="center"/>
          </w:tcPr>
          <w:p w14:paraId="3BC3A619" w14:textId="77777777" w:rsidR="00D12939" w:rsidRDefault="00D12939">
            <w:pPr>
              <w:jc w:val="center"/>
              <w:rPr>
                <w:rFonts w:ascii="Times New Roman" w:eastAsia="宋体" w:hAnsi="Times New Roman" w:cs="Times New Roman"/>
                <w:sz w:val="24"/>
              </w:rPr>
            </w:pPr>
          </w:p>
        </w:tc>
        <w:tc>
          <w:tcPr>
            <w:tcW w:w="1452" w:type="dxa"/>
            <w:tcBorders>
              <w:top w:val="single" w:sz="4" w:space="0" w:color="000000"/>
              <w:left w:val="single" w:sz="4" w:space="0" w:color="000000"/>
              <w:bottom w:val="single" w:sz="4" w:space="0" w:color="000000"/>
            </w:tcBorders>
            <w:vAlign w:val="center"/>
          </w:tcPr>
          <w:p w14:paraId="5BC7EE0A"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r w:rsidR="00D12939" w14:paraId="2ECD9308"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4D7A63C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N5</w:t>
            </w:r>
          </w:p>
        </w:tc>
        <w:tc>
          <w:tcPr>
            <w:tcW w:w="2458" w:type="dxa"/>
            <w:tcBorders>
              <w:top w:val="single" w:sz="4" w:space="0" w:color="000000"/>
              <w:left w:val="single" w:sz="4" w:space="0" w:color="000000"/>
              <w:bottom w:val="single" w:sz="4" w:space="0" w:color="000000"/>
              <w:right w:val="single" w:sz="4" w:space="0" w:color="000000"/>
            </w:tcBorders>
            <w:vAlign w:val="center"/>
          </w:tcPr>
          <w:p w14:paraId="6B52E17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项目地南</w:t>
            </w:r>
            <w:r>
              <w:rPr>
                <w:rFonts w:ascii="Times New Roman" w:hAnsi="Times New Roman"/>
                <w:spacing w:val="-30"/>
                <w:sz w:val="24"/>
              </w:rPr>
              <w:t>侧</w:t>
            </w:r>
            <w:r>
              <w:rPr>
                <w:rFonts w:ascii="Times New Roman" w:hAnsi="Times New Roman"/>
                <w:spacing w:val="-30"/>
                <w:sz w:val="24"/>
              </w:rPr>
              <w:t xml:space="preserve"> </w:t>
            </w:r>
            <w:r>
              <w:rPr>
                <w:rFonts w:ascii="Times New Roman" w:hAnsi="Times New Roman"/>
                <w:sz w:val="24"/>
              </w:rPr>
              <w:t xml:space="preserve">1 </w:t>
            </w:r>
            <w:r>
              <w:rPr>
                <w:rFonts w:ascii="Times New Roman" w:hAnsi="Times New Roman"/>
                <w:sz w:val="24"/>
              </w:rPr>
              <w:t>号点</w:t>
            </w:r>
          </w:p>
        </w:tc>
        <w:tc>
          <w:tcPr>
            <w:tcW w:w="1040" w:type="dxa"/>
            <w:tcBorders>
              <w:top w:val="single" w:sz="4" w:space="0" w:color="000000"/>
              <w:left w:val="single" w:sz="4" w:space="0" w:color="000000"/>
              <w:bottom w:val="single" w:sz="4" w:space="0" w:color="000000"/>
              <w:right w:val="single" w:sz="4" w:space="0" w:color="000000"/>
            </w:tcBorders>
            <w:vAlign w:val="center"/>
          </w:tcPr>
          <w:p w14:paraId="65A0B56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54</w:t>
            </w:r>
          </w:p>
        </w:tc>
        <w:tc>
          <w:tcPr>
            <w:tcW w:w="664" w:type="dxa"/>
            <w:tcBorders>
              <w:top w:val="single" w:sz="4" w:space="0" w:color="000000"/>
              <w:left w:val="single" w:sz="4" w:space="0" w:color="000000"/>
              <w:bottom w:val="single" w:sz="4" w:space="0" w:color="000000"/>
              <w:right w:val="single" w:sz="4" w:space="0" w:color="000000"/>
            </w:tcBorders>
            <w:vAlign w:val="center"/>
          </w:tcPr>
          <w:p w14:paraId="615CE1C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44</w:t>
            </w:r>
          </w:p>
        </w:tc>
        <w:tc>
          <w:tcPr>
            <w:tcW w:w="1017" w:type="dxa"/>
            <w:tcBorders>
              <w:top w:val="single" w:sz="4" w:space="0" w:color="000000"/>
              <w:left w:val="single" w:sz="4" w:space="0" w:color="000000"/>
              <w:bottom w:val="single" w:sz="4" w:space="0" w:color="000000"/>
              <w:right w:val="single" w:sz="4" w:space="0" w:color="000000"/>
            </w:tcBorders>
            <w:vAlign w:val="center"/>
          </w:tcPr>
          <w:p w14:paraId="434D63B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54</w:t>
            </w:r>
          </w:p>
        </w:tc>
        <w:tc>
          <w:tcPr>
            <w:tcW w:w="997" w:type="dxa"/>
            <w:tcBorders>
              <w:top w:val="single" w:sz="4" w:space="0" w:color="000000"/>
              <w:left w:val="single" w:sz="4" w:space="0" w:color="000000"/>
              <w:bottom w:val="single" w:sz="4" w:space="0" w:color="000000"/>
            </w:tcBorders>
            <w:vAlign w:val="center"/>
          </w:tcPr>
          <w:p w14:paraId="0AF6F23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42</w:t>
            </w:r>
          </w:p>
        </w:tc>
        <w:tc>
          <w:tcPr>
            <w:tcW w:w="1185" w:type="dxa"/>
            <w:vMerge/>
            <w:tcBorders>
              <w:left w:val="single" w:sz="4" w:space="0" w:color="000000"/>
            </w:tcBorders>
            <w:vAlign w:val="center"/>
          </w:tcPr>
          <w:p w14:paraId="3EB8060C" w14:textId="77777777" w:rsidR="00D12939" w:rsidRDefault="00D12939">
            <w:pPr>
              <w:jc w:val="center"/>
              <w:rPr>
                <w:rFonts w:ascii="Times New Roman" w:eastAsia="宋体" w:hAnsi="Times New Roman" w:cs="Times New Roman"/>
                <w:sz w:val="24"/>
              </w:rPr>
            </w:pPr>
          </w:p>
        </w:tc>
        <w:tc>
          <w:tcPr>
            <w:tcW w:w="1452" w:type="dxa"/>
            <w:tcBorders>
              <w:top w:val="single" w:sz="4" w:space="0" w:color="000000"/>
              <w:left w:val="single" w:sz="4" w:space="0" w:color="000000"/>
              <w:bottom w:val="single" w:sz="4" w:space="0" w:color="000000"/>
            </w:tcBorders>
            <w:vAlign w:val="center"/>
          </w:tcPr>
          <w:p w14:paraId="34CCC5D0"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r w:rsidR="00D12939" w14:paraId="7ED7FB92"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1F8E64E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N6</w:t>
            </w:r>
          </w:p>
        </w:tc>
        <w:tc>
          <w:tcPr>
            <w:tcW w:w="2458" w:type="dxa"/>
            <w:tcBorders>
              <w:top w:val="single" w:sz="4" w:space="0" w:color="000000"/>
              <w:left w:val="single" w:sz="4" w:space="0" w:color="000000"/>
              <w:bottom w:val="single" w:sz="4" w:space="0" w:color="000000"/>
              <w:right w:val="single" w:sz="4" w:space="0" w:color="000000"/>
            </w:tcBorders>
            <w:vAlign w:val="center"/>
          </w:tcPr>
          <w:p w14:paraId="34C211AB"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项目地南侧</w:t>
            </w:r>
            <w:r>
              <w:rPr>
                <w:rFonts w:ascii="Times New Roman" w:hAnsi="Times New Roman"/>
                <w:sz w:val="24"/>
              </w:rPr>
              <w:t xml:space="preserve"> 2 </w:t>
            </w:r>
            <w:r>
              <w:rPr>
                <w:rFonts w:ascii="Times New Roman" w:hAnsi="Times New Roman"/>
                <w:sz w:val="24"/>
              </w:rPr>
              <w:t>号点</w:t>
            </w:r>
          </w:p>
        </w:tc>
        <w:tc>
          <w:tcPr>
            <w:tcW w:w="1040" w:type="dxa"/>
            <w:tcBorders>
              <w:top w:val="single" w:sz="4" w:space="0" w:color="000000"/>
              <w:left w:val="single" w:sz="4" w:space="0" w:color="000000"/>
              <w:bottom w:val="single" w:sz="4" w:space="0" w:color="000000"/>
              <w:right w:val="single" w:sz="4" w:space="0" w:color="000000"/>
            </w:tcBorders>
            <w:vAlign w:val="center"/>
          </w:tcPr>
          <w:p w14:paraId="142C8A7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53</w:t>
            </w:r>
          </w:p>
        </w:tc>
        <w:tc>
          <w:tcPr>
            <w:tcW w:w="664" w:type="dxa"/>
            <w:tcBorders>
              <w:top w:val="single" w:sz="4" w:space="0" w:color="000000"/>
              <w:left w:val="single" w:sz="4" w:space="0" w:color="000000"/>
              <w:bottom w:val="single" w:sz="4" w:space="0" w:color="000000"/>
              <w:right w:val="single" w:sz="4" w:space="0" w:color="000000"/>
            </w:tcBorders>
            <w:vAlign w:val="center"/>
          </w:tcPr>
          <w:p w14:paraId="0BC9AE3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44</w:t>
            </w:r>
          </w:p>
        </w:tc>
        <w:tc>
          <w:tcPr>
            <w:tcW w:w="1017" w:type="dxa"/>
            <w:tcBorders>
              <w:top w:val="single" w:sz="4" w:space="0" w:color="000000"/>
              <w:left w:val="single" w:sz="4" w:space="0" w:color="000000"/>
              <w:bottom w:val="single" w:sz="4" w:space="0" w:color="000000"/>
              <w:right w:val="single" w:sz="4" w:space="0" w:color="000000"/>
            </w:tcBorders>
            <w:vAlign w:val="center"/>
          </w:tcPr>
          <w:p w14:paraId="532C139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54</w:t>
            </w:r>
          </w:p>
        </w:tc>
        <w:tc>
          <w:tcPr>
            <w:tcW w:w="997" w:type="dxa"/>
            <w:tcBorders>
              <w:top w:val="single" w:sz="4" w:space="0" w:color="000000"/>
              <w:left w:val="single" w:sz="4" w:space="0" w:color="000000"/>
              <w:bottom w:val="single" w:sz="4" w:space="0" w:color="000000"/>
            </w:tcBorders>
            <w:vAlign w:val="center"/>
          </w:tcPr>
          <w:p w14:paraId="5CF7A15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44</w:t>
            </w:r>
          </w:p>
        </w:tc>
        <w:tc>
          <w:tcPr>
            <w:tcW w:w="1185" w:type="dxa"/>
            <w:vMerge/>
            <w:tcBorders>
              <w:left w:val="single" w:sz="4" w:space="0" w:color="000000"/>
            </w:tcBorders>
            <w:vAlign w:val="center"/>
          </w:tcPr>
          <w:p w14:paraId="22F5E751" w14:textId="77777777" w:rsidR="00D12939" w:rsidRDefault="00D12939">
            <w:pPr>
              <w:jc w:val="center"/>
              <w:rPr>
                <w:rFonts w:ascii="Times New Roman" w:eastAsia="宋体" w:hAnsi="Times New Roman" w:cs="Times New Roman"/>
                <w:sz w:val="24"/>
              </w:rPr>
            </w:pPr>
          </w:p>
        </w:tc>
        <w:tc>
          <w:tcPr>
            <w:tcW w:w="1452" w:type="dxa"/>
            <w:tcBorders>
              <w:top w:val="single" w:sz="4" w:space="0" w:color="000000"/>
              <w:left w:val="single" w:sz="4" w:space="0" w:color="000000"/>
              <w:bottom w:val="single" w:sz="4" w:space="0" w:color="000000"/>
            </w:tcBorders>
            <w:vAlign w:val="center"/>
          </w:tcPr>
          <w:p w14:paraId="4EB7DE4C"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r w:rsidR="00D12939" w14:paraId="75AD19F6"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3EDB1ACF"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N7</w:t>
            </w:r>
          </w:p>
        </w:tc>
        <w:tc>
          <w:tcPr>
            <w:tcW w:w="2458" w:type="dxa"/>
            <w:tcBorders>
              <w:top w:val="single" w:sz="4" w:space="0" w:color="000000"/>
              <w:left w:val="single" w:sz="4" w:space="0" w:color="000000"/>
              <w:bottom w:val="single" w:sz="4" w:space="0" w:color="000000"/>
              <w:right w:val="single" w:sz="4" w:space="0" w:color="000000"/>
            </w:tcBorders>
            <w:vAlign w:val="center"/>
          </w:tcPr>
          <w:p w14:paraId="76A039F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项目地南侧</w:t>
            </w:r>
            <w:r>
              <w:rPr>
                <w:rFonts w:ascii="Times New Roman" w:hAnsi="Times New Roman"/>
                <w:sz w:val="24"/>
              </w:rPr>
              <w:t xml:space="preserve"> 3 </w:t>
            </w:r>
            <w:r>
              <w:rPr>
                <w:rFonts w:ascii="Times New Roman" w:hAnsi="Times New Roman"/>
                <w:sz w:val="24"/>
              </w:rPr>
              <w:t>号点</w:t>
            </w:r>
          </w:p>
        </w:tc>
        <w:tc>
          <w:tcPr>
            <w:tcW w:w="1040" w:type="dxa"/>
            <w:tcBorders>
              <w:top w:val="single" w:sz="4" w:space="0" w:color="000000"/>
              <w:left w:val="single" w:sz="4" w:space="0" w:color="000000"/>
              <w:bottom w:val="single" w:sz="4" w:space="0" w:color="000000"/>
              <w:right w:val="single" w:sz="4" w:space="0" w:color="000000"/>
            </w:tcBorders>
            <w:vAlign w:val="center"/>
          </w:tcPr>
          <w:p w14:paraId="7BDC6622"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53</w:t>
            </w:r>
          </w:p>
        </w:tc>
        <w:tc>
          <w:tcPr>
            <w:tcW w:w="664" w:type="dxa"/>
            <w:tcBorders>
              <w:top w:val="single" w:sz="4" w:space="0" w:color="000000"/>
              <w:left w:val="single" w:sz="4" w:space="0" w:color="000000"/>
              <w:bottom w:val="single" w:sz="4" w:space="0" w:color="000000"/>
              <w:right w:val="single" w:sz="4" w:space="0" w:color="000000"/>
            </w:tcBorders>
            <w:vAlign w:val="center"/>
          </w:tcPr>
          <w:p w14:paraId="5147298D"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43</w:t>
            </w:r>
          </w:p>
        </w:tc>
        <w:tc>
          <w:tcPr>
            <w:tcW w:w="1017" w:type="dxa"/>
            <w:tcBorders>
              <w:top w:val="single" w:sz="4" w:space="0" w:color="000000"/>
              <w:left w:val="single" w:sz="4" w:space="0" w:color="000000"/>
              <w:bottom w:val="single" w:sz="4" w:space="0" w:color="000000"/>
              <w:right w:val="single" w:sz="4" w:space="0" w:color="000000"/>
            </w:tcBorders>
            <w:vAlign w:val="center"/>
          </w:tcPr>
          <w:p w14:paraId="3211E22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53</w:t>
            </w:r>
          </w:p>
        </w:tc>
        <w:tc>
          <w:tcPr>
            <w:tcW w:w="997" w:type="dxa"/>
            <w:tcBorders>
              <w:top w:val="single" w:sz="4" w:space="0" w:color="000000"/>
              <w:left w:val="single" w:sz="4" w:space="0" w:color="000000"/>
              <w:bottom w:val="single" w:sz="4" w:space="0" w:color="000000"/>
            </w:tcBorders>
            <w:vAlign w:val="center"/>
          </w:tcPr>
          <w:p w14:paraId="731E13D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44</w:t>
            </w:r>
          </w:p>
        </w:tc>
        <w:tc>
          <w:tcPr>
            <w:tcW w:w="1185" w:type="dxa"/>
            <w:vMerge/>
            <w:tcBorders>
              <w:left w:val="single" w:sz="4" w:space="0" w:color="000000"/>
            </w:tcBorders>
            <w:vAlign w:val="center"/>
          </w:tcPr>
          <w:p w14:paraId="63ECDE5F" w14:textId="77777777" w:rsidR="00D12939" w:rsidRDefault="00D12939">
            <w:pPr>
              <w:jc w:val="center"/>
              <w:rPr>
                <w:rFonts w:ascii="Times New Roman" w:eastAsia="宋体" w:hAnsi="Times New Roman" w:cs="Times New Roman"/>
                <w:sz w:val="24"/>
              </w:rPr>
            </w:pPr>
          </w:p>
        </w:tc>
        <w:tc>
          <w:tcPr>
            <w:tcW w:w="1452" w:type="dxa"/>
            <w:tcBorders>
              <w:top w:val="single" w:sz="4" w:space="0" w:color="000000"/>
              <w:left w:val="single" w:sz="4" w:space="0" w:color="000000"/>
              <w:bottom w:val="single" w:sz="4" w:space="0" w:color="000000"/>
            </w:tcBorders>
            <w:vAlign w:val="center"/>
          </w:tcPr>
          <w:p w14:paraId="111BE1AB"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r w:rsidR="00D12939" w14:paraId="6D358B79"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0CC9DF1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N8</w:t>
            </w:r>
          </w:p>
        </w:tc>
        <w:tc>
          <w:tcPr>
            <w:tcW w:w="2458" w:type="dxa"/>
            <w:tcBorders>
              <w:top w:val="single" w:sz="4" w:space="0" w:color="000000"/>
              <w:left w:val="single" w:sz="4" w:space="0" w:color="000000"/>
              <w:bottom w:val="single" w:sz="4" w:space="0" w:color="000000"/>
              <w:right w:val="single" w:sz="4" w:space="0" w:color="000000"/>
            </w:tcBorders>
            <w:vAlign w:val="center"/>
          </w:tcPr>
          <w:p w14:paraId="37803E69"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项目地东侧</w:t>
            </w:r>
            <w:r>
              <w:rPr>
                <w:rFonts w:ascii="Times New Roman" w:hAnsi="Times New Roman"/>
                <w:sz w:val="24"/>
              </w:rPr>
              <w:t xml:space="preserve"> 1 </w:t>
            </w:r>
            <w:r>
              <w:rPr>
                <w:rFonts w:ascii="Times New Roman" w:hAnsi="Times New Roman"/>
                <w:sz w:val="24"/>
              </w:rPr>
              <w:t>号点</w:t>
            </w:r>
          </w:p>
        </w:tc>
        <w:tc>
          <w:tcPr>
            <w:tcW w:w="1040" w:type="dxa"/>
            <w:tcBorders>
              <w:top w:val="single" w:sz="4" w:space="0" w:color="000000"/>
              <w:left w:val="single" w:sz="4" w:space="0" w:color="000000"/>
              <w:bottom w:val="single" w:sz="4" w:space="0" w:color="000000"/>
              <w:right w:val="single" w:sz="4" w:space="0" w:color="000000"/>
            </w:tcBorders>
            <w:vAlign w:val="center"/>
          </w:tcPr>
          <w:p w14:paraId="4DE71FCE"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53</w:t>
            </w:r>
          </w:p>
        </w:tc>
        <w:tc>
          <w:tcPr>
            <w:tcW w:w="664" w:type="dxa"/>
            <w:tcBorders>
              <w:top w:val="single" w:sz="4" w:space="0" w:color="000000"/>
              <w:left w:val="single" w:sz="4" w:space="0" w:color="000000"/>
              <w:bottom w:val="single" w:sz="4" w:space="0" w:color="000000"/>
              <w:right w:val="single" w:sz="4" w:space="0" w:color="000000"/>
            </w:tcBorders>
            <w:vAlign w:val="center"/>
          </w:tcPr>
          <w:p w14:paraId="36BBFDA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44</w:t>
            </w:r>
          </w:p>
        </w:tc>
        <w:tc>
          <w:tcPr>
            <w:tcW w:w="1017" w:type="dxa"/>
            <w:tcBorders>
              <w:top w:val="single" w:sz="4" w:space="0" w:color="000000"/>
              <w:left w:val="single" w:sz="4" w:space="0" w:color="000000"/>
              <w:bottom w:val="single" w:sz="4" w:space="0" w:color="000000"/>
              <w:right w:val="single" w:sz="4" w:space="0" w:color="000000"/>
            </w:tcBorders>
            <w:vAlign w:val="center"/>
          </w:tcPr>
          <w:p w14:paraId="64FDAA28"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53</w:t>
            </w:r>
          </w:p>
        </w:tc>
        <w:tc>
          <w:tcPr>
            <w:tcW w:w="997" w:type="dxa"/>
            <w:tcBorders>
              <w:top w:val="single" w:sz="4" w:space="0" w:color="000000"/>
              <w:left w:val="single" w:sz="4" w:space="0" w:color="000000"/>
              <w:bottom w:val="single" w:sz="4" w:space="0" w:color="000000"/>
            </w:tcBorders>
            <w:vAlign w:val="center"/>
          </w:tcPr>
          <w:p w14:paraId="7275A1DC"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43</w:t>
            </w:r>
          </w:p>
        </w:tc>
        <w:tc>
          <w:tcPr>
            <w:tcW w:w="1185" w:type="dxa"/>
            <w:vMerge/>
            <w:tcBorders>
              <w:left w:val="single" w:sz="4" w:space="0" w:color="000000"/>
            </w:tcBorders>
            <w:vAlign w:val="center"/>
          </w:tcPr>
          <w:p w14:paraId="25CF7341" w14:textId="77777777" w:rsidR="00D12939" w:rsidRDefault="00D12939">
            <w:pPr>
              <w:jc w:val="center"/>
              <w:rPr>
                <w:rFonts w:ascii="Times New Roman" w:eastAsia="宋体" w:hAnsi="Times New Roman" w:cs="Times New Roman"/>
                <w:sz w:val="24"/>
              </w:rPr>
            </w:pPr>
          </w:p>
        </w:tc>
        <w:tc>
          <w:tcPr>
            <w:tcW w:w="1452" w:type="dxa"/>
            <w:tcBorders>
              <w:top w:val="single" w:sz="4" w:space="0" w:color="000000"/>
              <w:left w:val="single" w:sz="4" w:space="0" w:color="000000"/>
              <w:bottom w:val="single" w:sz="4" w:space="0" w:color="000000"/>
            </w:tcBorders>
            <w:vAlign w:val="center"/>
          </w:tcPr>
          <w:p w14:paraId="228541AF"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r w:rsidR="00D12939" w14:paraId="238A265A" w14:textId="77777777">
        <w:trPr>
          <w:trHeight w:val="34"/>
          <w:jc w:val="center"/>
        </w:trPr>
        <w:tc>
          <w:tcPr>
            <w:tcW w:w="825" w:type="dxa"/>
            <w:tcBorders>
              <w:top w:val="single" w:sz="4" w:space="0" w:color="000000"/>
              <w:bottom w:val="single" w:sz="4" w:space="0" w:color="000000"/>
              <w:right w:val="single" w:sz="4" w:space="0" w:color="000000"/>
            </w:tcBorders>
            <w:vAlign w:val="center"/>
          </w:tcPr>
          <w:p w14:paraId="3A3483F0"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N9</w:t>
            </w:r>
          </w:p>
        </w:tc>
        <w:tc>
          <w:tcPr>
            <w:tcW w:w="2458" w:type="dxa"/>
            <w:tcBorders>
              <w:top w:val="single" w:sz="4" w:space="0" w:color="000000"/>
              <w:left w:val="single" w:sz="4" w:space="0" w:color="000000"/>
              <w:bottom w:val="single" w:sz="4" w:space="0" w:color="000000"/>
              <w:right w:val="single" w:sz="4" w:space="0" w:color="000000"/>
            </w:tcBorders>
            <w:vAlign w:val="center"/>
          </w:tcPr>
          <w:p w14:paraId="0BB66615"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项目地东</w:t>
            </w:r>
            <w:r>
              <w:rPr>
                <w:rFonts w:ascii="Times New Roman" w:hAnsi="Times New Roman"/>
                <w:spacing w:val="-30"/>
                <w:sz w:val="24"/>
              </w:rPr>
              <w:t>侧</w:t>
            </w:r>
            <w:r>
              <w:rPr>
                <w:rFonts w:ascii="Times New Roman" w:hAnsi="Times New Roman"/>
                <w:spacing w:val="-30"/>
                <w:sz w:val="24"/>
              </w:rPr>
              <w:t xml:space="preserve"> </w:t>
            </w:r>
            <w:r>
              <w:rPr>
                <w:rFonts w:ascii="Times New Roman" w:hAnsi="Times New Roman"/>
                <w:sz w:val="24"/>
              </w:rPr>
              <w:t xml:space="preserve">2 </w:t>
            </w:r>
            <w:r>
              <w:rPr>
                <w:rFonts w:ascii="Times New Roman" w:hAnsi="Times New Roman"/>
                <w:sz w:val="24"/>
              </w:rPr>
              <w:t>号点</w:t>
            </w:r>
          </w:p>
        </w:tc>
        <w:tc>
          <w:tcPr>
            <w:tcW w:w="1040" w:type="dxa"/>
            <w:tcBorders>
              <w:top w:val="single" w:sz="4" w:space="0" w:color="000000"/>
              <w:left w:val="single" w:sz="4" w:space="0" w:color="000000"/>
              <w:bottom w:val="single" w:sz="4" w:space="0" w:color="000000"/>
              <w:right w:val="single" w:sz="4" w:space="0" w:color="000000"/>
            </w:tcBorders>
            <w:vAlign w:val="center"/>
          </w:tcPr>
          <w:p w14:paraId="6F76E993"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54</w:t>
            </w:r>
          </w:p>
        </w:tc>
        <w:tc>
          <w:tcPr>
            <w:tcW w:w="664" w:type="dxa"/>
            <w:tcBorders>
              <w:top w:val="single" w:sz="4" w:space="0" w:color="000000"/>
              <w:left w:val="single" w:sz="4" w:space="0" w:color="000000"/>
              <w:bottom w:val="single" w:sz="4" w:space="0" w:color="000000"/>
              <w:right w:val="single" w:sz="4" w:space="0" w:color="000000"/>
            </w:tcBorders>
            <w:vAlign w:val="center"/>
          </w:tcPr>
          <w:p w14:paraId="3FEBA437"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45</w:t>
            </w:r>
          </w:p>
        </w:tc>
        <w:tc>
          <w:tcPr>
            <w:tcW w:w="1017" w:type="dxa"/>
            <w:tcBorders>
              <w:top w:val="single" w:sz="4" w:space="0" w:color="000000"/>
              <w:left w:val="single" w:sz="4" w:space="0" w:color="000000"/>
              <w:bottom w:val="single" w:sz="4" w:space="0" w:color="000000"/>
              <w:right w:val="single" w:sz="4" w:space="0" w:color="000000"/>
            </w:tcBorders>
            <w:vAlign w:val="center"/>
          </w:tcPr>
          <w:p w14:paraId="4E07968A"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54</w:t>
            </w:r>
          </w:p>
        </w:tc>
        <w:tc>
          <w:tcPr>
            <w:tcW w:w="997" w:type="dxa"/>
            <w:tcBorders>
              <w:top w:val="single" w:sz="4" w:space="0" w:color="000000"/>
              <w:left w:val="single" w:sz="4" w:space="0" w:color="000000"/>
              <w:bottom w:val="single" w:sz="4" w:space="0" w:color="000000"/>
            </w:tcBorders>
            <w:vAlign w:val="center"/>
          </w:tcPr>
          <w:p w14:paraId="14270DB1" w14:textId="77777777" w:rsidR="00D12939" w:rsidRDefault="004F47F5">
            <w:pPr>
              <w:pStyle w:val="TableParagraph"/>
              <w:ind w:firstLineChars="0" w:firstLine="0"/>
              <w:jc w:val="center"/>
              <w:rPr>
                <w:rFonts w:ascii="Times New Roman" w:hAnsi="Times New Roman"/>
                <w:sz w:val="24"/>
              </w:rPr>
            </w:pPr>
            <w:r>
              <w:rPr>
                <w:rFonts w:ascii="Times New Roman" w:hAnsi="Times New Roman"/>
                <w:sz w:val="24"/>
              </w:rPr>
              <w:t>45</w:t>
            </w:r>
          </w:p>
        </w:tc>
        <w:tc>
          <w:tcPr>
            <w:tcW w:w="1185" w:type="dxa"/>
            <w:vMerge/>
            <w:tcBorders>
              <w:left w:val="single" w:sz="4" w:space="0" w:color="000000"/>
              <w:bottom w:val="single" w:sz="4" w:space="0" w:color="000000"/>
            </w:tcBorders>
            <w:vAlign w:val="center"/>
          </w:tcPr>
          <w:p w14:paraId="394505CF" w14:textId="77777777" w:rsidR="00D12939" w:rsidRDefault="00D12939">
            <w:pPr>
              <w:jc w:val="center"/>
              <w:rPr>
                <w:rFonts w:ascii="Times New Roman" w:eastAsia="宋体" w:hAnsi="Times New Roman" w:cs="Times New Roman"/>
                <w:sz w:val="24"/>
              </w:rPr>
            </w:pPr>
          </w:p>
        </w:tc>
        <w:tc>
          <w:tcPr>
            <w:tcW w:w="1452" w:type="dxa"/>
            <w:tcBorders>
              <w:top w:val="single" w:sz="4" w:space="0" w:color="000000"/>
              <w:left w:val="single" w:sz="4" w:space="0" w:color="000000"/>
              <w:bottom w:val="single" w:sz="4" w:space="0" w:color="000000"/>
            </w:tcBorders>
            <w:vAlign w:val="center"/>
          </w:tcPr>
          <w:p w14:paraId="27FCAD1E" w14:textId="77777777" w:rsidR="00D12939" w:rsidRDefault="004F47F5">
            <w:pPr>
              <w:jc w:val="center"/>
              <w:rPr>
                <w:rFonts w:ascii="Times New Roman" w:eastAsia="宋体" w:hAnsi="Times New Roman" w:cs="Times New Roman"/>
                <w:sz w:val="24"/>
              </w:rPr>
            </w:pPr>
            <w:r>
              <w:rPr>
                <w:rFonts w:ascii="Times New Roman" w:eastAsia="宋体" w:hAnsi="Times New Roman" w:cs="Times New Roman"/>
                <w:sz w:val="24"/>
              </w:rPr>
              <w:t>达标</w:t>
            </w:r>
          </w:p>
        </w:tc>
      </w:tr>
    </w:tbl>
    <w:p w14:paraId="05EE04FE" w14:textId="77777777" w:rsidR="00D12939" w:rsidRDefault="004F47F5">
      <w:pPr>
        <w:spacing w:line="360" w:lineRule="auto"/>
        <w:ind w:firstLineChars="200" w:firstLine="480"/>
        <w:rPr>
          <w:rFonts w:ascii="Times New Roman" w:eastAsia="宋体" w:hAnsi="Times New Roman" w:cs="Times New Roman"/>
          <w:sz w:val="24"/>
          <w:szCs w:val="24"/>
        </w:rPr>
        <w:sectPr w:rsidR="00D12939">
          <w:pgSz w:w="11906" w:h="16838"/>
          <w:pgMar w:top="1440" w:right="1080" w:bottom="1440" w:left="1080" w:header="851" w:footer="992" w:gutter="0"/>
          <w:cols w:space="425"/>
          <w:docGrid w:type="lines" w:linePitch="312"/>
        </w:sectPr>
      </w:pPr>
      <w:r>
        <w:rPr>
          <w:rFonts w:ascii="Times New Roman" w:eastAsia="宋体" w:hAnsi="Times New Roman" w:cs="Times New Roman"/>
          <w:sz w:val="24"/>
          <w:szCs w:val="24"/>
        </w:rPr>
        <w:t>由上表可知，拟建项目厂界四周昼间、夜间噪声监测值均满足《声环境质量标准》（</w:t>
      </w:r>
      <w:r>
        <w:rPr>
          <w:rFonts w:ascii="Times New Roman" w:eastAsia="宋体" w:hAnsi="Times New Roman" w:cs="Times New Roman"/>
          <w:sz w:val="24"/>
          <w:szCs w:val="24"/>
        </w:rPr>
        <w:t>GB3096-2008</w:t>
      </w:r>
      <w:r>
        <w:rPr>
          <w:rFonts w:ascii="Times New Roman" w:eastAsia="宋体" w:hAnsi="Times New Roman" w:cs="Times New Roman"/>
          <w:sz w:val="24"/>
          <w:szCs w:val="24"/>
        </w:rPr>
        <w:t>）中的</w:t>
      </w:r>
      <w:r>
        <w:rPr>
          <w:rFonts w:ascii="Times New Roman" w:eastAsia="宋体" w:hAnsi="Times New Roman" w:cs="Times New Roman"/>
          <w:sz w:val="24"/>
          <w:szCs w:val="24"/>
        </w:rPr>
        <w:t>2</w:t>
      </w:r>
      <w:r>
        <w:rPr>
          <w:rFonts w:ascii="Times New Roman" w:eastAsia="宋体" w:hAnsi="Times New Roman" w:cs="Times New Roman"/>
          <w:sz w:val="24"/>
          <w:szCs w:val="24"/>
        </w:rPr>
        <w:t>类区标准要求。</w:t>
      </w:r>
    </w:p>
    <w:p w14:paraId="174243E4" w14:textId="77777777" w:rsidR="00D12939" w:rsidRDefault="004F47F5">
      <w:pPr>
        <w:pStyle w:val="1"/>
        <w:jc w:val="center"/>
        <w:rPr>
          <w:sz w:val="30"/>
          <w:szCs w:val="30"/>
        </w:rPr>
      </w:pPr>
      <w:bookmarkStart w:id="442" w:name="_Toc40281749"/>
      <w:bookmarkStart w:id="443" w:name="_Toc41500986"/>
      <w:bookmarkStart w:id="444" w:name="_Toc60666769"/>
      <w:bookmarkStart w:id="445" w:name="_Toc40427810"/>
      <w:bookmarkStart w:id="446" w:name="_Toc41467430"/>
      <w:bookmarkStart w:id="447" w:name="_Toc40281496"/>
      <w:bookmarkStart w:id="448" w:name="_Toc93158108"/>
      <w:bookmarkStart w:id="449" w:name="_Toc121411756"/>
      <w:r>
        <w:rPr>
          <w:sz w:val="30"/>
          <w:szCs w:val="30"/>
        </w:rPr>
        <w:lastRenderedPageBreak/>
        <w:t xml:space="preserve">6 </w:t>
      </w:r>
      <w:r>
        <w:rPr>
          <w:sz w:val="30"/>
          <w:szCs w:val="30"/>
        </w:rPr>
        <w:t>施工期环境影响</w:t>
      </w:r>
      <w:bookmarkEnd w:id="442"/>
      <w:bookmarkEnd w:id="443"/>
      <w:bookmarkEnd w:id="444"/>
      <w:bookmarkEnd w:id="445"/>
      <w:bookmarkEnd w:id="446"/>
      <w:bookmarkEnd w:id="447"/>
      <w:bookmarkEnd w:id="448"/>
      <w:r>
        <w:rPr>
          <w:rFonts w:hint="eastAsia"/>
          <w:sz w:val="30"/>
          <w:szCs w:val="30"/>
        </w:rPr>
        <w:t>分析</w:t>
      </w:r>
      <w:bookmarkEnd w:id="449"/>
    </w:p>
    <w:p w14:paraId="64333D78" w14:textId="77777777" w:rsidR="00D12939" w:rsidRDefault="004F47F5">
      <w:pPr>
        <w:pStyle w:val="2"/>
        <w:spacing w:line="360" w:lineRule="auto"/>
        <w:ind w:firstLine="560"/>
        <w:rPr>
          <w:sz w:val="28"/>
        </w:rPr>
      </w:pPr>
      <w:bookmarkStart w:id="450" w:name="_Toc478546979"/>
      <w:bookmarkStart w:id="451" w:name="_Toc121411757"/>
      <w:bookmarkStart w:id="452" w:name="_Toc388971184"/>
      <w:r>
        <w:rPr>
          <w:sz w:val="28"/>
        </w:rPr>
        <w:t xml:space="preserve">6.1 </w:t>
      </w:r>
      <w:r>
        <w:rPr>
          <w:sz w:val="28"/>
        </w:rPr>
        <w:t>施工期环境影响概况</w:t>
      </w:r>
      <w:bookmarkEnd w:id="450"/>
      <w:bookmarkEnd w:id="451"/>
      <w:bookmarkEnd w:id="452"/>
    </w:p>
    <w:p w14:paraId="1CCA14EA"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根据拟建项目当地自然环境、社会环境的实际情况以及项目施工可能对环境产生的影响，施工期的主要环境影响有：</w:t>
      </w:r>
    </w:p>
    <w:p w14:paraId="0F911334"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）环境空气：施工建筑材料（水泥、石灰、砂石料）的装卸以及运输过程中造成的扬尘和洒落；各类施工机械和运输车辆所排放的废气。其中，对空气环境影响最大的是施工扬尘，主要集中在土建施工阶段。</w:t>
      </w:r>
    </w:p>
    <w:p w14:paraId="4B9A5C3A"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）声环境：工业场地施工机械的使用，对场地周围的声环境产生一定的影响。此外，施工中</w:t>
      </w:r>
      <w:r>
        <w:rPr>
          <w:rFonts w:ascii="Times New Roman" w:eastAsia="宋体" w:hAnsi="Times New Roman" w:cs="Times New Roman"/>
          <w:sz w:val="24"/>
        </w:rPr>
        <w:t>“</w:t>
      </w:r>
      <w:r>
        <w:rPr>
          <w:rFonts w:ascii="Times New Roman" w:eastAsia="宋体" w:hAnsi="Times New Roman" w:cs="Times New Roman"/>
          <w:sz w:val="24"/>
        </w:rPr>
        <w:t>三材</w:t>
      </w:r>
      <w:r>
        <w:rPr>
          <w:rFonts w:ascii="Times New Roman" w:eastAsia="宋体" w:hAnsi="Times New Roman" w:cs="Times New Roman"/>
          <w:sz w:val="24"/>
        </w:rPr>
        <w:t>”</w:t>
      </w:r>
      <w:r>
        <w:rPr>
          <w:rFonts w:ascii="Times New Roman" w:eastAsia="宋体" w:hAnsi="Times New Roman" w:cs="Times New Roman"/>
          <w:sz w:val="24"/>
        </w:rPr>
        <w:t>的准备将增加当地运输量，会对交通运输状况和运输道路两侧的声环境产生影响。</w:t>
      </w:r>
    </w:p>
    <w:p w14:paraId="7BD0E898"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）施工废水：施工期的污废水主要来自施工生活区的生活污水、施工泥浆废水和少量机修废水，主要污染因子为</w:t>
      </w:r>
      <w:r>
        <w:rPr>
          <w:rFonts w:ascii="Times New Roman" w:eastAsia="宋体" w:hAnsi="Times New Roman" w:cs="Times New Roman"/>
          <w:sz w:val="24"/>
        </w:rPr>
        <w:t>SS</w:t>
      </w:r>
      <w:r>
        <w:rPr>
          <w:rFonts w:ascii="Times New Roman" w:eastAsia="宋体" w:hAnsi="Times New Roman" w:cs="Times New Roman"/>
          <w:sz w:val="24"/>
        </w:rPr>
        <w:t>、</w:t>
      </w:r>
      <w:r>
        <w:rPr>
          <w:rFonts w:ascii="Times New Roman" w:eastAsia="宋体" w:hAnsi="Times New Roman" w:cs="Times New Roman"/>
          <w:sz w:val="24"/>
        </w:rPr>
        <w:t>COD</w:t>
      </w:r>
      <w:r>
        <w:rPr>
          <w:rFonts w:ascii="Times New Roman" w:eastAsia="宋体" w:hAnsi="Times New Roman" w:cs="Times New Roman"/>
          <w:sz w:val="24"/>
        </w:rPr>
        <w:t>、</w:t>
      </w:r>
      <w:r>
        <w:rPr>
          <w:rFonts w:ascii="Times New Roman" w:eastAsia="宋体" w:hAnsi="Times New Roman" w:cs="Times New Roman"/>
          <w:sz w:val="24"/>
        </w:rPr>
        <w:t>BOD</w:t>
      </w:r>
      <w:r>
        <w:rPr>
          <w:rFonts w:ascii="Times New Roman" w:eastAsia="宋体" w:hAnsi="Times New Roman" w:cs="Times New Roman"/>
          <w:sz w:val="24"/>
        </w:rPr>
        <w:t>和石油类。</w:t>
      </w:r>
    </w:p>
    <w:p w14:paraId="18781305"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）施工固废：施工期固废主要为施工废渣及施工人员生活垃圾等。</w:t>
      </w:r>
    </w:p>
    <w:p w14:paraId="517E6DC6" w14:textId="77777777" w:rsidR="00D12939" w:rsidRDefault="004F47F5">
      <w:pPr>
        <w:pStyle w:val="2"/>
        <w:spacing w:line="360" w:lineRule="auto"/>
        <w:ind w:firstLine="560"/>
        <w:rPr>
          <w:sz w:val="28"/>
        </w:rPr>
      </w:pPr>
      <w:bookmarkStart w:id="453" w:name="_Toc121411758"/>
      <w:bookmarkStart w:id="454" w:name="_Toc478546980"/>
      <w:bookmarkStart w:id="455" w:name="_Toc388971185"/>
      <w:r>
        <w:rPr>
          <w:sz w:val="28"/>
        </w:rPr>
        <w:t xml:space="preserve">6.2 </w:t>
      </w:r>
      <w:r>
        <w:rPr>
          <w:sz w:val="28"/>
        </w:rPr>
        <w:t>施工期环境影响分析</w:t>
      </w:r>
      <w:bookmarkEnd w:id="453"/>
      <w:bookmarkEnd w:id="454"/>
      <w:bookmarkEnd w:id="455"/>
    </w:p>
    <w:p w14:paraId="7A461F4A"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56" w:name="_Toc121411759"/>
      <w:r>
        <w:rPr>
          <w:rFonts w:ascii="Times New Roman" w:eastAsia="黑体" w:hAnsi="Times New Roman" w:cs="Times New Roman"/>
          <w:b w:val="0"/>
          <w:sz w:val="24"/>
        </w:rPr>
        <w:t xml:space="preserve">6.2.1 </w:t>
      </w:r>
      <w:r>
        <w:rPr>
          <w:rFonts w:ascii="Times New Roman" w:eastAsia="黑体" w:hAnsi="Times New Roman" w:cs="Times New Roman"/>
          <w:b w:val="0"/>
          <w:sz w:val="24"/>
        </w:rPr>
        <w:t>施工扬尘影响分析</w:t>
      </w:r>
      <w:bookmarkEnd w:id="456"/>
    </w:p>
    <w:p w14:paraId="6F2B5C55"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施工扬尘主要来自建筑材料石灰，水泥、沙子等的运输装卸以及施工场地土方开挖、回填、土石料堆存等在有风条件下产生的二次扬尘。在没有采取洒水、覆盖、及时回填的情况下，会影响施工场地及周围的环境空气，另外，施工产生的尘土如在道路上积存，车辆的经过会增加扬尘污染的程度。扬尘量的大小与施工现场条件、管理水平、机械化程度及施工季节、土质结构、天气条件等诸多因素有关，是一个复杂、难以定量的问题。造成扬尘污染的主要来源简述如下：</w:t>
      </w:r>
    </w:p>
    <w:p w14:paraId="6D820BDB"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施工中灰土拌合过程产生的施工扬尘：有关资料表明，搅拌站下风向</w:t>
      </w:r>
      <w:r>
        <w:rPr>
          <w:rFonts w:ascii="Times New Roman" w:eastAsia="宋体" w:hAnsi="Times New Roman" w:cs="Times New Roman"/>
          <w:sz w:val="24"/>
          <w:szCs w:val="24"/>
        </w:rPr>
        <w:t>TSP</w:t>
      </w:r>
      <w:r>
        <w:rPr>
          <w:rFonts w:ascii="Times New Roman" w:eastAsia="宋体" w:hAnsi="Times New Roman" w:cs="Times New Roman"/>
          <w:sz w:val="24"/>
          <w:szCs w:val="24"/>
        </w:rPr>
        <w:t>浓度明显高于上风向，其扬尘的影响范围基本在下风向</w:t>
      </w:r>
      <w:r>
        <w:rPr>
          <w:rFonts w:ascii="Times New Roman" w:eastAsia="宋体" w:hAnsi="Times New Roman" w:cs="Times New Roman"/>
          <w:sz w:val="24"/>
          <w:szCs w:val="24"/>
        </w:rPr>
        <w:t>100~150m</w:t>
      </w:r>
      <w:r>
        <w:rPr>
          <w:rFonts w:ascii="Times New Roman" w:eastAsia="宋体" w:hAnsi="Times New Roman" w:cs="Times New Roman"/>
          <w:sz w:val="24"/>
          <w:szCs w:val="24"/>
        </w:rPr>
        <w:t>左右，中心处的浓度接近</w:t>
      </w:r>
      <w:r>
        <w:rPr>
          <w:rFonts w:ascii="Times New Roman" w:eastAsia="宋体" w:hAnsi="Times New Roman" w:cs="Times New Roman"/>
          <w:sz w:val="24"/>
          <w:szCs w:val="24"/>
        </w:rPr>
        <w:t>10mg/m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。其它扬尘有建设材料装卸、取土、物料堆受风起尘等，其影响程度一般小于前者。</w:t>
      </w:r>
    </w:p>
    <w:p w14:paraId="310DCED0" w14:textId="7A8E6A51" w:rsidR="00D12939" w:rsidRPr="002A4A5F" w:rsidRDefault="002A4A5F" w:rsidP="002A4A5F">
      <w:pPr>
        <w:spacing w:line="360" w:lineRule="auto"/>
        <w:ind w:firstLineChars="200" w:firstLine="480"/>
        <w:rPr>
          <w:rFonts w:ascii="Times New Roman" w:eastAsia="宋体" w:hAnsi="Times New Roman" w:cs="Times New Roman"/>
          <w:color w:val="FF0000"/>
          <w:kern w:val="0"/>
          <w:sz w:val="24"/>
          <w:szCs w:val="24"/>
        </w:rPr>
      </w:pPr>
      <w:r>
        <w:rPr>
          <w:rFonts w:ascii="Times New Roman" w:eastAsia="宋体" w:hAnsi="Times New Roman" w:cs="Times New Roman"/>
          <w:color w:val="FF0000"/>
          <w:sz w:val="24"/>
          <w:szCs w:val="24"/>
        </w:rPr>
        <w:t>运输道路扬尘：</w:t>
      </w:r>
      <w:r>
        <w:rPr>
          <w:rFonts w:ascii="Times New Roman" w:eastAsia="宋体" w:hAnsi="Times New Roman" w:cs="Times New Roman"/>
          <w:color w:val="FF0000"/>
          <w:kern w:val="0"/>
          <w:sz w:val="24"/>
          <w:szCs w:val="24"/>
        </w:rPr>
        <w:t>物料运输过程中车辆沿途洒落于道路上的沙、土、灰、渣和建筑垃圾，以及沉积在道路上其他排放源排放的颗粒物，经来往车辆碾压后也会导致粒径较小的颗粒物进入空气，形成二次扬尘。同样路面清洁程度条件下，车速越快，扬尘量越大；而在同样车速情况下，路面越脏，则扬尘量越大。因此，对出入施工场地车辆进行冲洗、限速行驶及保持路面清洁是减少和防止汽车扬尘的有效手段。</w:t>
      </w:r>
    </w:p>
    <w:p w14:paraId="6A268BB1" w14:textId="77777777" w:rsidR="00D12939" w:rsidRDefault="004F47F5">
      <w:pPr>
        <w:spacing w:line="360" w:lineRule="auto"/>
        <w:ind w:firstLine="480"/>
        <w:rPr>
          <w:szCs w:val="24"/>
        </w:rPr>
      </w:pPr>
      <w:r>
        <w:rPr>
          <w:rFonts w:ascii="Times New Roman" w:eastAsia="宋体" w:hAnsi="Times New Roman" w:cs="Times New Roman"/>
          <w:sz w:val="24"/>
          <w:szCs w:val="24"/>
        </w:rPr>
        <w:lastRenderedPageBreak/>
        <w:t>施工过程对环境空气造成的不利影响是局部的、短期的，项目建设完成之后影响就会消失，因此施工扬尘对周围环境空气的影响可以接受。</w:t>
      </w:r>
    </w:p>
    <w:p w14:paraId="63C9EC07"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57" w:name="_Toc121411760"/>
      <w:r>
        <w:rPr>
          <w:rFonts w:ascii="Times New Roman" w:eastAsia="黑体" w:hAnsi="Times New Roman" w:cs="Times New Roman"/>
          <w:b w:val="0"/>
          <w:sz w:val="24"/>
        </w:rPr>
        <w:t xml:space="preserve">6.2.2 </w:t>
      </w:r>
      <w:r>
        <w:rPr>
          <w:rFonts w:ascii="Times New Roman" w:eastAsia="黑体" w:hAnsi="Times New Roman" w:cs="Times New Roman"/>
          <w:b w:val="0"/>
          <w:sz w:val="24"/>
        </w:rPr>
        <w:t>施工噪声影响分析</w:t>
      </w:r>
      <w:bookmarkEnd w:id="457"/>
    </w:p>
    <w:p w14:paraId="3C907013" w14:textId="77777777" w:rsidR="00C27509" w:rsidRDefault="00C27509" w:rsidP="00C27509">
      <w:pPr>
        <w:pStyle w:val="affffffffe"/>
        <w:ind w:firstLine="496"/>
        <w:rPr>
          <w:color w:val="FF0000"/>
        </w:rPr>
      </w:pPr>
      <w:r>
        <w:rPr>
          <w:color w:val="FF0000"/>
        </w:rPr>
        <w:t>项目施工期间各施工设备声级大小均不一样，其噪声值也不一样，项目施工期一般为露天作业，施工场地内机械设备主要包括挖掘机、推土机、装载机、搅拌机、各种卡车、自卸车等，大多属于移动声源，要准确预测施工场地各场界噪声值较为困难，因此本次影响评价仅针对各噪声源单独作用时的超标范围进行预测，</w:t>
      </w:r>
      <w:r>
        <w:rPr>
          <w:rFonts w:hint="eastAsia"/>
          <w:color w:val="FF0000"/>
        </w:rPr>
        <w:t>预测</w:t>
      </w:r>
      <w:r>
        <w:rPr>
          <w:color w:val="FF0000"/>
        </w:rPr>
        <w:t>结果见表</w:t>
      </w:r>
      <w:r>
        <w:rPr>
          <w:color w:val="FF0000"/>
        </w:rPr>
        <w:t>6.2-1</w:t>
      </w:r>
      <w:r>
        <w:rPr>
          <w:color w:val="FF0000"/>
        </w:rPr>
        <w:t>。</w:t>
      </w:r>
    </w:p>
    <w:p w14:paraId="0C28515D" w14:textId="77777777" w:rsidR="00C27509" w:rsidRDefault="00C27509" w:rsidP="00C27509">
      <w:pPr>
        <w:jc w:val="right"/>
        <w:rPr>
          <w:rFonts w:ascii="黑体" w:eastAsia="黑体" w:hAnsi="黑体"/>
          <w:bCs/>
          <w:color w:val="FF0000"/>
          <w:sz w:val="24"/>
          <w:szCs w:val="18"/>
        </w:rPr>
      </w:pPr>
      <w:r>
        <w:rPr>
          <w:rFonts w:ascii="黑体" w:eastAsia="黑体" w:hAnsi="黑体"/>
          <w:bCs/>
          <w:color w:val="FF0000"/>
          <w:sz w:val="24"/>
          <w:szCs w:val="18"/>
        </w:rPr>
        <w:t>表6.2-1   施工机械噪声</w:t>
      </w:r>
      <w:r>
        <w:rPr>
          <w:rFonts w:ascii="黑体" w:eastAsia="黑体" w:hAnsi="黑体" w:hint="eastAsia"/>
          <w:bCs/>
          <w:color w:val="FF0000"/>
          <w:sz w:val="24"/>
          <w:szCs w:val="18"/>
        </w:rPr>
        <w:t>预测表</w:t>
      </w:r>
      <w:r>
        <w:rPr>
          <w:rFonts w:ascii="黑体" w:eastAsia="黑体" w:hAnsi="黑体"/>
          <w:bCs/>
          <w:color w:val="FF0000"/>
          <w:sz w:val="24"/>
          <w:szCs w:val="18"/>
        </w:rPr>
        <w:t xml:space="preserve">             单位：dB（A）</w:t>
      </w:r>
    </w:p>
    <w:tbl>
      <w:tblPr>
        <w:tblStyle w:val="afff8"/>
        <w:tblW w:w="9866" w:type="dxa"/>
        <w:tblLayout w:type="fixed"/>
        <w:tblLook w:val="04A0" w:firstRow="1" w:lastRow="0" w:firstColumn="1" w:lastColumn="0" w:noHBand="0" w:noVBand="1"/>
      </w:tblPr>
      <w:tblGrid>
        <w:gridCol w:w="733"/>
        <w:gridCol w:w="1953"/>
        <w:gridCol w:w="1084"/>
        <w:gridCol w:w="1238"/>
        <w:gridCol w:w="1214"/>
        <w:gridCol w:w="1215"/>
        <w:gridCol w:w="1214"/>
        <w:gridCol w:w="1215"/>
      </w:tblGrid>
      <w:tr w:rsidR="00C27509" w14:paraId="679534DC" w14:textId="77777777" w:rsidTr="00747ECF">
        <w:trPr>
          <w:trHeight w:val="20"/>
        </w:trPr>
        <w:tc>
          <w:tcPr>
            <w:tcW w:w="733" w:type="dxa"/>
            <w:vMerge w:val="restart"/>
            <w:vAlign w:val="center"/>
          </w:tcPr>
          <w:p w14:paraId="01C602B4"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序号</w:t>
            </w:r>
          </w:p>
        </w:tc>
        <w:tc>
          <w:tcPr>
            <w:tcW w:w="1953" w:type="dxa"/>
            <w:vMerge w:val="restart"/>
            <w:vAlign w:val="center"/>
          </w:tcPr>
          <w:p w14:paraId="2462636C"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机械名称</w:t>
            </w:r>
          </w:p>
        </w:tc>
        <w:tc>
          <w:tcPr>
            <w:tcW w:w="1084" w:type="dxa"/>
            <w:vMerge w:val="restart"/>
            <w:vAlign w:val="center"/>
          </w:tcPr>
          <w:p w14:paraId="6D8CEA45"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源强</w:t>
            </w:r>
            <w:r>
              <w:rPr>
                <w:rFonts w:ascii="Times New Roman" w:eastAsia="宋体" w:hAnsi="Times New Roman" w:cs="Times New Roman"/>
                <w:color w:val="FF0000"/>
                <w:szCs w:val="20"/>
                <w:lang w:val="zh-CN"/>
              </w:rPr>
              <w:t>dB(A</w:t>
            </w:r>
            <w:r>
              <w:rPr>
                <w:rFonts w:ascii="Times New Roman" w:eastAsia="宋体" w:hAnsi="Times New Roman" w:cs="Times New Roman"/>
                <w:color w:val="FF0000"/>
                <w:szCs w:val="20"/>
                <w:lang w:val="zh-CN"/>
              </w:rPr>
              <w:t>）</w:t>
            </w:r>
          </w:p>
        </w:tc>
        <w:tc>
          <w:tcPr>
            <w:tcW w:w="1238" w:type="dxa"/>
            <w:vMerge w:val="restart"/>
            <w:vAlign w:val="center"/>
          </w:tcPr>
          <w:p w14:paraId="52044736"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距声源距离（</w:t>
            </w:r>
            <w:r>
              <w:rPr>
                <w:rFonts w:ascii="Times New Roman" w:eastAsia="宋体" w:hAnsi="Times New Roman" w:cs="Times New Roman"/>
                <w:color w:val="FF0000"/>
                <w:szCs w:val="20"/>
                <w:lang w:val="zh-CN"/>
              </w:rPr>
              <w:t>m</w:t>
            </w:r>
            <w:r>
              <w:rPr>
                <w:rFonts w:ascii="Times New Roman" w:eastAsia="宋体" w:hAnsi="Times New Roman" w:cs="Times New Roman"/>
                <w:color w:val="FF0000"/>
                <w:szCs w:val="20"/>
                <w:lang w:val="zh-CN"/>
              </w:rPr>
              <w:t>）</w:t>
            </w:r>
          </w:p>
        </w:tc>
        <w:tc>
          <w:tcPr>
            <w:tcW w:w="2429" w:type="dxa"/>
            <w:gridSpan w:val="2"/>
            <w:vAlign w:val="center"/>
          </w:tcPr>
          <w:p w14:paraId="092CBD0F"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评价标准</w:t>
            </w:r>
            <w:r>
              <w:rPr>
                <w:rFonts w:ascii="Times New Roman" w:eastAsia="宋体" w:hAnsi="Times New Roman" w:cs="Times New Roman"/>
                <w:color w:val="FF0000"/>
                <w:szCs w:val="20"/>
                <w:lang w:val="zh-CN"/>
              </w:rPr>
              <w:t>dB</w:t>
            </w:r>
            <w:r>
              <w:rPr>
                <w:rFonts w:ascii="Times New Roman" w:eastAsia="宋体" w:hAnsi="Times New Roman" w:cs="Times New Roman"/>
                <w:color w:val="FF0000"/>
                <w:szCs w:val="20"/>
                <w:lang w:val="zh-CN"/>
              </w:rPr>
              <w:t>（</w:t>
            </w:r>
            <w:r>
              <w:rPr>
                <w:rFonts w:ascii="Times New Roman" w:eastAsia="宋体" w:hAnsi="Times New Roman" w:cs="Times New Roman"/>
                <w:color w:val="FF0000"/>
                <w:szCs w:val="20"/>
                <w:lang w:val="zh-CN"/>
              </w:rPr>
              <w:t>A</w:t>
            </w:r>
            <w:r>
              <w:rPr>
                <w:rFonts w:ascii="Times New Roman" w:eastAsia="宋体" w:hAnsi="Times New Roman" w:cs="Times New Roman"/>
                <w:color w:val="FF0000"/>
                <w:szCs w:val="20"/>
                <w:lang w:val="zh-CN"/>
              </w:rPr>
              <w:t>）</w:t>
            </w:r>
          </w:p>
        </w:tc>
        <w:tc>
          <w:tcPr>
            <w:tcW w:w="2429" w:type="dxa"/>
            <w:gridSpan w:val="2"/>
            <w:vAlign w:val="center"/>
          </w:tcPr>
          <w:p w14:paraId="145DA525"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最大超标范围（</w:t>
            </w:r>
            <w:r>
              <w:rPr>
                <w:rFonts w:ascii="Times New Roman" w:eastAsia="宋体" w:hAnsi="Times New Roman" w:cs="Times New Roman"/>
                <w:color w:val="FF0000"/>
                <w:szCs w:val="20"/>
                <w:lang w:val="zh-CN"/>
              </w:rPr>
              <w:t>m</w:t>
            </w:r>
            <w:r>
              <w:rPr>
                <w:rFonts w:ascii="Times New Roman" w:eastAsia="宋体" w:hAnsi="Times New Roman" w:cs="Times New Roman"/>
                <w:color w:val="FF0000"/>
                <w:szCs w:val="20"/>
                <w:lang w:val="zh-CN"/>
              </w:rPr>
              <w:t>）</w:t>
            </w:r>
          </w:p>
        </w:tc>
      </w:tr>
      <w:tr w:rsidR="00C27509" w14:paraId="676DF9CC" w14:textId="77777777" w:rsidTr="00747ECF">
        <w:trPr>
          <w:trHeight w:val="20"/>
        </w:trPr>
        <w:tc>
          <w:tcPr>
            <w:tcW w:w="733" w:type="dxa"/>
            <w:vMerge/>
            <w:vAlign w:val="center"/>
          </w:tcPr>
          <w:p w14:paraId="6219D381" w14:textId="77777777" w:rsidR="00C27509" w:rsidRDefault="00C27509" w:rsidP="00747ECF">
            <w:pPr>
              <w:jc w:val="center"/>
              <w:rPr>
                <w:rFonts w:ascii="Times New Roman" w:eastAsia="宋体" w:hAnsi="Times New Roman" w:cs="Times New Roman"/>
                <w:color w:val="FF0000"/>
                <w:kern w:val="0"/>
                <w:sz w:val="20"/>
                <w:szCs w:val="20"/>
                <w:lang w:val="zh-CN"/>
              </w:rPr>
            </w:pPr>
          </w:p>
        </w:tc>
        <w:tc>
          <w:tcPr>
            <w:tcW w:w="1953" w:type="dxa"/>
            <w:vMerge/>
            <w:vAlign w:val="center"/>
          </w:tcPr>
          <w:p w14:paraId="13D3F82C" w14:textId="77777777" w:rsidR="00C27509" w:rsidRDefault="00C27509" w:rsidP="00747ECF">
            <w:pPr>
              <w:jc w:val="center"/>
              <w:rPr>
                <w:rFonts w:ascii="Times New Roman" w:eastAsia="宋体" w:hAnsi="Times New Roman" w:cs="Times New Roman"/>
                <w:color w:val="FF0000"/>
                <w:kern w:val="0"/>
                <w:sz w:val="20"/>
                <w:szCs w:val="20"/>
                <w:lang w:val="zh-CN"/>
              </w:rPr>
            </w:pPr>
          </w:p>
        </w:tc>
        <w:tc>
          <w:tcPr>
            <w:tcW w:w="1084" w:type="dxa"/>
            <w:vMerge/>
            <w:vAlign w:val="center"/>
          </w:tcPr>
          <w:p w14:paraId="45E47093" w14:textId="77777777" w:rsidR="00C27509" w:rsidRDefault="00C27509" w:rsidP="00747ECF">
            <w:pPr>
              <w:jc w:val="center"/>
              <w:rPr>
                <w:rFonts w:ascii="Times New Roman" w:eastAsia="宋体" w:hAnsi="Times New Roman" w:cs="Times New Roman"/>
                <w:color w:val="FF0000"/>
                <w:kern w:val="0"/>
                <w:sz w:val="20"/>
                <w:szCs w:val="20"/>
                <w:lang w:val="zh-CN"/>
              </w:rPr>
            </w:pPr>
          </w:p>
        </w:tc>
        <w:tc>
          <w:tcPr>
            <w:tcW w:w="1238" w:type="dxa"/>
            <w:vMerge/>
            <w:vAlign w:val="center"/>
          </w:tcPr>
          <w:p w14:paraId="67BF80E8" w14:textId="77777777" w:rsidR="00C27509" w:rsidRDefault="00C27509" w:rsidP="00747ECF">
            <w:pPr>
              <w:jc w:val="center"/>
              <w:rPr>
                <w:rFonts w:ascii="Times New Roman" w:eastAsia="宋体" w:hAnsi="Times New Roman" w:cs="Times New Roman"/>
                <w:color w:val="FF0000"/>
                <w:kern w:val="0"/>
                <w:sz w:val="20"/>
                <w:szCs w:val="20"/>
                <w:lang w:val="zh-CN"/>
              </w:rPr>
            </w:pPr>
          </w:p>
        </w:tc>
        <w:tc>
          <w:tcPr>
            <w:tcW w:w="1214" w:type="dxa"/>
            <w:vAlign w:val="center"/>
          </w:tcPr>
          <w:p w14:paraId="38C12564"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昼间</w:t>
            </w:r>
          </w:p>
        </w:tc>
        <w:tc>
          <w:tcPr>
            <w:tcW w:w="1214" w:type="dxa"/>
            <w:vAlign w:val="center"/>
          </w:tcPr>
          <w:p w14:paraId="64C43063"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夜间</w:t>
            </w:r>
          </w:p>
        </w:tc>
        <w:tc>
          <w:tcPr>
            <w:tcW w:w="1214" w:type="dxa"/>
            <w:vAlign w:val="center"/>
          </w:tcPr>
          <w:p w14:paraId="5581359B"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昼间</w:t>
            </w:r>
          </w:p>
        </w:tc>
        <w:tc>
          <w:tcPr>
            <w:tcW w:w="1214" w:type="dxa"/>
            <w:vAlign w:val="center"/>
          </w:tcPr>
          <w:p w14:paraId="58F26DDF"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夜间</w:t>
            </w:r>
          </w:p>
        </w:tc>
      </w:tr>
      <w:tr w:rsidR="00C27509" w14:paraId="40133867" w14:textId="77777777" w:rsidTr="00747ECF">
        <w:trPr>
          <w:trHeight w:val="20"/>
        </w:trPr>
        <w:tc>
          <w:tcPr>
            <w:tcW w:w="733" w:type="dxa"/>
            <w:vAlign w:val="center"/>
          </w:tcPr>
          <w:p w14:paraId="0114F5A2"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1</w:t>
            </w:r>
          </w:p>
        </w:tc>
        <w:tc>
          <w:tcPr>
            <w:tcW w:w="1953" w:type="dxa"/>
            <w:vAlign w:val="center"/>
          </w:tcPr>
          <w:p w14:paraId="1C1FF842" w14:textId="77777777" w:rsidR="00C27509" w:rsidRDefault="00C27509" w:rsidP="00747ECF">
            <w:pPr>
              <w:overflowPunct w:val="0"/>
              <w:jc w:val="center"/>
              <w:textAlignment w:val="baseline"/>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rPr>
              <w:t>挖土机</w:t>
            </w:r>
          </w:p>
        </w:tc>
        <w:tc>
          <w:tcPr>
            <w:tcW w:w="1084" w:type="dxa"/>
            <w:vAlign w:val="center"/>
          </w:tcPr>
          <w:p w14:paraId="1183BC7F"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90</w:t>
            </w:r>
          </w:p>
        </w:tc>
        <w:tc>
          <w:tcPr>
            <w:tcW w:w="1238" w:type="dxa"/>
            <w:vAlign w:val="center"/>
          </w:tcPr>
          <w:p w14:paraId="05E2FBD1"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5</w:t>
            </w:r>
          </w:p>
        </w:tc>
        <w:tc>
          <w:tcPr>
            <w:tcW w:w="1214" w:type="dxa"/>
            <w:vAlign w:val="center"/>
          </w:tcPr>
          <w:p w14:paraId="6FE32813"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70</w:t>
            </w:r>
          </w:p>
        </w:tc>
        <w:tc>
          <w:tcPr>
            <w:tcW w:w="1214" w:type="dxa"/>
            <w:vAlign w:val="center"/>
          </w:tcPr>
          <w:p w14:paraId="78854A5C"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55</w:t>
            </w:r>
          </w:p>
        </w:tc>
        <w:tc>
          <w:tcPr>
            <w:tcW w:w="1214" w:type="dxa"/>
            <w:noWrap/>
            <w:vAlign w:val="center"/>
          </w:tcPr>
          <w:p w14:paraId="2C82B1C5"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50</w:t>
            </w:r>
          </w:p>
        </w:tc>
        <w:tc>
          <w:tcPr>
            <w:tcW w:w="1214" w:type="dxa"/>
            <w:noWrap/>
            <w:vAlign w:val="center"/>
          </w:tcPr>
          <w:p w14:paraId="2CEAA045"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281</w:t>
            </w:r>
          </w:p>
        </w:tc>
      </w:tr>
      <w:tr w:rsidR="00C27509" w14:paraId="3A32A968" w14:textId="77777777" w:rsidTr="00747ECF">
        <w:trPr>
          <w:trHeight w:val="20"/>
        </w:trPr>
        <w:tc>
          <w:tcPr>
            <w:tcW w:w="733" w:type="dxa"/>
            <w:vAlign w:val="center"/>
          </w:tcPr>
          <w:p w14:paraId="3C67B03E"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2</w:t>
            </w:r>
          </w:p>
        </w:tc>
        <w:tc>
          <w:tcPr>
            <w:tcW w:w="1953" w:type="dxa"/>
            <w:vAlign w:val="center"/>
          </w:tcPr>
          <w:p w14:paraId="70E118C8" w14:textId="77777777" w:rsidR="00C27509" w:rsidRDefault="00C27509" w:rsidP="00747ECF">
            <w:pPr>
              <w:overflowPunct w:val="0"/>
              <w:jc w:val="center"/>
              <w:textAlignment w:val="baseline"/>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rPr>
              <w:t>挖掘机</w:t>
            </w:r>
          </w:p>
        </w:tc>
        <w:tc>
          <w:tcPr>
            <w:tcW w:w="1084" w:type="dxa"/>
            <w:vAlign w:val="center"/>
          </w:tcPr>
          <w:p w14:paraId="06809DD5"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85</w:t>
            </w:r>
          </w:p>
        </w:tc>
        <w:tc>
          <w:tcPr>
            <w:tcW w:w="1238" w:type="dxa"/>
            <w:vAlign w:val="center"/>
          </w:tcPr>
          <w:p w14:paraId="0F339A85"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5</w:t>
            </w:r>
          </w:p>
        </w:tc>
        <w:tc>
          <w:tcPr>
            <w:tcW w:w="1214" w:type="dxa"/>
            <w:vAlign w:val="center"/>
          </w:tcPr>
          <w:p w14:paraId="49BBA540"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70</w:t>
            </w:r>
          </w:p>
        </w:tc>
        <w:tc>
          <w:tcPr>
            <w:tcW w:w="1214" w:type="dxa"/>
            <w:vAlign w:val="center"/>
          </w:tcPr>
          <w:p w14:paraId="3EBF6649"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55</w:t>
            </w:r>
          </w:p>
        </w:tc>
        <w:tc>
          <w:tcPr>
            <w:tcW w:w="1214" w:type="dxa"/>
            <w:noWrap/>
            <w:vAlign w:val="center"/>
          </w:tcPr>
          <w:p w14:paraId="4FC3D6C9"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32</w:t>
            </w:r>
          </w:p>
        </w:tc>
        <w:tc>
          <w:tcPr>
            <w:tcW w:w="1214" w:type="dxa"/>
            <w:noWrap/>
            <w:vAlign w:val="center"/>
          </w:tcPr>
          <w:p w14:paraId="2713B5D0"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177</w:t>
            </w:r>
          </w:p>
        </w:tc>
      </w:tr>
      <w:tr w:rsidR="00C27509" w14:paraId="40A16F3C" w14:textId="77777777" w:rsidTr="00747ECF">
        <w:trPr>
          <w:trHeight w:val="20"/>
        </w:trPr>
        <w:tc>
          <w:tcPr>
            <w:tcW w:w="733" w:type="dxa"/>
            <w:vAlign w:val="center"/>
          </w:tcPr>
          <w:p w14:paraId="4499C124"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3</w:t>
            </w:r>
          </w:p>
        </w:tc>
        <w:tc>
          <w:tcPr>
            <w:tcW w:w="1953" w:type="dxa"/>
            <w:vAlign w:val="center"/>
          </w:tcPr>
          <w:p w14:paraId="59934B0F" w14:textId="77777777" w:rsidR="00C27509" w:rsidRDefault="00C27509" w:rsidP="00747ECF">
            <w:pPr>
              <w:overflowPunct w:val="0"/>
              <w:jc w:val="center"/>
              <w:textAlignment w:val="baseline"/>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rPr>
              <w:t>装载机</w:t>
            </w:r>
          </w:p>
        </w:tc>
        <w:tc>
          <w:tcPr>
            <w:tcW w:w="1084" w:type="dxa"/>
            <w:vAlign w:val="center"/>
          </w:tcPr>
          <w:p w14:paraId="02B35525"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90</w:t>
            </w:r>
          </w:p>
        </w:tc>
        <w:tc>
          <w:tcPr>
            <w:tcW w:w="1238" w:type="dxa"/>
            <w:vAlign w:val="center"/>
          </w:tcPr>
          <w:p w14:paraId="34D625FD"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5</w:t>
            </w:r>
          </w:p>
        </w:tc>
        <w:tc>
          <w:tcPr>
            <w:tcW w:w="1214" w:type="dxa"/>
            <w:vAlign w:val="center"/>
          </w:tcPr>
          <w:p w14:paraId="167C2193"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70</w:t>
            </w:r>
          </w:p>
        </w:tc>
        <w:tc>
          <w:tcPr>
            <w:tcW w:w="1214" w:type="dxa"/>
            <w:vAlign w:val="center"/>
          </w:tcPr>
          <w:p w14:paraId="3320B389"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55</w:t>
            </w:r>
          </w:p>
        </w:tc>
        <w:tc>
          <w:tcPr>
            <w:tcW w:w="1214" w:type="dxa"/>
            <w:noWrap/>
            <w:vAlign w:val="center"/>
          </w:tcPr>
          <w:p w14:paraId="08944BEA"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50</w:t>
            </w:r>
          </w:p>
        </w:tc>
        <w:tc>
          <w:tcPr>
            <w:tcW w:w="1214" w:type="dxa"/>
            <w:noWrap/>
            <w:vAlign w:val="center"/>
          </w:tcPr>
          <w:p w14:paraId="3C310BE0"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281</w:t>
            </w:r>
          </w:p>
        </w:tc>
      </w:tr>
      <w:tr w:rsidR="00C27509" w14:paraId="3789A04B" w14:textId="77777777" w:rsidTr="00747ECF">
        <w:trPr>
          <w:trHeight w:val="20"/>
        </w:trPr>
        <w:tc>
          <w:tcPr>
            <w:tcW w:w="733" w:type="dxa"/>
            <w:vAlign w:val="center"/>
          </w:tcPr>
          <w:p w14:paraId="0C3528FE"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4</w:t>
            </w:r>
          </w:p>
        </w:tc>
        <w:tc>
          <w:tcPr>
            <w:tcW w:w="1953" w:type="dxa"/>
            <w:vAlign w:val="center"/>
          </w:tcPr>
          <w:p w14:paraId="6E7243BB" w14:textId="77777777" w:rsidR="00C27509" w:rsidRDefault="00C27509" w:rsidP="00747ECF">
            <w:pPr>
              <w:overflowPunct w:val="0"/>
              <w:jc w:val="center"/>
              <w:textAlignment w:val="baseline"/>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rPr>
              <w:t>载重汽车</w:t>
            </w:r>
          </w:p>
        </w:tc>
        <w:tc>
          <w:tcPr>
            <w:tcW w:w="1084" w:type="dxa"/>
            <w:vAlign w:val="center"/>
          </w:tcPr>
          <w:p w14:paraId="309D4443"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80</w:t>
            </w:r>
          </w:p>
        </w:tc>
        <w:tc>
          <w:tcPr>
            <w:tcW w:w="1238" w:type="dxa"/>
            <w:vAlign w:val="center"/>
          </w:tcPr>
          <w:p w14:paraId="1C508466"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5</w:t>
            </w:r>
          </w:p>
        </w:tc>
        <w:tc>
          <w:tcPr>
            <w:tcW w:w="1214" w:type="dxa"/>
            <w:vAlign w:val="center"/>
          </w:tcPr>
          <w:p w14:paraId="57F41086"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70</w:t>
            </w:r>
          </w:p>
        </w:tc>
        <w:tc>
          <w:tcPr>
            <w:tcW w:w="1214" w:type="dxa"/>
            <w:vAlign w:val="center"/>
          </w:tcPr>
          <w:p w14:paraId="492ACBDB"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55</w:t>
            </w:r>
          </w:p>
        </w:tc>
        <w:tc>
          <w:tcPr>
            <w:tcW w:w="1214" w:type="dxa"/>
            <w:noWrap/>
            <w:vAlign w:val="center"/>
          </w:tcPr>
          <w:p w14:paraId="09DB6EF9"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16</w:t>
            </w:r>
          </w:p>
        </w:tc>
        <w:tc>
          <w:tcPr>
            <w:tcW w:w="1214" w:type="dxa"/>
            <w:noWrap/>
            <w:vAlign w:val="center"/>
          </w:tcPr>
          <w:p w14:paraId="423CF4D6"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89</w:t>
            </w:r>
          </w:p>
        </w:tc>
      </w:tr>
      <w:tr w:rsidR="00C27509" w14:paraId="3E280672" w14:textId="77777777" w:rsidTr="00747ECF">
        <w:trPr>
          <w:trHeight w:val="20"/>
        </w:trPr>
        <w:tc>
          <w:tcPr>
            <w:tcW w:w="733" w:type="dxa"/>
            <w:vAlign w:val="center"/>
          </w:tcPr>
          <w:p w14:paraId="35D71BF6"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5</w:t>
            </w:r>
          </w:p>
        </w:tc>
        <w:tc>
          <w:tcPr>
            <w:tcW w:w="1953" w:type="dxa"/>
            <w:vAlign w:val="center"/>
          </w:tcPr>
          <w:p w14:paraId="1858877C"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rPr>
              <w:t>振捣棒</w:t>
            </w:r>
          </w:p>
        </w:tc>
        <w:tc>
          <w:tcPr>
            <w:tcW w:w="1084" w:type="dxa"/>
            <w:vAlign w:val="center"/>
          </w:tcPr>
          <w:p w14:paraId="17524EBB"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90</w:t>
            </w:r>
          </w:p>
        </w:tc>
        <w:tc>
          <w:tcPr>
            <w:tcW w:w="1238" w:type="dxa"/>
            <w:vAlign w:val="center"/>
          </w:tcPr>
          <w:p w14:paraId="4BA315A1"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5</w:t>
            </w:r>
          </w:p>
        </w:tc>
        <w:tc>
          <w:tcPr>
            <w:tcW w:w="1214" w:type="dxa"/>
            <w:vAlign w:val="center"/>
          </w:tcPr>
          <w:p w14:paraId="4A819615"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70</w:t>
            </w:r>
          </w:p>
        </w:tc>
        <w:tc>
          <w:tcPr>
            <w:tcW w:w="1214" w:type="dxa"/>
            <w:vAlign w:val="center"/>
          </w:tcPr>
          <w:p w14:paraId="6867803D"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55</w:t>
            </w:r>
          </w:p>
        </w:tc>
        <w:tc>
          <w:tcPr>
            <w:tcW w:w="1214" w:type="dxa"/>
            <w:noWrap/>
            <w:vAlign w:val="center"/>
          </w:tcPr>
          <w:p w14:paraId="65AF917B"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50</w:t>
            </w:r>
          </w:p>
        </w:tc>
        <w:tc>
          <w:tcPr>
            <w:tcW w:w="1214" w:type="dxa"/>
            <w:noWrap/>
            <w:vAlign w:val="center"/>
          </w:tcPr>
          <w:p w14:paraId="1B6CF60D"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281</w:t>
            </w:r>
          </w:p>
        </w:tc>
      </w:tr>
      <w:tr w:rsidR="00C27509" w14:paraId="2D59AD7B" w14:textId="77777777" w:rsidTr="00747ECF">
        <w:trPr>
          <w:trHeight w:val="20"/>
        </w:trPr>
        <w:tc>
          <w:tcPr>
            <w:tcW w:w="733" w:type="dxa"/>
            <w:vAlign w:val="center"/>
          </w:tcPr>
          <w:p w14:paraId="208C2652"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6</w:t>
            </w:r>
          </w:p>
        </w:tc>
        <w:tc>
          <w:tcPr>
            <w:tcW w:w="1953" w:type="dxa"/>
            <w:vAlign w:val="center"/>
          </w:tcPr>
          <w:p w14:paraId="3BA6E8A3"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rPr>
              <w:t>混凝土搅拌</w:t>
            </w:r>
          </w:p>
        </w:tc>
        <w:tc>
          <w:tcPr>
            <w:tcW w:w="1084" w:type="dxa"/>
            <w:vAlign w:val="center"/>
          </w:tcPr>
          <w:p w14:paraId="0D378EAF"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96</w:t>
            </w:r>
          </w:p>
        </w:tc>
        <w:tc>
          <w:tcPr>
            <w:tcW w:w="1238" w:type="dxa"/>
            <w:vAlign w:val="center"/>
          </w:tcPr>
          <w:p w14:paraId="27697E68"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lang w:val="zh-CN"/>
              </w:rPr>
              <w:t>5</w:t>
            </w:r>
          </w:p>
        </w:tc>
        <w:tc>
          <w:tcPr>
            <w:tcW w:w="1214" w:type="dxa"/>
            <w:vAlign w:val="center"/>
          </w:tcPr>
          <w:p w14:paraId="1523236A"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70</w:t>
            </w:r>
          </w:p>
        </w:tc>
        <w:tc>
          <w:tcPr>
            <w:tcW w:w="1214" w:type="dxa"/>
            <w:vAlign w:val="center"/>
          </w:tcPr>
          <w:p w14:paraId="001265DD"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55</w:t>
            </w:r>
          </w:p>
        </w:tc>
        <w:tc>
          <w:tcPr>
            <w:tcW w:w="1214" w:type="dxa"/>
            <w:noWrap/>
            <w:vAlign w:val="center"/>
          </w:tcPr>
          <w:p w14:paraId="5CDA8648"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56</w:t>
            </w:r>
          </w:p>
        </w:tc>
        <w:tc>
          <w:tcPr>
            <w:tcW w:w="1214" w:type="dxa"/>
            <w:noWrap/>
            <w:vAlign w:val="center"/>
          </w:tcPr>
          <w:p w14:paraId="465E5E6F"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311</w:t>
            </w:r>
          </w:p>
        </w:tc>
      </w:tr>
      <w:tr w:rsidR="00C27509" w14:paraId="6B8551E0" w14:textId="77777777" w:rsidTr="00747ECF">
        <w:trPr>
          <w:trHeight w:val="20"/>
        </w:trPr>
        <w:tc>
          <w:tcPr>
            <w:tcW w:w="733" w:type="dxa"/>
            <w:vAlign w:val="center"/>
          </w:tcPr>
          <w:p w14:paraId="64610366"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7</w:t>
            </w:r>
          </w:p>
        </w:tc>
        <w:tc>
          <w:tcPr>
            <w:tcW w:w="1953" w:type="dxa"/>
            <w:vAlign w:val="center"/>
          </w:tcPr>
          <w:p w14:paraId="78CC5756"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rPr>
              <w:t>电锯</w:t>
            </w:r>
          </w:p>
        </w:tc>
        <w:tc>
          <w:tcPr>
            <w:tcW w:w="1084" w:type="dxa"/>
            <w:vAlign w:val="center"/>
          </w:tcPr>
          <w:p w14:paraId="523F850A"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96</w:t>
            </w:r>
          </w:p>
        </w:tc>
        <w:tc>
          <w:tcPr>
            <w:tcW w:w="1238" w:type="dxa"/>
            <w:vAlign w:val="center"/>
          </w:tcPr>
          <w:p w14:paraId="69DFA1C7"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w:t>
            </w:r>
          </w:p>
        </w:tc>
        <w:tc>
          <w:tcPr>
            <w:tcW w:w="1214" w:type="dxa"/>
            <w:vAlign w:val="center"/>
          </w:tcPr>
          <w:p w14:paraId="434E44A1"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70</w:t>
            </w:r>
          </w:p>
        </w:tc>
        <w:tc>
          <w:tcPr>
            <w:tcW w:w="1214" w:type="dxa"/>
            <w:vAlign w:val="center"/>
          </w:tcPr>
          <w:p w14:paraId="2CABBF90"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55</w:t>
            </w:r>
          </w:p>
        </w:tc>
        <w:tc>
          <w:tcPr>
            <w:tcW w:w="1214" w:type="dxa"/>
            <w:noWrap/>
            <w:vAlign w:val="center"/>
          </w:tcPr>
          <w:p w14:paraId="53E0C071"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56</w:t>
            </w:r>
          </w:p>
        </w:tc>
        <w:tc>
          <w:tcPr>
            <w:tcW w:w="1214" w:type="dxa"/>
            <w:noWrap/>
            <w:vAlign w:val="center"/>
          </w:tcPr>
          <w:p w14:paraId="704393AD"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311</w:t>
            </w:r>
          </w:p>
        </w:tc>
      </w:tr>
      <w:tr w:rsidR="00C27509" w14:paraId="08515FD5" w14:textId="77777777" w:rsidTr="00747ECF">
        <w:trPr>
          <w:trHeight w:val="20"/>
        </w:trPr>
        <w:tc>
          <w:tcPr>
            <w:tcW w:w="733" w:type="dxa"/>
            <w:vAlign w:val="center"/>
          </w:tcPr>
          <w:p w14:paraId="74A2EC4B"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8</w:t>
            </w:r>
          </w:p>
        </w:tc>
        <w:tc>
          <w:tcPr>
            <w:tcW w:w="1953" w:type="dxa"/>
            <w:vAlign w:val="center"/>
          </w:tcPr>
          <w:p w14:paraId="294FE512" w14:textId="77777777" w:rsidR="00C27509" w:rsidRDefault="00C27509" w:rsidP="00747ECF">
            <w:pPr>
              <w:jc w:val="center"/>
              <w:rPr>
                <w:rFonts w:ascii="Times New Roman" w:eastAsia="宋体" w:hAnsi="Times New Roman" w:cs="Times New Roman"/>
                <w:color w:val="FF0000"/>
                <w:kern w:val="0"/>
                <w:sz w:val="20"/>
                <w:szCs w:val="20"/>
                <w:lang w:val="zh-CN"/>
              </w:rPr>
            </w:pPr>
            <w:r>
              <w:rPr>
                <w:rFonts w:ascii="Times New Roman" w:eastAsia="宋体" w:hAnsi="Times New Roman" w:cs="Times New Roman"/>
                <w:color w:val="FF0000"/>
                <w:szCs w:val="20"/>
              </w:rPr>
              <w:t>升降机</w:t>
            </w:r>
          </w:p>
        </w:tc>
        <w:tc>
          <w:tcPr>
            <w:tcW w:w="1084" w:type="dxa"/>
            <w:vAlign w:val="center"/>
          </w:tcPr>
          <w:p w14:paraId="7913A5B3"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85</w:t>
            </w:r>
          </w:p>
        </w:tc>
        <w:tc>
          <w:tcPr>
            <w:tcW w:w="1238" w:type="dxa"/>
            <w:vAlign w:val="center"/>
          </w:tcPr>
          <w:p w14:paraId="01C8ACC8"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w:t>
            </w:r>
          </w:p>
        </w:tc>
        <w:tc>
          <w:tcPr>
            <w:tcW w:w="1214" w:type="dxa"/>
            <w:vAlign w:val="center"/>
          </w:tcPr>
          <w:p w14:paraId="0A9925BD"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70</w:t>
            </w:r>
          </w:p>
        </w:tc>
        <w:tc>
          <w:tcPr>
            <w:tcW w:w="1214" w:type="dxa"/>
            <w:vAlign w:val="center"/>
          </w:tcPr>
          <w:p w14:paraId="3049762A"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55</w:t>
            </w:r>
          </w:p>
        </w:tc>
        <w:tc>
          <w:tcPr>
            <w:tcW w:w="1214" w:type="dxa"/>
            <w:noWrap/>
            <w:vAlign w:val="center"/>
          </w:tcPr>
          <w:p w14:paraId="0D470411"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32</w:t>
            </w:r>
          </w:p>
        </w:tc>
        <w:tc>
          <w:tcPr>
            <w:tcW w:w="1214" w:type="dxa"/>
            <w:noWrap/>
            <w:vAlign w:val="center"/>
          </w:tcPr>
          <w:p w14:paraId="7873AA18" w14:textId="77777777" w:rsidR="00C27509" w:rsidRDefault="00C27509" w:rsidP="00747ECF">
            <w:pPr>
              <w:jc w:val="center"/>
              <w:rPr>
                <w:rFonts w:ascii="Times New Roman" w:eastAsia="宋体" w:hAnsi="Times New Roman" w:cs="Times New Roman"/>
                <w:color w:val="FF0000"/>
                <w:kern w:val="0"/>
                <w:sz w:val="20"/>
                <w:szCs w:val="20"/>
              </w:rPr>
            </w:pPr>
            <w:r>
              <w:rPr>
                <w:rFonts w:ascii="Times New Roman" w:eastAsia="宋体" w:hAnsi="Times New Roman" w:cs="Times New Roman"/>
                <w:color w:val="FF0000"/>
                <w:szCs w:val="20"/>
              </w:rPr>
              <w:t>177</w:t>
            </w:r>
          </w:p>
        </w:tc>
      </w:tr>
    </w:tbl>
    <w:p w14:paraId="34D6290C" w14:textId="77777777" w:rsidR="00C27509" w:rsidRDefault="00C27509" w:rsidP="00C27509">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color w:val="FF0000"/>
          <w:sz w:val="24"/>
          <w:szCs w:val="24"/>
        </w:rPr>
        <w:t>由表</w:t>
      </w:r>
      <w:r>
        <w:rPr>
          <w:rFonts w:ascii="Times New Roman" w:eastAsia="宋体" w:hAnsi="Times New Roman" w:cs="Times New Roman"/>
          <w:color w:val="FF0000"/>
          <w:sz w:val="24"/>
          <w:szCs w:val="24"/>
        </w:rPr>
        <w:t>6.2-1</w:t>
      </w:r>
      <w:r>
        <w:rPr>
          <w:rFonts w:ascii="Times New Roman" w:eastAsia="宋体" w:hAnsi="Times New Roman" w:cs="Times New Roman"/>
          <w:color w:val="FF0000"/>
          <w:sz w:val="24"/>
          <w:szCs w:val="24"/>
        </w:rPr>
        <w:t>可以看出：</w:t>
      </w:r>
    </w:p>
    <w:p w14:paraId="16F193D1" w14:textId="77777777" w:rsidR="00C27509" w:rsidRDefault="00C27509" w:rsidP="00C27509">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1</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施工噪声因不同的施工机械影响的范围相差很大，夜间施工噪声的影响范围比昼间大得多。在实际施工过程中可能出现多台施工机械同时在一起作业，则此时施工噪声的影响范围比预测值大。</w:t>
      </w:r>
    </w:p>
    <w:p w14:paraId="4CC08654" w14:textId="77777777" w:rsidR="00C27509" w:rsidRDefault="00C27509" w:rsidP="00C27509">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2</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施工噪声将对周围声环境质量产生一定的影响，其中混凝土搅拌，电锯影响最大，施工设备昼间影响主要出现在距施工场地</w:t>
      </w:r>
      <w:r>
        <w:rPr>
          <w:rFonts w:ascii="Times New Roman" w:eastAsia="宋体" w:hAnsi="Times New Roman" w:cs="Times New Roman"/>
          <w:color w:val="FF0000"/>
          <w:sz w:val="24"/>
          <w:szCs w:val="24"/>
        </w:rPr>
        <w:t>50m</w:t>
      </w:r>
      <w:r>
        <w:rPr>
          <w:rFonts w:ascii="Times New Roman" w:eastAsia="宋体" w:hAnsi="Times New Roman" w:cs="Times New Roman"/>
          <w:color w:val="FF0000"/>
          <w:sz w:val="24"/>
          <w:szCs w:val="24"/>
        </w:rPr>
        <w:t>的范围内，夜间将出现在距施工场地</w:t>
      </w:r>
      <w:r>
        <w:rPr>
          <w:rFonts w:ascii="Times New Roman" w:eastAsia="宋体" w:hAnsi="Times New Roman" w:cs="Times New Roman"/>
          <w:color w:val="FF0000"/>
          <w:sz w:val="24"/>
          <w:szCs w:val="24"/>
        </w:rPr>
        <w:t>311m</w:t>
      </w:r>
      <w:r>
        <w:rPr>
          <w:rFonts w:ascii="Times New Roman" w:eastAsia="宋体" w:hAnsi="Times New Roman" w:cs="Times New Roman"/>
          <w:color w:val="FF0000"/>
          <w:sz w:val="24"/>
          <w:szCs w:val="24"/>
        </w:rPr>
        <w:t>的范围内。材料运输造成车辆交通噪声在昼间道路两侧</w:t>
      </w:r>
      <w:r>
        <w:rPr>
          <w:rFonts w:ascii="Times New Roman" w:eastAsia="宋体" w:hAnsi="Times New Roman" w:cs="Times New Roman"/>
          <w:color w:val="FF0000"/>
          <w:sz w:val="24"/>
          <w:szCs w:val="24"/>
        </w:rPr>
        <w:t>16m</w:t>
      </w:r>
      <w:r>
        <w:rPr>
          <w:rFonts w:ascii="Times New Roman" w:eastAsia="宋体" w:hAnsi="Times New Roman" w:cs="Times New Roman"/>
          <w:color w:val="FF0000"/>
          <w:sz w:val="24"/>
          <w:szCs w:val="24"/>
        </w:rPr>
        <w:t>以外可基本达到标准限值，夜间在</w:t>
      </w:r>
      <w:r>
        <w:rPr>
          <w:rFonts w:ascii="Times New Roman" w:eastAsia="宋体" w:hAnsi="Times New Roman" w:cs="Times New Roman"/>
          <w:color w:val="FF0000"/>
          <w:sz w:val="24"/>
          <w:szCs w:val="24"/>
        </w:rPr>
        <w:t>89m</w:t>
      </w:r>
      <w:r>
        <w:rPr>
          <w:rFonts w:ascii="Times New Roman" w:eastAsia="宋体" w:hAnsi="Times New Roman" w:cs="Times New Roman"/>
          <w:color w:val="FF0000"/>
          <w:sz w:val="24"/>
          <w:szCs w:val="24"/>
        </w:rPr>
        <w:t>处基本达到标准限值。</w:t>
      </w:r>
    </w:p>
    <w:p w14:paraId="10EE1059" w14:textId="77777777" w:rsidR="00C27509" w:rsidRDefault="00C27509" w:rsidP="00C27509">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color w:val="FF0000"/>
          <w:sz w:val="24"/>
          <w:szCs w:val="24"/>
        </w:rPr>
        <w:t>从噪声源衰减特征可以看出，施工机械对不同距离的声环境有一定影响，施工场地边界达标距离将超出施工道路宽度范围，特别是夜间，影响范围更大。</w:t>
      </w:r>
    </w:p>
    <w:p w14:paraId="2C7653FD" w14:textId="32AA0DDC" w:rsidR="00D12939" w:rsidRPr="00C27509" w:rsidRDefault="00C27509" w:rsidP="00C27509">
      <w:pPr>
        <w:spacing w:line="360" w:lineRule="auto"/>
        <w:ind w:firstLine="480"/>
        <w:rPr>
          <w:rFonts w:ascii="Times New Roman" w:eastAsia="宋体" w:hAnsi="Times New Roman" w:cs="Times New Roman"/>
          <w:color w:val="FF0000"/>
          <w:sz w:val="24"/>
          <w:szCs w:val="24"/>
        </w:rPr>
      </w:pPr>
      <w:r>
        <w:rPr>
          <w:rFonts w:ascii="Times New Roman" w:eastAsia="宋体" w:hAnsi="Times New Roman" w:cs="Times New Roman"/>
          <w:color w:val="FF0000"/>
          <w:sz w:val="24"/>
          <w:szCs w:val="24"/>
        </w:rPr>
        <w:t>根据现状调查，距离项目最近的敏感目标为填埋区沟口处农户，项目施工期间采用低噪声设备，尽量避免了对居民区的影响。为了能够尽量降低施工中施工机械噪声对居住区的影响，施工单位应合理安排好施工计划，高噪声设备布置尽量远离敏感目标，同时尽量避免在同一地点布置多个高噪声设备，严格控制高噪声设备的运行时段；夜间</w:t>
      </w:r>
      <w:r>
        <w:rPr>
          <w:rFonts w:ascii="Times New Roman" w:eastAsia="宋体" w:hAnsi="Times New Roman" w:cs="Times New Roman"/>
          <w:color w:val="FF0000"/>
          <w:sz w:val="24"/>
          <w:szCs w:val="24"/>
        </w:rPr>
        <w:t>22</w:t>
      </w:r>
      <w:r>
        <w:rPr>
          <w:rFonts w:ascii="Times New Roman" w:eastAsia="宋体" w:hAnsi="Times New Roman" w:cs="Times New Roman"/>
          <w:color w:val="FF0000"/>
          <w:sz w:val="24"/>
          <w:szCs w:val="24"/>
        </w:rPr>
        <w:t>时</w:t>
      </w:r>
      <w:r>
        <w:rPr>
          <w:rFonts w:ascii="Times New Roman" w:eastAsia="宋体" w:hAnsi="Times New Roman" w:cs="Times New Roman"/>
          <w:color w:val="FF0000"/>
          <w:sz w:val="24"/>
          <w:szCs w:val="24"/>
        </w:rPr>
        <w:t>~</w:t>
      </w:r>
      <w:r>
        <w:rPr>
          <w:rFonts w:ascii="Times New Roman" w:eastAsia="宋体" w:hAnsi="Times New Roman" w:cs="Times New Roman"/>
          <w:color w:val="FF0000"/>
          <w:sz w:val="24"/>
          <w:szCs w:val="24"/>
        </w:rPr>
        <w:t>凌晨</w:t>
      </w:r>
      <w:r>
        <w:rPr>
          <w:rFonts w:ascii="Times New Roman" w:eastAsia="宋体" w:hAnsi="Times New Roman" w:cs="Times New Roman"/>
          <w:color w:val="FF0000"/>
          <w:sz w:val="24"/>
          <w:szCs w:val="24"/>
        </w:rPr>
        <w:t>06</w:t>
      </w:r>
      <w:r>
        <w:rPr>
          <w:rFonts w:ascii="Times New Roman" w:eastAsia="宋体" w:hAnsi="Times New Roman" w:cs="Times New Roman"/>
          <w:color w:val="FF0000"/>
          <w:sz w:val="24"/>
          <w:szCs w:val="24"/>
        </w:rPr>
        <w:t>时禁止施工，避开午休时间动用高噪声设备，避免夜间施工产生扰民现象，并尽可能缩短施工周期，把噪声</w:t>
      </w:r>
      <w:r>
        <w:rPr>
          <w:rFonts w:ascii="Times New Roman" w:eastAsia="宋体" w:hAnsi="Times New Roman" w:cs="Times New Roman"/>
          <w:color w:val="FF0000"/>
          <w:sz w:val="24"/>
          <w:szCs w:val="24"/>
        </w:rPr>
        <w:lastRenderedPageBreak/>
        <w:t>污染控制到最小，随着施工期的结束其噪声影响将会消失</w:t>
      </w:r>
      <w:r w:rsidR="004F47F5">
        <w:rPr>
          <w:rFonts w:ascii="Times New Roman" w:eastAsia="宋体" w:hAnsi="Times New Roman" w:cs="Times New Roman"/>
          <w:sz w:val="24"/>
          <w:szCs w:val="24"/>
        </w:rPr>
        <w:t>。</w:t>
      </w:r>
    </w:p>
    <w:p w14:paraId="5280D29F"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58" w:name="_Toc121411761"/>
      <w:r>
        <w:rPr>
          <w:rFonts w:ascii="Times New Roman" w:eastAsia="黑体" w:hAnsi="Times New Roman" w:cs="Times New Roman"/>
          <w:b w:val="0"/>
          <w:sz w:val="24"/>
        </w:rPr>
        <w:t>6.2.3</w:t>
      </w:r>
      <w:r>
        <w:rPr>
          <w:rFonts w:ascii="Times New Roman" w:eastAsia="黑体" w:hAnsi="Times New Roman" w:cs="Times New Roman"/>
          <w:b w:val="0"/>
          <w:sz w:val="24"/>
        </w:rPr>
        <w:t>施工废水影响分析</w:t>
      </w:r>
      <w:bookmarkEnd w:id="458"/>
    </w:p>
    <w:p w14:paraId="331D0311"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sz w:val="24"/>
          <w:szCs w:val="24"/>
        </w:rPr>
        <w:t>本项目施工期</w:t>
      </w:r>
      <w:r>
        <w:rPr>
          <w:rFonts w:ascii="Times New Roman" w:eastAsia="宋体" w:hAnsi="Times New Roman" w:cs="Times New Roman"/>
          <w:kern w:val="0"/>
          <w:sz w:val="24"/>
          <w:szCs w:val="24"/>
        </w:rPr>
        <w:t>废水主要为施工人员的少量生活污水以及施工物料如砂、石、水泥等在装运过程中洒落或堆放管理不严，随降雨产生的废水；道路保养产生的少量废水；机械设备事故性漏油等。项目在施工场地内设置沉淀池，利用截留沟将场地废水收集起来，冲刷废水通过沉淀池处理后回用于洒水抑尘。</w:t>
      </w:r>
    </w:p>
    <w:p w14:paraId="7B0B6CD4"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施工队伍拟从当地周边农村招聘，不在现场住宿生活。施工人员高峰期按</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人计，施工人员生活污水产生量为</w:t>
      </w:r>
      <w:r>
        <w:rPr>
          <w:rFonts w:ascii="Times New Roman" w:eastAsia="宋体" w:hAnsi="Times New Roman" w:cs="Times New Roman"/>
          <w:kern w:val="0"/>
          <w:sz w:val="24"/>
          <w:szCs w:val="24"/>
        </w:rPr>
        <w:t>0.01m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人</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，则排放生活污水</w:t>
      </w:r>
      <w:r>
        <w:rPr>
          <w:rFonts w:ascii="Times New Roman" w:eastAsia="宋体" w:hAnsi="Times New Roman" w:cs="Times New Roman"/>
          <w:kern w:val="0"/>
          <w:sz w:val="24"/>
          <w:szCs w:val="24"/>
        </w:rPr>
        <w:t>0.6m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/d</w:t>
      </w:r>
      <w:r>
        <w:rPr>
          <w:rFonts w:ascii="Times New Roman" w:eastAsia="宋体" w:hAnsi="Times New Roman" w:cs="Times New Roman"/>
          <w:kern w:val="0"/>
          <w:sz w:val="24"/>
          <w:szCs w:val="24"/>
        </w:rPr>
        <w:t>。施工场地设置临时环保卫生厕所，定期外委清运。</w:t>
      </w:r>
    </w:p>
    <w:p w14:paraId="005AF010"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59" w:name="_Toc121411762"/>
      <w:r>
        <w:rPr>
          <w:rFonts w:ascii="Times New Roman" w:eastAsia="黑体" w:hAnsi="Times New Roman" w:cs="Times New Roman"/>
          <w:b w:val="0"/>
          <w:sz w:val="24"/>
        </w:rPr>
        <w:t>6.2.4</w:t>
      </w:r>
      <w:r>
        <w:rPr>
          <w:rFonts w:ascii="Times New Roman" w:eastAsia="黑体" w:hAnsi="Times New Roman" w:cs="Times New Roman"/>
          <w:b w:val="0"/>
          <w:sz w:val="24"/>
        </w:rPr>
        <w:t>施工期固废影响分析</w:t>
      </w:r>
      <w:bookmarkEnd w:id="459"/>
    </w:p>
    <w:p w14:paraId="28FFE0A0"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施工期固体废弃物主要包括废弃的各种建筑装修材料等建筑垃圾、少量施工人员生活垃圾。</w:t>
      </w:r>
    </w:p>
    <w:p w14:paraId="1E86CD6A" w14:textId="77777777" w:rsidR="000C34D0" w:rsidRDefault="004F47F5" w:rsidP="000C34D0">
      <w:pPr>
        <w:spacing w:line="360" w:lineRule="auto"/>
        <w:ind w:firstLine="462"/>
        <w:rPr>
          <w:rFonts w:ascii="Times New Roman" w:eastAsia="宋体" w:hAnsi="Times New Roman" w:cs="Times New Roman"/>
          <w:sz w:val="24"/>
        </w:rPr>
      </w:pPr>
      <w:r>
        <w:rPr>
          <w:rFonts w:ascii="Times New Roman" w:eastAsia="宋体" w:hAnsi="Times New Roman" w:cs="Times New Roman" w:hint="eastAsia"/>
          <w:sz w:val="24"/>
          <w:szCs w:val="24"/>
        </w:rPr>
        <w:t>本项目一期场地整治等工程的总挖方量约为</w:t>
      </w:r>
      <w:r>
        <w:rPr>
          <w:rFonts w:ascii="Times New Roman" w:eastAsia="宋体" w:hAnsi="Times New Roman" w:cs="Times New Roman"/>
          <w:sz w:val="24"/>
          <w:szCs w:val="24"/>
        </w:rPr>
        <w:t>184700m</w:t>
      </w:r>
      <w:r>
        <w:rPr>
          <w:rFonts w:ascii="Times New Roman" w:eastAsia="宋体" w:hAnsi="Times New Roman" w:cs="Times New Roman"/>
          <w:sz w:val="24"/>
          <w:szCs w:val="24"/>
          <w:vertAlign w:val="superscript"/>
        </w:rPr>
        <w:t>3</w:t>
      </w:r>
      <w:r>
        <w:rPr>
          <w:rFonts w:ascii="Times New Roman" w:eastAsia="宋体" w:hAnsi="Times New Roman" w:cs="Times New Roman" w:hint="eastAsia"/>
          <w:sz w:val="24"/>
          <w:szCs w:val="24"/>
        </w:rPr>
        <w:t>，总填方量约</w:t>
      </w:r>
      <w:r>
        <w:rPr>
          <w:rFonts w:ascii="Times New Roman" w:eastAsia="宋体" w:hAnsi="Times New Roman" w:cs="Times New Roman"/>
          <w:sz w:val="24"/>
          <w:szCs w:val="24"/>
        </w:rPr>
        <w:t>60319m</w:t>
      </w:r>
      <w:r>
        <w:rPr>
          <w:rFonts w:ascii="Times New Roman" w:eastAsia="宋体" w:hAnsi="Times New Roman" w:cs="Times New Roman"/>
          <w:sz w:val="24"/>
          <w:szCs w:val="24"/>
          <w:vertAlign w:val="superscript"/>
        </w:rPr>
        <w:t>3</w:t>
      </w:r>
      <w:r>
        <w:rPr>
          <w:rFonts w:ascii="Times New Roman" w:eastAsia="宋体" w:hAnsi="Times New Roman" w:cs="Times New Roman" w:hint="eastAsia"/>
          <w:sz w:val="24"/>
          <w:szCs w:val="24"/>
        </w:rPr>
        <w:t>，需外购土方约为</w:t>
      </w:r>
      <w:r>
        <w:rPr>
          <w:rFonts w:ascii="Times New Roman" w:eastAsia="宋体" w:hAnsi="Times New Roman" w:cs="Times New Roman"/>
          <w:sz w:val="24"/>
          <w:szCs w:val="24"/>
        </w:rPr>
        <w:t>19145m</w:t>
      </w:r>
      <w:r>
        <w:rPr>
          <w:rFonts w:ascii="Times New Roman" w:eastAsia="宋体" w:hAnsi="Times New Roman" w:cs="Times New Roman"/>
          <w:sz w:val="24"/>
          <w:szCs w:val="24"/>
          <w:vertAlign w:val="superscript"/>
        </w:rPr>
        <w:t>3</w:t>
      </w:r>
      <w:r>
        <w:rPr>
          <w:rFonts w:ascii="Times New Roman" w:eastAsia="宋体" w:hAnsi="Times New Roman" w:cs="Times New Roman" w:hint="eastAsia"/>
          <w:sz w:val="24"/>
          <w:szCs w:val="24"/>
        </w:rPr>
        <w:t>，外运土方约为</w:t>
      </w:r>
      <w:r>
        <w:rPr>
          <w:rFonts w:ascii="Times New Roman" w:eastAsia="宋体" w:hAnsi="Times New Roman" w:cs="Times New Roman"/>
          <w:sz w:val="24"/>
          <w:szCs w:val="24"/>
        </w:rPr>
        <w:t>124381m</w:t>
      </w:r>
      <w:r>
        <w:rPr>
          <w:rFonts w:ascii="Times New Roman" w:eastAsia="宋体" w:hAnsi="Times New Roman" w:cs="Times New Roman"/>
          <w:sz w:val="24"/>
          <w:szCs w:val="24"/>
          <w:vertAlign w:val="superscript"/>
        </w:rPr>
        <w:t>3</w:t>
      </w:r>
      <w:r>
        <w:rPr>
          <w:rFonts w:ascii="Times New Roman" w:eastAsia="宋体" w:hAnsi="Times New Roman" w:cs="Times New Roman" w:hint="eastAsia"/>
          <w:sz w:val="24"/>
          <w:szCs w:val="24"/>
        </w:rPr>
        <w:t>；由于项目分期建设，先将一期土方运至二期堆至，用作填埋场日常覆土及封场覆土</w:t>
      </w:r>
      <w:r w:rsidR="000C34D0">
        <w:rPr>
          <w:rFonts w:ascii="Times New Roman" w:eastAsia="宋体" w:hAnsi="Times New Roman" w:cs="Times New Roman" w:hint="eastAsia"/>
          <w:sz w:val="24"/>
        </w:rPr>
        <w:t>，</w:t>
      </w:r>
      <w:r w:rsidR="000C34D0" w:rsidRPr="001B1820">
        <w:rPr>
          <w:rFonts w:ascii="Times New Roman" w:eastAsia="宋体" w:hAnsi="Times New Roman" w:cs="Times New Roman" w:hint="eastAsia"/>
          <w:color w:val="FF0000"/>
          <w:sz w:val="24"/>
        </w:rPr>
        <w:t>因此本项目不设弃土场。本项目服务期内，填埋覆土和填埋堆体表层绿化覆土均利用建设期剥离表土和开挖的土石方，从堆土场中拉运，本项目不需设置取土场，土石方得到合理利用，减轻了对自然生态环境的破坏面积，减少了水土流失面积，符合水土保持要求。</w:t>
      </w:r>
    </w:p>
    <w:p w14:paraId="25FDB57E"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此外还有建设过程中产生的建筑垃圾，建筑垃圾一般包括施工中砖、水泥、木材、钢材、装修中产生的废料，其中钢材和木材等下脚料可回收外售，其他不可回收的用于厂区内道路路基的填筑料，工程承建方应委托相关单位进行建筑垃圾的运输处理。</w:t>
      </w:r>
    </w:p>
    <w:p w14:paraId="11287606"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施工期生活垃圾按</w:t>
      </w:r>
      <w:r>
        <w:rPr>
          <w:rFonts w:ascii="Times New Roman" w:eastAsia="宋体" w:hAnsi="Times New Roman" w:cs="Times New Roman"/>
          <w:sz w:val="24"/>
          <w:szCs w:val="24"/>
        </w:rPr>
        <w:t>0.5kg/d</w:t>
      </w:r>
      <w:r>
        <w:rPr>
          <w:rFonts w:ascii="Times New Roman" w:eastAsia="宋体" w:hAnsi="Times New Roman" w:cs="Times New Roman"/>
          <w:sz w:val="24"/>
          <w:szCs w:val="24"/>
        </w:rPr>
        <w:t>，</w:t>
      </w:r>
      <w:r>
        <w:rPr>
          <w:rFonts w:ascii="Times New Roman" w:eastAsia="宋体" w:hAnsi="Times New Roman" w:cs="Times New Roman"/>
          <w:sz w:val="24"/>
          <w:szCs w:val="24"/>
        </w:rPr>
        <w:t>60</w:t>
      </w:r>
      <w:r>
        <w:rPr>
          <w:rFonts w:ascii="Times New Roman" w:eastAsia="宋体" w:hAnsi="Times New Roman" w:cs="Times New Roman"/>
          <w:sz w:val="24"/>
          <w:szCs w:val="24"/>
        </w:rPr>
        <w:t>人计算，产生量约</w:t>
      </w:r>
      <w:r>
        <w:rPr>
          <w:rFonts w:ascii="Times New Roman" w:eastAsia="宋体" w:hAnsi="Times New Roman" w:cs="Times New Roman"/>
          <w:sz w:val="24"/>
          <w:szCs w:val="24"/>
        </w:rPr>
        <w:t>0.0</w:t>
      </w:r>
      <w:r>
        <w:rPr>
          <w:rFonts w:ascii="Times New Roman" w:eastAsia="宋体" w:hAnsi="Times New Roman" w:cs="Times New Roman" w:hint="eastAsia"/>
          <w:sz w:val="24"/>
          <w:szCs w:val="24"/>
        </w:rPr>
        <w:t>0</w:t>
      </w:r>
      <w:r>
        <w:rPr>
          <w:rFonts w:ascii="Times New Roman" w:eastAsia="宋体" w:hAnsi="Times New Roman" w:cs="Times New Roman"/>
          <w:sz w:val="24"/>
          <w:szCs w:val="24"/>
        </w:rPr>
        <w:t>3t/d</w:t>
      </w:r>
      <w:r>
        <w:rPr>
          <w:rFonts w:ascii="Times New Roman" w:eastAsia="宋体" w:hAnsi="Times New Roman" w:cs="Times New Roman"/>
          <w:sz w:val="24"/>
          <w:szCs w:val="24"/>
        </w:rPr>
        <w:t>，分类收集后由环卫部门定期清运，对环境影响小。</w:t>
      </w:r>
    </w:p>
    <w:p w14:paraId="58447016"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60" w:name="_Toc121411763"/>
      <w:r>
        <w:rPr>
          <w:rFonts w:ascii="Times New Roman" w:eastAsia="黑体" w:hAnsi="Times New Roman" w:cs="Times New Roman"/>
          <w:b w:val="0"/>
          <w:sz w:val="24"/>
        </w:rPr>
        <w:t>6.2.5</w:t>
      </w:r>
      <w:r>
        <w:rPr>
          <w:rFonts w:ascii="Times New Roman" w:eastAsia="黑体" w:hAnsi="Times New Roman" w:cs="Times New Roman"/>
          <w:b w:val="0"/>
          <w:sz w:val="24"/>
        </w:rPr>
        <w:t>施工期生态影响分析</w:t>
      </w:r>
      <w:bookmarkEnd w:id="460"/>
    </w:p>
    <w:p w14:paraId="548CE6C4"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库区占地类型为建设用地。施工期建设将导致建设地原有生态系统遭到破坏，使土地裸露，生物量锐减，植被覆盖度大大降低，项目建成后区域植被状况将会得到根本的转变，原生植被将会被人造植被取代，小范围内植被破坏严重。施工初期的基础开挖等活动会使土壤的结构、组成和理化性质等发生变化。由于地表土壤疏松，施工开挖形成的弃土如不采取合理的防护措施，遇到大风、暴雨等特殊气候条件，极易形成水土流失。</w:t>
      </w:r>
    </w:p>
    <w:p w14:paraId="3C7DC0D3" w14:textId="77777777" w:rsidR="00D12939" w:rsidRDefault="004F47F5">
      <w:pPr>
        <w:spacing w:line="360" w:lineRule="auto"/>
        <w:ind w:firstLineChars="200" w:firstLine="496"/>
        <w:rPr>
          <w:rFonts w:ascii="Times New Roman" w:eastAsia="宋体" w:hAnsi="Times New Roman" w:cs="Times New Roman"/>
          <w:spacing w:val="4"/>
          <w:kern w:val="0"/>
          <w:sz w:val="24"/>
          <w:szCs w:val="24"/>
        </w:rPr>
      </w:pPr>
      <w:r>
        <w:rPr>
          <w:rFonts w:ascii="Times New Roman" w:eastAsia="宋体" w:hAnsi="Times New Roman" w:cs="Times New Roman"/>
          <w:spacing w:val="4"/>
          <w:kern w:val="0"/>
          <w:sz w:val="24"/>
          <w:szCs w:val="24"/>
        </w:rPr>
        <w:t>（</w:t>
      </w:r>
      <w:r>
        <w:rPr>
          <w:rFonts w:ascii="Times New Roman" w:eastAsia="宋体" w:hAnsi="Times New Roman" w:cs="Times New Roman"/>
          <w:spacing w:val="4"/>
          <w:kern w:val="0"/>
          <w:sz w:val="24"/>
          <w:szCs w:val="24"/>
        </w:rPr>
        <w:t>1</w:t>
      </w:r>
      <w:r>
        <w:rPr>
          <w:rFonts w:ascii="Times New Roman" w:eastAsia="宋体" w:hAnsi="Times New Roman" w:cs="Times New Roman"/>
          <w:spacing w:val="4"/>
          <w:kern w:val="0"/>
          <w:sz w:val="24"/>
          <w:szCs w:val="24"/>
        </w:rPr>
        <w:t>）土地利用影响</w:t>
      </w:r>
    </w:p>
    <w:p w14:paraId="303F68D8" w14:textId="77777777" w:rsidR="00C27509" w:rsidRDefault="00C27509" w:rsidP="00C27509">
      <w:pPr>
        <w:spacing w:line="360" w:lineRule="auto"/>
        <w:ind w:firstLineChars="200" w:firstLine="480"/>
        <w:rPr>
          <w:rFonts w:ascii="Times New Roman" w:eastAsia="宋体" w:hAnsi="Times New Roman" w:cs="Times New Roman"/>
          <w:color w:val="FF0000"/>
          <w:spacing w:val="4"/>
          <w:kern w:val="0"/>
          <w:sz w:val="24"/>
          <w:szCs w:val="24"/>
        </w:rPr>
      </w:pPr>
      <w:r>
        <w:rPr>
          <w:rFonts w:ascii="Times New Roman" w:eastAsia="宋体" w:hAnsi="Times New Roman" w:cs="Times New Roman"/>
          <w:color w:val="FF0000"/>
          <w:sz w:val="24"/>
          <w:szCs w:val="24"/>
        </w:rPr>
        <w:lastRenderedPageBreak/>
        <w:t>本项目库区</w:t>
      </w:r>
      <w:r>
        <w:rPr>
          <w:rFonts w:ascii="Times New Roman" w:eastAsia="宋体" w:hAnsi="Times New Roman" w:cs="Times New Roman" w:hint="eastAsia"/>
          <w:color w:val="FF0000"/>
          <w:sz w:val="24"/>
          <w:szCs w:val="24"/>
        </w:rPr>
        <w:t>占地用地性质</w:t>
      </w:r>
      <w:r>
        <w:rPr>
          <w:rFonts w:ascii="Times New Roman" w:eastAsia="宋体" w:hAnsi="Times New Roman" w:cs="Times New Roman"/>
          <w:color w:val="FF0000"/>
          <w:sz w:val="24"/>
          <w:szCs w:val="24"/>
        </w:rPr>
        <w:t>为建设用地</w:t>
      </w:r>
      <w:r>
        <w:rPr>
          <w:rFonts w:ascii="Times New Roman" w:eastAsia="宋体" w:hAnsi="Times New Roman" w:cs="Times New Roman"/>
          <w:color w:val="FF0000"/>
          <w:spacing w:val="4"/>
          <w:kern w:val="0"/>
          <w:sz w:val="24"/>
          <w:szCs w:val="24"/>
        </w:rPr>
        <w:t>。取土场主要在封场后，经整治、植被重建后可逐渐恢复原有的土地利用功能，对土地利用影响小。填埋场封场后，场区进行覆土绿化，将在一定程度上补偿占地对地表植被的生态损失。</w:t>
      </w:r>
    </w:p>
    <w:p w14:paraId="4875B5FC" w14:textId="77777777" w:rsidR="00D12939" w:rsidRDefault="004F47F5">
      <w:pPr>
        <w:spacing w:line="360" w:lineRule="auto"/>
        <w:ind w:firstLineChars="200" w:firstLine="496"/>
        <w:rPr>
          <w:rFonts w:ascii="Times New Roman" w:eastAsia="宋体" w:hAnsi="Times New Roman" w:cs="Times New Roman"/>
          <w:spacing w:val="4"/>
          <w:kern w:val="0"/>
          <w:sz w:val="24"/>
          <w:szCs w:val="24"/>
        </w:rPr>
      </w:pPr>
      <w:r>
        <w:rPr>
          <w:rFonts w:ascii="Times New Roman" w:eastAsia="宋体" w:hAnsi="Times New Roman" w:cs="Times New Roman"/>
          <w:spacing w:val="4"/>
          <w:kern w:val="0"/>
          <w:sz w:val="24"/>
          <w:szCs w:val="24"/>
        </w:rPr>
        <w:t>（</w:t>
      </w:r>
      <w:r>
        <w:rPr>
          <w:rFonts w:ascii="Times New Roman" w:eastAsia="宋体" w:hAnsi="Times New Roman" w:cs="Times New Roman"/>
          <w:spacing w:val="4"/>
          <w:kern w:val="0"/>
          <w:sz w:val="24"/>
          <w:szCs w:val="24"/>
        </w:rPr>
        <w:t>2</w:t>
      </w:r>
      <w:r>
        <w:rPr>
          <w:rFonts w:ascii="Times New Roman" w:eastAsia="宋体" w:hAnsi="Times New Roman" w:cs="Times New Roman"/>
          <w:spacing w:val="4"/>
          <w:kern w:val="0"/>
          <w:sz w:val="24"/>
          <w:szCs w:val="24"/>
        </w:rPr>
        <w:t>）水土流失影响分析</w:t>
      </w:r>
    </w:p>
    <w:p w14:paraId="66D3680D" w14:textId="77777777" w:rsidR="00D12939" w:rsidRDefault="004F47F5">
      <w:pPr>
        <w:spacing w:line="360" w:lineRule="auto"/>
        <w:ind w:firstLineChars="200" w:firstLine="496"/>
        <w:rPr>
          <w:rFonts w:ascii="Times New Roman" w:eastAsia="宋体" w:hAnsi="Times New Roman" w:cs="Times New Roman"/>
          <w:spacing w:val="4"/>
          <w:kern w:val="0"/>
          <w:sz w:val="24"/>
          <w:szCs w:val="24"/>
        </w:rPr>
      </w:pPr>
      <w:r>
        <w:rPr>
          <w:rFonts w:ascii="Times New Roman" w:eastAsia="宋体" w:hAnsi="Times New Roman" w:cs="Times New Roman"/>
          <w:spacing w:val="4"/>
          <w:kern w:val="0"/>
          <w:sz w:val="24"/>
          <w:szCs w:val="24"/>
        </w:rPr>
        <w:t>①</w:t>
      </w:r>
      <w:r>
        <w:rPr>
          <w:rFonts w:ascii="Times New Roman" w:eastAsia="宋体" w:hAnsi="Times New Roman" w:cs="Times New Roman"/>
          <w:spacing w:val="4"/>
          <w:kern w:val="0"/>
          <w:sz w:val="24"/>
          <w:szCs w:val="24"/>
        </w:rPr>
        <w:t>水土流失影响因素分析</w:t>
      </w:r>
    </w:p>
    <w:p w14:paraId="574B9CF4" w14:textId="77777777" w:rsidR="00D12939" w:rsidRDefault="004F47F5">
      <w:pPr>
        <w:spacing w:line="360" w:lineRule="auto"/>
        <w:ind w:firstLineChars="200" w:firstLine="496"/>
        <w:rPr>
          <w:rFonts w:ascii="Times New Roman" w:eastAsia="宋体" w:hAnsi="Times New Roman" w:cs="Times New Roman"/>
          <w:spacing w:val="4"/>
          <w:kern w:val="0"/>
          <w:sz w:val="24"/>
          <w:szCs w:val="24"/>
        </w:rPr>
      </w:pPr>
      <w:r>
        <w:rPr>
          <w:rFonts w:ascii="Times New Roman" w:eastAsia="宋体" w:hAnsi="Times New Roman" w:cs="Times New Roman"/>
          <w:spacing w:val="4"/>
          <w:sz w:val="24"/>
          <w:szCs w:val="24"/>
        </w:rPr>
        <w:t>建设过程中，底部开挖、边坡修整和取土场植被清理，使占地内植被遭到破</w:t>
      </w:r>
      <w:r>
        <w:rPr>
          <w:rFonts w:ascii="Times New Roman" w:eastAsia="宋体" w:hAnsi="Times New Roman" w:cs="Times New Roman"/>
          <w:sz w:val="24"/>
          <w:szCs w:val="24"/>
        </w:rPr>
        <w:t>坏，植被一旦被破坏，短时期内难以恢复，易产生水土流失。</w:t>
      </w:r>
      <w:r>
        <w:rPr>
          <w:rFonts w:ascii="Times New Roman" w:eastAsia="宋体" w:hAnsi="Times New Roman" w:cs="Times New Roman"/>
          <w:spacing w:val="-6"/>
          <w:sz w:val="24"/>
          <w:szCs w:val="24"/>
        </w:rPr>
        <w:t>项目开挖土石不合理堆放会增加水土流失量，即直接水土流失量。本项目施</w:t>
      </w:r>
      <w:r>
        <w:rPr>
          <w:rFonts w:ascii="Times New Roman" w:eastAsia="宋体" w:hAnsi="Times New Roman" w:cs="Times New Roman"/>
          <w:spacing w:val="-8"/>
          <w:sz w:val="24"/>
          <w:szCs w:val="24"/>
        </w:rPr>
        <w:t>工过程中一期挖方，于二期场内暂时堆存，并采取遮盖、拦</w:t>
      </w:r>
      <w:r>
        <w:rPr>
          <w:rFonts w:ascii="Times New Roman" w:eastAsia="宋体" w:hAnsi="Times New Roman" w:cs="Times New Roman"/>
          <w:sz w:val="24"/>
          <w:szCs w:val="24"/>
        </w:rPr>
        <w:t>挡及设排水边沟等措施，因</w:t>
      </w:r>
      <w:r>
        <w:rPr>
          <w:rFonts w:ascii="Times New Roman" w:eastAsia="宋体" w:hAnsi="Times New Roman" w:cs="Times New Roman"/>
          <w:spacing w:val="4"/>
          <w:kern w:val="0"/>
          <w:sz w:val="24"/>
          <w:szCs w:val="24"/>
        </w:rPr>
        <w:t>此项目一般不会带来直接水土流失。根据现场调查，本项目四周排水边沟建设将能有效控制水土流失，对生态环境的影响很小。</w:t>
      </w:r>
    </w:p>
    <w:p w14:paraId="0AD11B81" w14:textId="77777777" w:rsidR="00D12939" w:rsidRDefault="004F47F5">
      <w:pPr>
        <w:spacing w:line="360" w:lineRule="auto"/>
        <w:ind w:firstLineChars="200" w:firstLine="496"/>
        <w:rPr>
          <w:rFonts w:ascii="Times New Roman" w:eastAsia="宋体" w:hAnsi="Times New Roman" w:cs="Times New Roman"/>
          <w:spacing w:val="4"/>
          <w:kern w:val="0"/>
          <w:sz w:val="24"/>
          <w:szCs w:val="24"/>
        </w:rPr>
      </w:pPr>
      <w:r>
        <w:rPr>
          <w:rFonts w:ascii="Times New Roman" w:eastAsia="宋体" w:hAnsi="Times New Roman" w:cs="Times New Roman"/>
          <w:spacing w:val="4"/>
          <w:kern w:val="0"/>
          <w:sz w:val="24"/>
          <w:szCs w:val="24"/>
        </w:rPr>
        <w:t>（</w:t>
      </w:r>
      <w:r>
        <w:rPr>
          <w:rFonts w:ascii="Times New Roman" w:eastAsia="宋体" w:hAnsi="Times New Roman" w:cs="Times New Roman"/>
          <w:spacing w:val="4"/>
          <w:kern w:val="0"/>
          <w:sz w:val="24"/>
          <w:szCs w:val="24"/>
        </w:rPr>
        <w:t>3</w:t>
      </w:r>
      <w:r>
        <w:rPr>
          <w:rFonts w:ascii="Times New Roman" w:eastAsia="宋体" w:hAnsi="Times New Roman" w:cs="Times New Roman"/>
          <w:spacing w:val="4"/>
          <w:kern w:val="0"/>
          <w:sz w:val="24"/>
          <w:szCs w:val="24"/>
        </w:rPr>
        <w:t>）对土壤结构的影响</w:t>
      </w:r>
    </w:p>
    <w:p w14:paraId="1318D5B2" w14:textId="77777777" w:rsidR="00D12939" w:rsidRDefault="004F47F5">
      <w:pPr>
        <w:spacing w:line="360" w:lineRule="auto"/>
        <w:ind w:firstLineChars="200" w:firstLine="496"/>
        <w:rPr>
          <w:rFonts w:ascii="Times New Roman" w:eastAsia="宋体" w:hAnsi="Times New Roman" w:cs="Times New Roman"/>
          <w:spacing w:val="4"/>
          <w:kern w:val="0"/>
          <w:sz w:val="24"/>
          <w:szCs w:val="24"/>
        </w:rPr>
      </w:pPr>
      <w:r>
        <w:rPr>
          <w:rFonts w:ascii="Times New Roman" w:eastAsia="宋体" w:hAnsi="Times New Roman" w:cs="Times New Roman"/>
          <w:spacing w:val="4"/>
          <w:kern w:val="0"/>
          <w:sz w:val="24"/>
          <w:szCs w:val="24"/>
        </w:rPr>
        <w:t>土壤结构是经过较长的历史时期形成的，表层厚约</w:t>
      </w:r>
      <w:r>
        <w:rPr>
          <w:rFonts w:ascii="Times New Roman" w:eastAsia="宋体" w:hAnsi="Times New Roman" w:cs="Times New Roman"/>
          <w:spacing w:val="4"/>
          <w:kern w:val="0"/>
          <w:sz w:val="24"/>
          <w:szCs w:val="24"/>
        </w:rPr>
        <w:t>15-25cm</w:t>
      </w:r>
      <w:r>
        <w:rPr>
          <w:rFonts w:ascii="Times New Roman" w:eastAsia="宋体" w:hAnsi="Times New Roman" w:cs="Times New Roman"/>
          <w:spacing w:val="4"/>
          <w:kern w:val="0"/>
          <w:sz w:val="24"/>
          <w:szCs w:val="24"/>
        </w:rPr>
        <w:t>的土壤耕作层肥力集中、水分相对优越，是植被根系生长和伸展的主要层次。由于工程开挖，扰乱和破坏了土壤耕作层，使原有耕作层的性质发生改变。此外，由于回填时工程要求的压实作用，使得土壤密度增大、结构破坏、孔隙及孔隙组成发生变化。评价要求分层开挖，表层土分层堆放在二期场内，以保持土壤耕作层肥力，为后期植被恢复创造条件。</w:t>
      </w:r>
    </w:p>
    <w:p w14:paraId="3ACAB920" w14:textId="77777777" w:rsidR="00D12939" w:rsidRDefault="004F47F5">
      <w:pPr>
        <w:spacing w:line="360" w:lineRule="auto"/>
        <w:ind w:firstLineChars="200" w:firstLine="496"/>
        <w:rPr>
          <w:rFonts w:ascii="Times New Roman" w:eastAsia="宋体" w:hAnsi="Times New Roman" w:cs="Times New Roman"/>
          <w:spacing w:val="4"/>
          <w:kern w:val="0"/>
          <w:sz w:val="24"/>
          <w:szCs w:val="24"/>
        </w:rPr>
      </w:pPr>
      <w:r>
        <w:rPr>
          <w:rFonts w:ascii="Times New Roman" w:eastAsia="宋体" w:hAnsi="Times New Roman" w:cs="Times New Roman"/>
          <w:spacing w:val="4"/>
          <w:kern w:val="0"/>
          <w:sz w:val="24"/>
          <w:szCs w:val="24"/>
        </w:rPr>
        <w:t>（</w:t>
      </w:r>
      <w:r>
        <w:rPr>
          <w:rFonts w:ascii="Times New Roman" w:eastAsia="宋体" w:hAnsi="Times New Roman" w:cs="Times New Roman"/>
          <w:spacing w:val="4"/>
          <w:kern w:val="0"/>
          <w:sz w:val="24"/>
          <w:szCs w:val="24"/>
        </w:rPr>
        <w:t>4</w:t>
      </w:r>
      <w:r>
        <w:rPr>
          <w:rFonts w:ascii="Times New Roman" w:eastAsia="宋体" w:hAnsi="Times New Roman" w:cs="Times New Roman"/>
          <w:spacing w:val="4"/>
          <w:kern w:val="0"/>
          <w:sz w:val="24"/>
          <w:szCs w:val="24"/>
        </w:rPr>
        <w:t>）对植被的影响</w:t>
      </w:r>
    </w:p>
    <w:p w14:paraId="0E2CC197" w14:textId="77777777" w:rsidR="00D12939" w:rsidRDefault="004F47F5">
      <w:pPr>
        <w:spacing w:line="360" w:lineRule="auto"/>
        <w:ind w:firstLineChars="200" w:firstLine="496"/>
        <w:rPr>
          <w:rFonts w:ascii="Times New Roman" w:eastAsia="宋体" w:hAnsi="Times New Roman" w:cs="Times New Roman"/>
          <w:spacing w:val="4"/>
          <w:kern w:val="0"/>
          <w:sz w:val="24"/>
          <w:szCs w:val="24"/>
        </w:rPr>
      </w:pPr>
      <w:r>
        <w:rPr>
          <w:rFonts w:ascii="Times New Roman" w:eastAsia="宋体" w:hAnsi="Times New Roman" w:cs="Times New Roman"/>
          <w:spacing w:val="4"/>
          <w:kern w:val="0"/>
          <w:sz w:val="24"/>
          <w:szCs w:val="24"/>
        </w:rPr>
        <w:t>项目建设对植被的影响，主要集中施工过程中地表开挖对项目占地范围内植被的破坏，以及扬尘对周边植物正常生长的影响。项目施工过程中，占地范围内的植被地上部分与根系均被铲除，同时还可能伤及附近植物的根系；占地范围周边的植被，也可能因土方堆放、人员践踏、施工车辆和机器的碾压而遭到破坏。另外，施工过程中的扬尘还将在施工带两侧植物叶片上形成覆盖，会干扰植物的光合作用和蒸腾作用，影响植物的生长。在施工结束后，建设单位将在库区四周及道路两侧进行植被恢复，则生态环境将逐步恢复。评价要求，尽可能选用乡土树种，并保证植被的存活率。</w:t>
      </w:r>
    </w:p>
    <w:p w14:paraId="660B83D6"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61" w:name="_Toc121411764"/>
      <w:r>
        <w:rPr>
          <w:rFonts w:ascii="Times New Roman" w:eastAsia="黑体" w:hAnsi="Times New Roman" w:cs="Times New Roman"/>
          <w:b w:val="0"/>
          <w:sz w:val="24"/>
        </w:rPr>
        <w:t xml:space="preserve">6.2.6 </w:t>
      </w:r>
      <w:r>
        <w:rPr>
          <w:rFonts w:ascii="Times New Roman" w:eastAsia="黑体" w:hAnsi="Times New Roman" w:cs="Times New Roman"/>
          <w:b w:val="0"/>
          <w:sz w:val="24"/>
        </w:rPr>
        <w:t>施工运输影响分析</w:t>
      </w:r>
      <w:bookmarkEnd w:id="461"/>
    </w:p>
    <w:p w14:paraId="62CD9B9B" w14:textId="77777777" w:rsidR="00D12939" w:rsidRDefault="004F47F5">
      <w:pPr>
        <w:spacing w:line="360" w:lineRule="auto"/>
        <w:ind w:firstLineChars="200" w:firstLine="480"/>
        <w:rPr>
          <w:rFonts w:ascii="Times New Roman" w:eastAsia="宋体" w:hAnsi="Times New Roman" w:cs="Times New Roman"/>
          <w:sz w:val="24"/>
          <w:szCs w:val="24"/>
        </w:rPr>
        <w:sectPr w:rsidR="00D12939">
          <w:pgSz w:w="11906" w:h="16838"/>
          <w:pgMar w:top="1440" w:right="1080" w:bottom="1440" w:left="1080" w:header="851" w:footer="992" w:gutter="0"/>
          <w:cols w:space="425"/>
          <w:docGrid w:type="lines" w:linePitch="312"/>
        </w:sectPr>
      </w:pPr>
      <w:r>
        <w:rPr>
          <w:rFonts w:ascii="Times New Roman" w:eastAsia="宋体" w:hAnsi="Times New Roman" w:cs="Times New Roman"/>
          <w:sz w:val="24"/>
          <w:szCs w:val="24"/>
        </w:rPr>
        <w:t>施工期车辆运输对环境的影响主要为车辆噪声及扬尘，评价建议施工物料的运输尽量集中在白天进行，避免晚上运输对沿线居民的影响；水泥、石子、沙土等建筑材料运输一律加盖篷布，避免沿途撒落。</w:t>
      </w:r>
    </w:p>
    <w:p w14:paraId="04D7749C" w14:textId="77777777" w:rsidR="00D12939" w:rsidRDefault="004F47F5">
      <w:pPr>
        <w:pStyle w:val="1"/>
        <w:jc w:val="center"/>
        <w:rPr>
          <w:sz w:val="30"/>
          <w:szCs w:val="30"/>
        </w:rPr>
      </w:pPr>
      <w:bookmarkStart w:id="462" w:name="_Toc41745170"/>
      <w:bookmarkStart w:id="463" w:name="_Toc121411765"/>
      <w:bookmarkStart w:id="464" w:name="_Toc462766865"/>
      <w:bookmarkStart w:id="465" w:name="_Toc482022426"/>
      <w:bookmarkStart w:id="466" w:name="_Toc466461664"/>
      <w:r>
        <w:rPr>
          <w:sz w:val="30"/>
          <w:szCs w:val="30"/>
        </w:rPr>
        <w:lastRenderedPageBreak/>
        <w:t xml:space="preserve">7 </w:t>
      </w:r>
      <w:r>
        <w:rPr>
          <w:sz w:val="30"/>
          <w:szCs w:val="30"/>
        </w:rPr>
        <w:t>营运期环境影响分析</w:t>
      </w:r>
      <w:bookmarkEnd w:id="462"/>
      <w:bookmarkEnd w:id="463"/>
      <w:bookmarkEnd w:id="464"/>
      <w:bookmarkEnd w:id="465"/>
      <w:bookmarkEnd w:id="466"/>
    </w:p>
    <w:p w14:paraId="58A13C58" w14:textId="77777777" w:rsidR="00D12939" w:rsidRDefault="004F47F5">
      <w:pPr>
        <w:pStyle w:val="2"/>
        <w:spacing w:line="360" w:lineRule="auto"/>
        <w:ind w:firstLineChars="165" w:firstLine="462"/>
        <w:rPr>
          <w:sz w:val="28"/>
        </w:rPr>
      </w:pPr>
      <w:bookmarkStart w:id="467" w:name="_Toc318218278"/>
      <w:bookmarkStart w:id="468" w:name="_Toc500167691"/>
      <w:bookmarkStart w:id="469" w:name="_Toc253164146"/>
      <w:bookmarkStart w:id="470" w:name="_Toc366336813"/>
      <w:bookmarkStart w:id="471" w:name="_Toc303086371"/>
      <w:bookmarkStart w:id="472" w:name="_Toc41745171"/>
      <w:bookmarkStart w:id="473" w:name="_Toc121411766"/>
      <w:bookmarkStart w:id="474" w:name="_Toc286215824"/>
      <w:bookmarkStart w:id="475" w:name="_Toc482022427"/>
      <w:bookmarkStart w:id="476" w:name="_Toc353114018"/>
      <w:bookmarkStart w:id="477" w:name="_Toc347493042"/>
      <w:r>
        <w:rPr>
          <w:sz w:val="28"/>
        </w:rPr>
        <w:t>7.1</w:t>
      </w:r>
      <w:r>
        <w:rPr>
          <w:sz w:val="28"/>
        </w:rPr>
        <w:t>大气环境影响预测与分析</w:t>
      </w:r>
      <w:bookmarkEnd w:id="467"/>
      <w:bookmarkEnd w:id="468"/>
      <w:bookmarkEnd w:id="469"/>
      <w:bookmarkEnd w:id="470"/>
      <w:bookmarkEnd w:id="471"/>
      <w:bookmarkEnd w:id="472"/>
      <w:bookmarkEnd w:id="473"/>
      <w:bookmarkEnd w:id="474"/>
      <w:bookmarkEnd w:id="475"/>
      <w:bookmarkEnd w:id="476"/>
      <w:bookmarkEnd w:id="477"/>
    </w:p>
    <w:p w14:paraId="3C94D43C" w14:textId="77777777" w:rsidR="00D12939" w:rsidRDefault="004F47F5">
      <w:pPr>
        <w:pStyle w:val="af5"/>
        <w:spacing w:after="0" w:line="360" w:lineRule="auto"/>
        <w:ind w:firstLine="480"/>
        <w:rPr>
          <w:kern w:val="2"/>
          <w:szCs w:val="22"/>
        </w:rPr>
      </w:pPr>
      <w:r>
        <w:rPr>
          <w:kern w:val="2"/>
          <w:szCs w:val="22"/>
        </w:rPr>
        <w:t>本项目运营期所产生的废气主要为</w:t>
      </w:r>
      <w:r>
        <w:rPr>
          <w:rFonts w:hint="eastAsia"/>
          <w:kern w:val="2"/>
          <w:szCs w:val="22"/>
        </w:rPr>
        <w:t>填埋废气、调节池和渗滤液处理站恶臭、填埋作业扬尘和垃圾填埋场恶臭</w:t>
      </w:r>
      <w:r>
        <w:rPr>
          <w:kern w:val="2"/>
          <w:szCs w:val="22"/>
        </w:rPr>
        <w:t>。</w:t>
      </w:r>
    </w:p>
    <w:p w14:paraId="349EDA97"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78" w:name="_Toc121411767"/>
      <w:r>
        <w:rPr>
          <w:rFonts w:ascii="Times New Roman" w:eastAsia="黑体" w:hAnsi="Times New Roman" w:cs="Times New Roman"/>
          <w:b w:val="0"/>
          <w:sz w:val="24"/>
        </w:rPr>
        <w:t>7.1.1</w:t>
      </w:r>
      <w:r>
        <w:rPr>
          <w:rFonts w:ascii="Times New Roman" w:eastAsia="黑体" w:hAnsi="Times New Roman" w:cs="Times New Roman" w:hint="eastAsia"/>
          <w:b w:val="0"/>
          <w:sz w:val="24"/>
        </w:rPr>
        <w:t>大气环境影响预测</w:t>
      </w:r>
      <w:bookmarkEnd w:id="478"/>
    </w:p>
    <w:p w14:paraId="4D348FB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依据《环境影响评价技术导则</w:t>
      </w:r>
      <w:r>
        <w:rPr>
          <w:rFonts w:ascii="Times New Roman" w:eastAsia="宋体" w:hAnsi="Times New Roman" w:cs="Times New Roman"/>
          <w:sz w:val="24"/>
        </w:rPr>
        <w:t>-</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）中</w:t>
      </w:r>
      <w:r>
        <w:rPr>
          <w:rFonts w:ascii="Times New Roman" w:eastAsia="宋体" w:hAnsi="Times New Roman" w:cs="Times New Roman"/>
          <w:sz w:val="24"/>
        </w:rPr>
        <w:t>5.3</w:t>
      </w:r>
      <w:r>
        <w:rPr>
          <w:rFonts w:ascii="Times New Roman" w:eastAsia="宋体" w:hAnsi="Times New Roman" w:cs="Times New Roman"/>
          <w:sz w:val="24"/>
        </w:rPr>
        <w:t>节工作等级的确定方法，结合项目工程分析结果，选择正常排放的主要污染物及排放参数，采用附录</w:t>
      </w:r>
      <w:r>
        <w:rPr>
          <w:rFonts w:ascii="Times New Roman" w:eastAsia="宋体" w:hAnsi="Times New Roman" w:cs="Times New Roman"/>
          <w:sz w:val="24"/>
        </w:rPr>
        <w:t>A</w:t>
      </w:r>
      <w:r>
        <w:rPr>
          <w:rFonts w:ascii="Times New Roman" w:eastAsia="宋体" w:hAnsi="Times New Roman" w:cs="Times New Roman"/>
          <w:sz w:val="24"/>
        </w:rPr>
        <w:t>推荐模型中的</w:t>
      </w:r>
      <w:r>
        <w:rPr>
          <w:rFonts w:ascii="Times New Roman" w:eastAsia="宋体" w:hAnsi="Times New Roman" w:cs="Times New Roman"/>
          <w:sz w:val="24"/>
        </w:rPr>
        <w:t>AERSCREEN</w:t>
      </w:r>
      <w:r>
        <w:rPr>
          <w:rFonts w:ascii="Times New Roman" w:eastAsia="宋体" w:hAnsi="Times New Roman" w:cs="Times New Roman"/>
          <w:sz w:val="24"/>
        </w:rPr>
        <w:t>模式计算项目污染源的最大环境影响，然后按评价工作分级判据进行分级。</w:t>
      </w:r>
    </w:p>
    <w:p w14:paraId="74798C62" w14:textId="77777777" w:rsidR="00D12939" w:rsidRDefault="004F47F5">
      <w:pPr>
        <w:spacing w:line="360" w:lineRule="auto"/>
        <w:ind w:firstLineChars="200" w:firstLine="480"/>
        <w:rPr>
          <w:rFonts w:ascii="Times New Roman" w:eastAsia="宋体" w:hAnsi="Times New Roman" w:cs="Times New Roman"/>
          <w:sz w:val="24"/>
        </w:rPr>
      </w:pPr>
      <w:bookmarkStart w:id="479" w:name="_Toc41342970"/>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w:t>
      </w:r>
      <w:r>
        <w:rPr>
          <w:rFonts w:ascii="Times New Roman" w:eastAsia="宋体" w:hAnsi="Times New Roman" w:cs="Times New Roman"/>
          <w:sz w:val="24"/>
        </w:rPr>
        <w:t>P</w:t>
      </w:r>
      <w:r>
        <w:rPr>
          <w:rFonts w:ascii="Times New Roman" w:eastAsia="宋体" w:hAnsi="Times New Roman" w:cs="Times New Roman"/>
          <w:sz w:val="24"/>
          <w:vertAlign w:val="subscript"/>
        </w:rPr>
        <w:t>max</w:t>
      </w:r>
      <w:r>
        <w:rPr>
          <w:rFonts w:ascii="Times New Roman" w:eastAsia="宋体" w:hAnsi="Times New Roman" w:cs="Times New Roman"/>
          <w:sz w:val="24"/>
        </w:rPr>
        <w:t>及</w:t>
      </w:r>
      <w:r>
        <w:rPr>
          <w:rFonts w:ascii="Times New Roman" w:eastAsia="宋体" w:hAnsi="Times New Roman" w:cs="Times New Roman"/>
          <w:sz w:val="24"/>
        </w:rPr>
        <w:t>D</w:t>
      </w:r>
      <w:r>
        <w:rPr>
          <w:rFonts w:ascii="Times New Roman" w:eastAsia="宋体" w:hAnsi="Times New Roman" w:cs="Times New Roman"/>
          <w:sz w:val="24"/>
          <w:vertAlign w:val="subscript"/>
        </w:rPr>
        <w:t>10%</w:t>
      </w:r>
      <w:r>
        <w:rPr>
          <w:rFonts w:ascii="Times New Roman" w:eastAsia="宋体" w:hAnsi="Times New Roman" w:cs="Times New Roman"/>
          <w:sz w:val="24"/>
        </w:rPr>
        <w:t>的确定</w:t>
      </w:r>
      <w:bookmarkEnd w:id="479"/>
    </w:p>
    <w:p w14:paraId="760B7AF1"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依据《环境影响评价技术导则大气环境》（</w:t>
      </w:r>
      <w:r>
        <w:rPr>
          <w:rFonts w:ascii="Times New Roman" w:eastAsia="宋体" w:hAnsi="Times New Roman" w:cs="Times New Roman"/>
          <w:sz w:val="24"/>
        </w:rPr>
        <w:t>HJ2.2-2018</w:t>
      </w:r>
      <w:r>
        <w:rPr>
          <w:rFonts w:ascii="Times New Roman" w:eastAsia="宋体" w:hAnsi="Times New Roman" w:cs="Times New Roman"/>
          <w:sz w:val="24"/>
        </w:rPr>
        <w:t>）中最大地面浓度占标率</w:t>
      </w:r>
      <w:r>
        <w:rPr>
          <w:rFonts w:ascii="Times New Roman" w:eastAsia="宋体" w:hAnsi="Times New Roman" w:cs="Times New Roman"/>
          <w:sz w:val="24"/>
        </w:rPr>
        <w:t>P</w:t>
      </w:r>
      <w:r>
        <w:rPr>
          <w:rFonts w:ascii="Times New Roman" w:eastAsia="宋体" w:hAnsi="Times New Roman" w:cs="Times New Roman"/>
          <w:i/>
          <w:sz w:val="24"/>
        </w:rPr>
        <w:t>i</w:t>
      </w:r>
      <w:r>
        <w:rPr>
          <w:rFonts w:ascii="Times New Roman" w:eastAsia="宋体" w:hAnsi="Times New Roman" w:cs="Times New Roman"/>
          <w:sz w:val="24"/>
        </w:rPr>
        <w:t>定义如下：</w:t>
      </w:r>
    </w:p>
    <w:p w14:paraId="31786CC2" w14:textId="77777777" w:rsidR="00D12939" w:rsidRDefault="00747ECF">
      <w:pPr>
        <w:spacing w:line="360" w:lineRule="auto"/>
        <w:ind w:firstLineChars="200" w:firstLine="480"/>
        <w:rPr>
          <w:rFonts w:ascii="Times New Roman" w:eastAsia="宋体" w:hAnsi="Times New Roman" w:cs="Times New Roman"/>
          <w:sz w:val="24"/>
        </w:rPr>
      </w:pPr>
      <m:oMathPara>
        <m:oMath>
          <m:sSub>
            <m:sSubPr>
              <m:ctrlPr>
                <w:rPr>
                  <w:rFonts w:ascii="Cambria Math" w:eastAsia="宋体" w:hAnsi="Cambria Math" w:cs="Times New Roman"/>
                  <w:sz w:val="24"/>
                </w:rPr>
              </m:ctrlPr>
            </m:sSubPr>
            <m:e>
              <m:r>
                <w:rPr>
                  <w:rFonts w:ascii="Cambria Math" w:eastAsia="宋体" w:hAnsi="Cambria Math" w:cs="Times New Roman"/>
                  <w:sz w:val="24"/>
                </w:rPr>
                <m:t>P</m:t>
              </m:r>
            </m:e>
            <m:sub>
              <m:r>
                <w:rPr>
                  <w:rFonts w:ascii="Cambria Math" w:eastAsia="宋体" w:hAnsi="Cambria Math" w:cs="Times New Roman"/>
                  <w:sz w:val="24"/>
                </w:rPr>
                <m:t>i</m:t>
              </m:r>
            </m:sub>
          </m:sSub>
          <m:r>
            <m:rPr>
              <m:sty m:val="p"/>
            </m:rPr>
            <w:rPr>
              <w:rFonts w:ascii="Cambria Math" w:eastAsia="宋体" w:hAnsi="Cambria Math" w:cs="Times New Roman"/>
              <w:sz w:val="24"/>
            </w:rPr>
            <m:t>=</m:t>
          </m:r>
          <m:f>
            <m:fPr>
              <m:ctrlPr>
                <w:rPr>
                  <w:rFonts w:ascii="Cambria Math" w:eastAsia="宋体" w:hAnsi="Cambria Math" w:cs="Times New Roman"/>
                  <w:sz w:val="24"/>
                </w:rPr>
              </m:ctrlPr>
            </m:fPr>
            <m:num>
              <m:sSub>
                <m:sSubPr>
                  <m:ctrlPr>
                    <w:rPr>
                      <w:rFonts w:ascii="Cambria Math" w:eastAsia="宋体" w:hAnsi="Cambria Math" w:cs="Times New Roman"/>
                      <w:i/>
                      <w:sz w:val="24"/>
                    </w:rPr>
                  </m:ctrlPr>
                </m:sSubPr>
                <m:e>
                  <m:r>
                    <w:rPr>
                      <w:rFonts w:ascii="Cambria Math" w:eastAsia="宋体" w:hAnsi="Cambria Math" w:cs="Times New Roman"/>
                      <w:sz w:val="24"/>
                    </w:rPr>
                    <m:t>C</m:t>
                  </m:r>
                </m:e>
                <m:sub>
                  <m:r>
                    <w:rPr>
                      <w:rFonts w:ascii="Cambria Math" w:eastAsia="宋体" w:hAnsi="Cambria Math" w:cs="Times New Roman"/>
                      <w:sz w:val="24"/>
                    </w:rPr>
                    <m:t>i</m:t>
                  </m:r>
                </m:sub>
              </m:sSub>
            </m:num>
            <m:den>
              <m:sSub>
                <m:sSubPr>
                  <m:ctrlPr>
                    <w:rPr>
                      <w:rFonts w:ascii="Cambria Math" w:eastAsia="宋体" w:hAnsi="Cambria Math" w:cs="Times New Roman"/>
                      <w:i/>
                      <w:sz w:val="24"/>
                    </w:rPr>
                  </m:ctrlPr>
                </m:sSubPr>
                <m:e>
                  <m:r>
                    <w:rPr>
                      <w:rFonts w:ascii="Cambria Math" w:eastAsia="宋体" w:hAnsi="Cambria Math" w:cs="Times New Roman"/>
                      <w:sz w:val="24"/>
                    </w:rPr>
                    <m:t>C</m:t>
                  </m:r>
                </m:e>
                <m:sub>
                  <m:r>
                    <w:rPr>
                      <w:rFonts w:ascii="Cambria Math" w:eastAsia="宋体" w:hAnsi="Cambria Math" w:cs="Times New Roman"/>
                      <w:sz w:val="24"/>
                    </w:rPr>
                    <m:t>0i</m:t>
                  </m:r>
                </m:sub>
              </m:sSub>
            </m:den>
          </m:f>
          <m:r>
            <w:rPr>
              <w:rFonts w:ascii="Cambria Math" w:eastAsia="宋体" w:hAnsi="Cambria Math" w:cs="Times New Roman"/>
              <w:sz w:val="24"/>
            </w:rPr>
            <m:t>×100%</m:t>
          </m:r>
        </m:oMath>
      </m:oMathPara>
    </w:p>
    <w:p w14:paraId="1C8B8CEF" w14:textId="77777777" w:rsidR="00D12939" w:rsidRDefault="00747ECF">
      <w:pPr>
        <w:spacing w:line="360" w:lineRule="auto"/>
        <w:ind w:firstLineChars="200" w:firstLine="480"/>
        <w:rPr>
          <w:rFonts w:ascii="Times New Roman" w:eastAsia="宋体" w:hAnsi="Times New Roman" w:cs="Times New Roman"/>
          <w:sz w:val="24"/>
        </w:rPr>
      </w:pPr>
      <m:oMath>
        <m:sSub>
          <m:sSubPr>
            <m:ctrlPr>
              <w:rPr>
                <w:rFonts w:ascii="Cambria Math" w:eastAsia="宋体" w:hAnsi="Cambria Math" w:cs="Times New Roman"/>
                <w:sz w:val="24"/>
              </w:rPr>
            </m:ctrlPr>
          </m:sSubPr>
          <m:e>
            <m:r>
              <w:rPr>
                <w:rFonts w:ascii="Cambria Math" w:eastAsia="宋体" w:hAnsi="Cambria Math" w:cs="Times New Roman"/>
                <w:sz w:val="24"/>
              </w:rPr>
              <m:t>P</m:t>
            </m:r>
          </m:e>
          <m:sub>
            <m:r>
              <w:rPr>
                <w:rFonts w:ascii="Cambria Math" w:eastAsia="宋体" w:hAnsi="Cambria Math" w:cs="Times New Roman"/>
                <w:sz w:val="24"/>
              </w:rPr>
              <m:t>i</m:t>
            </m:r>
          </m:sub>
        </m:sSub>
      </m:oMath>
      <w:r w:rsidR="004F47F5">
        <w:rPr>
          <w:rFonts w:ascii="Times New Roman" w:eastAsia="宋体" w:hAnsi="Times New Roman" w:cs="Times New Roman"/>
          <w:sz w:val="24"/>
        </w:rPr>
        <w:t xml:space="preserve"> ——</w:t>
      </w:r>
      <w:r w:rsidR="004F47F5">
        <w:rPr>
          <w:rFonts w:ascii="Times New Roman" w:eastAsia="宋体" w:hAnsi="Times New Roman" w:cs="Times New Roman"/>
          <w:sz w:val="24"/>
        </w:rPr>
        <w:t>第</w:t>
      </w:r>
      <w:r w:rsidR="004F47F5">
        <w:rPr>
          <w:rFonts w:ascii="Times New Roman" w:eastAsia="宋体" w:hAnsi="Times New Roman" w:cs="Times New Roman"/>
          <w:sz w:val="24"/>
        </w:rPr>
        <w:t>i</w:t>
      </w:r>
      <w:r w:rsidR="004F47F5">
        <w:rPr>
          <w:rFonts w:ascii="Times New Roman" w:eastAsia="宋体" w:hAnsi="Times New Roman" w:cs="Times New Roman"/>
          <w:sz w:val="24"/>
        </w:rPr>
        <w:t>个污染物的最大地面空气质量浓度占标率，</w:t>
      </w:r>
      <w:r w:rsidR="004F47F5">
        <w:rPr>
          <w:rFonts w:ascii="Times New Roman" w:eastAsia="宋体" w:hAnsi="Times New Roman" w:cs="Times New Roman"/>
          <w:sz w:val="24"/>
        </w:rPr>
        <w:t>%</w:t>
      </w:r>
      <w:r w:rsidR="004F47F5">
        <w:rPr>
          <w:rFonts w:ascii="Times New Roman" w:eastAsia="宋体" w:hAnsi="Times New Roman" w:cs="Times New Roman"/>
          <w:sz w:val="24"/>
        </w:rPr>
        <w:t>；</w:t>
      </w:r>
    </w:p>
    <w:p w14:paraId="0552A384" w14:textId="77777777" w:rsidR="00D12939" w:rsidRDefault="00747ECF">
      <w:pPr>
        <w:spacing w:line="360" w:lineRule="auto"/>
        <w:ind w:firstLineChars="200" w:firstLine="480"/>
        <w:rPr>
          <w:rFonts w:ascii="Times New Roman" w:eastAsia="宋体" w:hAnsi="Times New Roman" w:cs="Times New Roman"/>
          <w:sz w:val="24"/>
        </w:rPr>
      </w:pPr>
      <m:oMath>
        <m:sSub>
          <m:sSubPr>
            <m:ctrlPr>
              <w:rPr>
                <w:rFonts w:ascii="Cambria Math" w:eastAsia="宋体" w:hAnsi="Cambria Math" w:cs="Times New Roman"/>
                <w:i/>
                <w:sz w:val="24"/>
              </w:rPr>
            </m:ctrlPr>
          </m:sSubPr>
          <m:e>
            <m:r>
              <w:rPr>
                <w:rFonts w:ascii="Cambria Math" w:eastAsia="宋体" w:hAnsi="Cambria Math" w:cs="Times New Roman"/>
                <w:sz w:val="24"/>
              </w:rPr>
              <m:t>C</m:t>
            </m:r>
          </m:e>
          <m:sub>
            <m:r>
              <w:rPr>
                <w:rFonts w:ascii="Cambria Math" w:eastAsia="宋体" w:hAnsi="Cambria Math" w:cs="Times New Roman"/>
                <w:sz w:val="24"/>
              </w:rPr>
              <m:t>i</m:t>
            </m:r>
          </m:sub>
        </m:sSub>
      </m:oMath>
      <w:r w:rsidR="004F47F5">
        <w:rPr>
          <w:rFonts w:ascii="Times New Roman" w:eastAsia="宋体" w:hAnsi="Times New Roman" w:cs="Times New Roman"/>
          <w:sz w:val="24"/>
        </w:rPr>
        <w:t>——</w:t>
      </w:r>
      <w:r w:rsidR="004F47F5">
        <w:rPr>
          <w:rFonts w:ascii="Times New Roman" w:eastAsia="宋体" w:hAnsi="Times New Roman" w:cs="Times New Roman"/>
          <w:sz w:val="24"/>
        </w:rPr>
        <w:t>采用估算模型计算出的第</w:t>
      </w:r>
      <w:r w:rsidR="004F47F5">
        <w:rPr>
          <w:rFonts w:ascii="Times New Roman" w:eastAsia="宋体" w:hAnsi="Times New Roman" w:cs="Times New Roman"/>
          <w:sz w:val="24"/>
        </w:rPr>
        <w:t>i</w:t>
      </w:r>
      <w:r w:rsidR="004F47F5">
        <w:rPr>
          <w:rFonts w:ascii="Times New Roman" w:eastAsia="宋体" w:hAnsi="Times New Roman" w:cs="Times New Roman"/>
          <w:sz w:val="24"/>
        </w:rPr>
        <w:t>个污染物的最大</w:t>
      </w:r>
      <w:r w:rsidR="004F47F5">
        <w:rPr>
          <w:rFonts w:ascii="Times New Roman" w:eastAsia="宋体" w:hAnsi="Times New Roman" w:cs="Times New Roman"/>
          <w:sz w:val="24"/>
        </w:rPr>
        <w:t>1h</w:t>
      </w:r>
      <w:r w:rsidR="004F47F5">
        <w:rPr>
          <w:rFonts w:ascii="Times New Roman" w:eastAsia="宋体" w:hAnsi="Times New Roman" w:cs="Times New Roman"/>
          <w:sz w:val="24"/>
        </w:rPr>
        <w:t>地面空气质量浓度，</w:t>
      </w:r>
      <w:r w:rsidR="004F47F5">
        <w:rPr>
          <w:rFonts w:ascii="Times New Roman" w:eastAsia="宋体" w:hAnsi="Times New Roman" w:cs="Times New Roman"/>
          <w:sz w:val="24"/>
        </w:rPr>
        <w:t>μg/m</w:t>
      </w:r>
      <w:r w:rsidR="004F47F5">
        <w:rPr>
          <w:rFonts w:ascii="Times New Roman" w:eastAsia="宋体" w:hAnsi="Times New Roman" w:cs="Times New Roman"/>
          <w:sz w:val="24"/>
          <w:vertAlign w:val="superscript"/>
        </w:rPr>
        <w:t>3</w:t>
      </w:r>
      <w:r w:rsidR="004F47F5">
        <w:rPr>
          <w:rFonts w:ascii="Times New Roman" w:eastAsia="宋体" w:hAnsi="Times New Roman" w:cs="Times New Roman"/>
          <w:sz w:val="24"/>
        </w:rPr>
        <w:t>；</w:t>
      </w:r>
    </w:p>
    <w:p w14:paraId="420B4D72" w14:textId="77777777" w:rsidR="00D12939" w:rsidRDefault="00747ECF">
      <w:pPr>
        <w:spacing w:line="360" w:lineRule="auto"/>
        <w:ind w:firstLineChars="200" w:firstLine="480"/>
        <w:rPr>
          <w:rFonts w:ascii="Times New Roman" w:eastAsia="宋体" w:hAnsi="Times New Roman" w:cs="Times New Roman"/>
          <w:sz w:val="24"/>
        </w:rPr>
      </w:pPr>
      <m:oMath>
        <m:sSub>
          <m:sSubPr>
            <m:ctrlPr>
              <w:rPr>
                <w:rFonts w:ascii="Cambria Math" w:eastAsia="宋体" w:hAnsi="Cambria Math" w:cs="Times New Roman"/>
                <w:i/>
                <w:sz w:val="24"/>
              </w:rPr>
            </m:ctrlPr>
          </m:sSubPr>
          <m:e>
            <m:r>
              <w:rPr>
                <w:rFonts w:ascii="Cambria Math" w:eastAsia="宋体" w:hAnsi="Cambria Math" w:cs="Times New Roman"/>
                <w:sz w:val="24"/>
              </w:rPr>
              <m:t>C</m:t>
            </m:r>
          </m:e>
          <m:sub>
            <m:r>
              <w:rPr>
                <w:rFonts w:ascii="Cambria Math" w:eastAsia="宋体" w:hAnsi="Cambria Math" w:cs="Times New Roman"/>
                <w:sz w:val="24"/>
              </w:rPr>
              <m:t>0i</m:t>
            </m:r>
          </m:sub>
        </m:sSub>
      </m:oMath>
      <w:r w:rsidR="004F47F5">
        <w:rPr>
          <w:rFonts w:ascii="Times New Roman" w:eastAsia="宋体" w:hAnsi="Times New Roman" w:cs="Times New Roman"/>
          <w:sz w:val="24"/>
        </w:rPr>
        <w:t>——</w:t>
      </w:r>
      <w:r w:rsidR="004F47F5">
        <w:rPr>
          <w:rFonts w:ascii="Times New Roman" w:eastAsia="宋体" w:hAnsi="Times New Roman" w:cs="Times New Roman"/>
          <w:sz w:val="24"/>
        </w:rPr>
        <w:t>第</w:t>
      </w:r>
      <w:r w:rsidR="004F47F5">
        <w:rPr>
          <w:rFonts w:ascii="Times New Roman" w:eastAsia="宋体" w:hAnsi="Times New Roman" w:cs="Times New Roman"/>
          <w:sz w:val="24"/>
        </w:rPr>
        <w:t>i</w:t>
      </w:r>
      <w:r w:rsidR="004F47F5">
        <w:rPr>
          <w:rFonts w:ascii="Times New Roman" w:eastAsia="宋体" w:hAnsi="Times New Roman" w:cs="Times New Roman"/>
          <w:sz w:val="24"/>
        </w:rPr>
        <w:t>个污染物的环境空气质量浓度标准，</w:t>
      </w:r>
      <w:r w:rsidR="004F47F5">
        <w:rPr>
          <w:rFonts w:ascii="Times New Roman" w:eastAsia="宋体" w:hAnsi="Times New Roman" w:cs="Times New Roman"/>
          <w:sz w:val="24"/>
        </w:rPr>
        <w:t>μg/m</w:t>
      </w:r>
      <w:r w:rsidR="004F47F5">
        <w:rPr>
          <w:rFonts w:ascii="Times New Roman" w:eastAsia="宋体" w:hAnsi="Times New Roman" w:cs="Times New Roman"/>
          <w:sz w:val="24"/>
          <w:vertAlign w:val="superscript"/>
        </w:rPr>
        <w:t>3</w:t>
      </w:r>
      <w:r w:rsidR="004F47F5">
        <w:rPr>
          <w:rFonts w:ascii="Times New Roman" w:eastAsia="宋体" w:hAnsi="Times New Roman" w:cs="Times New Roman"/>
          <w:sz w:val="24"/>
        </w:rPr>
        <w:t>。</w:t>
      </w:r>
    </w:p>
    <w:p w14:paraId="23385810"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）评价等级判别表</w:t>
      </w:r>
    </w:p>
    <w:p w14:paraId="43971509" w14:textId="77777777" w:rsidR="00D12939" w:rsidRDefault="004F47F5">
      <w:pPr>
        <w:adjustRightInd w:val="0"/>
        <w:snapToGrid w:val="0"/>
        <w:spacing w:line="360" w:lineRule="auto"/>
        <w:ind w:firstLineChars="200" w:firstLine="480"/>
        <w:rPr>
          <w:rFonts w:ascii="Times New Roman" w:eastAsia="宋体" w:hAnsi="Times New Roman" w:cs="Times New Roman"/>
          <w:b/>
          <w:bCs/>
          <w:kern w:val="0"/>
          <w:sz w:val="24"/>
          <w:highlight w:val="green"/>
        </w:rPr>
      </w:pPr>
      <w:r>
        <w:rPr>
          <w:rFonts w:ascii="Times New Roman" w:eastAsia="宋体" w:hAnsi="Times New Roman" w:cs="Times New Roman"/>
          <w:sz w:val="24"/>
        </w:rPr>
        <w:t>评价等级按下表的分级判据进行划分。</w:t>
      </w:r>
    </w:p>
    <w:p w14:paraId="160ECF17" w14:textId="77777777" w:rsidR="00D12939" w:rsidRDefault="004F47F5">
      <w:pPr>
        <w:adjustRightInd w:val="0"/>
        <w:snapToGrid w:val="0"/>
        <w:jc w:val="center"/>
        <w:rPr>
          <w:rFonts w:ascii="黑体" w:eastAsia="黑体" w:hAnsi="黑体"/>
          <w:bCs/>
          <w:kern w:val="0"/>
          <w:sz w:val="24"/>
          <w:szCs w:val="21"/>
        </w:rPr>
      </w:pPr>
      <w:r>
        <w:rPr>
          <w:rFonts w:ascii="黑体" w:eastAsia="黑体" w:hAnsi="黑体"/>
          <w:bCs/>
          <w:kern w:val="0"/>
          <w:sz w:val="24"/>
          <w:szCs w:val="21"/>
        </w:rPr>
        <w:t>表7</w:t>
      </w:r>
      <w:r>
        <w:rPr>
          <w:rFonts w:ascii="黑体" w:eastAsia="黑体" w:hAnsi="黑体" w:hint="eastAsia"/>
          <w:bCs/>
          <w:kern w:val="0"/>
          <w:sz w:val="24"/>
          <w:szCs w:val="21"/>
        </w:rPr>
        <w:t>.1-2</w:t>
      </w:r>
      <w:r>
        <w:rPr>
          <w:rFonts w:ascii="黑体" w:eastAsia="黑体" w:hAnsi="黑体"/>
          <w:bCs/>
          <w:kern w:val="0"/>
          <w:sz w:val="24"/>
          <w:szCs w:val="21"/>
        </w:rPr>
        <w:t xml:space="preserve">   评价等级判别表</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3"/>
        <w:gridCol w:w="4871"/>
      </w:tblGrid>
      <w:tr w:rsidR="00D12939" w14:paraId="20484290" w14:textId="77777777">
        <w:trPr>
          <w:trHeight w:val="421"/>
        </w:trPr>
        <w:tc>
          <w:tcPr>
            <w:tcW w:w="2498" w:type="pct"/>
            <w:shd w:val="clear" w:color="auto" w:fill="auto"/>
            <w:vAlign w:val="center"/>
          </w:tcPr>
          <w:p w14:paraId="512B7082" w14:textId="77777777" w:rsidR="00D12939" w:rsidRDefault="004F47F5">
            <w:pPr>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评价工作等级</w:t>
            </w:r>
          </w:p>
        </w:tc>
        <w:tc>
          <w:tcPr>
            <w:tcW w:w="2501" w:type="pct"/>
            <w:shd w:val="clear" w:color="auto" w:fill="auto"/>
            <w:vAlign w:val="center"/>
          </w:tcPr>
          <w:p w14:paraId="0A880C30" w14:textId="77777777" w:rsidR="00D12939" w:rsidRDefault="004F47F5">
            <w:pPr>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评价工作分级判据</w:t>
            </w:r>
          </w:p>
        </w:tc>
      </w:tr>
      <w:tr w:rsidR="00D12939" w14:paraId="2BBA34A2" w14:textId="77777777">
        <w:trPr>
          <w:trHeight w:val="401"/>
        </w:trPr>
        <w:tc>
          <w:tcPr>
            <w:tcW w:w="2498" w:type="pct"/>
            <w:shd w:val="clear" w:color="auto" w:fill="auto"/>
            <w:vAlign w:val="center"/>
          </w:tcPr>
          <w:p w14:paraId="0F2E5FD6" w14:textId="77777777" w:rsidR="00D12939" w:rsidRDefault="004F47F5">
            <w:pPr>
              <w:snapToGrid w:val="0"/>
              <w:spacing w:line="320" w:lineRule="exact"/>
              <w:ind w:firstLine="420"/>
              <w:jc w:val="center"/>
              <w:rPr>
                <w:rFonts w:ascii="Times New Roman" w:eastAsia="宋体" w:hAnsi="Times New Roman" w:cs="Times New Roman"/>
                <w:szCs w:val="21"/>
              </w:rPr>
            </w:pPr>
            <w:r>
              <w:rPr>
                <w:rFonts w:ascii="Times New Roman" w:eastAsia="宋体" w:hAnsi="Times New Roman" w:cs="Times New Roman"/>
                <w:szCs w:val="21"/>
              </w:rPr>
              <w:t>一级评价</w:t>
            </w:r>
          </w:p>
        </w:tc>
        <w:tc>
          <w:tcPr>
            <w:tcW w:w="2501" w:type="pct"/>
            <w:shd w:val="clear" w:color="auto" w:fill="auto"/>
            <w:vAlign w:val="center"/>
          </w:tcPr>
          <w:p w14:paraId="011F6033" w14:textId="77777777" w:rsidR="00D12939" w:rsidRDefault="004F47F5">
            <w:pPr>
              <w:snapToGrid w:val="0"/>
              <w:spacing w:line="320" w:lineRule="exact"/>
              <w:ind w:firstLine="420"/>
              <w:jc w:val="center"/>
              <w:rPr>
                <w:rFonts w:ascii="Times New Roman" w:eastAsia="宋体" w:hAnsi="Times New Roman" w:cs="Times New Roman"/>
                <w:szCs w:val="21"/>
              </w:rPr>
            </w:pPr>
            <w:r>
              <w:rPr>
                <w:rFonts w:ascii="Times New Roman" w:eastAsia="宋体" w:hAnsi="Times New Roman" w:cs="Times New Roman"/>
                <w:szCs w:val="21"/>
              </w:rPr>
              <w:t>Pmax</w:t>
            </w:r>
            <w:r>
              <w:rPr>
                <w:rFonts w:ascii="宋体" w:eastAsia="宋体" w:hAnsi="宋体" w:cs="宋体" w:hint="eastAsia"/>
                <w:szCs w:val="21"/>
              </w:rPr>
              <w:t>≧</w:t>
            </w:r>
            <w:r>
              <w:rPr>
                <w:rFonts w:ascii="Times New Roman" w:eastAsia="宋体" w:hAnsi="Times New Roman" w:cs="Times New Roman"/>
                <w:szCs w:val="21"/>
              </w:rPr>
              <w:t>10%</w:t>
            </w:r>
          </w:p>
        </w:tc>
      </w:tr>
      <w:tr w:rsidR="00D12939" w14:paraId="4EB33EA5" w14:textId="77777777">
        <w:trPr>
          <w:trHeight w:val="421"/>
        </w:trPr>
        <w:tc>
          <w:tcPr>
            <w:tcW w:w="2498" w:type="pct"/>
            <w:shd w:val="clear" w:color="auto" w:fill="auto"/>
            <w:vAlign w:val="center"/>
          </w:tcPr>
          <w:p w14:paraId="2181F5DC" w14:textId="77777777" w:rsidR="00D12939" w:rsidRDefault="004F47F5">
            <w:pPr>
              <w:snapToGrid w:val="0"/>
              <w:spacing w:line="320" w:lineRule="exact"/>
              <w:ind w:firstLine="420"/>
              <w:jc w:val="center"/>
              <w:rPr>
                <w:rFonts w:ascii="Times New Roman" w:eastAsia="宋体" w:hAnsi="Times New Roman" w:cs="Times New Roman"/>
                <w:szCs w:val="21"/>
              </w:rPr>
            </w:pPr>
            <w:r>
              <w:rPr>
                <w:rFonts w:ascii="Times New Roman" w:eastAsia="宋体" w:hAnsi="Times New Roman" w:cs="Times New Roman"/>
                <w:szCs w:val="21"/>
              </w:rPr>
              <w:t>二级评价</w:t>
            </w:r>
          </w:p>
        </w:tc>
        <w:tc>
          <w:tcPr>
            <w:tcW w:w="2501" w:type="pct"/>
            <w:shd w:val="clear" w:color="auto" w:fill="auto"/>
            <w:vAlign w:val="center"/>
          </w:tcPr>
          <w:p w14:paraId="11C1B115" w14:textId="77777777" w:rsidR="00D12939" w:rsidRDefault="004F47F5">
            <w:pPr>
              <w:snapToGrid w:val="0"/>
              <w:spacing w:line="320" w:lineRule="exact"/>
              <w:ind w:firstLine="420"/>
              <w:jc w:val="center"/>
              <w:rPr>
                <w:rFonts w:ascii="Times New Roman" w:eastAsia="宋体" w:hAnsi="Times New Roman" w:cs="Times New Roman"/>
                <w:szCs w:val="21"/>
              </w:rPr>
            </w:pPr>
            <w:r>
              <w:rPr>
                <w:rFonts w:ascii="Times New Roman" w:eastAsia="宋体" w:hAnsi="Times New Roman" w:cs="Times New Roman"/>
                <w:szCs w:val="21"/>
              </w:rPr>
              <w:t>1%</w:t>
            </w:r>
            <w:r>
              <w:rPr>
                <w:rFonts w:ascii="宋体" w:eastAsia="宋体" w:hAnsi="宋体" w:cs="宋体" w:hint="eastAsia"/>
                <w:szCs w:val="21"/>
              </w:rPr>
              <w:t>≦</w:t>
            </w:r>
            <w:r>
              <w:rPr>
                <w:rFonts w:ascii="Times New Roman" w:eastAsia="宋体" w:hAnsi="Times New Roman" w:cs="Times New Roman"/>
                <w:szCs w:val="21"/>
              </w:rPr>
              <w:t>Pmax&lt;10%</w:t>
            </w:r>
          </w:p>
        </w:tc>
      </w:tr>
      <w:tr w:rsidR="00D12939" w14:paraId="79D23C98" w14:textId="77777777">
        <w:trPr>
          <w:trHeight w:val="421"/>
        </w:trPr>
        <w:tc>
          <w:tcPr>
            <w:tcW w:w="2498" w:type="pct"/>
            <w:shd w:val="clear" w:color="auto" w:fill="auto"/>
            <w:vAlign w:val="center"/>
          </w:tcPr>
          <w:p w14:paraId="4D771120" w14:textId="77777777" w:rsidR="00D12939" w:rsidRDefault="004F47F5">
            <w:pPr>
              <w:snapToGrid w:val="0"/>
              <w:spacing w:line="320" w:lineRule="exact"/>
              <w:ind w:firstLine="420"/>
              <w:jc w:val="center"/>
              <w:rPr>
                <w:rFonts w:ascii="Times New Roman" w:eastAsia="宋体" w:hAnsi="Times New Roman" w:cs="Times New Roman"/>
                <w:szCs w:val="21"/>
              </w:rPr>
            </w:pPr>
            <w:r>
              <w:rPr>
                <w:rFonts w:ascii="Times New Roman" w:eastAsia="宋体" w:hAnsi="Times New Roman" w:cs="Times New Roman"/>
                <w:szCs w:val="21"/>
              </w:rPr>
              <w:t>三级评价</w:t>
            </w:r>
          </w:p>
        </w:tc>
        <w:tc>
          <w:tcPr>
            <w:tcW w:w="2501" w:type="pct"/>
            <w:shd w:val="clear" w:color="auto" w:fill="auto"/>
            <w:vAlign w:val="center"/>
          </w:tcPr>
          <w:p w14:paraId="6BD8DE3A" w14:textId="77777777" w:rsidR="00D12939" w:rsidRDefault="004F47F5">
            <w:pPr>
              <w:snapToGrid w:val="0"/>
              <w:spacing w:line="320" w:lineRule="exact"/>
              <w:ind w:firstLine="420"/>
              <w:jc w:val="center"/>
              <w:rPr>
                <w:rFonts w:ascii="Times New Roman" w:eastAsia="宋体" w:hAnsi="Times New Roman" w:cs="Times New Roman"/>
                <w:szCs w:val="21"/>
              </w:rPr>
            </w:pPr>
            <w:r>
              <w:rPr>
                <w:rFonts w:ascii="Times New Roman" w:eastAsia="宋体" w:hAnsi="Times New Roman" w:cs="Times New Roman"/>
                <w:szCs w:val="21"/>
              </w:rPr>
              <w:t>Pmax&lt;1%</w:t>
            </w:r>
          </w:p>
        </w:tc>
      </w:tr>
    </w:tbl>
    <w:p w14:paraId="116B9838" w14:textId="77777777" w:rsidR="00D12939" w:rsidRDefault="004F47F5">
      <w:pPr>
        <w:adjustRightInd w:val="0"/>
        <w:snapToGrid w:val="0"/>
        <w:spacing w:beforeLines="50" w:before="156" w:line="360" w:lineRule="auto"/>
        <w:ind w:firstLineChars="176" w:firstLine="422"/>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）评价因子和评价标准筛选</w:t>
      </w:r>
    </w:p>
    <w:p w14:paraId="67BB5FB4" w14:textId="77777777" w:rsidR="00D12939" w:rsidRDefault="004F47F5">
      <w:pPr>
        <w:adjustRightInd w:val="0"/>
        <w:snapToGrid w:val="0"/>
        <w:spacing w:line="360" w:lineRule="auto"/>
        <w:ind w:firstLineChars="176" w:firstLine="422"/>
        <w:rPr>
          <w:rFonts w:ascii="Times New Roman" w:eastAsia="宋体" w:hAnsi="Times New Roman" w:cs="Times New Roman"/>
          <w:sz w:val="24"/>
        </w:rPr>
      </w:pPr>
      <w:r>
        <w:rPr>
          <w:rFonts w:ascii="Times New Roman" w:eastAsia="宋体" w:hAnsi="Times New Roman" w:cs="Times New Roman"/>
          <w:sz w:val="24"/>
        </w:rPr>
        <w:t>根据项目工程分析，本项目建成运营后主要废气为颗粒物、</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和</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。根据《环境影响评价技术导则</w:t>
      </w:r>
      <w:r>
        <w:rPr>
          <w:rFonts w:ascii="Times New Roman" w:eastAsia="宋体" w:hAnsi="Times New Roman" w:cs="Times New Roman"/>
          <w:sz w:val="24"/>
        </w:rPr>
        <w:t>·</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）有关规定，选取</w:t>
      </w:r>
      <w:r>
        <w:rPr>
          <w:rFonts w:ascii="Times New Roman" w:eastAsia="宋体" w:hAnsi="Times New Roman" w:cs="Times New Roman"/>
          <w:sz w:val="24"/>
        </w:rPr>
        <w:t>TSP</w:t>
      </w:r>
      <w:r>
        <w:rPr>
          <w:rFonts w:ascii="Times New Roman" w:eastAsia="宋体" w:hAnsi="Times New Roman" w:cs="Times New Roman"/>
          <w:sz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和</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w:t>
      </w:r>
      <w:r>
        <w:rPr>
          <w:rFonts w:ascii="Times New Roman" w:eastAsia="宋体" w:hAnsi="Times New Roman" w:cs="Times New Roman"/>
          <w:sz w:val="24"/>
        </w:rPr>
        <w:t>SO</w:t>
      </w:r>
      <w:r>
        <w:rPr>
          <w:rFonts w:ascii="Times New Roman" w:eastAsia="宋体" w:hAnsi="Times New Roman" w:cs="Times New Roman"/>
          <w:sz w:val="24"/>
          <w:vertAlign w:val="subscript"/>
        </w:rPr>
        <w:t>2</w:t>
      </w:r>
      <w:r>
        <w:rPr>
          <w:rFonts w:ascii="Times New Roman" w:eastAsia="宋体" w:hAnsi="Times New Roman" w:cs="Times New Roman"/>
          <w:sz w:val="24"/>
        </w:rPr>
        <w:t>作为主要污染物。选择对环境影响较大或环境较为敏感的特征污染因子作为评价因子，根据本项目大气污染物排放特点并结合区域环境功能要求、自然环境等特点，确定本项目评价因子和评价标准表见下表。</w:t>
      </w:r>
    </w:p>
    <w:p w14:paraId="1A53618C" w14:textId="77777777" w:rsidR="00D12939" w:rsidRDefault="004F47F5">
      <w:pPr>
        <w:adjustRightInd w:val="0"/>
        <w:snapToGrid w:val="0"/>
        <w:jc w:val="center"/>
        <w:rPr>
          <w:rFonts w:ascii="黑体" w:eastAsia="黑体" w:hAnsi="黑体"/>
          <w:bCs/>
          <w:kern w:val="0"/>
          <w:sz w:val="24"/>
          <w:szCs w:val="21"/>
        </w:rPr>
      </w:pPr>
      <w:r>
        <w:rPr>
          <w:rFonts w:ascii="黑体" w:eastAsia="黑体" w:hAnsi="黑体"/>
          <w:bCs/>
          <w:kern w:val="0"/>
          <w:sz w:val="24"/>
          <w:szCs w:val="21"/>
        </w:rPr>
        <w:t>表</w:t>
      </w:r>
      <w:r>
        <w:rPr>
          <w:rFonts w:ascii="黑体" w:eastAsia="黑体" w:hAnsi="黑体" w:hint="eastAsia"/>
          <w:bCs/>
          <w:kern w:val="0"/>
          <w:sz w:val="24"/>
          <w:szCs w:val="21"/>
        </w:rPr>
        <w:t>7.1-3</w:t>
      </w:r>
      <w:r>
        <w:rPr>
          <w:rFonts w:ascii="黑体" w:eastAsia="黑体" w:hAnsi="黑体"/>
          <w:bCs/>
          <w:kern w:val="0"/>
          <w:sz w:val="24"/>
          <w:szCs w:val="21"/>
        </w:rPr>
        <w:t xml:space="preserve">   评价因子和评价标准表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8"/>
        <w:gridCol w:w="2138"/>
        <w:gridCol w:w="2519"/>
        <w:gridCol w:w="3367"/>
      </w:tblGrid>
      <w:tr w:rsidR="00D12939" w14:paraId="3B419480" w14:textId="77777777">
        <w:trPr>
          <w:jc w:val="center"/>
        </w:trPr>
        <w:tc>
          <w:tcPr>
            <w:tcW w:w="877" w:type="pct"/>
            <w:shd w:val="clear" w:color="auto" w:fill="auto"/>
            <w:vAlign w:val="center"/>
          </w:tcPr>
          <w:p w14:paraId="0BD1F395"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lastRenderedPageBreak/>
              <w:t>评价因子</w:t>
            </w:r>
          </w:p>
        </w:tc>
        <w:tc>
          <w:tcPr>
            <w:tcW w:w="1098" w:type="pct"/>
            <w:shd w:val="clear" w:color="auto" w:fill="auto"/>
            <w:vAlign w:val="center"/>
          </w:tcPr>
          <w:p w14:paraId="107A45B1"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平均时段</w:t>
            </w:r>
          </w:p>
        </w:tc>
        <w:tc>
          <w:tcPr>
            <w:tcW w:w="1294" w:type="pct"/>
            <w:shd w:val="clear" w:color="auto" w:fill="auto"/>
            <w:vAlign w:val="center"/>
          </w:tcPr>
          <w:p w14:paraId="3DD0515F"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标准值</w:t>
            </w:r>
            <w:r>
              <w:rPr>
                <w:rFonts w:ascii="Times New Roman" w:eastAsia="宋体" w:hAnsi="Times New Roman" w:cs="Times New Roman"/>
                <w:bCs/>
                <w:szCs w:val="21"/>
              </w:rPr>
              <w:t>/</w:t>
            </w:r>
            <w:r>
              <w:rPr>
                <w:rFonts w:ascii="Times New Roman" w:eastAsia="宋体" w:hAnsi="Times New Roman" w:cs="Times New Roman"/>
                <w:bCs/>
                <w:szCs w:val="21"/>
              </w:rPr>
              <w:t>（</w:t>
            </w:r>
            <w:r>
              <w:rPr>
                <w:rFonts w:ascii="Times New Roman" w:eastAsia="宋体" w:hAnsi="Times New Roman" w:cs="Times New Roman"/>
                <w:bCs/>
                <w:szCs w:val="21"/>
              </w:rPr>
              <w:t>μg/m</w:t>
            </w:r>
            <w:r>
              <w:rPr>
                <w:rFonts w:ascii="Times New Roman" w:eastAsia="宋体" w:hAnsi="Times New Roman" w:cs="Times New Roman"/>
                <w:bCs/>
                <w:szCs w:val="21"/>
                <w:vertAlign w:val="superscript"/>
              </w:rPr>
              <w:t>3</w:t>
            </w:r>
            <w:r>
              <w:rPr>
                <w:rFonts w:ascii="Times New Roman" w:eastAsia="宋体" w:hAnsi="Times New Roman" w:cs="Times New Roman"/>
                <w:bCs/>
                <w:szCs w:val="21"/>
              </w:rPr>
              <w:t>）</w:t>
            </w:r>
          </w:p>
        </w:tc>
        <w:tc>
          <w:tcPr>
            <w:tcW w:w="1730" w:type="pct"/>
            <w:shd w:val="clear" w:color="auto" w:fill="auto"/>
            <w:vAlign w:val="center"/>
          </w:tcPr>
          <w:p w14:paraId="7BCE7A95"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标准来源</w:t>
            </w:r>
          </w:p>
        </w:tc>
      </w:tr>
      <w:tr w:rsidR="00D12939" w14:paraId="499E0155" w14:textId="77777777">
        <w:trPr>
          <w:jc w:val="center"/>
        </w:trPr>
        <w:tc>
          <w:tcPr>
            <w:tcW w:w="877" w:type="pct"/>
            <w:shd w:val="clear" w:color="auto" w:fill="auto"/>
            <w:vAlign w:val="center"/>
          </w:tcPr>
          <w:p w14:paraId="5DEABB6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1098" w:type="pct"/>
            <w:shd w:val="clear" w:color="auto" w:fill="auto"/>
            <w:vAlign w:val="center"/>
          </w:tcPr>
          <w:p w14:paraId="11245482"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1h</w:t>
            </w:r>
            <w:r>
              <w:rPr>
                <w:rFonts w:ascii="Times New Roman" w:eastAsia="宋体" w:hAnsi="Times New Roman" w:cs="Times New Roman"/>
                <w:bCs/>
                <w:szCs w:val="21"/>
              </w:rPr>
              <w:t>平均</w:t>
            </w:r>
          </w:p>
        </w:tc>
        <w:tc>
          <w:tcPr>
            <w:tcW w:w="1294" w:type="pct"/>
            <w:shd w:val="clear" w:color="auto" w:fill="auto"/>
            <w:vAlign w:val="center"/>
          </w:tcPr>
          <w:p w14:paraId="39CABCE5"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10</w:t>
            </w:r>
          </w:p>
        </w:tc>
        <w:tc>
          <w:tcPr>
            <w:tcW w:w="1730" w:type="pct"/>
            <w:vMerge w:val="restart"/>
            <w:shd w:val="clear" w:color="auto" w:fill="auto"/>
            <w:vAlign w:val="center"/>
          </w:tcPr>
          <w:p w14:paraId="31BD637A" w14:textId="77777777" w:rsidR="00D12939" w:rsidRDefault="00747ECF">
            <w:pPr>
              <w:jc w:val="center"/>
              <w:rPr>
                <w:rFonts w:ascii="Times New Roman" w:eastAsia="宋体" w:hAnsi="Times New Roman" w:cs="Times New Roman"/>
                <w:bCs/>
                <w:szCs w:val="21"/>
              </w:rPr>
            </w:pPr>
            <w:hyperlink r:id="rId50" w:history="1">
              <w:r w:rsidR="004F47F5">
                <w:rPr>
                  <w:rFonts w:ascii="Times New Roman" w:eastAsia="宋体" w:hAnsi="Times New Roman" w:cs="Times New Roman"/>
                  <w:bCs/>
                  <w:szCs w:val="21"/>
                </w:rPr>
                <w:t>环境影响评价技术导则大气环境（</w:t>
              </w:r>
              <w:r w:rsidR="004F47F5">
                <w:rPr>
                  <w:rFonts w:ascii="Times New Roman" w:eastAsia="宋体" w:hAnsi="Times New Roman" w:cs="Times New Roman"/>
                  <w:bCs/>
                  <w:szCs w:val="21"/>
                </w:rPr>
                <w:t>HJ2.2-2018</w:t>
              </w:r>
            </w:hyperlink>
            <w:r w:rsidR="004F47F5">
              <w:rPr>
                <w:rFonts w:ascii="Times New Roman" w:eastAsia="宋体" w:hAnsi="Times New Roman" w:cs="Times New Roman"/>
                <w:bCs/>
                <w:szCs w:val="21"/>
              </w:rPr>
              <w:t>）附录</w:t>
            </w:r>
            <w:r w:rsidR="004F47F5">
              <w:rPr>
                <w:rFonts w:ascii="Times New Roman" w:eastAsia="宋体" w:hAnsi="Times New Roman" w:cs="Times New Roman"/>
                <w:bCs/>
                <w:szCs w:val="21"/>
              </w:rPr>
              <w:t>D</w:t>
            </w:r>
          </w:p>
        </w:tc>
      </w:tr>
      <w:tr w:rsidR="00D12939" w14:paraId="330FFF75" w14:textId="77777777">
        <w:trPr>
          <w:jc w:val="center"/>
        </w:trPr>
        <w:tc>
          <w:tcPr>
            <w:tcW w:w="877" w:type="pct"/>
            <w:shd w:val="clear" w:color="auto" w:fill="auto"/>
            <w:vAlign w:val="center"/>
          </w:tcPr>
          <w:p w14:paraId="4DA5F4B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1098" w:type="pct"/>
            <w:shd w:val="clear" w:color="auto" w:fill="auto"/>
            <w:vAlign w:val="center"/>
          </w:tcPr>
          <w:p w14:paraId="72A909D5"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1h</w:t>
            </w:r>
            <w:r>
              <w:rPr>
                <w:rFonts w:ascii="Times New Roman" w:eastAsia="宋体" w:hAnsi="Times New Roman" w:cs="Times New Roman"/>
                <w:bCs/>
                <w:szCs w:val="21"/>
              </w:rPr>
              <w:t>平均</w:t>
            </w:r>
          </w:p>
        </w:tc>
        <w:tc>
          <w:tcPr>
            <w:tcW w:w="1294" w:type="pct"/>
            <w:shd w:val="clear" w:color="auto" w:fill="auto"/>
            <w:vAlign w:val="center"/>
          </w:tcPr>
          <w:p w14:paraId="59EB20EC"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200</w:t>
            </w:r>
          </w:p>
        </w:tc>
        <w:tc>
          <w:tcPr>
            <w:tcW w:w="1730" w:type="pct"/>
            <w:vMerge/>
            <w:shd w:val="clear" w:color="auto" w:fill="auto"/>
            <w:vAlign w:val="center"/>
          </w:tcPr>
          <w:p w14:paraId="2C5AD0FB" w14:textId="77777777" w:rsidR="00D12939" w:rsidRDefault="00D12939">
            <w:pPr>
              <w:jc w:val="center"/>
              <w:rPr>
                <w:rFonts w:ascii="Times New Roman" w:eastAsia="宋体" w:hAnsi="Times New Roman" w:cs="Times New Roman"/>
                <w:bCs/>
                <w:szCs w:val="21"/>
              </w:rPr>
            </w:pPr>
          </w:p>
        </w:tc>
      </w:tr>
      <w:tr w:rsidR="00D12939" w14:paraId="24167803" w14:textId="77777777">
        <w:trPr>
          <w:jc w:val="center"/>
        </w:trPr>
        <w:tc>
          <w:tcPr>
            <w:tcW w:w="877" w:type="pct"/>
            <w:shd w:val="clear" w:color="auto" w:fill="auto"/>
            <w:vAlign w:val="center"/>
          </w:tcPr>
          <w:p w14:paraId="07C7EFEB"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SO</w:t>
            </w:r>
            <w:r>
              <w:rPr>
                <w:rFonts w:ascii="Times New Roman" w:eastAsia="宋体" w:hAnsi="Times New Roman" w:cs="Times New Roman"/>
                <w:vertAlign w:val="subscript"/>
              </w:rPr>
              <w:t>2</w:t>
            </w:r>
          </w:p>
        </w:tc>
        <w:tc>
          <w:tcPr>
            <w:tcW w:w="1098" w:type="pct"/>
            <w:shd w:val="clear" w:color="auto" w:fill="auto"/>
            <w:vAlign w:val="center"/>
          </w:tcPr>
          <w:p w14:paraId="1C4BB7A1"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1h</w:t>
            </w:r>
            <w:r>
              <w:rPr>
                <w:rFonts w:ascii="Times New Roman" w:eastAsia="宋体" w:hAnsi="Times New Roman" w:cs="Times New Roman"/>
                <w:bCs/>
                <w:szCs w:val="21"/>
              </w:rPr>
              <w:t>平均</w:t>
            </w:r>
          </w:p>
        </w:tc>
        <w:tc>
          <w:tcPr>
            <w:tcW w:w="1294" w:type="pct"/>
            <w:shd w:val="clear" w:color="auto" w:fill="auto"/>
            <w:vAlign w:val="center"/>
          </w:tcPr>
          <w:p w14:paraId="1FD06A3D"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500</w:t>
            </w:r>
          </w:p>
        </w:tc>
        <w:tc>
          <w:tcPr>
            <w:tcW w:w="1730" w:type="pct"/>
            <w:vMerge w:val="restart"/>
            <w:shd w:val="clear" w:color="auto" w:fill="auto"/>
            <w:vAlign w:val="center"/>
          </w:tcPr>
          <w:p w14:paraId="19887C55"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《环境空气质量标准》（</w:t>
            </w:r>
            <w:r>
              <w:rPr>
                <w:rFonts w:ascii="Times New Roman" w:eastAsia="宋体" w:hAnsi="Times New Roman" w:cs="Times New Roman"/>
                <w:bCs/>
                <w:szCs w:val="21"/>
              </w:rPr>
              <w:t>GB3095-2012</w:t>
            </w:r>
            <w:r>
              <w:rPr>
                <w:rFonts w:ascii="Times New Roman" w:eastAsia="宋体" w:hAnsi="Times New Roman" w:cs="Times New Roman"/>
                <w:bCs/>
                <w:szCs w:val="21"/>
              </w:rPr>
              <w:t>）中二级标准</w:t>
            </w:r>
          </w:p>
        </w:tc>
      </w:tr>
      <w:tr w:rsidR="00D12939" w14:paraId="032EC0AE" w14:textId="77777777">
        <w:trPr>
          <w:jc w:val="center"/>
        </w:trPr>
        <w:tc>
          <w:tcPr>
            <w:tcW w:w="877" w:type="pct"/>
            <w:shd w:val="clear" w:color="auto" w:fill="auto"/>
            <w:vAlign w:val="center"/>
          </w:tcPr>
          <w:p w14:paraId="0D06C83C"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NOx</w:t>
            </w:r>
          </w:p>
        </w:tc>
        <w:tc>
          <w:tcPr>
            <w:tcW w:w="1098" w:type="pct"/>
            <w:shd w:val="clear" w:color="auto" w:fill="auto"/>
            <w:vAlign w:val="center"/>
          </w:tcPr>
          <w:p w14:paraId="583C61AA"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1h</w:t>
            </w:r>
            <w:r>
              <w:rPr>
                <w:rFonts w:ascii="Times New Roman" w:eastAsia="宋体" w:hAnsi="Times New Roman" w:cs="Times New Roman"/>
                <w:bCs/>
                <w:szCs w:val="21"/>
              </w:rPr>
              <w:t>平均</w:t>
            </w:r>
          </w:p>
        </w:tc>
        <w:tc>
          <w:tcPr>
            <w:tcW w:w="1294" w:type="pct"/>
            <w:shd w:val="clear" w:color="auto" w:fill="auto"/>
            <w:vAlign w:val="center"/>
          </w:tcPr>
          <w:p w14:paraId="1F7B959F"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250</w:t>
            </w:r>
          </w:p>
        </w:tc>
        <w:tc>
          <w:tcPr>
            <w:tcW w:w="1730" w:type="pct"/>
            <w:vMerge/>
            <w:shd w:val="clear" w:color="auto" w:fill="auto"/>
            <w:vAlign w:val="center"/>
          </w:tcPr>
          <w:p w14:paraId="6327A696" w14:textId="77777777" w:rsidR="00D12939" w:rsidRDefault="00D12939">
            <w:pPr>
              <w:jc w:val="center"/>
              <w:rPr>
                <w:rFonts w:ascii="Times New Roman" w:eastAsia="宋体" w:hAnsi="Times New Roman" w:cs="Times New Roman"/>
                <w:bCs/>
                <w:szCs w:val="21"/>
              </w:rPr>
            </w:pPr>
          </w:p>
        </w:tc>
      </w:tr>
      <w:tr w:rsidR="00D12939" w14:paraId="41BD7F3D" w14:textId="77777777">
        <w:trPr>
          <w:jc w:val="center"/>
        </w:trPr>
        <w:tc>
          <w:tcPr>
            <w:tcW w:w="877" w:type="pct"/>
            <w:shd w:val="clear" w:color="auto" w:fill="auto"/>
            <w:vAlign w:val="center"/>
          </w:tcPr>
          <w:p w14:paraId="33A2942D"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粉尘</w:t>
            </w:r>
          </w:p>
        </w:tc>
        <w:tc>
          <w:tcPr>
            <w:tcW w:w="1098" w:type="pct"/>
            <w:shd w:val="clear" w:color="auto" w:fill="auto"/>
            <w:vAlign w:val="center"/>
          </w:tcPr>
          <w:p w14:paraId="7F1B4854"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24</w:t>
            </w:r>
            <w:r>
              <w:rPr>
                <w:rFonts w:ascii="Times New Roman" w:eastAsia="宋体" w:hAnsi="Times New Roman" w:cs="Times New Roman"/>
                <w:bCs/>
                <w:szCs w:val="21"/>
              </w:rPr>
              <w:t>小时平均的</w:t>
            </w:r>
            <w:r>
              <w:rPr>
                <w:rFonts w:ascii="Times New Roman" w:eastAsia="宋体" w:hAnsi="Times New Roman" w:cs="Times New Roman"/>
                <w:bCs/>
                <w:szCs w:val="21"/>
              </w:rPr>
              <w:t>3</w:t>
            </w:r>
            <w:r>
              <w:rPr>
                <w:rFonts w:ascii="Times New Roman" w:eastAsia="宋体" w:hAnsi="Times New Roman" w:cs="Times New Roman"/>
                <w:bCs/>
                <w:szCs w:val="21"/>
              </w:rPr>
              <w:t>倍</w:t>
            </w:r>
          </w:p>
        </w:tc>
        <w:tc>
          <w:tcPr>
            <w:tcW w:w="1294" w:type="pct"/>
            <w:shd w:val="clear" w:color="auto" w:fill="auto"/>
            <w:vAlign w:val="center"/>
          </w:tcPr>
          <w:p w14:paraId="54B2C862"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900</w:t>
            </w:r>
          </w:p>
        </w:tc>
        <w:tc>
          <w:tcPr>
            <w:tcW w:w="1730" w:type="pct"/>
            <w:vMerge/>
            <w:shd w:val="clear" w:color="auto" w:fill="auto"/>
            <w:vAlign w:val="center"/>
          </w:tcPr>
          <w:p w14:paraId="69BE39D5" w14:textId="77777777" w:rsidR="00D12939" w:rsidRDefault="00D12939">
            <w:pPr>
              <w:jc w:val="center"/>
              <w:rPr>
                <w:rFonts w:ascii="Times New Roman" w:eastAsia="宋体" w:hAnsi="Times New Roman" w:cs="Times New Roman"/>
                <w:bCs/>
                <w:szCs w:val="21"/>
              </w:rPr>
            </w:pPr>
          </w:p>
        </w:tc>
      </w:tr>
    </w:tbl>
    <w:p w14:paraId="1DC71F5A" w14:textId="77777777" w:rsidR="00D12939" w:rsidRDefault="004F47F5">
      <w:pPr>
        <w:adjustRightInd w:val="0"/>
        <w:snapToGrid w:val="0"/>
        <w:spacing w:beforeLines="50" w:before="156" w:line="360" w:lineRule="auto"/>
        <w:ind w:firstLineChars="176" w:firstLine="422"/>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4</w:t>
      </w:r>
      <w:r>
        <w:rPr>
          <w:rFonts w:ascii="Times New Roman" w:eastAsia="宋体" w:hAnsi="Times New Roman" w:cs="Times New Roman"/>
          <w:sz w:val="24"/>
        </w:rPr>
        <w:t>）估算模型参数</w:t>
      </w:r>
    </w:p>
    <w:p w14:paraId="7B0A9184" w14:textId="77777777" w:rsidR="00D12939" w:rsidRDefault="004F47F5">
      <w:pPr>
        <w:adjustRightInd w:val="0"/>
        <w:snapToGrid w:val="0"/>
        <w:spacing w:line="360" w:lineRule="auto"/>
        <w:ind w:firstLineChars="176" w:firstLine="422"/>
      </w:pPr>
      <w:r>
        <w:rPr>
          <w:rFonts w:ascii="Times New Roman" w:eastAsia="宋体" w:hAnsi="Times New Roman" w:cs="Times New Roman"/>
          <w:sz w:val="24"/>
        </w:rPr>
        <w:t>根据《环境影响评价技术导则</w:t>
      </w:r>
      <w:r>
        <w:rPr>
          <w:rFonts w:ascii="Times New Roman" w:eastAsia="宋体" w:hAnsi="Times New Roman" w:cs="Times New Roman"/>
          <w:sz w:val="24"/>
        </w:rPr>
        <w:t>-</w:t>
      </w:r>
      <w:r>
        <w:rPr>
          <w:rFonts w:ascii="Times New Roman" w:eastAsia="宋体" w:hAnsi="Times New Roman" w:cs="Times New Roman"/>
          <w:sz w:val="24"/>
        </w:rPr>
        <w:t>大气环境》（</w:t>
      </w:r>
      <w:r>
        <w:rPr>
          <w:rFonts w:ascii="Times New Roman" w:eastAsia="宋体" w:hAnsi="Times New Roman" w:cs="Times New Roman"/>
          <w:sz w:val="24"/>
        </w:rPr>
        <w:t>HJ/T2.2-2018</w:t>
      </w:r>
      <w:r>
        <w:rPr>
          <w:rFonts w:ascii="Times New Roman" w:eastAsia="宋体" w:hAnsi="Times New Roman" w:cs="Times New Roman"/>
          <w:sz w:val="24"/>
        </w:rPr>
        <w:t>），本次评价预测模式应选择估算模式（</w:t>
      </w:r>
      <w:r>
        <w:rPr>
          <w:rFonts w:ascii="Times New Roman" w:eastAsia="宋体" w:hAnsi="Times New Roman" w:cs="Times New Roman"/>
          <w:sz w:val="24"/>
        </w:rPr>
        <w:t>AERSCREEN</w:t>
      </w:r>
      <w:r>
        <w:rPr>
          <w:rFonts w:ascii="Times New Roman" w:eastAsia="宋体" w:hAnsi="Times New Roman" w:cs="Times New Roman"/>
          <w:sz w:val="24"/>
        </w:rPr>
        <w:t>）预测。经预测，项目废气的无组织排放源最大年份为</w:t>
      </w:r>
      <w:r>
        <w:rPr>
          <w:rFonts w:ascii="Times New Roman" w:eastAsia="宋体" w:hAnsi="Times New Roman" w:cs="Times New Roman"/>
          <w:sz w:val="24"/>
        </w:rPr>
        <w:t>2033</w:t>
      </w:r>
      <w:r>
        <w:rPr>
          <w:rFonts w:ascii="Times New Roman" w:eastAsia="宋体" w:hAnsi="Times New Roman" w:cs="Times New Roman"/>
          <w:sz w:val="24"/>
        </w:rPr>
        <w:t>年，在运营期无组织排放源高度为筑坝高度（坝高</w:t>
      </w:r>
      <w:r>
        <w:rPr>
          <w:rFonts w:ascii="Times New Roman" w:eastAsia="宋体" w:hAnsi="Times New Roman" w:cs="Times New Roman"/>
          <w:sz w:val="24"/>
        </w:rPr>
        <w:t>13m</w:t>
      </w:r>
      <w:r>
        <w:rPr>
          <w:rFonts w:ascii="Times New Roman" w:eastAsia="宋体" w:hAnsi="Times New Roman" w:cs="Times New Roman"/>
          <w:sz w:val="24"/>
        </w:rPr>
        <w:t>）时，为了反映本项目对环境的最大影响情况，本次评价选择</w:t>
      </w:r>
      <w:r>
        <w:rPr>
          <w:rFonts w:ascii="Times New Roman" w:eastAsia="宋体" w:hAnsi="Times New Roman" w:cs="Times New Roman"/>
          <w:sz w:val="24"/>
        </w:rPr>
        <w:t>2033</w:t>
      </w:r>
      <w:r>
        <w:rPr>
          <w:rFonts w:ascii="Times New Roman" w:eastAsia="宋体" w:hAnsi="Times New Roman" w:cs="Times New Roman"/>
          <w:sz w:val="24"/>
        </w:rPr>
        <w:t>年作为预测的基本数据，以此来预测填埋场废气无组织排放对周边环境的影响。</w:t>
      </w:r>
    </w:p>
    <w:p w14:paraId="5F7D5C47" w14:textId="77777777" w:rsidR="00D12939" w:rsidRDefault="004F47F5">
      <w:pPr>
        <w:adjustRightInd w:val="0"/>
        <w:snapToGrid w:val="0"/>
        <w:jc w:val="center"/>
        <w:rPr>
          <w:rFonts w:ascii="黑体" w:eastAsia="黑体" w:hAnsi="黑体"/>
          <w:bCs/>
          <w:kern w:val="0"/>
          <w:sz w:val="24"/>
          <w:szCs w:val="21"/>
        </w:rPr>
      </w:pPr>
      <w:r>
        <w:rPr>
          <w:rFonts w:ascii="黑体" w:eastAsia="黑体" w:hAnsi="黑体"/>
          <w:bCs/>
          <w:kern w:val="0"/>
          <w:sz w:val="24"/>
          <w:szCs w:val="21"/>
        </w:rPr>
        <w:t>表</w:t>
      </w:r>
      <w:r>
        <w:rPr>
          <w:rFonts w:ascii="黑体" w:eastAsia="黑体" w:hAnsi="黑体" w:hint="eastAsia"/>
          <w:bCs/>
          <w:kern w:val="0"/>
          <w:sz w:val="24"/>
          <w:szCs w:val="21"/>
        </w:rPr>
        <w:t>7.1-4</w:t>
      </w:r>
      <w:r>
        <w:rPr>
          <w:rFonts w:ascii="黑体" w:eastAsia="黑体" w:hAnsi="黑体"/>
          <w:bCs/>
          <w:kern w:val="0"/>
          <w:sz w:val="24"/>
          <w:szCs w:val="21"/>
        </w:rPr>
        <w:t xml:space="preserve">  估算模型参数表</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6"/>
        <w:gridCol w:w="3247"/>
        <w:gridCol w:w="3241"/>
      </w:tblGrid>
      <w:tr w:rsidR="00D12939" w14:paraId="4E6E2BF4" w14:textId="77777777">
        <w:trPr>
          <w:trHeight w:val="340"/>
          <w:jc w:val="center"/>
        </w:trPr>
        <w:tc>
          <w:tcPr>
            <w:tcW w:w="3335" w:type="pct"/>
            <w:gridSpan w:val="2"/>
            <w:vAlign w:val="center"/>
          </w:tcPr>
          <w:p w14:paraId="6749FC36" w14:textId="77777777" w:rsidR="00D12939" w:rsidRDefault="004F47F5">
            <w:pPr>
              <w:adjustRightInd w:val="0"/>
              <w:snapToGrid w:val="0"/>
              <w:spacing w:line="320" w:lineRule="exact"/>
              <w:ind w:firstLine="420"/>
              <w:jc w:val="center"/>
              <w:rPr>
                <w:rFonts w:ascii="Times New Roman" w:eastAsia="宋体" w:hAnsi="Times New Roman" w:cs="Times New Roman"/>
                <w:szCs w:val="21"/>
              </w:rPr>
            </w:pPr>
            <w:r>
              <w:rPr>
                <w:rFonts w:ascii="Times New Roman" w:eastAsia="宋体" w:hAnsi="Times New Roman" w:cs="Times New Roman"/>
                <w:szCs w:val="21"/>
              </w:rPr>
              <w:t>参数</w:t>
            </w:r>
          </w:p>
        </w:tc>
        <w:tc>
          <w:tcPr>
            <w:tcW w:w="1665" w:type="pct"/>
            <w:vAlign w:val="center"/>
          </w:tcPr>
          <w:p w14:paraId="1C5D9D74" w14:textId="77777777" w:rsidR="00D12939" w:rsidRDefault="004F47F5">
            <w:pPr>
              <w:adjustRightInd w:val="0"/>
              <w:snapToGrid w:val="0"/>
              <w:spacing w:line="320" w:lineRule="exact"/>
              <w:ind w:firstLine="420"/>
              <w:jc w:val="center"/>
              <w:rPr>
                <w:rFonts w:ascii="Times New Roman" w:eastAsia="宋体" w:hAnsi="Times New Roman" w:cs="Times New Roman"/>
                <w:szCs w:val="21"/>
              </w:rPr>
            </w:pPr>
            <w:r>
              <w:rPr>
                <w:rFonts w:ascii="Times New Roman" w:eastAsia="宋体" w:hAnsi="Times New Roman" w:cs="Times New Roman"/>
                <w:szCs w:val="21"/>
              </w:rPr>
              <w:t>取值</w:t>
            </w:r>
          </w:p>
        </w:tc>
      </w:tr>
      <w:tr w:rsidR="00D12939" w14:paraId="05257F3F" w14:textId="77777777">
        <w:trPr>
          <w:trHeight w:val="340"/>
          <w:jc w:val="center"/>
        </w:trPr>
        <w:tc>
          <w:tcPr>
            <w:tcW w:w="1667" w:type="pct"/>
            <w:vMerge w:val="restart"/>
            <w:vAlign w:val="center"/>
          </w:tcPr>
          <w:p w14:paraId="73990E0C"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城市</w:t>
            </w:r>
            <w:r>
              <w:rPr>
                <w:rFonts w:ascii="Times New Roman" w:eastAsia="宋体" w:hAnsi="Times New Roman" w:cs="Times New Roman"/>
                <w:bCs/>
                <w:szCs w:val="21"/>
              </w:rPr>
              <w:t>/</w:t>
            </w:r>
            <w:r>
              <w:rPr>
                <w:rFonts w:ascii="Times New Roman" w:eastAsia="宋体" w:hAnsi="Times New Roman" w:cs="Times New Roman"/>
                <w:bCs/>
                <w:szCs w:val="21"/>
              </w:rPr>
              <w:t>农村选项</w:t>
            </w:r>
          </w:p>
        </w:tc>
        <w:tc>
          <w:tcPr>
            <w:tcW w:w="1667" w:type="pct"/>
            <w:vAlign w:val="center"/>
          </w:tcPr>
          <w:p w14:paraId="51BCDD77"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城市</w:t>
            </w:r>
            <w:r>
              <w:rPr>
                <w:rFonts w:ascii="Times New Roman" w:eastAsia="宋体" w:hAnsi="Times New Roman" w:cs="Times New Roman"/>
                <w:bCs/>
                <w:szCs w:val="21"/>
              </w:rPr>
              <w:t>/</w:t>
            </w:r>
            <w:r>
              <w:rPr>
                <w:rFonts w:ascii="Times New Roman" w:eastAsia="宋体" w:hAnsi="Times New Roman" w:cs="Times New Roman"/>
                <w:bCs/>
                <w:szCs w:val="21"/>
              </w:rPr>
              <w:t>农村</w:t>
            </w:r>
          </w:p>
        </w:tc>
        <w:tc>
          <w:tcPr>
            <w:tcW w:w="1665" w:type="pct"/>
            <w:vAlign w:val="center"/>
          </w:tcPr>
          <w:p w14:paraId="558908DA"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农村</w:t>
            </w:r>
          </w:p>
        </w:tc>
      </w:tr>
      <w:tr w:rsidR="00D12939" w14:paraId="2B0D60B7" w14:textId="77777777">
        <w:trPr>
          <w:trHeight w:val="340"/>
          <w:jc w:val="center"/>
        </w:trPr>
        <w:tc>
          <w:tcPr>
            <w:tcW w:w="1667" w:type="pct"/>
            <w:vMerge/>
            <w:vAlign w:val="center"/>
          </w:tcPr>
          <w:p w14:paraId="0A8F4485" w14:textId="77777777" w:rsidR="00D12939" w:rsidRDefault="00D12939">
            <w:pPr>
              <w:adjustRightInd w:val="0"/>
              <w:snapToGrid w:val="0"/>
              <w:spacing w:line="320" w:lineRule="exact"/>
              <w:ind w:firstLine="420"/>
              <w:jc w:val="center"/>
              <w:rPr>
                <w:rFonts w:ascii="Times New Roman" w:eastAsia="宋体" w:hAnsi="Times New Roman" w:cs="Times New Roman"/>
                <w:bCs/>
                <w:szCs w:val="21"/>
              </w:rPr>
            </w:pPr>
          </w:p>
        </w:tc>
        <w:tc>
          <w:tcPr>
            <w:tcW w:w="1667" w:type="pct"/>
            <w:vAlign w:val="center"/>
          </w:tcPr>
          <w:p w14:paraId="3544515F"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人口数（城市选项时）</w:t>
            </w:r>
          </w:p>
        </w:tc>
        <w:tc>
          <w:tcPr>
            <w:tcW w:w="1665" w:type="pct"/>
            <w:vAlign w:val="center"/>
          </w:tcPr>
          <w:p w14:paraId="18F2860D"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w:t>
            </w:r>
          </w:p>
        </w:tc>
      </w:tr>
      <w:tr w:rsidR="00D12939" w14:paraId="08090A76" w14:textId="77777777">
        <w:trPr>
          <w:trHeight w:val="340"/>
          <w:jc w:val="center"/>
        </w:trPr>
        <w:tc>
          <w:tcPr>
            <w:tcW w:w="3335" w:type="pct"/>
            <w:gridSpan w:val="2"/>
            <w:vAlign w:val="center"/>
          </w:tcPr>
          <w:p w14:paraId="3B44049A"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最高环境温度</w:t>
            </w:r>
            <w:r>
              <w:rPr>
                <w:rFonts w:ascii="Times New Roman" w:eastAsia="宋体" w:hAnsi="Times New Roman" w:cs="Times New Roman"/>
                <w:bCs/>
                <w:szCs w:val="21"/>
              </w:rPr>
              <w:t>/℃</w:t>
            </w:r>
          </w:p>
        </w:tc>
        <w:tc>
          <w:tcPr>
            <w:tcW w:w="1665" w:type="pct"/>
            <w:vAlign w:val="center"/>
          </w:tcPr>
          <w:p w14:paraId="3B7163A8"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36.9</w:t>
            </w:r>
          </w:p>
        </w:tc>
      </w:tr>
      <w:tr w:rsidR="00D12939" w14:paraId="61920B05" w14:textId="77777777">
        <w:trPr>
          <w:trHeight w:val="340"/>
          <w:jc w:val="center"/>
        </w:trPr>
        <w:tc>
          <w:tcPr>
            <w:tcW w:w="3335" w:type="pct"/>
            <w:gridSpan w:val="2"/>
            <w:vAlign w:val="center"/>
          </w:tcPr>
          <w:p w14:paraId="5DE30FF5"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最低环境温度</w:t>
            </w:r>
            <w:r>
              <w:rPr>
                <w:rFonts w:ascii="Times New Roman" w:eastAsia="宋体" w:hAnsi="Times New Roman" w:cs="Times New Roman"/>
                <w:bCs/>
                <w:szCs w:val="21"/>
              </w:rPr>
              <w:t>/℃</w:t>
            </w:r>
          </w:p>
        </w:tc>
        <w:tc>
          <w:tcPr>
            <w:tcW w:w="1665" w:type="pct"/>
            <w:vAlign w:val="center"/>
          </w:tcPr>
          <w:p w14:paraId="6AE80198"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-14.6</w:t>
            </w:r>
          </w:p>
        </w:tc>
      </w:tr>
      <w:tr w:rsidR="00D12939" w14:paraId="21721CF9" w14:textId="77777777">
        <w:trPr>
          <w:trHeight w:val="340"/>
          <w:jc w:val="center"/>
        </w:trPr>
        <w:tc>
          <w:tcPr>
            <w:tcW w:w="3335" w:type="pct"/>
            <w:gridSpan w:val="2"/>
            <w:vAlign w:val="center"/>
          </w:tcPr>
          <w:p w14:paraId="3ABDA0C0"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土地利用类型</w:t>
            </w:r>
          </w:p>
        </w:tc>
        <w:tc>
          <w:tcPr>
            <w:tcW w:w="1665" w:type="pct"/>
            <w:vAlign w:val="center"/>
          </w:tcPr>
          <w:p w14:paraId="17CCA8BD"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草地</w:t>
            </w:r>
          </w:p>
        </w:tc>
      </w:tr>
      <w:tr w:rsidR="00D12939" w14:paraId="7051E26E" w14:textId="77777777">
        <w:trPr>
          <w:trHeight w:val="340"/>
          <w:jc w:val="center"/>
        </w:trPr>
        <w:tc>
          <w:tcPr>
            <w:tcW w:w="3335" w:type="pct"/>
            <w:gridSpan w:val="2"/>
            <w:vAlign w:val="center"/>
          </w:tcPr>
          <w:p w14:paraId="31CE4CC8"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区域湿度条件</w:t>
            </w:r>
          </w:p>
        </w:tc>
        <w:tc>
          <w:tcPr>
            <w:tcW w:w="1665" w:type="pct"/>
            <w:vAlign w:val="center"/>
          </w:tcPr>
          <w:p w14:paraId="526463B4"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半湿润</w:t>
            </w:r>
          </w:p>
        </w:tc>
      </w:tr>
      <w:tr w:rsidR="00D12939" w14:paraId="738E4BF0" w14:textId="77777777">
        <w:trPr>
          <w:trHeight w:val="340"/>
          <w:jc w:val="center"/>
        </w:trPr>
        <w:tc>
          <w:tcPr>
            <w:tcW w:w="1667" w:type="pct"/>
            <w:vMerge w:val="restart"/>
            <w:vAlign w:val="center"/>
          </w:tcPr>
          <w:p w14:paraId="10688156"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是否考虑地形</w:t>
            </w:r>
          </w:p>
        </w:tc>
        <w:tc>
          <w:tcPr>
            <w:tcW w:w="1667" w:type="pct"/>
            <w:vAlign w:val="center"/>
          </w:tcPr>
          <w:p w14:paraId="14367EF6"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考虑地形</w:t>
            </w:r>
          </w:p>
        </w:tc>
        <w:tc>
          <w:tcPr>
            <w:tcW w:w="1665" w:type="pct"/>
            <w:vAlign w:val="center"/>
          </w:tcPr>
          <w:p w14:paraId="09B1581F"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sym w:font="Wingdings 2" w:char="0052"/>
            </w:r>
            <w:r>
              <w:rPr>
                <w:rFonts w:ascii="Times New Roman" w:eastAsia="宋体" w:hAnsi="Times New Roman" w:cs="Times New Roman"/>
                <w:bCs/>
                <w:szCs w:val="21"/>
              </w:rPr>
              <w:t>是</w:t>
            </w:r>
            <w:r>
              <w:rPr>
                <w:rFonts w:ascii="Times New Roman" w:eastAsia="宋体" w:hAnsi="Times New Roman" w:cs="Times New Roman"/>
                <w:bCs/>
                <w:szCs w:val="21"/>
              </w:rPr>
              <w:sym w:font="Wingdings 2" w:char="00A3"/>
            </w:r>
            <w:r>
              <w:rPr>
                <w:rFonts w:ascii="Times New Roman" w:eastAsia="宋体" w:hAnsi="Times New Roman" w:cs="Times New Roman"/>
                <w:bCs/>
                <w:szCs w:val="21"/>
              </w:rPr>
              <w:t>否</w:t>
            </w:r>
          </w:p>
        </w:tc>
      </w:tr>
      <w:tr w:rsidR="00D12939" w14:paraId="1C774051" w14:textId="77777777">
        <w:trPr>
          <w:trHeight w:val="340"/>
          <w:jc w:val="center"/>
        </w:trPr>
        <w:tc>
          <w:tcPr>
            <w:tcW w:w="1667" w:type="pct"/>
            <w:vMerge/>
            <w:vAlign w:val="center"/>
          </w:tcPr>
          <w:p w14:paraId="35043C9C" w14:textId="77777777" w:rsidR="00D12939" w:rsidRDefault="00D12939">
            <w:pPr>
              <w:adjustRightInd w:val="0"/>
              <w:snapToGrid w:val="0"/>
              <w:spacing w:line="320" w:lineRule="exact"/>
              <w:ind w:firstLine="420"/>
              <w:jc w:val="center"/>
              <w:rPr>
                <w:rFonts w:ascii="Times New Roman" w:eastAsia="宋体" w:hAnsi="Times New Roman" w:cs="Times New Roman"/>
                <w:bCs/>
                <w:szCs w:val="21"/>
              </w:rPr>
            </w:pPr>
          </w:p>
        </w:tc>
        <w:tc>
          <w:tcPr>
            <w:tcW w:w="1667" w:type="pct"/>
            <w:vAlign w:val="center"/>
          </w:tcPr>
          <w:p w14:paraId="7E96016A"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地形数据分辨率</w:t>
            </w:r>
            <w:r>
              <w:rPr>
                <w:rFonts w:ascii="Times New Roman" w:eastAsia="宋体" w:hAnsi="Times New Roman" w:cs="Times New Roman"/>
                <w:bCs/>
                <w:szCs w:val="21"/>
              </w:rPr>
              <w:t>/m</w:t>
            </w:r>
          </w:p>
        </w:tc>
        <w:tc>
          <w:tcPr>
            <w:tcW w:w="1665" w:type="pct"/>
            <w:vAlign w:val="center"/>
          </w:tcPr>
          <w:p w14:paraId="5BC12A0E"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w:t>
            </w:r>
          </w:p>
        </w:tc>
      </w:tr>
      <w:tr w:rsidR="00D12939" w14:paraId="0F91BF47" w14:textId="77777777">
        <w:trPr>
          <w:trHeight w:val="340"/>
          <w:jc w:val="center"/>
        </w:trPr>
        <w:tc>
          <w:tcPr>
            <w:tcW w:w="1667" w:type="pct"/>
            <w:vMerge w:val="restart"/>
            <w:vAlign w:val="center"/>
          </w:tcPr>
          <w:p w14:paraId="25EB261D"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是否考虑岸线熏烟</w:t>
            </w:r>
          </w:p>
        </w:tc>
        <w:tc>
          <w:tcPr>
            <w:tcW w:w="1667" w:type="pct"/>
            <w:vAlign w:val="center"/>
          </w:tcPr>
          <w:p w14:paraId="4921F356"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考虑岸线熏烟</w:t>
            </w:r>
          </w:p>
        </w:tc>
        <w:tc>
          <w:tcPr>
            <w:tcW w:w="1665" w:type="pct"/>
            <w:vAlign w:val="center"/>
          </w:tcPr>
          <w:p w14:paraId="36810B0D"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szCs w:val="21"/>
              </w:rPr>
              <w:t>□</w:t>
            </w:r>
            <w:r>
              <w:rPr>
                <w:rFonts w:ascii="Times New Roman" w:eastAsia="宋体" w:hAnsi="Times New Roman" w:cs="Times New Roman"/>
                <w:szCs w:val="21"/>
              </w:rPr>
              <w:t>是</w:t>
            </w:r>
            <w:r>
              <w:rPr>
                <w:rFonts w:ascii="Times New Roman" w:eastAsia="宋体" w:hAnsi="Times New Roman" w:cs="Times New Roman"/>
                <w:bCs/>
                <w:szCs w:val="21"/>
              </w:rPr>
              <w:sym w:font="Wingdings 2" w:char="0052"/>
            </w:r>
            <w:r>
              <w:rPr>
                <w:rFonts w:ascii="Times New Roman" w:eastAsia="宋体" w:hAnsi="Times New Roman" w:cs="Times New Roman"/>
                <w:szCs w:val="21"/>
              </w:rPr>
              <w:t>否</w:t>
            </w:r>
          </w:p>
        </w:tc>
      </w:tr>
      <w:tr w:rsidR="00D12939" w14:paraId="7A3876BE" w14:textId="77777777">
        <w:trPr>
          <w:trHeight w:val="340"/>
          <w:jc w:val="center"/>
        </w:trPr>
        <w:tc>
          <w:tcPr>
            <w:tcW w:w="1667" w:type="pct"/>
            <w:vMerge/>
            <w:vAlign w:val="center"/>
          </w:tcPr>
          <w:p w14:paraId="6563BA31" w14:textId="77777777" w:rsidR="00D12939" w:rsidRDefault="00D12939">
            <w:pPr>
              <w:adjustRightInd w:val="0"/>
              <w:snapToGrid w:val="0"/>
              <w:spacing w:line="320" w:lineRule="exact"/>
              <w:ind w:firstLine="420"/>
              <w:jc w:val="center"/>
              <w:rPr>
                <w:rFonts w:ascii="Times New Roman" w:eastAsia="宋体" w:hAnsi="Times New Roman" w:cs="Times New Roman"/>
                <w:bCs/>
                <w:szCs w:val="21"/>
              </w:rPr>
            </w:pPr>
          </w:p>
        </w:tc>
        <w:tc>
          <w:tcPr>
            <w:tcW w:w="1667" w:type="pct"/>
            <w:vAlign w:val="center"/>
          </w:tcPr>
          <w:p w14:paraId="3DEADADE"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岸线距离</w:t>
            </w:r>
            <w:r>
              <w:rPr>
                <w:rFonts w:ascii="Times New Roman" w:eastAsia="宋体" w:hAnsi="Times New Roman" w:cs="Times New Roman"/>
                <w:bCs/>
                <w:szCs w:val="21"/>
              </w:rPr>
              <w:t>/km</w:t>
            </w:r>
          </w:p>
        </w:tc>
        <w:tc>
          <w:tcPr>
            <w:tcW w:w="1665" w:type="pct"/>
            <w:vAlign w:val="center"/>
          </w:tcPr>
          <w:p w14:paraId="75DB5428"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w:t>
            </w:r>
          </w:p>
        </w:tc>
      </w:tr>
      <w:tr w:rsidR="00D12939" w14:paraId="479CCD3C" w14:textId="77777777">
        <w:trPr>
          <w:trHeight w:val="340"/>
          <w:jc w:val="center"/>
        </w:trPr>
        <w:tc>
          <w:tcPr>
            <w:tcW w:w="1667" w:type="pct"/>
            <w:vMerge/>
            <w:vAlign w:val="center"/>
          </w:tcPr>
          <w:p w14:paraId="63304CBC" w14:textId="77777777" w:rsidR="00D12939" w:rsidRDefault="00D12939">
            <w:pPr>
              <w:adjustRightInd w:val="0"/>
              <w:snapToGrid w:val="0"/>
              <w:spacing w:line="320" w:lineRule="exact"/>
              <w:ind w:firstLine="420"/>
              <w:jc w:val="center"/>
              <w:rPr>
                <w:rFonts w:ascii="Times New Roman" w:eastAsia="宋体" w:hAnsi="Times New Roman" w:cs="Times New Roman"/>
                <w:bCs/>
                <w:szCs w:val="21"/>
              </w:rPr>
            </w:pPr>
          </w:p>
        </w:tc>
        <w:tc>
          <w:tcPr>
            <w:tcW w:w="1667" w:type="pct"/>
            <w:vAlign w:val="center"/>
          </w:tcPr>
          <w:p w14:paraId="4EFCAFEC"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岸线方向</w:t>
            </w:r>
            <w:r>
              <w:rPr>
                <w:rFonts w:ascii="Times New Roman" w:eastAsia="宋体" w:hAnsi="Times New Roman" w:cs="Times New Roman"/>
                <w:bCs/>
                <w:szCs w:val="21"/>
              </w:rPr>
              <w:t>/°</w:t>
            </w:r>
          </w:p>
        </w:tc>
        <w:tc>
          <w:tcPr>
            <w:tcW w:w="1665" w:type="pct"/>
            <w:vAlign w:val="center"/>
          </w:tcPr>
          <w:p w14:paraId="4EF5D297" w14:textId="77777777" w:rsidR="00D12939" w:rsidRDefault="004F47F5">
            <w:pPr>
              <w:adjustRightInd w:val="0"/>
              <w:snapToGrid w:val="0"/>
              <w:spacing w:line="32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w:t>
            </w:r>
          </w:p>
        </w:tc>
      </w:tr>
    </w:tbl>
    <w:p w14:paraId="657A6397" w14:textId="77777777" w:rsidR="00D12939" w:rsidRDefault="004F47F5">
      <w:pPr>
        <w:adjustRightInd w:val="0"/>
        <w:snapToGrid w:val="0"/>
        <w:spacing w:beforeLines="50" w:before="156" w:line="360" w:lineRule="auto"/>
        <w:ind w:firstLineChars="176" w:firstLine="422"/>
        <w:rPr>
          <w:rFonts w:ascii="Times New Roman" w:eastAsia="宋体" w:hAnsi="Times New Roman" w:cs="Times New Roman"/>
          <w:sz w:val="24"/>
        </w:rPr>
      </w:pPr>
      <w:bookmarkStart w:id="480" w:name="_Toc41342971"/>
      <w:r>
        <w:rPr>
          <w:rFonts w:ascii="Times New Roman" w:eastAsia="宋体" w:hAnsi="Times New Roman" w:cs="Times New Roman" w:hint="eastAsia"/>
          <w:sz w:val="24"/>
        </w:rPr>
        <w:t>（</w:t>
      </w:r>
      <w:r>
        <w:rPr>
          <w:rFonts w:ascii="Times New Roman" w:eastAsia="宋体" w:hAnsi="Times New Roman" w:cs="Times New Roman"/>
          <w:sz w:val="24"/>
        </w:rPr>
        <w:t>5</w:t>
      </w:r>
      <w:r>
        <w:rPr>
          <w:rFonts w:ascii="Times New Roman" w:eastAsia="宋体" w:hAnsi="Times New Roman" w:cs="Times New Roman" w:hint="eastAsia"/>
          <w:sz w:val="24"/>
        </w:rPr>
        <w:t>）污染源计算清单</w:t>
      </w:r>
      <w:bookmarkEnd w:id="480"/>
    </w:p>
    <w:p w14:paraId="234B8E2B" w14:textId="77777777" w:rsidR="00D12939" w:rsidRDefault="004F47F5">
      <w:pPr>
        <w:adjustRightInd w:val="0"/>
        <w:snapToGrid w:val="0"/>
        <w:spacing w:beforeLines="50" w:before="156" w:line="360" w:lineRule="auto"/>
        <w:ind w:firstLineChars="176" w:firstLine="422"/>
        <w:rPr>
          <w:rFonts w:ascii="Times New Roman" w:eastAsia="宋体" w:hAnsi="Times New Roman" w:cs="Times New Roman"/>
          <w:sz w:val="24"/>
        </w:rPr>
        <w:sectPr w:rsidR="00D12939">
          <w:pgSz w:w="11906" w:h="16838"/>
          <w:pgMar w:top="1440" w:right="1080" w:bottom="1440" w:left="1080" w:header="851" w:footer="992" w:gutter="0"/>
          <w:cols w:space="425"/>
          <w:docGrid w:type="lines" w:linePitch="312"/>
        </w:sectPr>
      </w:pPr>
      <w:r>
        <w:rPr>
          <w:rFonts w:ascii="Times New Roman" w:eastAsia="宋体" w:hAnsi="Times New Roman" w:cs="Times New Roman" w:hint="eastAsia"/>
          <w:sz w:val="24"/>
        </w:rPr>
        <w:t>本项目大气污染源有</w:t>
      </w:r>
      <w:r>
        <w:rPr>
          <w:rFonts w:ascii="Times New Roman" w:eastAsia="宋体" w:hAnsi="Times New Roman" w:cs="Times New Roman"/>
          <w:sz w:val="24"/>
        </w:rPr>
        <w:t>组织废气</w:t>
      </w:r>
      <w:r>
        <w:rPr>
          <w:rFonts w:ascii="Times New Roman" w:eastAsia="宋体" w:hAnsi="Times New Roman" w:cs="Times New Roman" w:hint="eastAsia"/>
          <w:sz w:val="24"/>
        </w:rPr>
        <w:t>预测</w:t>
      </w:r>
      <w:r>
        <w:rPr>
          <w:rFonts w:ascii="Times New Roman" w:eastAsia="宋体" w:hAnsi="Times New Roman" w:cs="Times New Roman"/>
          <w:sz w:val="24"/>
        </w:rPr>
        <w:t>参数见表</w:t>
      </w:r>
      <w:r>
        <w:rPr>
          <w:rFonts w:ascii="Times New Roman" w:eastAsia="宋体" w:hAnsi="Times New Roman" w:cs="Times New Roman" w:hint="eastAsia"/>
          <w:sz w:val="24"/>
        </w:rPr>
        <w:t>7.1-5</w:t>
      </w:r>
      <w:r>
        <w:rPr>
          <w:rFonts w:ascii="Times New Roman" w:eastAsia="宋体" w:hAnsi="Times New Roman" w:cs="Times New Roman"/>
          <w:sz w:val="24"/>
        </w:rPr>
        <w:t>。无组织废气</w:t>
      </w:r>
      <w:r>
        <w:rPr>
          <w:rFonts w:ascii="Times New Roman" w:eastAsia="宋体" w:hAnsi="Times New Roman" w:cs="Times New Roman" w:hint="eastAsia"/>
          <w:sz w:val="24"/>
        </w:rPr>
        <w:t>预测</w:t>
      </w:r>
      <w:r>
        <w:rPr>
          <w:rFonts w:ascii="Times New Roman" w:eastAsia="宋体" w:hAnsi="Times New Roman" w:cs="Times New Roman"/>
          <w:sz w:val="24"/>
        </w:rPr>
        <w:t>参数见表</w:t>
      </w:r>
      <w:r>
        <w:rPr>
          <w:rFonts w:ascii="Times New Roman" w:eastAsia="宋体" w:hAnsi="Times New Roman" w:cs="Times New Roman" w:hint="eastAsia"/>
          <w:sz w:val="24"/>
        </w:rPr>
        <w:t>7.1-6</w:t>
      </w:r>
      <w:r>
        <w:rPr>
          <w:rFonts w:ascii="Times New Roman" w:eastAsia="宋体" w:hAnsi="Times New Roman" w:cs="Times New Roman"/>
          <w:sz w:val="24"/>
        </w:rPr>
        <w:t>。</w:t>
      </w:r>
    </w:p>
    <w:p w14:paraId="2499DA32" w14:textId="77777777" w:rsidR="00D12939" w:rsidRDefault="004F47F5">
      <w:pPr>
        <w:autoSpaceDE w:val="0"/>
        <w:autoSpaceDN w:val="0"/>
        <w:adjustRightInd w:val="0"/>
        <w:jc w:val="center"/>
        <w:rPr>
          <w:rFonts w:ascii="Times New Roman" w:eastAsia="黑体" w:hAnsi="Times New Roman"/>
          <w:kern w:val="0"/>
          <w:sz w:val="24"/>
          <w:szCs w:val="21"/>
        </w:rPr>
      </w:pPr>
      <w:r>
        <w:rPr>
          <w:rFonts w:ascii="Times New Roman" w:eastAsia="黑体" w:hAnsi="Times New Roman"/>
          <w:kern w:val="0"/>
          <w:sz w:val="24"/>
          <w:szCs w:val="21"/>
        </w:rPr>
        <w:lastRenderedPageBreak/>
        <w:t>表</w:t>
      </w:r>
      <w:r>
        <w:rPr>
          <w:rFonts w:ascii="Times New Roman" w:eastAsia="黑体" w:hAnsi="Times New Roman"/>
          <w:kern w:val="0"/>
          <w:sz w:val="24"/>
          <w:szCs w:val="21"/>
        </w:rPr>
        <w:t xml:space="preserve">7.1-5    </w:t>
      </w:r>
      <w:r>
        <w:rPr>
          <w:rFonts w:ascii="Times New Roman" w:eastAsia="黑体" w:hAnsi="Times New Roman"/>
          <w:kern w:val="0"/>
          <w:sz w:val="24"/>
          <w:szCs w:val="21"/>
        </w:rPr>
        <w:t>项目点源参数一览表</w:t>
      </w:r>
    </w:p>
    <w:tbl>
      <w:tblPr>
        <w:tblW w:w="51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0" w:type="dxa"/>
          <w:right w:w="0" w:type="dxa"/>
        </w:tblCellMar>
        <w:tblLook w:val="04A0" w:firstRow="1" w:lastRow="0" w:firstColumn="1" w:lastColumn="0" w:noHBand="0" w:noVBand="1"/>
      </w:tblPr>
      <w:tblGrid>
        <w:gridCol w:w="547"/>
        <w:gridCol w:w="1880"/>
        <w:gridCol w:w="655"/>
        <w:gridCol w:w="635"/>
        <w:gridCol w:w="852"/>
        <w:gridCol w:w="1087"/>
        <w:gridCol w:w="767"/>
        <w:gridCol w:w="1153"/>
        <w:gridCol w:w="898"/>
        <w:gridCol w:w="1281"/>
        <w:gridCol w:w="1150"/>
        <w:gridCol w:w="829"/>
        <w:gridCol w:w="80"/>
        <w:gridCol w:w="829"/>
        <w:gridCol w:w="829"/>
        <w:gridCol w:w="829"/>
      </w:tblGrid>
      <w:tr w:rsidR="00D12939" w14:paraId="6C739500" w14:textId="77777777">
        <w:trPr>
          <w:trHeight w:val="29"/>
          <w:jc w:val="center"/>
        </w:trPr>
        <w:tc>
          <w:tcPr>
            <w:tcW w:w="191" w:type="pct"/>
            <w:vMerge w:val="restart"/>
            <w:tcBorders>
              <w:top w:val="single" w:sz="12" w:space="0" w:color="auto"/>
              <w:left w:val="single" w:sz="12" w:space="0" w:color="auto"/>
              <w:bottom w:val="single" w:sz="4" w:space="0" w:color="auto"/>
              <w:right w:val="single" w:sz="4" w:space="0" w:color="auto"/>
            </w:tcBorders>
            <w:vAlign w:val="center"/>
          </w:tcPr>
          <w:p w14:paraId="3D546A1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编号</w:t>
            </w:r>
          </w:p>
        </w:tc>
        <w:tc>
          <w:tcPr>
            <w:tcW w:w="657" w:type="pct"/>
            <w:vMerge w:val="restart"/>
            <w:tcBorders>
              <w:top w:val="single" w:sz="12" w:space="0" w:color="auto"/>
              <w:left w:val="nil"/>
              <w:bottom w:val="single" w:sz="4" w:space="0" w:color="auto"/>
              <w:right w:val="single" w:sz="4" w:space="0" w:color="auto"/>
            </w:tcBorders>
            <w:vAlign w:val="center"/>
          </w:tcPr>
          <w:p w14:paraId="6A76912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污染源名称</w:t>
            </w:r>
          </w:p>
        </w:tc>
        <w:tc>
          <w:tcPr>
            <w:tcW w:w="451" w:type="pct"/>
            <w:gridSpan w:val="2"/>
            <w:tcBorders>
              <w:top w:val="single" w:sz="12" w:space="0" w:color="auto"/>
              <w:left w:val="nil"/>
              <w:bottom w:val="single" w:sz="4" w:space="0" w:color="auto"/>
              <w:right w:val="single" w:sz="4" w:space="0" w:color="auto"/>
            </w:tcBorders>
            <w:vAlign w:val="center"/>
          </w:tcPr>
          <w:p w14:paraId="61AA6F3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排气筒底部中心坐标</w:t>
            </w:r>
          </w:p>
        </w:tc>
        <w:tc>
          <w:tcPr>
            <w:tcW w:w="298" w:type="pct"/>
            <w:vMerge w:val="restart"/>
            <w:tcBorders>
              <w:top w:val="single" w:sz="12" w:space="0" w:color="auto"/>
              <w:left w:val="nil"/>
              <w:bottom w:val="single" w:sz="4" w:space="0" w:color="auto"/>
              <w:right w:val="single" w:sz="4" w:space="0" w:color="auto"/>
            </w:tcBorders>
            <w:vAlign w:val="center"/>
          </w:tcPr>
          <w:p w14:paraId="627A3F3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排气筒底部海拔高度</w:t>
            </w:r>
            <w:r>
              <w:rPr>
                <w:rFonts w:ascii="Times New Roman" w:eastAsia="宋体" w:hAnsi="Times New Roman" w:cs="Times New Roman"/>
                <w:szCs w:val="21"/>
              </w:rPr>
              <w:t>/m</w:t>
            </w:r>
          </w:p>
        </w:tc>
        <w:tc>
          <w:tcPr>
            <w:tcW w:w="380" w:type="pct"/>
            <w:vMerge w:val="restart"/>
            <w:tcBorders>
              <w:top w:val="single" w:sz="12" w:space="0" w:color="auto"/>
              <w:left w:val="nil"/>
              <w:bottom w:val="single" w:sz="4" w:space="0" w:color="auto"/>
              <w:right w:val="single" w:sz="4" w:space="0" w:color="auto"/>
            </w:tcBorders>
            <w:vAlign w:val="center"/>
          </w:tcPr>
          <w:p w14:paraId="06D8FD53"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排气筒高度</w:t>
            </w:r>
            <w:r>
              <w:rPr>
                <w:rFonts w:ascii="Times New Roman" w:eastAsia="宋体" w:hAnsi="Times New Roman" w:cs="Times New Roman"/>
                <w:szCs w:val="21"/>
              </w:rPr>
              <w:t>/m</w:t>
            </w:r>
          </w:p>
        </w:tc>
        <w:tc>
          <w:tcPr>
            <w:tcW w:w="268" w:type="pct"/>
            <w:vMerge w:val="restart"/>
            <w:tcBorders>
              <w:top w:val="single" w:sz="12" w:space="0" w:color="auto"/>
              <w:left w:val="nil"/>
              <w:bottom w:val="single" w:sz="4" w:space="0" w:color="auto"/>
              <w:right w:val="single" w:sz="4" w:space="0" w:color="auto"/>
            </w:tcBorders>
            <w:vAlign w:val="center"/>
          </w:tcPr>
          <w:p w14:paraId="4D7B1DC9"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排气筒内径</w:t>
            </w:r>
            <w:r>
              <w:rPr>
                <w:rFonts w:ascii="Times New Roman" w:eastAsia="宋体" w:hAnsi="Times New Roman" w:cs="Times New Roman"/>
                <w:szCs w:val="21"/>
              </w:rPr>
              <w:t>/m</w:t>
            </w:r>
          </w:p>
        </w:tc>
        <w:tc>
          <w:tcPr>
            <w:tcW w:w="403" w:type="pct"/>
            <w:vMerge w:val="restart"/>
            <w:tcBorders>
              <w:top w:val="single" w:sz="12" w:space="0" w:color="auto"/>
              <w:left w:val="nil"/>
              <w:bottom w:val="single" w:sz="4" w:space="0" w:color="auto"/>
              <w:right w:val="single" w:sz="4" w:space="0" w:color="auto"/>
            </w:tcBorders>
            <w:vAlign w:val="center"/>
          </w:tcPr>
          <w:p w14:paraId="0732908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烟气量（</w:t>
            </w:r>
            <w:r>
              <w:rPr>
                <w:rFonts w:ascii="Times New Roman" w:eastAsia="宋体" w:hAnsi="Times New Roman" w:cs="Times New Roman"/>
                <w:szCs w:val="21"/>
              </w:rPr>
              <w:t>Nm</w:t>
            </w:r>
            <w:r>
              <w:rPr>
                <w:rFonts w:ascii="Times New Roman" w:eastAsia="宋体" w:hAnsi="Times New Roman" w:cs="Times New Roman"/>
                <w:szCs w:val="21"/>
                <w:vertAlign w:val="superscript"/>
              </w:rPr>
              <w:t>3</w:t>
            </w:r>
            <w:r>
              <w:rPr>
                <w:rFonts w:ascii="Times New Roman" w:eastAsia="宋体" w:hAnsi="Times New Roman" w:cs="Times New Roman"/>
                <w:szCs w:val="21"/>
              </w:rPr>
              <w:t>/h</w:t>
            </w:r>
            <w:r>
              <w:rPr>
                <w:rFonts w:ascii="Times New Roman" w:eastAsia="宋体" w:hAnsi="Times New Roman" w:cs="Times New Roman"/>
                <w:szCs w:val="21"/>
              </w:rPr>
              <w:t>）</w:t>
            </w:r>
          </w:p>
        </w:tc>
        <w:tc>
          <w:tcPr>
            <w:tcW w:w="314" w:type="pct"/>
            <w:vMerge w:val="restart"/>
            <w:tcBorders>
              <w:top w:val="single" w:sz="12" w:space="0" w:color="auto"/>
              <w:left w:val="nil"/>
              <w:bottom w:val="single" w:sz="4" w:space="0" w:color="auto"/>
              <w:right w:val="single" w:sz="4" w:space="0" w:color="auto"/>
            </w:tcBorders>
            <w:vAlign w:val="center"/>
          </w:tcPr>
          <w:p w14:paraId="39E00D3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烟气温度</w:t>
            </w:r>
            <w:r>
              <w:rPr>
                <w:rFonts w:ascii="Times New Roman" w:eastAsia="宋体" w:hAnsi="Times New Roman" w:cs="Times New Roman"/>
                <w:szCs w:val="21"/>
              </w:rPr>
              <w:t>℃</w:t>
            </w:r>
          </w:p>
        </w:tc>
        <w:tc>
          <w:tcPr>
            <w:tcW w:w="448" w:type="pct"/>
            <w:vMerge w:val="restart"/>
            <w:tcBorders>
              <w:top w:val="single" w:sz="12" w:space="0" w:color="auto"/>
              <w:left w:val="nil"/>
              <w:bottom w:val="single" w:sz="4" w:space="0" w:color="auto"/>
              <w:right w:val="single" w:sz="4" w:space="0" w:color="auto"/>
            </w:tcBorders>
            <w:vAlign w:val="center"/>
          </w:tcPr>
          <w:p w14:paraId="6369012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年排放小时数</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h</w:t>
            </w:r>
            <w:r>
              <w:rPr>
                <w:rFonts w:ascii="Times New Roman" w:eastAsia="宋体" w:hAnsi="Times New Roman" w:cs="Times New Roman"/>
                <w:szCs w:val="21"/>
              </w:rPr>
              <w:t>）</w:t>
            </w:r>
          </w:p>
        </w:tc>
        <w:tc>
          <w:tcPr>
            <w:tcW w:w="402" w:type="pct"/>
            <w:vMerge w:val="restart"/>
            <w:tcBorders>
              <w:top w:val="single" w:sz="12" w:space="0" w:color="auto"/>
              <w:left w:val="nil"/>
              <w:bottom w:val="single" w:sz="4" w:space="0" w:color="auto"/>
              <w:right w:val="single" w:sz="4" w:space="0" w:color="auto"/>
            </w:tcBorders>
            <w:vAlign w:val="center"/>
          </w:tcPr>
          <w:p w14:paraId="4E5F0CA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排放工况</w:t>
            </w:r>
          </w:p>
        </w:tc>
        <w:tc>
          <w:tcPr>
            <w:tcW w:w="290" w:type="pct"/>
            <w:tcBorders>
              <w:top w:val="single" w:sz="12" w:space="0" w:color="auto"/>
              <w:left w:val="nil"/>
              <w:bottom w:val="nil"/>
              <w:right w:val="nil"/>
            </w:tcBorders>
            <w:vAlign w:val="center"/>
          </w:tcPr>
          <w:p w14:paraId="2F74BBA2" w14:textId="77777777" w:rsidR="00D12939" w:rsidRDefault="00D12939">
            <w:pPr>
              <w:overflowPunct w:val="0"/>
              <w:jc w:val="center"/>
              <w:textAlignment w:val="baseline"/>
              <w:rPr>
                <w:rFonts w:ascii="Times New Roman" w:eastAsia="宋体" w:hAnsi="Times New Roman" w:cs="Times New Roman"/>
                <w:szCs w:val="21"/>
              </w:rPr>
            </w:pPr>
          </w:p>
        </w:tc>
        <w:tc>
          <w:tcPr>
            <w:tcW w:w="897" w:type="pct"/>
            <w:gridSpan w:val="4"/>
            <w:tcBorders>
              <w:top w:val="single" w:sz="12" w:space="0" w:color="auto"/>
              <w:left w:val="nil"/>
              <w:bottom w:val="nil"/>
              <w:right w:val="single" w:sz="12" w:space="0" w:color="auto"/>
            </w:tcBorders>
            <w:vAlign w:val="center"/>
          </w:tcPr>
          <w:p w14:paraId="2C4EF75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污染物排放速率</w:t>
            </w:r>
            <w:r>
              <w:rPr>
                <w:rFonts w:ascii="Times New Roman" w:eastAsia="宋体" w:hAnsi="Times New Roman" w:cs="Times New Roman"/>
                <w:szCs w:val="21"/>
              </w:rPr>
              <w:t>/(kg/h)</w:t>
            </w:r>
          </w:p>
        </w:tc>
      </w:tr>
      <w:tr w:rsidR="00D12939" w14:paraId="30B35B1C" w14:textId="77777777">
        <w:trPr>
          <w:trHeight w:val="29"/>
          <w:jc w:val="center"/>
        </w:trPr>
        <w:tc>
          <w:tcPr>
            <w:tcW w:w="0" w:type="auto"/>
            <w:vMerge/>
            <w:tcBorders>
              <w:top w:val="single" w:sz="12" w:space="0" w:color="auto"/>
              <w:left w:val="single" w:sz="12" w:space="0" w:color="auto"/>
              <w:bottom w:val="single" w:sz="4" w:space="0" w:color="auto"/>
              <w:right w:val="single" w:sz="4" w:space="0" w:color="auto"/>
            </w:tcBorders>
            <w:vAlign w:val="center"/>
          </w:tcPr>
          <w:p w14:paraId="29281D62" w14:textId="77777777" w:rsidR="00D12939" w:rsidRDefault="00D12939">
            <w:pPr>
              <w:widowControl/>
              <w:jc w:val="center"/>
              <w:rPr>
                <w:rFonts w:ascii="Times New Roman" w:eastAsia="宋体" w:hAnsi="Times New Roman" w:cs="Times New Roman"/>
                <w:szCs w:val="21"/>
              </w:rPr>
            </w:pPr>
          </w:p>
        </w:tc>
        <w:tc>
          <w:tcPr>
            <w:tcW w:w="0" w:type="auto"/>
            <w:vMerge/>
            <w:tcBorders>
              <w:top w:val="single" w:sz="12" w:space="0" w:color="auto"/>
              <w:left w:val="nil"/>
              <w:bottom w:val="single" w:sz="4" w:space="0" w:color="auto"/>
              <w:right w:val="single" w:sz="4" w:space="0" w:color="auto"/>
            </w:tcBorders>
            <w:vAlign w:val="center"/>
          </w:tcPr>
          <w:p w14:paraId="02FC002A" w14:textId="77777777" w:rsidR="00D12939" w:rsidRDefault="00D12939">
            <w:pPr>
              <w:widowControl/>
              <w:jc w:val="center"/>
              <w:rPr>
                <w:rFonts w:ascii="Times New Roman" w:eastAsia="宋体" w:hAnsi="Times New Roman" w:cs="Times New Roman"/>
                <w:szCs w:val="21"/>
              </w:rPr>
            </w:pPr>
          </w:p>
        </w:tc>
        <w:tc>
          <w:tcPr>
            <w:tcW w:w="229" w:type="pct"/>
            <w:tcBorders>
              <w:top w:val="single" w:sz="4" w:space="0" w:color="auto"/>
              <w:left w:val="nil"/>
              <w:bottom w:val="single" w:sz="4" w:space="0" w:color="auto"/>
              <w:right w:val="single" w:sz="4" w:space="0" w:color="auto"/>
            </w:tcBorders>
            <w:vAlign w:val="center"/>
          </w:tcPr>
          <w:p w14:paraId="189EEA4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X</w:t>
            </w:r>
          </w:p>
        </w:tc>
        <w:tc>
          <w:tcPr>
            <w:tcW w:w="222" w:type="pct"/>
            <w:tcBorders>
              <w:top w:val="single" w:sz="4" w:space="0" w:color="auto"/>
              <w:left w:val="nil"/>
              <w:bottom w:val="single" w:sz="4" w:space="0" w:color="auto"/>
              <w:right w:val="single" w:sz="4" w:space="0" w:color="auto"/>
            </w:tcBorders>
            <w:vAlign w:val="center"/>
          </w:tcPr>
          <w:p w14:paraId="238E874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Y</w:t>
            </w:r>
          </w:p>
        </w:tc>
        <w:tc>
          <w:tcPr>
            <w:tcW w:w="0" w:type="auto"/>
            <w:vMerge/>
            <w:tcBorders>
              <w:top w:val="single" w:sz="12" w:space="0" w:color="auto"/>
              <w:left w:val="nil"/>
              <w:bottom w:val="single" w:sz="4" w:space="0" w:color="auto"/>
              <w:right w:val="single" w:sz="4" w:space="0" w:color="auto"/>
            </w:tcBorders>
            <w:vAlign w:val="center"/>
          </w:tcPr>
          <w:p w14:paraId="2DE88556" w14:textId="77777777" w:rsidR="00D12939" w:rsidRDefault="00D12939">
            <w:pPr>
              <w:widowControl/>
              <w:jc w:val="center"/>
              <w:rPr>
                <w:rFonts w:ascii="Times New Roman" w:eastAsia="宋体" w:hAnsi="Times New Roman" w:cs="Times New Roman"/>
                <w:szCs w:val="21"/>
              </w:rPr>
            </w:pPr>
          </w:p>
        </w:tc>
        <w:tc>
          <w:tcPr>
            <w:tcW w:w="380" w:type="pct"/>
            <w:vMerge/>
            <w:tcBorders>
              <w:top w:val="single" w:sz="12" w:space="0" w:color="auto"/>
              <w:left w:val="nil"/>
              <w:bottom w:val="single" w:sz="4" w:space="0" w:color="auto"/>
              <w:right w:val="single" w:sz="4" w:space="0" w:color="auto"/>
            </w:tcBorders>
            <w:vAlign w:val="center"/>
          </w:tcPr>
          <w:p w14:paraId="4C500637" w14:textId="77777777" w:rsidR="00D12939" w:rsidRDefault="00D12939">
            <w:pPr>
              <w:widowControl/>
              <w:jc w:val="center"/>
              <w:rPr>
                <w:rFonts w:ascii="Times New Roman" w:eastAsia="宋体" w:hAnsi="Times New Roman" w:cs="Times New Roman"/>
                <w:szCs w:val="21"/>
              </w:rPr>
            </w:pPr>
          </w:p>
        </w:tc>
        <w:tc>
          <w:tcPr>
            <w:tcW w:w="268" w:type="pct"/>
            <w:vMerge/>
            <w:tcBorders>
              <w:top w:val="single" w:sz="12" w:space="0" w:color="auto"/>
              <w:left w:val="nil"/>
              <w:bottom w:val="single" w:sz="4" w:space="0" w:color="auto"/>
              <w:right w:val="single" w:sz="4" w:space="0" w:color="auto"/>
            </w:tcBorders>
            <w:vAlign w:val="center"/>
          </w:tcPr>
          <w:p w14:paraId="350B3AE2" w14:textId="77777777" w:rsidR="00D12939" w:rsidRDefault="00D12939">
            <w:pPr>
              <w:widowControl/>
              <w:jc w:val="center"/>
              <w:rPr>
                <w:rFonts w:ascii="Times New Roman" w:eastAsia="宋体" w:hAnsi="Times New Roman" w:cs="Times New Roman"/>
                <w:szCs w:val="21"/>
              </w:rPr>
            </w:pPr>
          </w:p>
        </w:tc>
        <w:tc>
          <w:tcPr>
            <w:tcW w:w="403" w:type="pct"/>
            <w:vMerge/>
            <w:tcBorders>
              <w:top w:val="single" w:sz="12" w:space="0" w:color="auto"/>
              <w:left w:val="nil"/>
              <w:bottom w:val="single" w:sz="4" w:space="0" w:color="auto"/>
              <w:right w:val="single" w:sz="4" w:space="0" w:color="auto"/>
            </w:tcBorders>
            <w:vAlign w:val="center"/>
          </w:tcPr>
          <w:p w14:paraId="0ADEADD9" w14:textId="77777777" w:rsidR="00D12939" w:rsidRDefault="00D12939">
            <w:pPr>
              <w:widowControl/>
              <w:jc w:val="center"/>
              <w:rPr>
                <w:rFonts w:ascii="Times New Roman" w:eastAsia="宋体" w:hAnsi="Times New Roman" w:cs="Times New Roman"/>
                <w:szCs w:val="21"/>
              </w:rPr>
            </w:pPr>
          </w:p>
        </w:tc>
        <w:tc>
          <w:tcPr>
            <w:tcW w:w="314" w:type="pct"/>
            <w:vMerge/>
            <w:tcBorders>
              <w:top w:val="single" w:sz="12" w:space="0" w:color="auto"/>
              <w:left w:val="nil"/>
              <w:bottom w:val="single" w:sz="4" w:space="0" w:color="auto"/>
              <w:right w:val="single" w:sz="4" w:space="0" w:color="auto"/>
            </w:tcBorders>
            <w:vAlign w:val="center"/>
          </w:tcPr>
          <w:p w14:paraId="1BC004B9" w14:textId="77777777" w:rsidR="00D12939" w:rsidRDefault="00D12939">
            <w:pPr>
              <w:widowControl/>
              <w:jc w:val="center"/>
              <w:rPr>
                <w:rFonts w:ascii="Times New Roman" w:eastAsia="宋体" w:hAnsi="Times New Roman" w:cs="Times New Roman"/>
                <w:szCs w:val="21"/>
              </w:rPr>
            </w:pPr>
          </w:p>
        </w:tc>
        <w:tc>
          <w:tcPr>
            <w:tcW w:w="448" w:type="pct"/>
            <w:vMerge/>
            <w:tcBorders>
              <w:top w:val="single" w:sz="12" w:space="0" w:color="auto"/>
              <w:left w:val="nil"/>
              <w:bottom w:val="single" w:sz="4" w:space="0" w:color="auto"/>
              <w:right w:val="single" w:sz="4" w:space="0" w:color="auto"/>
            </w:tcBorders>
            <w:vAlign w:val="center"/>
          </w:tcPr>
          <w:p w14:paraId="3081EB19" w14:textId="77777777" w:rsidR="00D12939" w:rsidRDefault="00D12939">
            <w:pPr>
              <w:widowControl/>
              <w:jc w:val="center"/>
              <w:rPr>
                <w:rFonts w:ascii="Times New Roman" w:eastAsia="宋体" w:hAnsi="Times New Roman" w:cs="Times New Roman"/>
                <w:szCs w:val="21"/>
              </w:rPr>
            </w:pPr>
          </w:p>
        </w:tc>
        <w:tc>
          <w:tcPr>
            <w:tcW w:w="402" w:type="pct"/>
            <w:vMerge/>
            <w:tcBorders>
              <w:top w:val="single" w:sz="12" w:space="0" w:color="auto"/>
              <w:left w:val="nil"/>
              <w:bottom w:val="single" w:sz="4" w:space="0" w:color="auto"/>
              <w:right w:val="single" w:sz="4" w:space="0" w:color="auto"/>
            </w:tcBorders>
            <w:vAlign w:val="center"/>
          </w:tcPr>
          <w:p w14:paraId="0324F946" w14:textId="77777777" w:rsidR="00D12939" w:rsidRDefault="00D12939">
            <w:pPr>
              <w:widowControl/>
              <w:jc w:val="center"/>
              <w:rPr>
                <w:rFonts w:ascii="Times New Roman" w:eastAsia="宋体" w:hAnsi="Times New Roman" w:cs="Times New Roman"/>
                <w:szCs w:val="21"/>
              </w:rPr>
            </w:pPr>
          </w:p>
        </w:tc>
        <w:tc>
          <w:tcPr>
            <w:tcW w:w="318" w:type="pct"/>
            <w:gridSpan w:val="2"/>
            <w:tcBorders>
              <w:top w:val="single" w:sz="4" w:space="0" w:color="auto"/>
              <w:left w:val="nil"/>
              <w:bottom w:val="single" w:sz="4" w:space="0" w:color="auto"/>
              <w:right w:val="single" w:sz="4" w:space="0" w:color="auto"/>
            </w:tcBorders>
            <w:vAlign w:val="center"/>
          </w:tcPr>
          <w:p w14:paraId="3C7BA81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p>
        </w:tc>
        <w:tc>
          <w:tcPr>
            <w:tcW w:w="290" w:type="pct"/>
            <w:tcBorders>
              <w:top w:val="single" w:sz="4" w:space="0" w:color="auto"/>
              <w:left w:val="nil"/>
              <w:bottom w:val="single" w:sz="4" w:space="0" w:color="auto"/>
              <w:right w:val="nil"/>
            </w:tcBorders>
            <w:vAlign w:val="center"/>
          </w:tcPr>
          <w:p w14:paraId="6EEBE33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NOx</w:t>
            </w:r>
          </w:p>
        </w:tc>
        <w:tc>
          <w:tcPr>
            <w:tcW w:w="290" w:type="pct"/>
            <w:tcBorders>
              <w:top w:val="single" w:sz="4" w:space="0" w:color="auto"/>
              <w:left w:val="nil"/>
              <w:bottom w:val="single" w:sz="4" w:space="0" w:color="auto"/>
              <w:right w:val="single" w:sz="4" w:space="0" w:color="auto"/>
            </w:tcBorders>
            <w:vAlign w:val="center"/>
          </w:tcPr>
          <w:p w14:paraId="6A782DD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w:t>
            </w:r>
          </w:p>
        </w:tc>
        <w:tc>
          <w:tcPr>
            <w:tcW w:w="290" w:type="pct"/>
            <w:tcBorders>
              <w:top w:val="single" w:sz="4" w:space="0" w:color="auto"/>
              <w:left w:val="single" w:sz="4" w:space="0" w:color="auto"/>
              <w:bottom w:val="single" w:sz="4" w:space="0" w:color="auto"/>
              <w:right w:val="single" w:sz="4" w:space="0" w:color="auto"/>
            </w:tcBorders>
            <w:vAlign w:val="center"/>
          </w:tcPr>
          <w:p w14:paraId="1F84476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p>
        </w:tc>
      </w:tr>
      <w:tr w:rsidR="00D12939" w14:paraId="6BA80B23" w14:textId="77777777">
        <w:trPr>
          <w:trHeight w:val="219"/>
          <w:jc w:val="center"/>
        </w:trPr>
        <w:tc>
          <w:tcPr>
            <w:tcW w:w="191" w:type="pct"/>
            <w:tcBorders>
              <w:top w:val="single" w:sz="4" w:space="0" w:color="auto"/>
              <w:left w:val="single" w:sz="12" w:space="0" w:color="auto"/>
              <w:bottom w:val="single" w:sz="4" w:space="0" w:color="auto"/>
              <w:right w:val="single" w:sz="4" w:space="0" w:color="auto"/>
            </w:tcBorders>
            <w:vAlign w:val="center"/>
          </w:tcPr>
          <w:p w14:paraId="6BBB193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P1</w:t>
            </w:r>
          </w:p>
        </w:tc>
        <w:tc>
          <w:tcPr>
            <w:tcW w:w="657" w:type="pct"/>
            <w:tcBorders>
              <w:top w:val="single" w:sz="4" w:space="0" w:color="auto"/>
              <w:left w:val="nil"/>
              <w:bottom w:val="single" w:sz="4" w:space="0" w:color="auto"/>
              <w:right w:val="single" w:sz="4" w:space="0" w:color="auto"/>
            </w:tcBorders>
            <w:vAlign w:val="center"/>
          </w:tcPr>
          <w:p w14:paraId="03C316D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火炬</w:t>
            </w:r>
          </w:p>
        </w:tc>
        <w:tc>
          <w:tcPr>
            <w:tcW w:w="229" w:type="pct"/>
            <w:tcBorders>
              <w:top w:val="single" w:sz="4" w:space="0" w:color="auto"/>
              <w:left w:val="nil"/>
              <w:bottom w:val="single" w:sz="4" w:space="0" w:color="auto"/>
              <w:right w:val="single" w:sz="4" w:space="0" w:color="auto"/>
            </w:tcBorders>
            <w:vAlign w:val="center"/>
          </w:tcPr>
          <w:p w14:paraId="6E510C0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212</w:t>
            </w:r>
          </w:p>
        </w:tc>
        <w:tc>
          <w:tcPr>
            <w:tcW w:w="222" w:type="pct"/>
            <w:tcBorders>
              <w:top w:val="single" w:sz="4" w:space="0" w:color="auto"/>
              <w:left w:val="nil"/>
              <w:bottom w:val="single" w:sz="4" w:space="0" w:color="auto"/>
              <w:right w:val="single" w:sz="4" w:space="0" w:color="auto"/>
            </w:tcBorders>
            <w:vAlign w:val="center"/>
          </w:tcPr>
          <w:p w14:paraId="36465589"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-167</w:t>
            </w:r>
          </w:p>
        </w:tc>
        <w:tc>
          <w:tcPr>
            <w:tcW w:w="298" w:type="pct"/>
            <w:tcBorders>
              <w:top w:val="single" w:sz="4" w:space="0" w:color="auto"/>
              <w:left w:val="nil"/>
              <w:bottom w:val="single" w:sz="4" w:space="0" w:color="auto"/>
              <w:right w:val="single" w:sz="4" w:space="0" w:color="auto"/>
            </w:tcBorders>
            <w:vAlign w:val="center"/>
          </w:tcPr>
          <w:p w14:paraId="434C3439" w14:textId="77777777" w:rsidR="00D12939" w:rsidRDefault="004F47F5">
            <w:pPr>
              <w:overflowPunct w:val="0"/>
              <w:jc w:val="center"/>
              <w:textAlignment w:val="baseline"/>
              <w:rPr>
                <w:rFonts w:ascii="Times New Roman" w:eastAsia="宋体" w:hAnsi="Times New Roman" w:cs="Times New Roman"/>
                <w:szCs w:val="21"/>
                <w:highlight w:val="yellow"/>
              </w:rPr>
            </w:pPr>
            <w:r>
              <w:rPr>
                <w:rFonts w:ascii="Times New Roman" w:eastAsia="宋体" w:hAnsi="Times New Roman" w:cs="Times New Roman"/>
                <w:szCs w:val="21"/>
              </w:rPr>
              <w:t>1166</w:t>
            </w:r>
          </w:p>
        </w:tc>
        <w:tc>
          <w:tcPr>
            <w:tcW w:w="380" w:type="pct"/>
            <w:tcBorders>
              <w:top w:val="single" w:sz="4" w:space="0" w:color="auto"/>
              <w:left w:val="nil"/>
              <w:bottom w:val="single" w:sz="4" w:space="0" w:color="auto"/>
              <w:right w:val="single" w:sz="4" w:space="0" w:color="auto"/>
            </w:tcBorders>
            <w:vAlign w:val="center"/>
          </w:tcPr>
          <w:p w14:paraId="5D7C452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15</w:t>
            </w:r>
          </w:p>
        </w:tc>
        <w:tc>
          <w:tcPr>
            <w:tcW w:w="268" w:type="pct"/>
            <w:tcBorders>
              <w:top w:val="single" w:sz="4" w:space="0" w:color="auto"/>
              <w:left w:val="nil"/>
              <w:bottom w:val="single" w:sz="4" w:space="0" w:color="auto"/>
              <w:right w:val="single" w:sz="4" w:space="0" w:color="auto"/>
            </w:tcBorders>
            <w:vAlign w:val="center"/>
          </w:tcPr>
          <w:p w14:paraId="03769A5B"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0.2</w:t>
            </w:r>
          </w:p>
        </w:tc>
        <w:tc>
          <w:tcPr>
            <w:tcW w:w="403" w:type="pct"/>
            <w:tcBorders>
              <w:top w:val="single" w:sz="4" w:space="0" w:color="auto"/>
              <w:left w:val="nil"/>
              <w:bottom w:val="single" w:sz="4" w:space="0" w:color="auto"/>
              <w:right w:val="single" w:sz="4" w:space="0" w:color="auto"/>
            </w:tcBorders>
            <w:vAlign w:val="center"/>
          </w:tcPr>
          <w:p w14:paraId="780C41B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353.2</w:t>
            </w:r>
          </w:p>
        </w:tc>
        <w:tc>
          <w:tcPr>
            <w:tcW w:w="314" w:type="pct"/>
            <w:tcBorders>
              <w:top w:val="single" w:sz="4" w:space="0" w:color="auto"/>
              <w:left w:val="nil"/>
              <w:bottom w:val="single" w:sz="4" w:space="0" w:color="auto"/>
              <w:right w:val="single" w:sz="4" w:space="0" w:color="auto"/>
            </w:tcBorders>
            <w:vAlign w:val="center"/>
          </w:tcPr>
          <w:p w14:paraId="0941ED3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60</w:t>
            </w:r>
          </w:p>
        </w:tc>
        <w:tc>
          <w:tcPr>
            <w:tcW w:w="448" w:type="pct"/>
            <w:tcBorders>
              <w:top w:val="single" w:sz="4" w:space="0" w:color="auto"/>
              <w:left w:val="nil"/>
              <w:bottom w:val="single" w:sz="4" w:space="0" w:color="auto"/>
              <w:right w:val="single" w:sz="4" w:space="0" w:color="auto"/>
            </w:tcBorders>
            <w:vAlign w:val="center"/>
          </w:tcPr>
          <w:p w14:paraId="4136017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8760</w:t>
            </w:r>
          </w:p>
        </w:tc>
        <w:tc>
          <w:tcPr>
            <w:tcW w:w="402" w:type="pct"/>
            <w:tcBorders>
              <w:top w:val="single" w:sz="4" w:space="0" w:color="auto"/>
              <w:left w:val="nil"/>
              <w:bottom w:val="single" w:sz="4" w:space="0" w:color="auto"/>
              <w:right w:val="single" w:sz="4" w:space="0" w:color="auto"/>
            </w:tcBorders>
            <w:vAlign w:val="center"/>
          </w:tcPr>
          <w:p w14:paraId="4FE30BB2"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连续</w:t>
            </w:r>
          </w:p>
        </w:tc>
        <w:tc>
          <w:tcPr>
            <w:tcW w:w="318" w:type="pct"/>
            <w:gridSpan w:val="2"/>
            <w:tcBorders>
              <w:top w:val="single" w:sz="4" w:space="0" w:color="auto"/>
              <w:left w:val="nil"/>
              <w:bottom w:val="single" w:sz="4" w:space="0" w:color="auto"/>
              <w:right w:val="single" w:sz="4" w:space="0" w:color="auto"/>
            </w:tcBorders>
            <w:vAlign w:val="center"/>
          </w:tcPr>
          <w:p w14:paraId="544480DB"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0.009</w:t>
            </w:r>
          </w:p>
        </w:tc>
        <w:tc>
          <w:tcPr>
            <w:tcW w:w="290" w:type="pct"/>
            <w:tcBorders>
              <w:top w:val="single" w:sz="4" w:space="0" w:color="auto"/>
              <w:left w:val="nil"/>
              <w:bottom w:val="single" w:sz="4" w:space="0" w:color="auto"/>
              <w:right w:val="nil"/>
            </w:tcBorders>
            <w:vAlign w:val="center"/>
          </w:tcPr>
          <w:p w14:paraId="63103F8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0.048</w:t>
            </w:r>
          </w:p>
        </w:tc>
        <w:tc>
          <w:tcPr>
            <w:tcW w:w="290" w:type="pct"/>
            <w:tcBorders>
              <w:top w:val="single" w:sz="4" w:space="0" w:color="auto"/>
              <w:left w:val="nil"/>
              <w:bottom w:val="single" w:sz="4" w:space="0" w:color="auto"/>
              <w:right w:val="single" w:sz="4" w:space="0" w:color="auto"/>
            </w:tcBorders>
            <w:vAlign w:val="center"/>
          </w:tcPr>
          <w:p w14:paraId="0162F6F1"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w:t>
            </w:r>
          </w:p>
        </w:tc>
        <w:tc>
          <w:tcPr>
            <w:tcW w:w="290" w:type="pct"/>
            <w:tcBorders>
              <w:top w:val="single" w:sz="4" w:space="0" w:color="auto"/>
              <w:left w:val="single" w:sz="4" w:space="0" w:color="auto"/>
              <w:bottom w:val="single" w:sz="4" w:space="0" w:color="auto"/>
              <w:right w:val="single" w:sz="4" w:space="0" w:color="auto"/>
            </w:tcBorders>
            <w:vAlign w:val="center"/>
          </w:tcPr>
          <w:p w14:paraId="4CA8328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0.08</w:t>
            </w:r>
          </w:p>
        </w:tc>
      </w:tr>
      <w:tr w:rsidR="00D12939" w14:paraId="44723280" w14:textId="77777777">
        <w:trPr>
          <w:trHeight w:val="268"/>
          <w:jc w:val="center"/>
        </w:trPr>
        <w:tc>
          <w:tcPr>
            <w:tcW w:w="191" w:type="pct"/>
            <w:vMerge w:val="restart"/>
            <w:tcBorders>
              <w:top w:val="single" w:sz="4" w:space="0" w:color="auto"/>
              <w:left w:val="single" w:sz="12" w:space="0" w:color="auto"/>
              <w:right w:val="single" w:sz="4" w:space="0" w:color="auto"/>
            </w:tcBorders>
            <w:vAlign w:val="center"/>
          </w:tcPr>
          <w:p w14:paraId="28C020B2"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P</w:t>
            </w:r>
            <w:r>
              <w:rPr>
                <w:rFonts w:ascii="Times New Roman" w:eastAsia="宋体" w:hAnsi="Times New Roman" w:cs="Times New Roman"/>
                <w:szCs w:val="21"/>
              </w:rPr>
              <w:t>2</w:t>
            </w:r>
          </w:p>
        </w:tc>
        <w:tc>
          <w:tcPr>
            <w:tcW w:w="657" w:type="pct"/>
            <w:vMerge w:val="restart"/>
            <w:tcBorders>
              <w:top w:val="single" w:sz="4" w:space="0" w:color="auto"/>
              <w:left w:val="nil"/>
              <w:right w:val="single" w:sz="4" w:space="0" w:color="auto"/>
            </w:tcBorders>
            <w:vAlign w:val="center"/>
          </w:tcPr>
          <w:p w14:paraId="6DB3248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调节池和渗滤液处理站除臭系统</w:t>
            </w:r>
          </w:p>
        </w:tc>
        <w:tc>
          <w:tcPr>
            <w:tcW w:w="229" w:type="pct"/>
            <w:vMerge w:val="restart"/>
            <w:tcBorders>
              <w:top w:val="single" w:sz="4" w:space="0" w:color="auto"/>
              <w:left w:val="nil"/>
              <w:right w:val="single" w:sz="4" w:space="0" w:color="auto"/>
            </w:tcBorders>
            <w:vAlign w:val="center"/>
          </w:tcPr>
          <w:p w14:paraId="0C8E37E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34</w:t>
            </w:r>
          </w:p>
        </w:tc>
        <w:tc>
          <w:tcPr>
            <w:tcW w:w="222" w:type="pct"/>
            <w:vMerge w:val="restart"/>
            <w:tcBorders>
              <w:top w:val="single" w:sz="4" w:space="0" w:color="auto"/>
              <w:left w:val="nil"/>
              <w:right w:val="single" w:sz="4" w:space="0" w:color="auto"/>
            </w:tcBorders>
            <w:vAlign w:val="center"/>
          </w:tcPr>
          <w:p w14:paraId="4703440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szCs w:val="21"/>
              </w:rPr>
              <w:t>328</w:t>
            </w:r>
          </w:p>
        </w:tc>
        <w:tc>
          <w:tcPr>
            <w:tcW w:w="298" w:type="pct"/>
            <w:vMerge w:val="restart"/>
            <w:tcBorders>
              <w:top w:val="single" w:sz="4" w:space="0" w:color="auto"/>
              <w:left w:val="nil"/>
              <w:right w:val="single" w:sz="4" w:space="0" w:color="auto"/>
            </w:tcBorders>
            <w:vAlign w:val="center"/>
          </w:tcPr>
          <w:p w14:paraId="63549ED9"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136</w:t>
            </w:r>
          </w:p>
        </w:tc>
        <w:tc>
          <w:tcPr>
            <w:tcW w:w="380" w:type="pct"/>
            <w:vMerge w:val="restart"/>
            <w:tcBorders>
              <w:top w:val="single" w:sz="4" w:space="0" w:color="auto"/>
              <w:left w:val="nil"/>
              <w:right w:val="single" w:sz="4" w:space="0" w:color="auto"/>
            </w:tcBorders>
            <w:vAlign w:val="center"/>
          </w:tcPr>
          <w:p w14:paraId="405EC56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w:t>
            </w:r>
          </w:p>
        </w:tc>
        <w:tc>
          <w:tcPr>
            <w:tcW w:w="268" w:type="pct"/>
            <w:vMerge w:val="restart"/>
            <w:tcBorders>
              <w:top w:val="single" w:sz="4" w:space="0" w:color="auto"/>
              <w:left w:val="nil"/>
              <w:right w:val="single" w:sz="4" w:space="0" w:color="auto"/>
            </w:tcBorders>
            <w:vAlign w:val="center"/>
          </w:tcPr>
          <w:p w14:paraId="0EC88ADE"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.5</w:t>
            </w:r>
          </w:p>
        </w:tc>
        <w:tc>
          <w:tcPr>
            <w:tcW w:w="403" w:type="pct"/>
            <w:vMerge w:val="restart"/>
            <w:tcBorders>
              <w:top w:val="single" w:sz="4" w:space="0" w:color="auto"/>
              <w:left w:val="nil"/>
              <w:right w:val="single" w:sz="4" w:space="0" w:color="auto"/>
            </w:tcBorders>
            <w:vAlign w:val="center"/>
          </w:tcPr>
          <w:p w14:paraId="3E8416D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0000</w:t>
            </w:r>
          </w:p>
        </w:tc>
        <w:tc>
          <w:tcPr>
            <w:tcW w:w="314" w:type="pct"/>
            <w:vMerge w:val="restart"/>
            <w:tcBorders>
              <w:top w:val="single" w:sz="4" w:space="0" w:color="auto"/>
              <w:left w:val="nil"/>
              <w:right w:val="single" w:sz="4" w:space="0" w:color="auto"/>
            </w:tcBorders>
            <w:vAlign w:val="center"/>
          </w:tcPr>
          <w:p w14:paraId="6C6C94F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448" w:type="pct"/>
            <w:vMerge w:val="restart"/>
            <w:tcBorders>
              <w:top w:val="single" w:sz="4" w:space="0" w:color="auto"/>
              <w:left w:val="nil"/>
              <w:right w:val="single" w:sz="4" w:space="0" w:color="auto"/>
            </w:tcBorders>
            <w:vAlign w:val="center"/>
          </w:tcPr>
          <w:p w14:paraId="1C9C7CD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760</w:t>
            </w:r>
          </w:p>
        </w:tc>
        <w:tc>
          <w:tcPr>
            <w:tcW w:w="402" w:type="pct"/>
            <w:tcBorders>
              <w:top w:val="single" w:sz="4" w:space="0" w:color="auto"/>
              <w:left w:val="nil"/>
              <w:bottom w:val="single" w:sz="4" w:space="0" w:color="auto"/>
              <w:right w:val="single" w:sz="4" w:space="0" w:color="auto"/>
            </w:tcBorders>
            <w:vAlign w:val="center"/>
          </w:tcPr>
          <w:p w14:paraId="3A6CF561"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正常</w:t>
            </w:r>
          </w:p>
        </w:tc>
        <w:tc>
          <w:tcPr>
            <w:tcW w:w="318" w:type="pct"/>
            <w:gridSpan w:val="2"/>
            <w:tcBorders>
              <w:top w:val="single" w:sz="4" w:space="0" w:color="auto"/>
              <w:left w:val="nil"/>
              <w:bottom w:val="single" w:sz="4" w:space="0" w:color="auto"/>
              <w:right w:val="single" w:sz="4" w:space="0" w:color="auto"/>
            </w:tcBorders>
            <w:vAlign w:val="center"/>
          </w:tcPr>
          <w:p w14:paraId="010E5E7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w:t>
            </w:r>
          </w:p>
        </w:tc>
        <w:tc>
          <w:tcPr>
            <w:tcW w:w="290" w:type="pct"/>
            <w:tcBorders>
              <w:top w:val="single" w:sz="4" w:space="0" w:color="auto"/>
              <w:left w:val="nil"/>
              <w:bottom w:val="single" w:sz="4" w:space="0" w:color="auto"/>
              <w:right w:val="nil"/>
            </w:tcBorders>
            <w:vAlign w:val="center"/>
          </w:tcPr>
          <w:p w14:paraId="1F4A8EA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w:t>
            </w:r>
          </w:p>
        </w:tc>
        <w:tc>
          <w:tcPr>
            <w:tcW w:w="290" w:type="pct"/>
            <w:tcBorders>
              <w:top w:val="single" w:sz="4" w:space="0" w:color="auto"/>
              <w:left w:val="nil"/>
              <w:bottom w:val="single" w:sz="4" w:space="0" w:color="auto"/>
              <w:right w:val="single" w:sz="4" w:space="0" w:color="auto"/>
            </w:tcBorders>
            <w:vAlign w:val="center"/>
          </w:tcPr>
          <w:p w14:paraId="0A4EDEC8" w14:textId="77777777" w:rsidR="00D12939" w:rsidRPr="008830BB" w:rsidRDefault="004F47F5">
            <w:pPr>
              <w:overflowPunct w:val="0"/>
              <w:jc w:val="center"/>
              <w:textAlignment w:val="baseline"/>
              <w:rPr>
                <w:rFonts w:ascii="Times New Roman" w:eastAsia="宋体" w:hAnsi="Times New Roman" w:cs="Times New Roman"/>
                <w:color w:val="FF0000"/>
                <w:szCs w:val="21"/>
              </w:rPr>
            </w:pPr>
            <w:r w:rsidRPr="008830BB">
              <w:rPr>
                <w:rFonts w:ascii="Times New Roman" w:eastAsia="宋体" w:hAnsi="Times New Roman" w:cs="Times New Roman" w:hint="eastAsia"/>
                <w:color w:val="FF0000"/>
                <w:szCs w:val="21"/>
              </w:rPr>
              <w:t>0</w:t>
            </w:r>
            <w:r w:rsidRPr="008830BB">
              <w:rPr>
                <w:rFonts w:ascii="Times New Roman" w:eastAsia="宋体" w:hAnsi="Times New Roman" w:cs="Times New Roman"/>
                <w:color w:val="FF0000"/>
                <w:szCs w:val="21"/>
              </w:rPr>
              <w:t>.0003</w:t>
            </w:r>
          </w:p>
        </w:tc>
        <w:tc>
          <w:tcPr>
            <w:tcW w:w="290" w:type="pct"/>
            <w:tcBorders>
              <w:top w:val="single" w:sz="4" w:space="0" w:color="auto"/>
              <w:left w:val="single" w:sz="4" w:space="0" w:color="auto"/>
              <w:bottom w:val="single" w:sz="4" w:space="0" w:color="auto"/>
              <w:right w:val="single" w:sz="4" w:space="0" w:color="auto"/>
            </w:tcBorders>
            <w:vAlign w:val="center"/>
          </w:tcPr>
          <w:p w14:paraId="0EC55C4A" w14:textId="5CA2094E" w:rsidR="00D12939" w:rsidRPr="008830BB" w:rsidRDefault="004F47F5" w:rsidP="008830BB">
            <w:pPr>
              <w:overflowPunct w:val="0"/>
              <w:jc w:val="center"/>
              <w:textAlignment w:val="baseline"/>
              <w:rPr>
                <w:rFonts w:ascii="Times New Roman" w:eastAsia="宋体" w:hAnsi="Times New Roman" w:cs="Times New Roman"/>
                <w:color w:val="FF0000"/>
                <w:szCs w:val="21"/>
              </w:rPr>
            </w:pPr>
            <w:r w:rsidRPr="008830BB">
              <w:rPr>
                <w:rFonts w:ascii="Times New Roman" w:eastAsia="宋体" w:hAnsi="Times New Roman" w:cs="Times New Roman" w:hint="eastAsia"/>
                <w:color w:val="FF0000"/>
                <w:szCs w:val="21"/>
              </w:rPr>
              <w:t>0</w:t>
            </w:r>
            <w:r w:rsidRPr="008830BB">
              <w:rPr>
                <w:rFonts w:ascii="Times New Roman" w:eastAsia="宋体" w:hAnsi="Times New Roman" w:cs="Times New Roman"/>
                <w:color w:val="FF0000"/>
                <w:szCs w:val="21"/>
              </w:rPr>
              <w:t>.02</w:t>
            </w:r>
            <w:r w:rsidR="008830BB" w:rsidRPr="008830BB">
              <w:rPr>
                <w:rFonts w:ascii="Times New Roman" w:eastAsia="宋体" w:hAnsi="Times New Roman" w:cs="Times New Roman"/>
                <w:color w:val="FF0000"/>
                <w:szCs w:val="21"/>
              </w:rPr>
              <w:t>0</w:t>
            </w:r>
          </w:p>
        </w:tc>
      </w:tr>
      <w:tr w:rsidR="00D12939" w14:paraId="1B86948E" w14:textId="77777777">
        <w:trPr>
          <w:trHeight w:val="428"/>
          <w:jc w:val="center"/>
        </w:trPr>
        <w:tc>
          <w:tcPr>
            <w:tcW w:w="191" w:type="pct"/>
            <w:vMerge/>
            <w:tcBorders>
              <w:left w:val="single" w:sz="12" w:space="0" w:color="auto"/>
              <w:bottom w:val="single" w:sz="4" w:space="0" w:color="auto"/>
              <w:right w:val="single" w:sz="4" w:space="0" w:color="auto"/>
            </w:tcBorders>
            <w:vAlign w:val="center"/>
          </w:tcPr>
          <w:p w14:paraId="6C082FC0" w14:textId="77777777" w:rsidR="00D12939" w:rsidRDefault="00D12939">
            <w:pPr>
              <w:overflowPunct w:val="0"/>
              <w:jc w:val="center"/>
              <w:textAlignment w:val="baseline"/>
              <w:rPr>
                <w:rFonts w:ascii="Times New Roman" w:eastAsia="宋体" w:hAnsi="Times New Roman" w:cs="Times New Roman"/>
                <w:szCs w:val="21"/>
              </w:rPr>
            </w:pPr>
          </w:p>
        </w:tc>
        <w:tc>
          <w:tcPr>
            <w:tcW w:w="657" w:type="pct"/>
            <w:vMerge/>
            <w:tcBorders>
              <w:left w:val="nil"/>
              <w:bottom w:val="single" w:sz="4" w:space="0" w:color="auto"/>
              <w:right w:val="single" w:sz="4" w:space="0" w:color="auto"/>
            </w:tcBorders>
            <w:vAlign w:val="center"/>
          </w:tcPr>
          <w:p w14:paraId="111CD9C8" w14:textId="77777777" w:rsidR="00D12939" w:rsidRDefault="00D12939">
            <w:pPr>
              <w:overflowPunct w:val="0"/>
              <w:jc w:val="center"/>
              <w:textAlignment w:val="baseline"/>
              <w:rPr>
                <w:rFonts w:ascii="Times New Roman" w:eastAsia="宋体" w:hAnsi="Times New Roman" w:cs="Times New Roman"/>
                <w:szCs w:val="21"/>
              </w:rPr>
            </w:pPr>
          </w:p>
        </w:tc>
        <w:tc>
          <w:tcPr>
            <w:tcW w:w="229" w:type="pct"/>
            <w:vMerge/>
            <w:tcBorders>
              <w:left w:val="nil"/>
              <w:bottom w:val="single" w:sz="4" w:space="0" w:color="auto"/>
              <w:right w:val="single" w:sz="4" w:space="0" w:color="auto"/>
            </w:tcBorders>
            <w:vAlign w:val="center"/>
          </w:tcPr>
          <w:p w14:paraId="1ADB790B" w14:textId="77777777" w:rsidR="00D12939" w:rsidRDefault="00D12939">
            <w:pPr>
              <w:overflowPunct w:val="0"/>
              <w:jc w:val="center"/>
              <w:textAlignment w:val="baseline"/>
              <w:rPr>
                <w:rFonts w:ascii="Times New Roman" w:eastAsia="宋体" w:hAnsi="Times New Roman" w:cs="Times New Roman"/>
                <w:szCs w:val="21"/>
              </w:rPr>
            </w:pPr>
          </w:p>
        </w:tc>
        <w:tc>
          <w:tcPr>
            <w:tcW w:w="222" w:type="pct"/>
            <w:vMerge/>
            <w:tcBorders>
              <w:left w:val="nil"/>
              <w:bottom w:val="single" w:sz="4" w:space="0" w:color="auto"/>
              <w:right w:val="single" w:sz="4" w:space="0" w:color="auto"/>
            </w:tcBorders>
            <w:vAlign w:val="center"/>
          </w:tcPr>
          <w:p w14:paraId="70BF54FD" w14:textId="77777777" w:rsidR="00D12939" w:rsidRDefault="00D12939">
            <w:pPr>
              <w:overflowPunct w:val="0"/>
              <w:jc w:val="center"/>
              <w:textAlignment w:val="baseline"/>
              <w:rPr>
                <w:rFonts w:ascii="Times New Roman" w:eastAsia="宋体" w:hAnsi="Times New Roman" w:cs="Times New Roman"/>
                <w:szCs w:val="21"/>
              </w:rPr>
            </w:pPr>
          </w:p>
        </w:tc>
        <w:tc>
          <w:tcPr>
            <w:tcW w:w="298" w:type="pct"/>
            <w:vMerge/>
            <w:tcBorders>
              <w:left w:val="nil"/>
              <w:bottom w:val="single" w:sz="4" w:space="0" w:color="auto"/>
              <w:right w:val="single" w:sz="4" w:space="0" w:color="auto"/>
            </w:tcBorders>
            <w:vAlign w:val="center"/>
          </w:tcPr>
          <w:p w14:paraId="772C5E60" w14:textId="77777777" w:rsidR="00D12939" w:rsidRDefault="00D12939">
            <w:pPr>
              <w:overflowPunct w:val="0"/>
              <w:jc w:val="center"/>
              <w:textAlignment w:val="baseline"/>
              <w:rPr>
                <w:rFonts w:ascii="Times New Roman" w:eastAsia="宋体" w:hAnsi="Times New Roman" w:cs="Times New Roman"/>
                <w:szCs w:val="21"/>
              </w:rPr>
            </w:pPr>
          </w:p>
        </w:tc>
        <w:tc>
          <w:tcPr>
            <w:tcW w:w="380" w:type="pct"/>
            <w:vMerge/>
            <w:tcBorders>
              <w:left w:val="nil"/>
              <w:bottom w:val="single" w:sz="4" w:space="0" w:color="auto"/>
              <w:right w:val="single" w:sz="4" w:space="0" w:color="auto"/>
            </w:tcBorders>
            <w:vAlign w:val="center"/>
          </w:tcPr>
          <w:p w14:paraId="7C2D7B70" w14:textId="77777777" w:rsidR="00D12939" w:rsidRDefault="00D12939">
            <w:pPr>
              <w:overflowPunct w:val="0"/>
              <w:jc w:val="center"/>
              <w:textAlignment w:val="baseline"/>
              <w:rPr>
                <w:rFonts w:ascii="Times New Roman" w:eastAsia="宋体" w:hAnsi="Times New Roman" w:cs="Times New Roman"/>
                <w:szCs w:val="21"/>
              </w:rPr>
            </w:pPr>
          </w:p>
        </w:tc>
        <w:tc>
          <w:tcPr>
            <w:tcW w:w="268" w:type="pct"/>
            <w:vMerge/>
            <w:tcBorders>
              <w:left w:val="nil"/>
              <w:bottom w:val="single" w:sz="4" w:space="0" w:color="auto"/>
              <w:right w:val="single" w:sz="4" w:space="0" w:color="auto"/>
            </w:tcBorders>
            <w:vAlign w:val="center"/>
          </w:tcPr>
          <w:p w14:paraId="77E56D8C" w14:textId="77777777" w:rsidR="00D12939" w:rsidRDefault="00D12939">
            <w:pPr>
              <w:overflowPunct w:val="0"/>
              <w:jc w:val="center"/>
              <w:textAlignment w:val="baseline"/>
              <w:rPr>
                <w:rFonts w:ascii="Times New Roman" w:eastAsia="宋体" w:hAnsi="Times New Roman" w:cs="Times New Roman"/>
                <w:szCs w:val="21"/>
              </w:rPr>
            </w:pPr>
          </w:p>
        </w:tc>
        <w:tc>
          <w:tcPr>
            <w:tcW w:w="403" w:type="pct"/>
            <w:vMerge/>
            <w:tcBorders>
              <w:left w:val="nil"/>
              <w:bottom w:val="single" w:sz="4" w:space="0" w:color="auto"/>
              <w:right w:val="single" w:sz="4" w:space="0" w:color="auto"/>
            </w:tcBorders>
            <w:vAlign w:val="center"/>
          </w:tcPr>
          <w:p w14:paraId="37A8896C" w14:textId="77777777" w:rsidR="00D12939" w:rsidRDefault="00D12939">
            <w:pPr>
              <w:overflowPunct w:val="0"/>
              <w:jc w:val="center"/>
              <w:textAlignment w:val="baseline"/>
              <w:rPr>
                <w:rFonts w:ascii="Times New Roman" w:eastAsia="宋体" w:hAnsi="Times New Roman" w:cs="Times New Roman"/>
                <w:szCs w:val="21"/>
              </w:rPr>
            </w:pPr>
          </w:p>
        </w:tc>
        <w:tc>
          <w:tcPr>
            <w:tcW w:w="314" w:type="pct"/>
            <w:vMerge/>
            <w:tcBorders>
              <w:left w:val="nil"/>
              <w:bottom w:val="single" w:sz="4" w:space="0" w:color="auto"/>
              <w:right w:val="single" w:sz="4" w:space="0" w:color="auto"/>
            </w:tcBorders>
            <w:vAlign w:val="center"/>
          </w:tcPr>
          <w:p w14:paraId="57ACCDEC" w14:textId="77777777" w:rsidR="00D12939" w:rsidRDefault="00D12939">
            <w:pPr>
              <w:overflowPunct w:val="0"/>
              <w:jc w:val="center"/>
              <w:textAlignment w:val="baseline"/>
              <w:rPr>
                <w:rFonts w:ascii="Times New Roman" w:eastAsia="宋体" w:hAnsi="Times New Roman" w:cs="Times New Roman"/>
                <w:szCs w:val="21"/>
              </w:rPr>
            </w:pPr>
          </w:p>
        </w:tc>
        <w:tc>
          <w:tcPr>
            <w:tcW w:w="448" w:type="pct"/>
            <w:vMerge/>
            <w:tcBorders>
              <w:left w:val="nil"/>
              <w:bottom w:val="single" w:sz="4" w:space="0" w:color="auto"/>
              <w:right w:val="single" w:sz="4" w:space="0" w:color="auto"/>
            </w:tcBorders>
            <w:vAlign w:val="center"/>
          </w:tcPr>
          <w:p w14:paraId="1B64C0D6" w14:textId="77777777" w:rsidR="00D12939" w:rsidRDefault="00D12939">
            <w:pPr>
              <w:overflowPunct w:val="0"/>
              <w:jc w:val="center"/>
              <w:textAlignment w:val="baseline"/>
              <w:rPr>
                <w:rFonts w:ascii="Times New Roman" w:eastAsia="宋体" w:hAnsi="Times New Roman" w:cs="Times New Roman"/>
                <w:szCs w:val="21"/>
              </w:rPr>
            </w:pPr>
          </w:p>
        </w:tc>
        <w:tc>
          <w:tcPr>
            <w:tcW w:w="402" w:type="pct"/>
            <w:tcBorders>
              <w:top w:val="single" w:sz="4" w:space="0" w:color="auto"/>
              <w:left w:val="nil"/>
              <w:bottom w:val="single" w:sz="4" w:space="0" w:color="auto"/>
              <w:right w:val="single" w:sz="4" w:space="0" w:color="auto"/>
            </w:tcBorders>
            <w:vAlign w:val="center"/>
          </w:tcPr>
          <w:p w14:paraId="03468D0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非正常</w:t>
            </w:r>
          </w:p>
        </w:tc>
        <w:tc>
          <w:tcPr>
            <w:tcW w:w="318" w:type="pct"/>
            <w:gridSpan w:val="2"/>
            <w:tcBorders>
              <w:top w:val="single" w:sz="4" w:space="0" w:color="auto"/>
              <w:left w:val="nil"/>
              <w:bottom w:val="single" w:sz="4" w:space="0" w:color="auto"/>
              <w:right w:val="single" w:sz="4" w:space="0" w:color="auto"/>
            </w:tcBorders>
            <w:vAlign w:val="center"/>
          </w:tcPr>
          <w:p w14:paraId="449C7991"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w:t>
            </w:r>
          </w:p>
        </w:tc>
        <w:tc>
          <w:tcPr>
            <w:tcW w:w="290" w:type="pct"/>
            <w:tcBorders>
              <w:top w:val="single" w:sz="4" w:space="0" w:color="auto"/>
              <w:left w:val="nil"/>
              <w:bottom w:val="single" w:sz="4" w:space="0" w:color="auto"/>
              <w:right w:val="nil"/>
            </w:tcBorders>
            <w:vAlign w:val="center"/>
          </w:tcPr>
          <w:p w14:paraId="41F08279"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w:t>
            </w:r>
          </w:p>
        </w:tc>
        <w:tc>
          <w:tcPr>
            <w:tcW w:w="290" w:type="pct"/>
            <w:tcBorders>
              <w:top w:val="single" w:sz="4" w:space="0" w:color="auto"/>
              <w:left w:val="nil"/>
              <w:bottom w:val="single" w:sz="4" w:space="0" w:color="auto"/>
              <w:right w:val="single" w:sz="4" w:space="0" w:color="auto"/>
            </w:tcBorders>
            <w:vAlign w:val="center"/>
          </w:tcPr>
          <w:p w14:paraId="42CA41C9" w14:textId="77777777" w:rsidR="00D12939" w:rsidRPr="008830BB" w:rsidRDefault="004F47F5">
            <w:pPr>
              <w:overflowPunct w:val="0"/>
              <w:jc w:val="center"/>
              <w:textAlignment w:val="baseline"/>
              <w:rPr>
                <w:rFonts w:ascii="Times New Roman" w:eastAsia="宋体" w:hAnsi="Times New Roman" w:cs="Times New Roman"/>
                <w:color w:val="FF0000"/>
                <w:szCs w:val="21"/>
              </w:rPr>
            </w:pPr>
            <w:r w:rsidRPr="008830BB">
              <w:rPr>
                <w:rFonts w:ascii="Times New Roman" w:eastAsia="宋体" w:hAnsi="Times New Roman" w:cs="Times New Roman" w:hint="eastAsia"/>
                <w:color w:val="FF0000"/>
                <w:szCs w:val="21"/>
              </w:rPr>
              <w:t>0</w:t>
            </w:r>
            <w:r w:rsidRPr="008830BB">
              <w:rPr>
                <w:rFonts w:ascii="Times New Roman" w:eastAsia="宋体" w:hAnsi="Times New Roman" w:cs="Times New Roman"/>
                <w:color w:val="FF0000"/>
                <w:szCs w:val="21"/>
              </w:rPr>
              <w:t>.006</w:t>
            </w:r>
          </w:p>
        </w:tc>
        <w:tc>
          <w:tcPr>
            <w:tcW w:w="290" w:type="pct"/>
            <w:tcBorders>
              <w:top w:val="single" w:sz="4" w:space="0" w:color="auto"/>
              <w:left w:val="single" w:sz="4" w:space="0" w:color="auto"/>
              <w:bottom w:val="single" w:sz="4" w:space="0" w:color="auto"/>
              <w:right w:val="single" w:sz="4" w:space="0" w:color="auto"/>
            </w:tcBorders>
            <w:vAlign w:val="center"/>
          </w:tcPr>
          <w:p w14:paraId="644A9016" w14:textId="3E6951E1" w:rsidR="00D12939" w:rsidRPr="008830BB" w:rsidRDefault="004F47F5" w:rsidP="008830BB">
            <w:pPr>
              <w:overflowPunct w:val="0"/>
              <w:jc w:val="center"/>
              <w:textAlignment w:val="baseline"/>
              <w:rPr>
                <w:rFonts w:ascii="Times New Roman" w:eastAsia="宋体" w:hAnsi="Times New Roman" w:cs="Times New Roman"/>
                <w:color w:val="FF0000"/>
                <w:szCs w:val="21"/>
              </w:rPr>
            </w:pPr>
            <w:r w:rsidRPr="008830BB">
              <w:rPr>
                <w:rFonts w:ascii="Times New Roman" w:eastAsia="宋体" w:hAnsi="Times New Roman" w:cs="Times New Roman" w:hint="eastAsia"/>
                <w:color w:val="FF0000"/>
                <w:szCs w:val="21"/>
              </w:rPr>
              <w:t>0</w:t>
            </w:r>
            <w:r w:rsidRPr="008830BB">
              <w:rPr>
                <w:rFonts w:ascii="Times New Roman" w:eastAsia="宋体" w:hAnsi="Times New Roman" w:cs="Times New Roman"/>
                <w:color w:val="FF0000"/>
                <w:szCs w:val="21"/>
              </w:rPr>
              <w:t>.4</w:t>
            </w:r>
            <w:r w:rsidR="008830BB" w:rsidRPr="008830BB">
              <w:rPr>
                <w:rFonts w:ascii="Times New Roman" w:eastAsia="宋体" w:hAnsi="Times New Roman" w:cs="Times New Roman"/>
                <w:color w:val="FF0000"/>
                <w:szCs w:val="21"/>
              </w:rPr>
              <w:t>05</w:t>
            </w:r>
          </w:p>
        </w:tc>
      </w:tr>
    </w:tbl>
    <w:p w14:paraId="14FDC908" w14:textId="77777777" w:rsidR="00D12939" w:rsidRDefault="004F47F5">
      <w:pPr>
        <w:autoSpaceDE w:val="0"/>
        <w:autoSpaceDN w:val="0"/>
        <w:adjustRightInd w:val="0"/>
        <w:jc w:val="center"/>
        <w:rPr>
          <w:rFonts w:ascii="Times New Roman" w:eastAsia="黑体" w:hAnsi="Times New Roman"/>
          <w:kern w:val="0"/>
          <w:sz w:val="24"/>
          <w:szCs w:val="21"/>
        </w:rPr>
      </w:pPr>
      <w:r>
        <w:rPr>
          <w:rFonts w:ascii="Times New Roman" w:eastAsia="黑体" w:hAnsi="Times New Roman"/>
          <w:kern w:val="0"/>
          <w:sz w:val="24"/>
          <w:szCs w:val="21"/>
        </w:rPr>
        <w:t>表</w:t>
      </w:r>
      <w:r>
        <w:rPr>
          <w:rFonts w:ascii="Times New Roman" w:eastAsia="黑体" w:hAnsi="Times New Roman"/>
          <w:kern w:val="0"/>
          <w:sz w:val="24"/>
          <w:szCs w:val="21"/>
        </w:rPr>
        <w:t xml:space="preserve">7.1-6  </w:t>
      </w:r>
      <w:r>
        <w:rPr>
          <w:rFonts w:ascii="Times New Roman" w:eastAsia="黑体" w:hAnsi="Times New Roman"/>
          <w:kern w:val="0"/>
          <w:sz w:val="24"/>
          <w:szCs w:val="21"/>
        </w:rPr>
        <w:t>项目面源参数表</w:t>
      </w:r>
    </w:p>
    <w:tbl>
      <w:tblPr>
        <w:tblW w:w="537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0" w:type="dxa"/>
          <w:bottom w:w="28" w:type="dxa"/>
          <w:right w:w="0" w:type="dxa"/>
        </w:tblCellMar>
        <w:tblLook w:val="04A0" w:firstRow="1" w:lastRow="0" w:firstColumn="1" w:lastColumn="0" w:noHBand="0" w:noVBand="1"/>
      </w:tblPr>
      <w:tblGrid>
        <w:gridCol w:w="579"/>
        <w:gridCol w:w="2017"/>
        <w:gridCol w:w="764"/>
        <w:gridCol w:w="773"/>
        <w:gridCol w:w="972"/>
        <w:gridCol w:w="802"/>
        <w:gridCol w:w="803"/>
        <w:gridCol w:w="1204"/>
        <w:gridCol w:w="1071"/>
        <w:gridCol w:w="1203"/>
        <w:gridCol w:w="1204"/>
        <w:gridCol w:w="1094"/>
        <w:gridCol w:w="1211"/>
        <w:gridCol w:w="1287"/>
      </w:tblGrid>
      <w:tr w:rsidR="00D12939" w14:paraId="355019A2" w14:textId="77777777">
        <w:trPr>
          <w:trHeight w:val="36"/>
          <w:jc w:val="center"/>
        </w:trPr>
        <w:tc>
          <w:tcPr>
            <w:tcW w:w="579" w:type="dxa"/>
            <w:vMerge w:val="restart"/>
            <w:tcBorders>
              <w:top w:val="single" w:sz="12" w:space="0" w:color="auto"/>
              <w:left w:val="single" w:sz="12" w:space="0" w:color="auto"/>
              <w:bottom w:val="single" w:sz="4" w:space="0" w:color="auto"/>
              <w:right w:val="single" w:sz="4" w:space="0" w:color="auto"/>
            </w:tcBorders>
            <w:vAlign w:val="center"/>
          </w:tcPr>
          <w:p w14:paraId="6715E94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编号</w:t>
            </w:r>
          </w:p>
        </w:tc>
        <w:tc>
          <w:tcPr>
            <w:tcW w:w="2017" w:type="dxa"/>
            <w:vMerge w:val="restart"/>
            <w:tcBorders>
              <w:top w:val="single" w:sz="12" w:space="0" w:color="auto"/>
              <w:left w:val="single" w:sz="4" w:space="0" w:color="auto"/>
              <w:bottom w:val="single" w:sz="4" w:space="0" w:color="auto"/>
              <w:right w:val="single" w:sz="4" w:space="0" w:color="auto"/>
            </w:tcBorders>
            <w:vAlign w:val="center"/>
          </w:tcPr>
          <w:p w14:paraId="4EA363E5"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污染源名称</w:t>
            </w:r>
          </w:p>
        </w:tc>
        <w:tc>
          <w:tcPr>
            <w:tcW w:w="1537" w:type="dxa"/>
            <w:gridSpan w:val="2"/>
            <w:tcBorders>
              <w:top w:val="single" w:sz="12" w:space="0" w:color="auto"/>
              <w:left w:val="single" w:sz="4" w:space="0" w:color="auto"/>
              <w:bottom w:val="single" w:sz="4" w:space="0" w:color="auto"/>
              <w:right w:val="single" w:sz="4" w:space="0" w:color="auto"/>
            </w:tcBorders>
            <w:vAlign w:val="center"/>
          </w:tcPr>
          <w:p w14:paraId="6D3C21E1"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面源中点坐标</w:t>
            </w:r>
            <w:r>
              <w:rPr>
                <w:rFonts w:ascii="Times New Roman" w:eastAsia="宋体" w:hAnsi="Times New Roman" w:cs="Times New Roman"/>
                <w:szCs w:val="21"/>
              </w:rPr>
              <w:t>/m</w:t>
            </w:r>
          </w:p>
        </w:tc>
        <w:tc>
          <w:tcPr>
            <w:tcW w:w="972" w:type="dxa"/>
            <w:vMerge w:val="restart"/>
            <w:tcBorders>
              <w:top w:val="single" w:sz="12" w:space="0" w:color="auto"/>
              <w:left w:val="single" w:sz="4" w:space="0" w:color="auto"/>
              <w:bottom w:val="single" w:sz="4" w:space="0" w:color="auto"/>
              <w:right w:val="single" w:sz="4" w:space="0" w:color="auto"/>
            </w:tcBorders>
            <w:vAlign w:val="center"/>
          </w:tcPr>
          <w:p w14:paraId="36EC9ED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面源海拔高度</w:t>
            </w:r>
            <w:r>
              <w:rPr>
                <w:rFonts w:ascii="Times New Roman" w:eastAsia="宋体" w:hAnsi="Times New Roman" w:cs="Times New Roman"/>
                <w:szCs w:val="21"/>
              </w:rPr>
              <w:t>/m</w:t>
            </w:r>
          </w:p>
        </w:tc>
        <w:tc>
          <w:tcPr>
            <w:tcW w:w="802" w:type="dxa"/>
            <w:vMerge w:val="restart"/>
            <w:tcBorders>
              <w:top w:val="single" w:sz="12" w:space="0" w:color="auto"/>
              <w:left w:val="single" w:sz="4" w:space="0" w:color="auto"/>
              <w:bottom w:val="single" w:sz="4" w:space="0" w:color="auto"/>
              <w:right w:val="single" w:sz="4" w:space="0" w:color="auto"/>
            </w:tcBorders>
            <w:vAlign w:val="center"/>
          </w:tcPr>
          <w:p w14:paraId="2E96596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面源长度</w:t>
            </w:r>
            <w:r>
              <w:rPr>
                <w:rFonts w:ascii="Times New Roman" w:eastAsia="宋体" w:hAnsi="Times New Roman" w:cs="Times New Roman"/>
                <w:szCs w:val="21"/>
              </w:rPr>
              <w:t>/m</w:t>
            </w:r>
          </w:p>
        </w:tc>
        <w:tc>
          <w:tcPr>
            <w:tcW w:w="803" w:type="dxa"/>
            <w:vMerge w:val="restart"/>
            <w:tcBorders>
              <w:top w:val="single" w:sz="12" w:space="0" w:color="auto"/>
              <w:left w:val="single" w:sz="4" w:space="0" w:color="auto"/>
              <w:bottom w:val="single" w:sz="4" w:space="0" w:color="auto"/>
              <w:right w:val="single" w:sz="4" w:space="0" w:color="auto"/>
            </w:tcBorders>
            <w:vAlign w:val="center"/>
          </w:tcPr>
          <w:p w14:paraId="58EF855A"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面源宽度</w:t>
            </w:r>
            <w:r>
              <w:rPr>
                <w:rFonts w:ascii="Times New Roman" w:eastAsia="宋体" w:hAnsi="Times New Roman" w:cs="Times New Roman"/>
                <w:szCs w:val="21"/>
              </w:rPr>
              <w:t>/m</w:t>
            </w:r>
          </w:p>
        </w:tc>
        <w:tc>
          <w:tcPr>
            <w:tcW w:w="1204" w:type="dxa"/>
            <w:vMerge w:val="restart"/>
            <w:tcBorders>
              <w:top w:val="single" w:sz="12" w:space="0" w:color="auto"/>
              <w:left w:val="single" w:sz="4" w:space="0" w:color="auto"/>
              <w:bottom w:val="single" w:sz="4" w:space="0" w:color="auto"/>
              <w:right w:val="single" w:sz="4" w:space="0" w:color="auto"/>
            </w:tcBorders>
            <w:vAlign w:val="center"/>
          </w:tcPr>
          <w:p w14:paraId="77DBA07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与正北向夹角</w:t>
            </w:r>
            <w:r>
              <w:rPr>
                <w:rFonts w:ascii="Times New Roman" w:eastAsia="宋体" w:hAnsi="Times New Roman" w:cs="Times New Roman"/>
                <w:szCs w:val="21"/>
              </w:rPr>
              <w:t>/°</w:t>
            </w:r>
          </w:p>
        </w:tc>
        <w:tc>
          <w:tcPr>
            <w:tcW w:w="1071" w:type="dxa"/>
            <w:vMerge w:val="restart"/>
            <w:tcBorders>
              <w:top w:val="single" w:sz="12" w:space="0" w:color="auto"/>
              <w:left w:val="single" w:sz="4" w:space="0" w:color="auto"/>
              <w:bottom w:val="single" w:sz="4" w:space="0" w:color="auto"/>
              <w:right w:val="single" w:sz="4" w:space="0" w:color="auto"/>
            </w:tcBorders>
            <w:vAlign w:val="center"/>
          </w:tcPr>
          <w:p w14:paraId="3FA8D099"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面源有效排放高度</w:t>
            </w:r>
            <w:r>
              <w:rPr>
                <w:rFonts w:ascii="Times New Roman" w:eastAsia="宋体" w:hAnsi="Times New Roman" w:cs="Times New Roman"/>
                <w:szCs w:val="21"/>
              </w:rPr>
              <w:t>/m</w:t>
            </w:r>
          </w:p>
        </w:tc>
        <w:tc>
          <w:tcPr>
            <w:tcW w:w="1203" w:type="dxa"/>
            <w:vMerge w:val="restart"/>
            <w:tcBorders>
              <w:top w:val="single" w:sz="12" w:space="0" w:color="auto"/>
              <w:left w:val="single" w:sz="4" w:space="0" w:color="auto"/>
              <w:bottom w:val="single" w:sz="4" w:space="0" w:color="auto"/>
              <w:right w:val="single" w:sz="4" w:space="0" w:color="auto"/>
            </w:tcBorders>
            <w:vAlign w:val="center"/>
          </w:tcPr>
          <w:p w14:paraId="4A575AB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年排放小时数</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h</w:t>
            </w:r>
            <w:r>
              <w:rPr>
                <w:rFonts w:ascii="Times New Roman" w:eastAsia="宋体" w:hAnsi="Times New Roman" w:cs="Times New Roman"/>
                <w:szCs w:val="21"/>
              </w:rPr>
              <w:t>）</w:t>
            </w:r>
          </w:p>
        </w:tc>
        <w:tc>
          <w:tcPr>
            <w:tcW w:w="1204" w:type="dxa"/>
            <w:vMerge w:val="restart"/>
            <w:tcBorders>
              <w:top w:val="single" w:sz="12" w:space="0" w:color="auto"/>
              <w:left w:val="single" w:sz="4" w:space="0" w:color="auto"/>
              <w:bottom w:val="single" w:sz="4" w:space="0" w:color="auto"/>
              <w:right w:val="single" w:sz="4" w:space="0" w:color="auto"/>
            </w:tcBorders>
            <w:vAlign w:val="center"/>
          </w:tcPr>
          <w:p w14:paraId="1440163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排放工况</w:t>
            </w:r>
          </w:p>
        </w:tc>
        <w:tc>
          <w:tcPr>
            <w:tcW w:w="3592" w:type="dxa"/>
            <w:gridSpan w:val="3"/>
            <w:tcBorders>
              <w:top w:val="single" w:sz="12" w:space="0" w:color="auto"/>
              <w:left w:val="single" w:sz="4" w:space="0" w:color="auto"/>
              <w:bottom w:val="nil"/>
              <w:right w:val="single" w:sz="12" w:space="0" w:color="auto"/>
            </w:tcBorders>
            <w:vAlign w:val="center"/>
          </w:tcPr>
          <w:p w14:paraId="79A11FDB"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污染物排放速率</w:t>
            </w:r>
            <w:r>
              <w:rPr>
                <w:rFonts w:ascii="Times New Roman" w:eastAsia="宋体" w:hAnsi="Times New Roman" w:cs="Times New Roman"/>
                <w:szCs w:val="21"/>
              </w:rPr>
              <w:t>/( kg/h)</w:t>
            </w:r>
          </w:p>
        </w:tc>
      </w:tr>
      <w:tr w:rsidR="00D12939" w14:paraId="0191BC08" w14:textId="77777777">
        <w:trPr>
          <w:trHeight w:val="32"/>
          <w:jc w:val="center"/>
        </w:trPr>
        <w:tc>
          <w:tcPr>
            <w:tcW w:w="579" w:type="dxa"/>
            <w:vMerge/>
            <w:tcBorders>
              <w:top w:val="single" w:sz="12" w:space="0" w:color="auto"/>
              <w:left w:val="single" w:sz="12" w:space="0" w:color="auto"/>
              <w:bottom w:val="single" w:sz="4" w:space="0" w:color="auto"/>
              <w:right w:val="single" w:sz="4" w:space="0" w:color="auto"/>
            </w:tcBorders>
            <w:vAlign w:val="center"/>
          </w:tcPr>
          <w:p w14:paraId="5CF4261B" w14:textId="77777777" w:rsidR="00D12939" w:rsidRDefault="00D12939">
            <w:pPr>
              <w:widowControl/>
              <w:jc w:val="center"/>
              <w:rPr>
                <w:rFonts w:ascii="Times New Roman" w:eastAsia="宋体" w:hAnsi="Times New Roman" w:cs="Times New Roman"/>
                <w:szCs w:val="21"/>
              </w:rPr>
            </w:pPr>
          </w:p>
        </w:tc>
        <w:tc>
          <w:tcPr>
            <w:tcW w:w="2017" w:type="dxa"/>
            <w:vMerge/>
            <w:tcBorders>
              <w:top w:val="single" w:sz="12" w:space="0" w:color="auto"/>
              <w:left w:val="single" w:sz="4" w:space="0" w:color="auto"/>
              <w:bottom w:val="single" w:sz="4" w:space="0" w:color="auto"/>
              <w:right w:val="single" w:sz="4" w:space="0" w:color="auto"/>
            </w:tcBorders>
            <w:vAlign w:val="center"/>
          </w:tcPr>
          <w:p w14:paraId="1D66B3E0" w14:textId="77777777" w:rsidR="00D12939" w:rsidRDefault="00D12939">
            <w:pPr>
              <w:widowControl/>
              <w:jc w:val="center"/>
              <w:rPr>
                <w:rFonts w:ascii="Times New Roman" w:eastAsia="宋体" w:hAnsi="Times New Roman" w:cs="Times New Roman"/>
                <w:szCs w:val="21"/>
              </w:rPr>
            </w:pPr>
          </w:p>
        </w:tc>
        <w:tc>
          <w:tcPr>
            <w:tcW w:w="764" w:type="dxa"/>
            <w:tcBorders>
              <w:top w:val="single" w:sz="4" w:space="0" w:color="auto"/>
              <w:left w:val="single" w:sz="4" w:space="0" w:color="auto"/>
              <w:bottom w:val="single" w:sz="4" w:space="0" w:color="auto"/>
              <w:right w:val="single" w:sz="4" w:space="0" w:color="auto"/>
            </w:tcBorders>
            <w:vAlign w:val="center"/>
          </w:tcPr>
          <w:p w14:paraId="080F589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X</w:t>
            </w:r>
          </w:p>
        </w:tc>
        <w:tc>
          <w:tcPr>
            <w:tcW w:w="773" w:type="dxa"/>
            <w:tcBorders>
              <w:top w:val="single" w:sz="4" w:space="0" w:color="auto"/>
              <w:left w:val="single" w:sz="4" w:space="0" w:color="auto"/>
              <w:bottom w:val="single" w:sz="4" w:space="0" w:color="auto"/>
              <w:right w:val="single" w:sz="4" w:space="0" w:color="auto"/>
            </w:tcBorders>
            <w:vAlign w:val="center"/>
          </w:tcPr>
          <w:p w14:paraId="4FC665E2"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Y</w:t>
            </w:r>
          </w:p>
        </w:tc>
        <w:tc>
          <w:tcPr>
            <w:tcW w:w="972" w:type="dxa"/>
            <w:vMerge/>
            <w:tcBorders>
              <w:top w:val="single" w:sz="12" w:space="0" w:color="auto"/>
              <w:left w:val="single" w:sz="4" w:space="0" w:color="auto"/>
              <w:bottom w:val="single" w:sz="4" w:space="0" w:color="auto"/>
              <w:right w:val="single" w:sz="4" w:space="0" w:color="auto"/>
            </w:tcBorders>
            <w:vAlign w:val="center"/>
          </w:tcPr>
          <w:p w14:paraId="093F5E74" w14:textId="77777777" w:rsidR="00D12939" w:rsidRDefault="00D12939">
            <w:pPr>
              <w:widowControl/>
              <w:jc w:val="center"/>
              <w:rPr>
                <w:rFonts w:ascii="Times New Roman" w:eastAsia="宋体" w:hAnsi="Times New Roman" w:cs="Times New Roman"/>
                <w:szCs w:val="21"/>
              </w:rPr>
            </w:pPr>
          </w:p>
        </w:tc>
        <w:tc>
          <w:tcPr>
            <w:tcW w:w="802" w:type="dxa"/>
            <w:vMerge/>
            <w:tcBorders>
              <w:top w:val="single" w:sz="12" w:space="0" w:color="auto"/>
              <w:left w:val="single" w:sz="4" w:space="0" w:color="auto"/>
              <w:bottom w:val="single" w:sz="4" w:space="0" w:color="auto"/>
              <w:right w:val="single" w:sz="4" w:space="0" w:color="auto"/>
            </w:tcBorders>
            <w:vAlign w:val="center"/>
          </w:tcPr>
          <w:p w14:paraId="5F174954" w14:textId="77777777" w:rsidR="00D12939" w:rsidRDefault="00D12939">
            <w:pPr>
              <w:widowControl/>
              <w:jc w:val="center"/>
              <w:rPr>
                <w:rFonts w:ascii="Times New Roman" w:eastAsia="宋体" w:hAnsi="Times New Roman" w:cs="Times New Roman"/>
                <w:szCs w:val="21"/>
              </w:rPr>
            </w:pPr>
          </w:p>
        </w:tc>
        <w:tc>
          <w:tcPr>
            <w:tcW w:w="803" w:type="dxa"/>
            <w:vMerge/>
            <w:tcBorders>
              <w:top w:val="single" w:sz="12" w:space="0" w:color="auto"/>
              <w:left w:val="single" w:sz="4" w:space="0" w:color="auto"/>
              <w:bottom w:val="single" w:sz="4" w:space="0" w:color="auto"/>
              <w:right w:val="single" w:sz="4" w:space="0" w:color="auto"/>
            </w:tcBorders>
            <w:vAlign w:val="center"/>
          </w:tcPr>
          <w:p w14:paraId="1B64F668" w14:textId="77777777" w:rsidR="00D12939" w:rsidRDefault="00D12939">
            <w:pPr>
              <w:widowControl/>
              <w:jc w:val="center"/>
              <w:rPr>
                <w:rFonts w:ascii="Times New Roman" w:eastAsia="宋体" w:hAnsi="Times New Roman" w:cs="Times New Roman"/>
                <w:szCs w:val="21"/>
              </w:rPr>
            </w:pPr>
          </w:p>
        </w:tc>
        <w:tc>
          <w:tcPr>
            <w:tcW w:w="1204" w:type="dxa"/>
            <w:vMerge/>
            <w:tcBorders>
              <w:top w:val="single" w:sz="12" w:space="0" w:color="auto"/>
              <w:left w:val="single" w:sz="4" w:space="0" w:color="auto"/>
              <w:bottom w:val="single" w:sz="4" w:space="0" w:color="auto"/>
              <w:right w:val="single" w:sz="4" w:space="0" w:color="auto"/>
            </w:tcBorders>
            <w:vAlign w:val="center"/>
          </w:tcPr>
          <w:p w14:paraId="0B4DB3EC" w14:textId="77777777" w:rsidR="00D12939" w:rsidRDefault="00D12939">
            <w:pPr>
              <w:widowControl/>
              <w:jc w:val="center"/>
              <w:rPr>
                <w:rFonts w:ascii="Times New Roman" w:eastAsia="宋体" w:hAnsi="Times New Roman" w:cs="Times New Roman"/>
                <w:szCs w:val="21"/>
              </w:rPr>
            </w:pPr>
          </w:p>
        </w:tc>
        <w:tc>
          <w:tcPr>
            <w:tcW w:w="1071" w:type="dxa"/>
            <w:vMerge/>
            <w:tcBorders>
              <w:top w:val="single" w:sz="12" w:space="0" w:color="auto"/>
              <w:left w:val="single" w:sz="4" w:space="0" w:color="auto"/>
              <w:bottom w:val="single" w:sz="4" w:space="0" w:color="auto"/>
              <w:right w:val="single" w:sz="4" w:space="0" w:color="auto"/>
            </w:tcBorders>
            <w:vAlign w:val="center"/>
          </w:tcPr>
          <w:p w14:paraId="3EFC2ACB" w14:textId="77777777" w:rsidR="00D12939" w:rsidRDefault="00D12939">
            <w:pPr>
              <w:widowControl/>
              <w:jc w:val="center"/>
              <w:rPr>
                <w:rFonts w:ascii="Times New Roman" w:eastAsia="宋体" w:hAnsi="Times New Roman" w:cs="Times New Roman"/>
                <w:szCs w:val="21"/>
              </w:rPr>
            </w:pPr>
          </w:p>
        </w:tc>
        <w:tc>
          <w:tcPr>
            <w:tcW w:w="1203" w:type="dxa"/>
            <w:vMerge/>
            <w:tcBorders>
              <w:top w:val="single" w:sz="12" w:space="0" w:color="auto"/>
              <w:left w:val="single" w:sz="4" w:space="0" w:color="auto"/>
              <w:bottom w:val="single" w:sz="4" w:space="0" w:color="auto"/>
              <w:right w:val="single" w:sz="4" w:space="0" w:color="auto"/>
            </w:tcBorders>
            <w:vAlign w:val="center"/>
          </w:tcPr>
          <w:p w14:paraId="6B028137" w14:textId="77777777" w:rsidR="00D12939" w:rsidRDefault="00D12939">
            <w:pPr>
              <w:widowControl/>
              <w:jc w:val="center"/>
              <w:rPr>
                <w:rFonts w:ascii="Times New Roman" w:eastAsia="宋体" w:hAnsi="Times New Roman" w:cs="Times New Roman"/>
                <w:szCs w:val="21"/>
              </w:rPr>
            </w:pPr>
          </w:p>
        </w:tc>
        <w:tc>
          <w:tcPr>
            <w:tcW w:w="1204" w:type="dxa"/>
            <w:vMerge/>
            <w:tcBorders>
              <w:top w:val="single" w:sz="12" w:space="0" w:color="auto"/>
              <w:left w:val="single" w:sz="4" w:space="0" w:color="auto"/>
              <w:bottom w:val="single" w:sz="4" w:space="0" w:color="auto"/>
              <w:right w:val="single" w:sz="4" w:space="0" w:color="auto"/>
            </w:tcBorders>
            <w:vAlign w:val="center"/>
          </w:tcPr>
          <w:p w14:paraId="5A240228" w14:textId="77777777" w:rsidR="00D12939" w:rsidRDefault="00D12939">
            <w:pPr>
              <w:widowControl/>
              <w:jc w:val="center"/>
              <w:rPr>
                <w:rFonts w:ascii="Times New Roman" w:eastAsia="宋体" w:hAnsi="Times New Roman" w:cs="Times New Roman"/>
                <w:szCs w:val="21"/>
              </w:rPr>
            </w:pPr>
          </w:p>
        </w:tc>
        <w:tc>
          <w:tcPr>
            <w:tcW w:w="1094" w:type="dxa"/>
            <w:tcBorders>
              <w:top w:val="single" w:sz="4" w:space="0" w:color="auto"/>
              <w:left w:val="single" w:sz="4" w:space="0" w:color="auto"/>
              <w:bottom w:val="single" w:sz="4" w:space="0" w:color="auto"/>
              <w:right w:val="single" w:sz="4" w:space="0" w:color="auto"/>
            </w:tcBorders>
            <w:vAlign w:val="center"/>
          </w:tcPr>
          <w:p w14:paraId="3273970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p>
        </w:tc>
        <w:tc>
          <w:tcPr>
            <w:tcW w:w="1211" w:type="dxa"/>
            <w:tcBorders>
              <w:top w:val="single" w:sz="4" w:space="0" w:color="auto"/>
              <w:left w:val="single" w:sz="4" w:space="0" w:color="auto"/>
              <w:bottom w:val="single" w:sz="4" w:space="0" w:color="auto"/>
              <w:right w:val="single" w:sz="12" w:space="0" w:color="auto"/>
            </w:tcBorders>
            <w:vAlign w:val="center"/>
          </w:tcPr>
          <w:p w14:paraId="1775502B"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w:t>
            </w:r>
          </w:p>
        </w:tc>
        <w:tc>
          <w:tcPr>
            <w:tcW w:w="1287" w:type="dxa"/>
            <w:tcBorders>
              <w:top w:val="single" w:sz="4" w:space="0" w:color="auto"/>
              <w:left w:val="single" w:sz="4" w:space="0" w:color="auto"/>
              <w:bottom w:val="single" w:sz="4" w:space="0" w:color="auto"/>
              <w:right w:val="single" w:sz="12" w:space="0" w:color="auto"/>
            </w:tcBorders>
            <w:vAlign w:val="center"/>
          </w:tcPr>
          <w:p w14:paraId="0A9141B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TSP</w:t>
            </w:r>
          </w:p>
        </w:tc>
      </w:tr>
      <w:tr w:rsidR="00D12939" w14:paraId="0CDF8FB8" w14:textId="77777777">
        <w:trPr>
          <w:trHeight w:val="264"/>
          <w:jc w:val="center"/>
        </w:trPr>
        <w:tc>
          <w:tcPr>
            <w:tcW w:w="579" w:type="dxa"/>
            <w:tcBorders>
              <w:top w:val="single" w:sz="4" w:space="0" w:color="auto"/>
              <w:left w:val="single" w:sz="12" w:space="0" w:color="auto"/>
              <w:bottom w:val="single" w:sz="4" w:space="0" w:color="auto"/>
              <w:right w:val="single" w:sz="4" w:space="0" w:color="auto"/>
            </w:tcBorders>
            <w:vAlign w:val="center"/>
          </w:tcPr>
          <w:p w14:paraId="4EE73022"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N1</w:t>
            </w:r>
          </w:p>
        </w:tc>
        <w:tc>
          <w:tcPr>
            <w:tcW w:w="2017" w:type="dxa"/>
            <w:tcBorders>
              <w:top w:val="single" w:sz="4" w:space="0" w:color="auto"/>
              <w:left w:val="single" w:sz="4" w:space="0" w:color="auto"/>
              <w:bottom w:val="single" w:sz="4" w:space="0" w:color="auto"/>
              <w:right w:val="single" w:sz="4" w:space="0" w:color="auto"/>
            </w:tcBorders>
            <w:vAlign w:val="center"/>
          </w:tcPr>
          <w:p w14:paraId="162E6F2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填埋废气（非点燃状态）</w:t>
            </w:r>
          </w:p>
        </w:tc>
        <w:tc>
          <w:tcPr>
            <w:tcW w:w="764" w:type="dxa"/>
            <w:tcBorders>
              <w:top w:val="single" w:sz="4" w:space="0" w:color="auto"/>
              <w:left w:val="single" w:sz="4" w:space="0" w:color="auto"/>
              <w:bottom w:val="single" w:sz="4" w:space="0" w:color="auto"/>
              <w:right w:val="single" w:sz="4" w:space="0" w:color="auto"/>
            </w:tcBorders>
            <w:vAlign w:val="center"/>
          </w:tcPr>
          <w:p w14:paraId="0E6B1891"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278</w:t>
            </w:r>
          </w:p>
        </w:tc>
        <w:tc>
          <w:tcPr>
            <w:tcW w:w="773" w:type="dxa"/>
            <w:tcBorders>
              <w:top w:val="single" w:sz="4" w:space="0" w:color="auto"/>
              <w:left w:val="single" w:sz="4" w:space="0" w:color="auto"/>
              <w:bottom w:val="single" w:sz="4" w:space="0" w:color="auto"/>
              <w:right w:val="single" w:sz="4" w:space="0" w:color="auto"/>
            </w:tcBorders>
            <w:vAlign w:val="center"/>
          </w:tcPr>
          <w:p w14:paraId="3D9A2DA5"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-205</w:t>
            </w:r>
          </w:p>
        </w:tc>
        <w:tc>
          <w:tcPr>
            <w:tcW w:w="972" w:type="dxa"/>
            <w:tcBorders>
              <w:top w:val="single" w:sz="4" w:space="0" w:color="auto"/>
              <w:left w:val="single" w:sz="4" w:space="0" w:color="auto"/>
              <w:bottom w:val="single" w:sz="4" w:space="0" w:color="auto"/>
              <w:right w:val="single" w:sz="4" w:space="0" w:color="auto"/>
            </w:tcBorders>
            <w:vAlign w:val="center"/>
          </w:tcPr>
          <w:p w14:paraId="5ED5EAE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1160</w:t>
            </w:r>
          </w:p>
        </w:tc>
        <w:tc>
          <w:tcPr>
            <w:tcW w:w="802" w:type="dxa"/>
            <w:tcBorders>
              <w:top w:val="single" w:sz="4" w:space="0" w:color="auto"/>
              <w:left w:val="single" w:sz="4" w:space="0" w:color="auto"/>
              <w:bottom w:val="single" w:sz="4" w:space="0" w:color="auto"/>
              <w:right w:val="single" w:sz="4" w:space="0" w:color="auto"/>
            </w:tcBorders>
            <w:vAlign w:val="center"/>
          </w:tcPr>
          <w:p w14:paraId="4FA1A99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00</w:t>
            </w:r>
          </w:p>
        </w:tc>
        <w:tc>
          <w:tcPr>
            <w:tcW w:w="803" w:type="dxa"/>
            <w:tcBorders>
              <w:top w:val="single" w:sz="4" w:space="0" w:color="auto"/>
              <w:left w:val="single" w:sz="4" w:space="0" w:color="auto"/>
              <w:bottom w:val="single" w:sz="4" w:space="0" w:color="auto"/>
              <w:right w:val="single" w:sz="4" w:space="0" w:color="auto"/>
            </w:tcBorders>
            <w:vAlign w:val="center"/>
          </w:tcPr>
          <w:p w14:paraId="07F2C6A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24</w:t>
            </w:r>
          </w:p>
        </w:tc>
        <w:tc>
          <w:tcPr>
            <w:tcW w:w="1204" w:type="dxa"/>
            <w:tcBorders>
              <w:top w:val="single" w:sz="4" w:space="0" w:color="auto"/>
              <w:left w:val="single" w:sz="4" w:space="0" w:color="auto"/>
              <w:bottom w:val="single" w:sz="4" w:space="0" w:color="auto"/>
              <w:right w:val="single" w:sz="4" w:space="0" w:color="auto"/>
            </w:tcBorders>
            <w:vAlign w:val="center"/>
          </w:tcPr>
          <w:p w14:paraId="07BB4671"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20</w:t>
            </w:r>
          </w:p>
        </w:tc>
        <w:tc>
          <w:tcPr>
            <w:tcW w:w="1071" w:type="dxa"/>
            <w:tcBorders>
              <w:top w:val="single" w:sz="4" w:space="0" w:color="auto"/>
              <w:left w:val="single" w:sz="4" w:space="0" w:color="auto"/>
              <w:bottom w:val="single" w:sz="4" w:space="0" w:color="auto"/>
              <w:right w:val="single" w:sz="4" w:space="0" w:color="auto"/>
            </w:tcBorders>
            <w:vAlign w:val="center"/>
          </w:tcPr>
          <w:p w14:paraId="368A0DC1"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13</w:t>
            </w:r>
          </w:p>
        </w:tc>
        <w:tc>
          <w:tcPr>
            <w:tcW w:w="1203" w:type="dxa"/>
            <w:tcBorders>
              <w:top w:val="single" w:sz="4" w:space="0" w:color="auto"/>
              <w:left w:val="single" w:sz="4" w:space="0" w:color="auto"/>
              <w:bottom w:val="single" w:sz="4" w:space="0" w:color="auto"/>
              <w:right w:val="single" w:sz="4" w:space="0" w:color="auto"/>
            </w:tcBorders>
            <w:vAlign w:val="center"/>
          </w:tcPr>
          <w:p w14:paraId="693E817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8760</w:t>
            </w:r>
          </w:p>
        </w:tc>
        <w:tc>
          <w:tcPr>
            <w:tcW w:w="1204" w:type="dxa"/>
            <w:tcBorders>
              <w:top w:val="single" w:sz="4" w:space="0" w:color="auto"/>
              <w:left w:val="single" w:sz="4" w:space="0" w:color="auto"/>
              <w:bottom w:val="single" w:sz="4" w:space="0" w:color="auto"/>
              <w:right w:val="single" w:sz="4" w:space="0" w:color="auto"/>
            </w:tcBorders>
            <w:vAlign w:val="center"/>
          </w:tcPr>
          <w:p w14:paraId="1DFAE3EB"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连续</w:t>
            </w:r>
          </w:p>
        </w:tc>
        <w:tc>
          <w:tcPr>
            <w:tcW w:w="1094" w:type="dxa"/>
            <w:tcBorders>
              <w:top w:val="single" w:sz="4" w:space="0" w:color="auto"/>
              <w:left w:val="single" w:sz="4" w:space="0" w:color="auto"/>
              <w:bottom w:val="single" w:sz="4" w:space="0" w:color="auto"/>
              <w:right w:val="single" w:sz="4" w:space="0" w:color="auto"/>
            </w:tcBorders>
            <w:vAlign w:val="center"/>
          </w:tcPr>
          <w:p w14:paraId="3D066EB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0.1</w:t>
            </w:r>
          </w:p>
        </w:tc>
        <w:tc>
          <w:tcPr>
            <w:tcW w:w="1211" w:type="dxa"/>
            <w:tcBorders>
              <w:top w:val="single" w:sz="4" w:space="0" w:color="auto"/>
              <w:left w:val="single" w:sz="4" w:space="0" w:color="auto"/>
              <w:bottom w:val="single" w:sz="4" w:space="0" w:color="auto"/>
              <w:right w:val="single" w:sz="12" w:space="0" w:color="auto"/>
            </w:tcBorders>
            <w:vAlign w:val="center"/>
          </w:tcPr>
          <w:p w14:paraId="3AD2FD43"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0.006</w:t>
            </w:r>
          </w:p>
        </w:tc>
        <w:tc>
          <w:tcPr>
            <w:tcW w:w="1287" w:type="dxa"/>
            <w:tcBorders>
              <w:top w:val="single" w:sz="4" w:space="0" w:color="auto"/>
              <w:left w:val="single" w:sz="4" w:space="0" w:color="auto"/>
              <w:bottom w:val="single" w:sz="4" w:space="0" w:color="auto"/>
              <w:right w:val="single" w:sz="12" w:space="0" w:color="auto"/>
            </w:tcBorders>
            <w:vAlign w:val="center"/>
          </w:tcPr>
          <w:p w14:paraId="4B4ABA72"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w:t>
            </w:r>
          </w:p>
        </w:tc>
      </w:tr>
      <w:tr w:rsidR="00D12939" w14:paraId="05FBFD90" w14:textId="77777777">
        <w:trPr>
          <w:trHeight w:val="264"/>
          <w:jc w:val="center"/>
        </w:trPr>
        <w:tc>
          <w:tcPr>
            <w:tcW w:w="579" w:type="dxa"/>
            <w:tcBorders>
              <w:top w:val="single" w:sz="4" w:space="0" w:color="auto"/>
              <w:left w:val="single" w:sz="12" w:space="0" w:color="auto"/>
              <w:bottom w:val="single" w:sz="4" w:space="0" w:color="auto"/>
              <w:right w:val="single" w:sz="4" w:space="0" w:color="auto"/>
            </w:tcBorders>
            <w:vAlign w:val="center"/>
          </w:tcPr>
          <w:p w14:paraId="7799335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N2</w:t>
            </w:r>
          </w:p>
        </w:tc>
        <w:tc>
          <w:tcPr>
            <w:tcW w:w="2017" w:type="dxa"/>
            <w:tcBorders>
              <w:top w:val="single" w:sz="4" w:space="0" w:color="auto"/>
              <w:left w:val="single" w:sz="4" w:space="0" w:color="auto"/>
              <w:bottom w:val="single" w:sz="4" w:space="0" w:color="auto"/>
              <w:right w:val="single" w:sz="4" w:space="0" w:color="auto"/>
            </w:tcBorders>
            <w:vAlign w:val="center"/>
          </w:tcPr>
          <w:p w14:paraId="4B52DACE"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填埋废气（点燃状态）</w:t>
            </w:r>
          </w:p>
        </w:tc>
        <w:tc>
          <w:tcPr>
            <w:tcW w:w="764" w:type="dxa"/>
            <w:tcBorders>
              <w:top w:val="single" w:sz="4" w:space="0" w:color="auto"/>
              <w:left w:val="single" w:sz="4" w:space="0" w:color="auto"/>
              <w:bottom w:val="single" w:sz="4" w:space="0" w:color="auto"/>
              <w:right w:val="single" w:sz="4" w:space="0" w:color="auto"/>
            </w:tcBorders>
            <w:vAlign w:val="center"/>
          </w:tcPr>
          <w:p w14:paraId="44A1012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278</w:t>
            </w:r>
          </w:p>
        </w:tc>
        <w:tc>
          <w:tcPr>
            <w:tcW w:w="773" w:type="dxa"/>
            <w:tcBorders>
              <w:top w:val="single" w:sz="4" w:space="0" w:color="auto"/>
              <w:left w:val="single" w:sz="4" w:space="0" w:color="auto"/>
              <w:bottom w:val="single" w:sz="4" w:space="0" w:color="auto"/>
              <w:right w:val="single" w:sz="4" w:space="0" w:color="auto"/>
            </w:tcBorders>
            <w:vAlign w:val="center"/>
          </w:tcPr>
          <w:p w14:paraId="6FB619B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-205</w:t>
            </w:r>
          </w:p>
        </w:tc>
        <w:tc>
          <w:tcPr>
            <w:tcW w:w="972" w:type="dxa"/>
            <w:tcBorders>
              <w:top w:val="single" w:sz="4" w:space="0" w:color="auto"/>
              <w:left w:val="single" w:sz="4" w:space="0" w:color="auto"/>
              <w:bottom w:val="single" w:sz="4" w:space="0" w:color="auto"/>
              <w:right w:val="single" w:sz="4" w:space="0" w:color="auto"/>
            </w:tcBorders>
            <w:vAlign w:val="center"/>
          </w:tcPr>
          <w:p w14:paraId="38059EE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160</w:t>
            </w:r>
          </w:p>
        </w:tc>
        <w:tc>
          <w:tcPr>
            <w:tcW w:w="802" w:type="dxa"/>
            <w:tcBorders>
              <w:top w:val="single" w:sz="4" w:space="0" w:color="auto"/>
              <w:left w:val="single" w:sz="4" w:space="0" w:color="auto"/>
              <w:bottom w:val="single" w:sz="4" w:space="0" w:color="auto"/>
              <w:right w:val="single" w:sz="4" w:space="0" w:color="auto"/>
            </w:tcBorders>
            <w:vAlign w:val="center"/>
          </w:tcPr>
          <w:p w14:paraId="4AADF5E2"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00</w:t>
            </w:r>
          </w:p>
        </w:tc>
        <w:tc>
          <w:tcPr>
            <w:tcW w:w="803" w:type="dxa"/>
            <w:tcBorders>
              <w:top w:val="single" w:sz="4" w:space="0" w:color="auto"/>
              <w:left w:val="single" w:sz="4" w:space="0" w:color="auto"/>
              <w:bottom w:val="single" w:sz="4" w:space="0" w:color="auto"/>
              <w:right w:val="single" w:sz="4" w:space="0" w:color="auto"/>
            </w:tcBorders>
            <w:vAlign w:val="center"/>
          </w:tcPr>
          <w:p w14:paraId="0EBEC382"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24</w:t>
            </w:r>
          </w:p>
        </w:tc>
        <w:tc>
          <w:tcPr>
            <w:tcW w:w="1204" w:type="dxa"/>
            <w:tcBorders>
              <w:top w:val="single" w:sz="4" w:space="0" w:color="auto"/>
              <w:left w:val="single" w:sz="4" w:space="0" w:color="auto"/>
              <w:bottom w:val="single" w:sz="4" w:space="0" w:color="auto"/>
              <w:right w:val="single" w:sz="4" w:space="0" w:color="auto"/>
            </w:tcBorders>
            <w:vAlign w:val="center"/>
          </w:tcPr>
          <w:p w14:paraId="475F14F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1071" w:type="dxa"/>
            <w:tcBorders>
              <w:top w:val="single" w:sz="4" w:space="0" w:color="auto"/>
              <w:left w:val="single" w:sz="4" w:space="0" w:color="auto"/>
              <w:bottom w:val="single" w:sz="4" w:space="0" w:color="auto"/>
              <w:right w:val="single" w:sz="4" w:space="0" w:color="auto"/>
            </w:tcBorders>
            <w:vAlign w:val="center"/>
          </w:tcPr>
          <w:p w14:paraId="25B501A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13</w:t>
            </w:r>
          </w:p>
        </w:tc>
        <w:tc>
          <w:tcPr>
            <w:tcW w:w="1203" w:type="dxa"/>
            <w:tcBorders>
              <w:top w:val="single" w:sz="4" w:space="0" w:color="auto"/>
              <w:left w:val="single" w:sz="4" w:space="0" w:color="auto"/>
              <w:bottom w:val="single" w:sz="4" w:space="0" w:color="auto"/>
              <w:right w:val="single" w:sz="4" w:space="0" w:color="auto"/>
            </w:tcBorders>
            <w:vAlign w:val="center"/>
          </w:tcPr>
          <w:p w14:paraId="2C0E4CE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8760</w:t>
            </w:r>
          </w:p>
        </w:tc>
        <w:tc>
          <w:tcPr>
            <w:tcW w:w="1204" w:type="dxa"/>
            <w:tcBorders>
              <w:top w:val="single" w:sz="4" w:space="0" w:color="auto"/>
              <w:left w:val="single" w:sz="4" w:space="0" w:color="auto"/>
              <w:bottom w:val="single" w:sz="4" w:space="0" w:color="auto"/>
              <w:right w:val="single" w:sz="4" w:space="0" w:color="auto"/>
            </w:tcBorders>
            <w:vAlign w:val="center"/>
          </w:tcPr>
          <w:p w14:paraId="3BA8E17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连续</w:t>
            </w:r>
          </w:p>
        </w:tc>
        <w:tc>
          <w:tcPr>
            <w:tcW w:w="1094" w:type="dxa"/>
            <w:tcBorders>
              <w:top w:val="single" w:sz="4" w:space="0" w:color="auto"/>
              <w:left w:val="single" w:sz="4" w:space="0" w:color="auto"/>
              <w:bottom w:val="single" w:sz="4" w:space="0" w:color="auto"/>
              <w:right w:val="single" w:sz="4" w:space="0" w:color="auto"/>
            </w:tcBorders>
            <w:vAlign w:val="center"/>
          </w:tcPr>
          <w:p w14:paraId="58DF01E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0.02</w:t>
            </w:r>
          </w:p>
        </w:tc>
        <w:tc>
          <w:tcPr>
            <w:tcW w:w="1211" w:type="dxa"/>
            <w:tcBorders>
              <w:top w:val="single" w:sz="4" w:space="0" w:color="auto"/>
              <w:left w:val="single" w:sz="4" w:space="0" w:color="auto"/>
              <w:bottom w:val="single" w:sz="4" w:space="0" w:color="auto"/>
              <w:right w:val="single" w:sz="12" w:space="0" w:color="auto"/>
            </w:tcBorders>
            <w:vAlign w:val="center"/>
          </w:tcPr>
          <w:p w14:paraId="7E59BD8E"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0.0012</w:t>
            </w:r>
          </w:p>
        </w:tc>
        <w:tc>
          <w:tcPr>
            <w:tcW w:w="1287" w:type="dxa"/>
            <w:tcBorders>
              <w:top w:val="single" w:sz="4" w:space="0" w:color="auto"/>
              <w:left w:val="single" w:sz="4" w:space="0" w:color="auto"/>
              <w:bottom w:val="single" w:sz="4" w:space="0" w:color="auto"/>
              <w:right w:val="single" w:sz="12" w:space="0" w:color="auto"/>
            </w:tcBorders>
            <w:vAlign w:val="center"/>
          </w:tcPr>
          <w:p w14:paraId="53C9F655"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w:t>
            </w:r>
          </w:p>
        </w:tc>
      </w:tr>
      <w:tr w:rsidR="00D12939" w14:paraId="06E63E57" w14:textId="77777777">
        <w:trPr>
          <w:trHeight w:val="287"/>
          <w:jc w:val="center"/>
        </w:trPr>
        <w:tc>
          <w:tcPr>
            <w:tcW w:w="579" w:type="dxa"/>
            <w:tcBorders>
              <w:top w:val="single" w:sz="4" w:space="0" w:color="auto"/>
              <w:left w:val="single" w:sz="12" w:space="0" w:color="auto"/>
              <w:bottom w:val="single" w:sz="12" w:space="0" w:color="auto"/>
              <w:right w:val="single" w:sz="4" w:space="0" w:color="auto"/>
            </w:tcBorders>
            <w:vAlign w:val="center"/>
          </w:tcPr>
          <w:p w14:paraId="2F3B394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N3</w:t>
            </w:r>
          </w:p>
        </w:tc>
        <w:tc>
          <w:tcPr>
            <w:tcW w:w="2017" w:type="dxa"/>
            <w:tcBorders>
              <w:top w:val="single" w:sz="4" w:space="0" w:color="auto"/>
              <w:left w:val="single" w:sz="4" w:space="0" w:color="auto"/>
              <w:bottom w:val="single" w:sz="12" w:space="0" w:color="auto"/>
              <w:right w:val="single" w:sz="4" w:space="0" w:color="auto"/>
            </w:tcBorders>
            <w:vAlign w:val="center"/>
          </w:tcPr>
          <w:p w14:paraId="0E105872"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渗滤液调节池恶臭</w:t>
            </w:r>
          </w:p>
        </w:tc>
        <w:tc>
          <w:tcPr>
            <w:tcW w:w="764" w:type="dxa"/>
            <w:tcBorders>
              <w:top w:val="single" w:sz="4" w:space="0" w:color="auto"/>
              <w:left w:val="single" w:sz="4" w:space="0" w:color="auto"/>
              <w:bottom w:val="single" w:sz="12" w:space="0" w:color="auto"/>
              <w:right w:val="single" w:sz="4" w:space="0" w:color="auto"/>
            </w:tcBorders>
            <w:vAlign w:val="center"/>
          </w:tcPr>
          <w:p w14:paraId="241DBB1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64</w:t>
            </w:r>
          </w:p>
        </w:tc>
        <w:tc>
          <w:tcPr>
            <w:tcW w:w="773" w:type="dxa"/>
            <w:tcBorders>
              <w:top w:val="single" w:sz="4" w:space="0" w:color="auto"/>
              <w:left w:val="single" w:sz="4" w:space="0" w:color="auto"/>
              <w:bottom w:val="single" w:sz="12" w:space="0" w:color="auto"/>
              <w:right w:val="single" w:sz="4" w:space="0" w:color="auto"/>
            </w:tcBorders>
            <w:vAlign w:val="center"/>
          </w:tcPr>
          <w:p w14:paraId="23A0667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szCs w:val="21"/>
              </w:rPr>
              <w:t>257</w:t>
            </w:r>
          </w:p>
        </w:tc>
        <w:tc>
          <w:tcPr>
            <w:tcW w:w="972" w:type="dxa"/>
            <w:tcBorders>
              <w:top w:val="single" w:sz="4" w:space="0" w:color="auto"/>
              <w:left w:val="single" w:sz="4" w:space="0" w:color="auto"/>
              <w:bottom w:val="single" w:sz="12" w:space="0" w:color="auto"/>
              <w:right w:val="single" w:sz="4" w:space="0" w:color="auto"/>
            </w:tcBorders>
            <w:vAlign w:val="center"/>
          </w:tcPr>
          <w:p w14:paraId="5B877A4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136</w:t>
            </w:r>
          </w:p>
        </w:tc>
        <w:tc>
          <w:tcPr>
            <w:tcW w:w="802" w:type="dxa"/>
            <w:tcBorders>
              <w:top w:val="single" w:sz="4" w:space="0" w:color="auto"/>
              <w:left w:val="single" w:sz="4" w:space="0" w:color="auto"/>
              <w:bottom w:val="single" w:sz="12" w:space="0" w:color="auto"/>
              <w:right w:val="single" w:sz="4" w:space="0" w:color="auto"/>
            </w:tcBorders>
            <w:vAlign w:val="center"/>
          </w:tcPr>
          <w:p w14:paraId="776C007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20</w:t>
            </w:r>
          </w:p>
        </w:tc>
        <w:tc>
          <w:tcPr>
            <w:tcW w:w="803" w:type="dxa"/>
            <w:tcBorders>
              <w:top w:val="single" w:sz="4" w:space="0" w:color="auto"/>
              <w:left w:val="single" w:sz="4" w:space="0" w:color="auto"/>
              <w:bottom w:val="single" w:sz="12" w:space="0" w:color="auto"/>
              <w:right w:val="single" w:sz="4" w:space="0" w:color="auto"/>
            </w:tcBorders>
            <w:vAlign w:val="center"/>
          </w:tcPr>
          <w:p w14:paraId="0559BD6E"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20</w:t>
            </w:r>
          </w:p>
        </w:tc>
        <w:tc>
          <w:tcPr>
            <w:tcW w:w="1204" w:type="dxa"/>
            <w:tcBorders>
              <w:top w:val="single" w:sz="4" w:space="0" w:color="auto"/>
              <w:left w:val="single" w:sz="4" w:space="0" w:color="auto"/>
              <w:bottom w:val="single" w:sz="12" w:space="0" w:color="auto"/>
              <w:right w:val="single" w:sz="4" w:space="0" w:color="auto"/>
            </w:tcBorders>
            <w:vAlign w:val="center"/>
          </w:tcPr>
          <w:p w14:paraId="5EC4D86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5</w:t>
            </w:r>
          </w:p>
        </w:tc>
        <w:tc>
          <w:tcPr>
            <w:tcW w:w="1071" w:type="dxa"/>
            <w:tcBorders>
              <w:top w:val="single" w:sz="4" w:space="0" w:color="auto"/>
              <w:left w:val="single" w:sz="4" w:space="0" w:color="auto"/>
              <w:bottom w:val="single" w:sz="12" w:space="0" w:color="auto"/>
              <w:right w:val="single" w:sz="4" w:space="0" w:color="auto"/>
            </w:tcBorders>
            <w:vAlign w:val="center"/>
          </w:tcPr>
          <w:p w14:paraId="40B0125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3</w:t>
            </w:r>
          </w:p>
        </w:tc>
        <w:tc>
          <w:tcPr>
            <w:tcW w:w="1203" w:type="dxa"/>
            <w:tcBorders>
              <w:top w:val="single" w:sz="4" w:space="0" w:color="auto"/>
              <w:left w:val="single" w:sz="4" w:space="0" w:color="auto"/>
              <w:bottom w:val="single" w:sz="12" w:space="0" w:color="auto"/>
              <w:right w:val="single" w:sz="4" w:space="0" w:color="auto"/>
            </w:tcBorders>
            <w:vAlign w:val="center"/>
          </w:tcPr>
          <w:p w14:paraId="3DBD2CD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8760</w:t>
            </w:r>
          </w:p>
        </w:tc>
        <w:tc>
          <w:tcPr>
            <w:tcW w:w="1204" w:type="dxa"/>
            <w:tcBorders>
              <w:top w:val="single" w:sz="4" w:space="0" w:color="auto"/>
              <w:left w:val="single" w:sz="4" w:space="0" w:color="auto"/>
              <w:bottom w:val="single" w:sz="12" w:space="0" w:color="auto"/>
              <w:right w:val="single" w:sz="4" w:space="0" w:color="auto"/>
            </w:tcBorders>
            <w:vAlign w:val="center"/>
          </w:tcPr>
          <w:p w14:paraId="1D6CF5C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连续</w:t>
            </w:r>
          </w:p>
        </w:tc>
        <w:tc>
          <w:tcPr>
            <w:tcW w:w="1094" w:type="dxa"/>
            <w:tcBorders>
              <w:top w:val="single" w:sz="4" w:space="0" w:color="auto"/>
              <w:left w:val="single" w:sz="4" w:space="0" w:color="auto"/>
              <w:bottom w:val="single" w:sz="12" w:space="0" w:color="auto"/>
              <w:right w:val="single" w:sz="4" w:space="0" w:color="auto"/>
            </w:tcBorders>
            <w:vAlign w:val="center"/>
          </w:tcPr>
          <w:p w14:paraId="781E1222" w14:textId="238F64ED" w:rsidR="00D12939" w:rsidRPr="008830BB" w:rsidRDefault="008830BB">
            <w:pPr>
              <w:overflowPunct w:val="0"/>
              <w:jc w:val="center"/>
              <w:textAlignment w:val="baseline"/>
              <w:rPr>
                <w:rFonts w:ascii="Times New Roman" w:eastAsia="宋体" w:hAnsi="Times New Roman" w:cs="Times New Roman"/>
                <w:color w:val="FF0000"/>
                <w:szCs w:val="21"/>
              </w:rPr>
            </w:pPr>
            <w:r w:rsidRPr="008830BB">
              <w:rPr>
                <w:rFonts w:ascii="Times New Roman" w:eastAsia="宋体" w:hAnsi="Times New Roman" w:cs="Times New Roman" w:hint="eastAsia"/>
                <w:color w:val="FF0000"/>
                <w:szCs w:val="21"/>
              </w:rPr>
              <w:t>0</w:t>
            </w:r>
            <w:r w:rsidRPr="008830BB">
              <w:rPr>
                <w:rFonts w:ascii="Times New Roman" w:eastAsia="宋体" w:hAnsi="Times New Roman" w:cs="Times New Roman"/>
                <w:color w:val="FF0000"/>
                <w:szCs w:val="21"/>
              </w:rPr>
              <w:t>.0072</w:t>
            </w:r>
          </w:p>
        </w:tc>
        <w:tc>
          <w:tcPr>
            <w:tcW w:w="1211" w:type="dxa"/>
            <w:tcBorders>
              <w:top w:val="single" w:sz="4" w:space="0" w:color="auto"/>
              <w:left w:val="single" w:sz="4" w:space="0" w:color="auto"/>
              <w:bottom w:val="single" w:sz="12" w:space="0" w:color="auto"/>
              <w:right w:val="single" w:sz="12" w:space="0" w:color="auto"/>
            </w:tcBorders>
            <w:vAlign w:val="center"/>
          </w:tcPr>
          <w:p w14:paraId="34AA94B1" w14:textId="162ACB88" w:rsidR="00D12939" w:rsidRPr="008830BB" w:rsidRDefault="008830BB">
            <w:pPr>
              <w:overflowPunct w:val="0"/>
              <w:jc w:val="center"/>
              <w:textAlignment w:val="baseline"/>
              <w:rPr>
                <w:rFonts w:ascii="Times New Roman" w:eastAsia="宋体" w:hAnsi="Times New Roman" w:cs="Times New Roman"/>
                <w:color w:val="FF0000"/>
                <w:szCs w:val="21"/>
              </w:rPr>
            </w:pPr>
            <w:r w:rsidRPr="008830BB">
              <w:rPr>
                <w:rFonts w:ascii="Times New Roman" w:eastAsia="宋体" w:hAnsi="Times New Roman" w:cs="Times New Roman" w:hint="eastAsia"/>
                <w:color w:val="FF0000"/>
                <w:szCs w:val="21"/>
              </w:rPr>
              <w:t>0</w:t>
            </w:r>
            <w:r w:rsidRPr="008830BB">
              <w:rPr>
                <w:rFonts w:ascii="Times New Roman" w:eastAsia="宋体" w:hAnsi="Times New Roman" w:cs="Times New Roman"/>
                <w:color w:val="FF0000"/>
                <w:szCs w:val="21"/>
              </w:rPr>
              <w:t>.0001</w:t>
            </w:r>
          </w:p>
        </w:tc>
        <w:tc>
          <w:tcPr>
            <w:tcW w:w="1287" w:type="dxa"/>
            <w:tcBorders>
              <w:top w:val="single" w:sz="4" w:space="0" w:color="auto"/>
              <w:left w:val="single" w:sz="4" w:space="0" w:color="auto"/>
              <w:bottom w:val="single" w:sz="12" w:space="0" w:color="auto"/>
              <w:right w:val="single" w:sz="12" w:space="0" w:color="auto"/>
            </w:tcBorders>
            <w:vAlign w:val="center"/>
          </w:tcPr>
          <w:p w14:paraId="0F172B56"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w:t>
            </w:r>
          </w:p>
        </w:tc>
      </w:tr>
      <w:tr w:rsidR="00D12939" w14:paraId="6B5ECDC0" w14:textId="77777777">
        <w:trPr>
          <w:trHeight w:val="264"/>
          <w:jc w:val="center"/>
        </w:trPr>
        <w:tc>
          <w:tcPr>
            <w:tcW w:w="579" w:type="dxa"/>
            <w:tcBorders>
              <w:top w:val="single" w:sz="4" w:space="0" w:color="auto"/>
              <w:left w:val="single" w:sz="12" w:space="0" w:color="auto"/>
              <w:bottom w:val="single" w:sz="4" w:space="0" w:color="auto"/>
              <w:right w:val="single" w:sz="4" w:space="0" w:color="auto"/>
            </w:tcBorders>
            <w:vAlign w:val="center"/>
          </w:tcPr>
          <w:p w14:paraId="49F236A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N4</w:t>
            </w:r>
          </w:p>
        </w:tc>
        <w:tc>
          <w:tcPr>
            <w:tcW w:w="2017" w:type="dxa"/>
            <w:tcBorders>
              <w:top w:val="single" w:sz="4" w:space="0" w:color="auto"/>
              <w:left w:val="single" w:sz="4" w:space="0" w:color="auto"/>
              <w:bottom w:val="single" w:sz="4" w:space="0" w:color="auto"/>
              <w:right w:val="single" w:sz="4" w:space="0" w:color="auto"/>
            </w:tcBorders>
            <w:vAlign w:val="center"/>
          </w:tcPr>
          <w:p w14:paraId="6C2723C4"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渗滤液处理站恶臭</w:t>
            </w:r>
          </w:p>
        </w:tc>
        <w:tc>
          <w:tcPr>
            <w:tcW w:w="764" w:type="dxa"/>
            <w:tcBorders>
              <w:top w:val="single" w:sz="4" w:space="0" w:color="auto"/>
              <w:left w:val="single" w:sz="4" w:space="0" w:color="auto"/>
              <w:bottom w:val="single" w:sz="4" w:space="0" w:color="auto"/>
              <w:right w:val="single" w:sz="4" w:space="0" w:color="auto"/>
            </w:tcBorders>
            <w:vAlign w:val="center"/>
          </w:tcPr>
          <w:p w14:paraId="34940F83"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64</w:t>
            </w:r>
          </w:p>
        </w:tc>
        <w:tc>
          <w:tcPr>
            <w:tcW w:w="773" w:type="dxa"/>
            <w:tcBorders>
              <w:top w:val="single" w:sz="4" w:space="0" w:color="auto"/>
              <w:left w:val="single" w:sz="4" w:space="0" w:color="auto"/>
              <w:bottom w:val="single" w:sz="4" w:space="0" w:color="auto"/>
              <w:right w:val="single" w:sz="4" w:space="0" w:color="auto"/>
            </w:tcBorders>
            <w:vAlign w:val="center"/>
          </w:tcPr>
          <w:p w14:paraId="2F23F16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szCs w:val="21"/>
              </w:rPr>
              <w:t>313</w:t>
            </w:r>
          </w:p>
        </w:tc>
        <w:tc>
          <w:tcPr>
            <w:tcW w:w="972" w:type="dxa"/>
            <w:tcBorders>
              <w:top w:val="single" w:sz="4" w:space="0" w:color="auto"/>
              <w:left w:val="single" w:sz="4" w:space="0" w:color="auto"/>
              <w:bottom w:val="single" w:sz="4" w:space="0" w:color="auto"/>
              <w:right w:val="single" w:sz="4" w:space="0" w:color="auto"/>
            </w:tcBorders>
            <w:vAlign w:val="center"/>
          </w:tcPr>
          <w:p w14:paraId="10F1BE7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137</w:t>
            </w:r>
          </w:p>
        </w:tc>
        <w:tc>
          <w:tcPr>
            <w:tcW w:w="802" w:type="dxa"/>
            <w:tcBorders>
              <w:top w:val="single" w:sz="4" w:space="0" w:color="auto"/>
              <w:left w:val="single" w:sz="4" w:space="0" w:color="auto"/>
              <w:bottom w:val="single" w:sz="4" w:space="0" w:color="auto"/>
              <w:right w:val="single" w:sz="4" w:space="0" w:color="auto"/>
            </w:tcBorders>
            <w:vAlign w:val="center"/>
          </w:tcPr>
          <w:p w14:paraId="252482D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34</w:t>
            </w:r>
          </w:p>
        </w:tc>
        <w:tc>
          <w:tcPr>
            <w:tcW w:w="803" w:type="dxa"/>
            <w:tcBorders>
              <w:top w:val="single" w:sz="4" w:space="0" w:color="auto"/>
              <w:left w:val="single" w:sz="4" w:space="0" w:color="auto"/>
              <w:bottom w:val="single" w:sz="4" w:space="0" w:color="auto"/>
              <w:right w:val="single" w:sz="4" w:space="0" w:color="auto"/>
            </w:tcBorders>
            <w:vAlign w:val="center"/>
          </w:tcPr>
          <w:p w14:paraId="04BD5BD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23</w:t>
            </w:r>
          </w:p>
        </w:tc>
        <w:tc>
          <w:tcPr>
            <w:tcW w:w="1204" w:type="dxa"/>
            <w:tcBorders>
              <w:top w:val="single" w:sz="4" w:space="0" w:color="auto"/>
              <w:left w:val="single" w:sz="4" w:space="0" w:color="auto"/>
              <w:bottom w:val="single" w:sz="4" w:space="0" w:color="auto"/>
              <w:right w:val="single" w:sz="4" w:space="0" w:color="auto"/>
            </w:tcBorders>
            <w:vAlign w:val="center"/>
          </w:tcPr>
          <w:p w14:paraId="6F79DF42" w14:textId="77777777" w:rsidR="00D12939" w:rsidRDefault="00D12939">
            <w:pPr>
              <w:overflowPunct w:val="0"/>
              <w:jc w:val="center"/>
              <w:textAlignment w:val="baseline"/>
              <w:rPr>
                <w:rFonts w:ascii="Times New Roman" w:eastAsia="宋体" w:hAnsi="Times New Roman" w:cs="Times New Roman"/>
                <w:szCs w:val="21"/>
              </w:rPr>
            </w:pPr>
          </w:p>
        </w:tc>
        <w:tc>
          <w:tcPr>
            <w:tcW w:w="1071" w:type="dxa"/>
            <w:tcBorders>
              <w:top w:val="single" w:sz="4" w:space="0" w:color="auto"/>
              <w:left w:val="single" w:sz="4" w:space="0" w:color="auto"/>
              <w:bottom w:val="single" w:sz="4" w:space="0" w:color="auto"/>
              <w:right w:val="single" w:sz="4" w:space="0" w:color="auto"/>
            </w:tcBorders>
            <w:vAlign w:val="center"/>
          </w:tcPr>
          <w:p w14:paraId="3176ED19"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3</w:t>
            </w:r>
          </w:p>
        </w:tc>
        <w:tc>
          <w:tcPr>
            <w:tcW w:w="1203" w:type="dxa"/>
            <w:tcBorders>
              <w:top w:val="single" w:sz="4" w:space="0" w:color="auto"/>
              <w:left w:val="single" w:sz="4" w:space="0" w:color="auto"/>
              <w:bottom w:val="single" w:sz="4" w:space="0" w:color="auto"/>
              <w:right w:val="single" w:sz="4" w:space="0" w:color="auto"/>
            </w:tcBorders>
            <w:vAlign w:val="center"/>
          </w:tcPr>
          <w:p w14:paraId="3A72B751"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8760</w:t>
            </w:r>
          </w:p>
        </w:tc>
        <w:tc>
          <w:tcPr>
            <w:tcW w:w="1204" w:type="dxa"/>
            <w:tcBorders>
              <w:top w:val="single" w:sz="4" w:space="0" w:color="auto"/>
              <w:left w:val="single" w:sz="4" w:space="0" w:color="auto"/>
              <w:bottom w:val="single" w:sz="4" w:space="0" w:color="auto"/>
              <w:right w:val="single" w:sz="4" w:space="0" w:color="auto"/>
            </w:tcBorders>
            <w:vAlign w:val="center"/>
          </w:tcPr>
          <w:p w14:paraId="5DEF731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连续</w:t>
            </w:r>
          </w:p>
        </w:tc>
        <w:tc>
          <w:tcPr>
            <w:tcW w:w="1094" w:type="dxa"/>
            <w:tcBorders>
              <w:top w:val="single" w:sz="4" w:space="0" w:color="auto"/>
              <w:left w:val="single" w:sz="4" w:space="0" w:color="auto"/>
              <w:bottom w:val="single" w:sz="4" w:space="0" w:color="auto"/>
              <w:right w:val="single" w:sz="4" w:space="0" w:color="auto"/>
            </w:tcBorders>
            <w:vAlign w:val="center"/>
          </w:tcPr>
          <w:p w14:paraId="461F434C" w14:textId="70ADC81C" w:rsidR="00D12939" w:rsidRPr="008830BB" w:rsidRDefault="008830BB">
            <w:pPr>
              <w:overflowPunct w:val="0"/>
              <w:jc w:val="center"/>
              <w:textAlignment w:val="baseline"/>
              <w:rPr>
                <w:rFonts w:ascii="Times New Roman" w:eastAsia="宋体" w:hAnsi="Times New Roman" w:cs="Times New Roman"/>
                <w:color w:val="FF0000"/>
                <w:szCs w:val="21"/>
              </w:rPr>
            </w:pPr>
            <w:r w:rsidRPr="008830BB">
              <w:rPr>
                <w:rFonts w:ascii="Times New Roman" w:eastAsia="宋体" w:hAnsi="Times New Roman" w:cs="Times New Roman" w:hint="eastAsia"/>
                <w:color w:val="FF0000"/>
                <w:szCs w:val="21"/>
              </w:rPr>
              <w:t>0</w:t>
            </w:r>
            <w:r w:rsidRPr="008830BB">
              <w:rPr>
                <w:rFonts w:ascii="Times New Roman" w:eastAsia="宋体" w:hAnsi="Times New Roman" w:cs="Times New Roman"/>
                <w:color w:val="FF0000"/>
                <w:szCs w:val="21"/>
              </w:rPr>
              <w:t>.0141</w:t>
            </w:r>
          </w:p>
        </w:tc>
        <w:tc>
          <w:tcPr>
            <w:tcW w:w="1211" w:type="dxa"/>
            <w:tcBorders>
              <w:top w:val="single" w:sz="4" w:space="0" w:color="auto"/>
              <w:left w:val="single" w:sz="4" w:space="0" w:color="auto"/>
              <w:bottom w:val="single" w:sz="4" w:space="0" w:color="auto"/>
              <w:right w:val="single" w:sz="12" w:space="0" w:color="auto"/>
            </w:tcBorders>
            <w:vAlign w:val="center"/>
          </w:tcPr>
          <w:p w14:paraId="3865A3CF" w14:textId="08CC0DF0" w:rsidR="00D12939" w:rsidRPr="008830BB" w:rsidRDefault="008830BB">
            <w:pPr>
              <w:overflowPunct w:val="0"/>
              <w:jc w:val="center"/>
              <w:textAlignment w:val="baseline"/>
              <w:rPr>
                <w:rFonts w:ascii="Times New Roman" w:eastAsia="宋体" w:hAnsi="Times New Roman" w:cs="Times New Roman"/>
                <w:color w:val="FF0000"/>
                <w:szCs w:val="21"/>
              </w:rPr>
            </w:pPr>
            <w:r w:rsidRPr="008830BB">
              <w:rPr>
                <w:rFonts w:ascii="Times New Roman" w:eastAsia="宋体" w:hAnsi="Times New Roman" w:cs="Times New Roman" w:hint="eastAsia"/>
                <w:color w:val="FF0000"/>
                <w:szCs w:val="21"/>
              </w:rPr>
              <w:t>0</w:t>
            </w:r>
            <w:r w:rsidRPr="008830BB">
              <w:rPr>
                <w:rFonts w:ascii="Times New Roman" w:eastAsia="宋体" w:hAnsi="Times New Roman" w:cs="Times New Roman"/>
                <w:color w:val="FF0000"/>
                <w:szCs w:val="21"/>
              </w:rPr>
              <w:t>.0002</w:t>
            </w:r>
          </w:p>
        </w:tc>
        <w:tc>
          <w:tcPr>
            <w:tcW w:w="1287" w:type="dxa"/>
            <w:tcBorders>
              <w:top w:val="single" w:sz="4" w:space="0" w:color="auto"/>
              <w:left w:val="single" w:sz="4" w:space="0" w:color="auto"/>
              <w:bottom w:val="single" w:sz="4" w:space="0" w:color="auto"/>
              <w:right w:val="single" w:sz="12" w:space="0" w:color="auto"/>
            </w:tcBorders>
            <w:vAlign w:val="center"/>
          </w:tcPr>
          <w:p w14:paraId="2E4A16F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w:t>
            </w:r>
          </w:p>
        </w:tc>
      </w:tr>
      <w:tr w:rsidR="00D12939" w14:paraId="679C866E" w14:textId="77777777">
        <w:trPr>
          <w:trHeight w:val="264"/>
          <w:jc w:val="center"/>
        </w:trPr>
        <w:tc>
          <w:tcPr>
            <w:tcW w:w="579" w:type="dxa"/>
            <w:tcBorders>
              <w:top w:val="single" w:sz="4" w:space="0" w:color="auto"/>
              <w:left w:val="single" w:sz="12" w:space="0" w:color="auto"/>
              <w:bottom w:val="single" w:sz="12" w:space="0" w:color="auto"/>
              <w:right w:val="single" w:sz="4" w:space="0" w:color="auto"/>
            </w:tcBorders>
            <w:vAlign w:val="center"/>
          </w:tcPr>
          <w:p w14:paraId="2F08336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N5</w:t>
            </w:r>
          </w:p>
        </w:tc>
        <w:tc>
          <w:tcPr>
            <w:tcW w:w="2017" w:type="dxa"/>
            <w:tcBorders>
              <w:top w:val="single" w:sz="4" w:space="0" w:color="auto"/>
              <w:left w:val="single" w:sz="4" w:space="0" w:color="auto"/>
              <w:bottom w:val="single" w:sz="12" w:space="0" w:color="auto"/>
              <w:right w:val="single" w:sz="4" w:space="0" w:color="auto"/>
            </w:tcBorders>
            <w:vAlign w:val="center"/>
          </w:tcPr>
          <w:p w14:paraId="68A93C4D"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填埋场扬尘</w:t>
            </w:r>
          </w:p>
        </w:tc>
        <w:tc>
          <w:tcPr>
            <w:tcW w:w="764" w:type="dxa"/>
            <w:tcBorders>
              <w:top w:val="single" w:sz="4" w:space="0" w:color="auto"/>
              <w:left w:val="single" w:sz="4" w:space="0" w:color="auto"/>
              <w:bottom w:val="single" w:sz="12" w:space="0" w:color="auto"/>
              <w:right w:val="single" w:sz="4" w:space="0" w:color="auto"/>
            </w:tcBorders>
            <w:vAlign w:val="center"/>
          </w:tcPr>
          <w:p w14:paraId="3F7B4B29"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278</w:t>
            </w:r>
          </w:p>
        </w:tc>
        <w:tc>
          <w:tcPr>
            <w:tcW w:w="773" w:type="dxa"/>
            <w:tcBorders>
              <w:top w:val="single" w:sz="4" w:space="0" w:color="auto"/>
              <w:left w:val="single" w:sz="4" w:space="0" w:color="auto"/>
              <w:bottom w:val="single" w:sz="12" w:space="0" w:color="auto"/>
              <w:right w:val="single" w:sz="4" w:space="0" w:color="auto"/>
            </w:tcBorders>
            <w:vAlign w:val="center"/>
          </w:tcPr>
          <w:p w14:paraId="77FF4107"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-205</w:t>
            </w:r>
          </w:p>
        </w:tc>
        <w:tc>
          <w:tcPr>
            <w:tcW w:w="972" w:type="dxa"/>
            <w:tcBorders>
              <w:top w:val="single" w:sz="4" w:space="0" w:color="auto"/>
              <w:left w:val="single" w:sz="4" w:space="0" w:color="auto"/>
              <w:bottom w:val="single" w:sz="12" w:space="0" w:color="auto"/>
              <w:right w:val="single" w:sz="4" w:space="0" w:color="auto"/>
            </w:tcBorders>
            <w:vAlign w:val="center"/>
          </w:tcPr>
          <w:p w14:paraId="166EA14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160</w:t>
            </w:r>
          </w:p>
        </w:tc>
        <w:tc>
          <w:tcPr>
            <w:tcW w:w="802" w:type="dxa"/>
            <w:tcBorders>
              <w:top w:val="single" w:sz="4" w:space="0" w:color="auto"/>
              <w:left w:val="single" w:sz="4" w:space="0" w:color="auto"/>
              <w:bottom w:val="single" w:sz="12" w:space="0" w:color="auto"/>
              <w:right w:val="single" w:sz="4" w:space="0" w:color="auto"/>
            </w:tcBorders>
            <w:vAlign w:val="center"/>
          </w:tcPr>
          <w:p w14:paraId="2D2E04D3"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00</w:t>
            </w:r>
          </w:p>
        </w:tc>
        <w:tc>
          <w:tcPr>
            <w:tcW w:w="803" w:type="dxa"/>
            <w:tcBorders>
              <w:top w:val="single" w:sz="4" w:space="0" w:color="auto"/>
              <w:left w:val="single" w:sz="4" w:space="0" w:color="auto"/>
              <w:bottom w:val="single" w:sz="12" w:space="0" w:color="auto"/>
              <w:right w:val="single" w:sz="4" w:space="0" w:color="auto"/>
            </w:tcBorders>
            <w:vAlign w:val="center"/>
          </w:tcPr>
          <w:p w14:paraId="597BD8EF"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24</w:t>
            </w:r>
          </w:p>
        </w:tc>
        <w:tc>
          <w:tcPr>
            <w:tcW w:w="1204" w:type="dxa"/>
            <w:tcBorders>
              <w:top w:val="single" w:sz="4" w:space="0" w:color="auto"/>
              <w:left w:val="single" w:sz="4" w:space="0" w:color="auto"/>
              <w:bottom w:val="single" w:sz="12" w:space="0" w:color="auto"/>
              <w:right w:val="single" w:sz="4" w:space="0" w:color="auto"/>
            </w:tcBorders>
            <w:vAlign w:val="center"/>
          </w:tcPr>
          <w:p w14:paraId="7F3E3132" w14:textId="77777777" w:rsidR="00D12939" w:rsidRDefault="00D12939">
            <w:pPr>
              <w:overflowPunct w:val="0"/>
              <w:jc w:val="center"/>
              <w:textAlignment w:val="baseline"/>
              <w:rPr>
                <w:rFonts w:ascii="Times New Roman" w:eastAsia="宋体" w:hAnsi="Times New Roman" w:cs="Times New Roman"/>
                <w:szCs w:val="21"/>
              </w:rPr>
            </w:pPr>
          </w:p>
        </w:tc>
        <w:tc>
          <w:tcPr>
            <w:tcW w:w="1071" w:type="dxa"/>
            <w:tcBorders>
              <w:top w:val="single" w:sz="4" w:space="0" w:color="auto"/>
              <w:left w:val="single" w:sz="4" w:space="0" w:color="auto"/>
              <w:bottom w:val="single" w:sz="12" w:space="0" w:color="auto"/>
              <w:right w:val="single" w:sz="4" w:space="0" w:color="auto"/>
            </w:tcBorders>
            <w:vAlign w:val="center"/>
          </w:tcPr>
          <w:p w14:paraId="0FF24C58"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13</w:t>
            </w:r>
          </w:p>
        </w:tc>
        <w:tc>
          <w:tcPr>
            <w:tcW w:w="1203" w:type="dxa"/>
            <w:tcBorders>
              <w:top w:val="single" w:sz="4" w:space="0" w:color="auto"/>
              <w:left w:val="single" w:sz="4" w:space="0" w:color="auto"/>
              <w:bottom w:val="single" w:sz="12" w:space="0" w:color="auto"/>
              <w:right w:val="single" w:sz="4" w:space="0" w:color="auto"/>
            </w:tcBorders>
            <w:vAlign w:val="center"/>
          </w:tcPr>
          <w:p w14:paraId="5D678523"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8760</w:t>
            </w:r>
          </w:p>
        </w:tc>
        <w:tc>
          <w:tcPr>
            <w:tcW w:w="1204" w:type="dxa"/>
            <w:tcBorders>
              <w:top w:val="single" w:sz="4" w:space="0" w:color="auto"/>
              <w:left w:val="single" w:sz="4" w:space="0" w:color="auto"/>
              <w:bottom w:val="single" w:sz="12" w:space="0" w:color="auto"/>
              <w:right w:val="single" w:sz="4" w:space="0" w:color="auto"/>
            </w:tcBorders>
            <w:vAlign w:val="center"/>
          </w:tcPr>
          <w:p w14:paraId="676B804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连续</w:t>
            </w:r>
          </w:p>
        </w:tc>
        <w:tc>
          <w:tcPr>
            <w:tcW w:w="1094" w:type="dxa"/>
            <w:tcBorders>
              <w:top w:val="single" w:sz="4" w:space="0" w:color="auto"/>
              <w:left w:val="single" w:sz="4" w:space="0" w:color="auto"/>
              <w:bottom w:val="single" w:sz="12" w:space="0" w:color="auto"/>
              <w:right w:val="single" w:sz="4" w:space="0" w:color="auto"/>
            </w:tcBorders>
            <w:vAlign w:val="center"/>
          </w:tcPr>
          <w:p w14:paraId="22243713"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w:t>
            </w:r>
          </w:p>
        </w:tc>
        <w:tc>
          <w:tcPr>
            <w:tcW w:w="1211" w:type="dxa"/>
            <w:tcBorders>
              <w:top w:val="single" w:sz="4" w:space="0" w:color="auto"/>
              <w:left w:val="single" w:sz="4" w:space="0" w:color="auto"/>
              <w:bottom w:val="single" w:sz="12" w:space="0" w:color="auto"/>
              <w:right w:val="single" w:sz="12" w:space="0" w:color="auto"/>
            </w:tcBorders>
            <w:vAlign w:val="center"/>
          </w:tcPr>
          <w:p w14:paraId="6261983C"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w:t>
            </w:r>
          </w:p>
        </w:tc>
        <w:tc>
          <w:tcPr>
            <w:tcW w:w="1287" w:type="dxa"/>
            <w:tcBorders>
              <w:top w:val="single" w:sz="4" w:space="0" w:color="auto"/>
              <w:left w:val="single" w:sz="4" w:space="0" w:color="auto"/>
              <w:bottom w:val="single" w:sz="12" w:space="0" w:color="auto"/>
              <w:right w:val="single" w:sz="12" w:space="0" w:color="auto"/>
            </w:tcBorders>
            <w:vAlign w:val="center"/>
          </w:tcPr>
          <w:p w14:paraId="551A28D0" w14:textId="77777777" w:rsidR="00D12939" w:rsidRDefault="004F47F5">
            <w:pPr>
              <w:overflowPunct w:val="0"/>
              <w:jc w:val="center"/>
              <w:textAlignment w:val="baseline"/>
              <w:rPr>
                <w:rFonts w:ascii="Times New Roman" w:eastAsia="宋体" w:hAnsi="Times New Roman" w:cs="Times New Roman"/>
                <w:szCs w:val="21"/>
              </w:rPr>
            </w:pPr>
            <w:r>
              <w:rPr>
                <w:rFonts w:ascii="Times New Roman" w:eastAsia="宋体" w:hAnsi="Times New Roman" w:cs="Times New Roman"/>
                <w:szCs w:val="21"/>
              </w:rPr>
              <w:t>0.0171</w:t>
            </w:r>
          </w:p>
        </w:tc>
      </w:tr>
    </w:tbl>
    <w:p w14:paraId="7ADE261D" w14:textId="77777777" w:rsidR="00D12939" w:rsidRDefault="004F47F5">
      <w:r>
        <w:rPr>
          <w:rFonts w:hint="eastAsia"/>
        </w:rPr>
        <w:t>注：以填埋场最下游沟口处为原点坐标。</w:t>
      </w:r>
    </w:p>
    <w:p w14:paraId="376925EA" w14:textId="77777777" w:rsidR="00D12939" w:rsidRDefault="00D12939"/>
    <w:p w14:paraId="57E053C1" w14:textId="77777777" w:rsidR="00D12939" w:rsidRDefault="00D12939">
      <w:pPr>
        <w:sectPr w:rsidR="00D12939">
          <w:pgSz w:w="16838" w:h="11906" w:orient="landscape"/>
          <w:pgMar w:top="1080" w:right="1440" w:bottom="1080" w:left="1440" w:header="851" w:footer="992" w:gutter="0"/>
          <w:cols w:space="425"/>
          <w:docGrid w:type="lines" w:linePitch="312"/>
        </w:sectPr>
      </w:pPr>
    </w:p>
    <w:p w14:paraId="53F9F378" w14:textId="77777777" w:rsidR="00D12939" w:rsidRDefault="004F47F5">
      <w:pPr>
        <w:adjustRightInd w:val="0"/>
        <w:snapToGrid w:val="0"/>
        <w:ind w:firstLine="480"/>
        <w:rPr>
          <w:rFonts w:ascii="Times New Roman" w:eastAsia="宋体" w:hAnsi="Times New Roman" w:cs="Times New Roman"/>
          <w:sz w:val="24"/>
        </w:rPr>
      </w:pPr>
      <w:r>
        <w:rPr>
          <w:rFonts w:ascii="Times New Roman" w:eastAsia="宋体" w:hAnsi="Times New Roman" w:cs="Times New Roman" w:hint="eastAsia"/>
          <w:sz w:val="24"/>
        </w:rPr>
        <w:lastRenderedPageBreak/>
        <w:t>（</w:t>
      </w:r>
      <w:r>
        <w:rPr>
          <w:rFonts w:ascii="Times New Roman" w:eastAsia="宋体" w:hAnsi="Times New Roman" w:cs="Times New Roman"/>
          <w:sz w:val="24"/>
        </w:rPr>
        <w:t>6</w:t>
      </w:r>
      <w:r>
        <w:rPr>
          <w:rFonts w:ascii="Times New Roman" w:eastAsia="宋体" w:hAnsi="Times New Roman" w:cs="Times New Roman" w:hint="eastAsia"/>
          <w:sz w:val="24"/>
        </w:rPr>
        <w:t>）影响预测与分析</w:t>
      </w:r>
    </w:p>
    <w:p w14:paraId="36FE3310"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w:t>
      </w:r>
      <w:r>
        <w:rPr>
          <w:rFonts w:ascii="Times New Roman" w:eastAsia="宋体" w:hAnsi="Times New Roman" w:cs="Times New Roman"/>
          <w:sz w:val="24"/>
        </w:rPr>
        <w:t>AERSCREEN</w:t>
      </w:r>
      <w:r>
        <w:rPr>
          <w:rFonts w:ascii="Times New Roman" w:eastAsia="宋体" w:hAnsi="Times New Roman" w:cs="Times New Roman" w:hint="eastAsia"/>
          <w:sz w:val="24"/>
        </w:rPr>
        <w:t>估算模式</w:t>
      </w:r>
      <w:r>
        <w:rPr>
          <w:rFonts w:ascii="Times New Roman" w:eastAsia="宋体" w:hAnsi="Times New Roman" w:cs="Times New Roman"/>
          <w:sz w:val="24"/>
        </w:rPr>
        <w:t>计算，确定本项目的大气环境评价等级为</w:t>
      </w:r>
      <w:r>
        <w:rPr>
          <w:rFonts w:ascii="Times New Roman" w:eastAsia="宋体" w:hAnsi="Times New Roman" w:cs="Times New Roman" w:hint="eastAsia"/>
          <w:sz w:val="24"/>
        </w:rPr>
        <w:t>二</w:t>
      </w:r>
      <w:r>
        <w:rPr>
          <w:rFonts w:ascii="Times New Roman" w:eastAsia="宋体" w:hAnsi="Times New Roman" w:cs="Times New Roman"/>
          <w:sz w:val="24"/>
        </w:rPr>
        <w:t>级。所以选择《环境影响评价技术导则</w:t>
      </w:r>
      <w:r>
        <w:rPr>
          <w:rFonts w:ascii="Times New Roman" w:eastAsia="宋体" w:hAnsi="Times New Roman" w:cs="Times New Roman"/>
          <w:sz w:val="24"/>
        </w:rPr>
        <w:t>--</w:t>
      </w:r>
      <w:r>
        <w:rPr>
          <w:rFonts w:ascii="Times New Roman" w:eastAsia="宋体" w:hAnsi="Times New Roman" w:cs="Times New Roman"/>
          <w:sz w:val="24"/>
        </w:rPr>
        <w:t>大气环境》（</w:t>
      </w:r>
      <w:r>
        <w:rPr>
          <w:rFonts w:ascii="Times New Roman" w:eastAsia="宋体" w:hAnsi="Times New Roman" w:cs="Times New Roman"/>
          <w:sz w:val="24"/>
        </w:rPr>
        <w:t>HJ2.2-20</w:t>
      </w:r>
      <w:r>
        <w:rPr>
          <w:rFonts w:ascii="Times New Roman" w:eastAsia="宋体" w:hAnsi="Times New Roman" w:cs="Times New Roman" w:hint="eastAsia"/>
          <w:sz w:val="24"/>
        </w:rPr>
        <w:t>1</w:t>
      </w:r>
      <w:r>
        <w:rPr>
          <w:rFonts w:ascii="Times New Roman" w:eastAsia="宋体" w:hAnsi="Times New Roman" w:cs="Times New Roman"/>
          <w:sz w:val="24"/>
        </w:rPr>
        <w:t>8</w:t>
      </w:r>
      <w:r>
        <w:rPr>
          <w:rFonts w:ascii="Times New Roman" w:eastAsia="宋体" w:hAnsi="Times New Roman" w:cs="Times New Roman"/>
          <w:sz w:val="24"/>
        </w:rPr>
        <w:t>）中推荐的模式对本项目进行大气环境影响评价。预测结果见表</w:t>
      </w:r>
      <w:r>
        <w:rPr>
          <w:rFonts w:ascii="Times New Roman" w:eastAsia="宋体" w:hAnsi="Times New Roman" w:cs="Times New Roman"/>
          <w:sz w:val="24"/>
        </w:rPr>
        <w:t>7.1-7</w:t>
      </w:r>
      <w:r>
        <w:rPr>
          <w:rFonts w:ascii="Times New Roman" w:eastAsia="宋体" w:hAnsi="Times New Roman" w:cs="Times New Roman" w:hint="eastAsia"/>
          <w:sz w:val="24"/>
        </w:rPr>
        <w:t>至表</w:t>
      </w:r>
      <w:r>
        <w:rPr>
          <w:rFonts w:ascii="Times New Roman" w:eastAsia="宋体" w:hAnsi="Times New Roman" w:cs="Times New Roman"/>
          <w:sz w:val="24"/>
        </w:rPr>
        <w:t>7.1-9</w:t>
      </w:r>
      <w:r>
        <w:rPr>
          <w:rFonts w:ascii="Times New Roman" w:eastAsia="宋体" w:hAnsi="Times New Roman" w:cs="Times New Roman"/>
          <w:sz w:val="24"/>
        </w:rPr>
        <w:t>。</w:t>
      </w:r>
    </w:p>
    <w:p w14:paraId="50F9B8F0" w14:textId="77777777" w:rsidR="00D12939" w:rsidRDefault="004F47F5">
      <w:pPr>
        <w:adjustRightInd w:val="0"/>
        <w:snapToGrid w:val="0"/>
        <w:spacing w:line="360" w:lineRule="auto"/>
        <w:jc w:val="center"/>
        <w:rPr>
          <w:rFonts w:ascii="黑体" w:eastAsia="黑体" w:hAnsi="黑体"/>
          <w:bCs/>
          <w:kern w:val="0"/>
          <w:sz w:val="24"/>
          <w:szCs w:val="21"/>
        </w:rPr>
      </w:pPr>
      <w:r>
        <w:rPr>
          <w:rFonts w:ascii="黑体" w:eastAsia="黑体" w:hAnsi="黑体"/>
          <w:bCs/>
          <w:kern w:val="0"/>
          <w:sz w:val="24"/>
          <w:szCs w:val="21"/>
        </w:rPr>
        <w:t>表</w:t>
      </w:r>
      <w:r>
        <w:rPr>
          <w:rFonts w:ascii="黑体" w:eastAsia="黑体" w:hAnsi="黑体" w:hint="eastAsia"/>
          <w:bCs/>
          <w:kern w:val="0"/>
          <w:sz w:val="24"/>
          <w:szCs w:val="21"/>
        </w:rPr>
        <w:t>7.1-7</w:t>
      </w:r>
      <w:r>
        <w:rPr>
          <w:rFonts w:ascii="黑体" w:eastAsia="黑体" w:hAnsi="黑体"/>
          <w:bCs/>
          <w:kern w:val="0"/>
          <w:sz w:val="24"/>
          <w:szCs w:val="21"/>
        </w:rPr>
        <w:t xml:space="preserve">  </w:t>
      </w:r>
      <w:r>
        <w:rPr>
          <w:rFonts w:ascii="黑体" w:eastAsia="黑体" w:hAnsi="黑体" w:hint="eastAsia"/>
          <w:bCs/>
          <w:kern w:val="0"/>
          <w:sz w:val="24"/>
          <w:szCs w:val="21"/>
        </w:rPr>
        <w:t>火炬燃烧</w:t>
      </w:r>
      <w:r>
        <w:rPr>
          <w:rFonts w:ascii="黑体" w:eastAsia="黑体" w:hAnsi="黑体"/>
          <w:bCs/>
          <w:kern w:val="0"/>
          <w:sz w:val="24"/>
          <w:szCs w:val="21"/>
        </w:rPr>
        <w:t>估算模式</w:t>
      </w:r>
      <w:r>
        <w:rPr>
          <w:rFonts w:ascii="黑体" w:eastAsia="黑体" w:hAnsi="黑体" w:hint="eastAsia"/>
          <w:bCs/>
          <w:kern w:val="0"/>
          <w:sz w:val="24"/>
          <w:szCs w:val="21"/>
        </w:rPr>
        <w:t>计算</w:t>
      </w:r>
      <w:r>
        <w:rPr>
          <w:rFonts w:ascii="黑体" w:eastAsia="黑体" w:hAnsi="黑体"/>
          <w:bCs/>
          <w:kern w:val="0"/>
          <w:sz w:val="24"/>
          <w:szCs w:val="21"/>
        </w:rPr>
        <w:t>结果统计表</w:t>
      </w:r>
    </w:p>
    <w:tbl>
      <w:tblPr>
        <w:tblW w:w="972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383"/>
        <w:gridCol w:w="1362"/>
        <w:gridCol w:w="1364"/>
        <w:gridCol w:w="1557"/>
        <w:gridCol w:w="1365"/>
        <w:gridCol w:w="1363"/>
        <w:gridCol w:w="1326"/>
      </w:tblGrid>
      <w:tr w:rsidR="00D12939" w14:paraId="42583FC1" w14:textId="77777777">
        <w:trPr>
          <w:trHeight w:val="308"/>
          <w:jc w:val="center"/>
        </w:trPr>
        <w:tc>
          <w:tcPr>
            <w:tcW w:w="1383" w:type="dxa"/>
            <w:vMerge w:val="restart"/>
            <w:vAlign w:val="center"/>
          </w:tcPr>
          <w:p w14:paraId="1738BE02" w14:textId="77777777" w:rsidR="00D12939" w:rsidRDefault="004F47F5">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距源中心下风向距离</w:t>
            </w:r>
            <w:r>
              <w:rPr>
                <w:rFonts w:ascii="Times New Roman" w:eastAsia="宋体" w:hAnsi="Times New Roman" w:cs="Times New Roman"/>
                <w:b/>
                <w:bCs/>
                <w:szCs w:val="21"/>
              </w:rPr>
              <w:t>D</w:t>
            </w:r>
            <w:r>
              <w:rPr>
                <w:rFonts w:ascii="Times New Roman" w:eastAsia="宋体" w:hAnsi="Times New Roman" w:cs="Times New Roman"/>
                <w:b/>
                <w:bCs/>
                <w:szCs w:val="21"/>
              </w:rPr>
              <w:t>（</w:t>
            </w:r>
            <w:r>
              <w:rPr>
                <w:rFonts w:ascii="Times New Roman" w:eastAsia="宋体" w:hAnsi="Times New Roman" w:cs="Times New Roman"/>
                <w:b/>
                <w:bCs/>
                <w:szCs w:val="21"/>
              </w:rPr>
              <w:t>m</w:t>
            </w:r>
            <w:r>
              <w:rPr>
                <w:rFonts w:ascii="Times New Roman" w:eastAsia="宋体" w:hAnsi="Times New Roman" w:cs="Times New Roman"/>
                <w:b/>
                <w:bCs/>
                <w:szCs w:val="21"/>
              </w:rPr>
              <w:t>）</w:t>
            </w:r>
          </w:p>
        </w:tc>
        <w:tc>
          <w:tcPr>
            <w:tcW w:w="8337" w:type="dxa"/>
            <w:gridSpan w:val="6"/>
            <w:tcBorders>
              <w:right w:val="single" w:sz="4" w:space="0" w:color="auto"/>
            </w:tcBorders>
            <w:vAlign w:val="center"/>
          </w:tcPr>
          <w:p w14:paraId="76DE1F00" w14:textId="77777777" w:rsidR="00D12939" w:rsidRDefault="004F47F5">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hint="eastAsia"/>
                <w:b/>
                <w:bCs/>
                <w:szCs w:val="21"/>
              </w:rPr>
              <w:t>火炬燃烧</w:t>
            </w:r>
          </w:p>
        </w:tc>
      </w:tr>
      <w:tr w:rsidR="00D12939" w14:paraId="00080DB1" w14:textId="77777777">
        <w:trPr>
          <w:trHeight w:val="308"/>
          <w:jc w:val="center"/>
        </w:trPr>
        <w:tc>
          <w:tcPr>
            <w:tcW w:w="1383" w:type="dxa"/>
            <w:vMerge/>
            <w:vAlign w:val="center"/>
          </w:tcPr>
          <w:p w14:paraId="4E92B996" w14:textId="77777777" w:rsidR="00D12939" w:rsidRDefault="00D12939">
            <w:pPr>
              <w:adjustRightInd w:val="0"/>
              <w:snapToGrid w:val="0"/>
              <w:jc w:val="center"/>
              <w:rPr>
                <w:rFonts w:ascii="Times New Roman" w:eastAsia="宋体" w:hAnsi="Times New Roman" w:cs="Times New Roman"/>
                <w:b/>
                <w:bCs/>
                <w:szCs w:val="21"/>
              </w:rPr>
            </w:pPr>
          </w:p>
        </w:tc>
        <w:tc>
          <w:tcPr>
            <w:tcW w:w="2726" w:type="dxa"/>
            <w:gridSpan w:val="2"/>
            <w:vAlign w:val="center"/>
          </w:tcPr>
          <w:p w14:paraId="6DE68D9A" w14:textId="77777777" w:rsidR="00D12939" w:rsidRDefault="004F47F5">
            <w:pPr>
              <w:jc w:val="center"/>
              <w:rPr>
                <w:rFonts w:ascii="Times New Roman" w:eastAsia="宋体" w:hAnsi="Times New Roman" w:cs="Times New Roman"/>
                <w:b/>
                <w:bCs/>
                <w:szCs w:val="21"/>
              </w:rPr>
            </w:pPr>
            <w:r>
              <w:rPr>
                <w:rFonts w:ascii="Times New Roman" w:eastAsia="宋体" w:hAnsi="Times New Roman" w:cs="Times New Roman"/>
                <w:b/>
                <w:szCs w:val="21"/>
              </w:rPr>
              <w:t>SO</w:t>
            </w:r>
            <w:r>
              <w:rPr>
                <w:rFonts w:ascii="Times New Roman" w:eastAsia="宋体" w:hAnsi="Times New Roman" w:cs="Times New Roman"/>
                <w:b/>
                <w:szCs w:val="21"/>
                <w:vertAlign w:val="subscript"/>
              </w:rPr>
              <w:t>2</w:t>
            </w:r>
          </w:p>
        </w:tc>
        <w:tc>
          <w:tcPr>
            <w:tcW w:w="2922" w:type="dxa"/>
            <w:gridSpan w:val="2"/>
            <w:vAlign w:val="center"/>
          </w:tcPr>
          <w:p w14:paraId="40D32C2E" w14:textId="77777777" w:rsidR="00D12939" w:rsidRDefault="004F47F5">
            <w:pPr>
              <w:adjustRightInd w:val="0"/>
              <w:snapToGrid w:val="0"/>
              <w:jc w:val="center"/>
              <w:rPr>
                <w:rFonts w:ascii="Times New Roman" w:eastAsia="宋体" w:hAnsi="Times New Roman" w:cs="Times New Roman"/>
                <w:b/>
                <w:szCs w:val="21"/>
              </w:rPr>
            </w:pPr>
            <w:r>
              <w:rPr>
                <w:rFonts w:ascii="Times New Roman" w:eastAsia="宋体" w:hAnsi="Times New Roman" w:cs="Times New Roman"/>
                <w:b/>
                <w:szCs w:val="21"/>
              </w:rPr>
              <w:t>NO</w:t>
            </w:r>
            <w:r>
              <w:rPr>
                <w:rFonts w:ascii="Times New Roman" w:eastAsia="宋体" w:hAnsi="Times New Roman" w:cs="Times New Roman"/>
                <w:b/>
                <w:szCs w:val="21"/>
                <w:vertAlign w:val="subscript"/>
              </w:rPr>
              <w:t>X</w:t>
            </w:r>
          </w:p>
        </w:tc>
        <w:tc>
          <w:tcPr>
            <w:tcW w:w="2688" w:type="dxa"/>
            <w:gridSpan w:val="2"/>
            <w:tcBorders>
              <w:right w:val="single" w:sz="4" w:space="0" w:color="auto"/>
            </w:tcBorders>
            <w:vAlign w:val="center"/>
          </w:tcPr>
          <w:p w14:paraId="0052B576" w14:textId="77777777" w:rsidR="00D12939" w:rsidRDefault="004F47F5">
            <w:pPr>
              <w:jc w:val="center"/>
              <w:rPr>
                <w:rFonts w:ascii="Times New Roman" w:eastAsia="宋体" w:hAnsi="Times New Roman" w:cs="Times New Roman"/>
                <w:b/>
                <w:bCs/>
                <w:szCs w:val="21"/>
              </w:rPr>
            </w:pPr>
            <w:r>
              <w:rPr>
                <w:rFonts w:ascii="Times New Roman" w:eastAsia="宋体" w:hAnsi="Times New Roman" w:cs="Times New Roman"/>
                <w:b/>
                <w:szCs w:val="21"/>
              </w:rPr>
              <w:t>NH</w:t>
            </w:r>
            <w:r>
              <w:rPr>
                <w:rFonts w:ascii="Times New Roman" w:eastAsia="宋体" w:hAnsi="Times New Roman" w:cs="Times New Roman"/>
                <w:b/>
                <w:szCs w:val="21"/>
                <w:vertAlign w:val="subscript"/>
              </w:rPr>
              <w:t>3</w:t>
            </w:r>
          </w:p>
        </w:tc>
      </w:tr>
      <w:tr w:rsidR="00D12939" w14:paraId="0B8CCC09" w14:textId="77777777">
        <w:trPr>
          <w:trHeight w:val="403"/>
          <w:jc w:val="center"/>
        </w:trPr>
        <w:tc>
          <w:tcPr>
            <w:tcW w:w="1383" w:type="dxa"/>
            <w:vMerge/>
            <w:vAlign w:val="center"/>
          </w:tcPr>
          <w:p w14:paraId="5001FE04" w14:textId="77777777" w:rsidR="00D12939" w:rsidRDefault="00D12939">
            <w:pPr>
              <w:adjustRightInd w:val="0"/>
              <w:snapToGrid w:val="0"/>
              <w:jc w:val="center"/>
              <w:rPr>
                <w:rFonts w:ascii="Times New Roman" w:eastAsia="宋体" w:hAnsi="Times New Roman" w:cs="Times New Roman"/>
                <w:b/>
                <w:bCs/>
                <w:szCs w:val="21"/>
              </w:rPr>
            </w:pPr>
          </w:p>
        </w:tc>
        <w:tc>
          <w:tcPr>
            <w:tcW w:w="1362" w:type="dxa"/>
            <w:vAlign w:val="center"/>
          </w:tcPr>
          <w:p w14:paraId="777AC8F0" w14:textId="77777777" w:rsidR="00D12939" w:rsidRDefault="004F47F5">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浓度</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c>
          <w:tcPr>
            <w:tcW w:w="1363" w:type="dxa"/>
            <w:vAlign w:val="center"/>
          </w:tcPr>
          <w:p w14:paraId="3C7B8F6E" w14:textId="77777777" w:rsidR="00D12939" w:rsidRDefault="004F47F5">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占标率</w:t>
            </w:r>
            <w:r>
              <w:rPr>
                <w:rFonts w:ascii="Times New Roman" w:eastAsia="宋体" w:hAnsi="Times New Roman" w:cs="Times New Roman"/>
                <w:b/>
                <w:bCs/>
                <w:szCs w:val="21"/>
              </w:rPr>
              <w:t>(%)</w:t>
            </w:r>
          </w:p>
        </w:tc>
        <w:tc>
          <w:tcPr>
            <w:tcW w:w="1557" w:type="dxa"/>
            <w:vAlign w:val="center"/>
          </w:tcPr>
          <w:p w14:paraId="6B3A4CB2" w14:textId="77777777" w:rsidR="00D12939" w:rsidRDefault="004F47F5">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浓度</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c>
          <w:tcPr>
            <w:tcW w:w="1365" w:type="dxa"/>
            <w:vAlign w:val="center"/>
          </w:tcPr>
          <w:p w14:paraId="369D2B6C" w14:textId="77777777" w:rsidR="00D12939" w:rsidRDefault="004F47F5">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占标率</w:t>
            </w:r>
            <w:r>
              <w:rPr>
                <w:rFonts w:ascii="Times New Roman" w:eastAsia="宋体" w:hAnsi="Times New Roman" w:cs="Times New Roman"/>
                <w:b/>
                <w:bCs/>
                <w:szCs w:val="21"/>
              </w:rPr>
              <w:t>(%)</w:t>
            </w:r>
          </w:p>
        </w:tc>
        <w:tc>
          <w:tcPr>
            <w:tcW w:w="1363" w:type="dxa"/>
            <w:vAlign w:val="center"/>
          </w:tcPr>
          <w:p w14:paraId="4697914C" w14:textId="77777777" w:rsidR="00D12939" w:rsidRDefault="004F47F5">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浓度</w:t>
            </w:r>
            <w:r>
              <w:rPr>
                <w:rFonts w:ascii="Times New Roman" w:eastAsia="宋体" w:hAnsi="Times New Roman" w:cs="Times New Roman"/>
                <w:b/>
                <w:bCs/>
                <w:szCs w:val="21"/>
              </w:rPr>
              <w:t>(mg/m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c>
          <w:tcPr>
            <w:tcW w:w="1324" w:type="dxa"/>
            <w:vAlign w:val="center"/>
          </w:tcPr>
          <w:p w14:paraId="3FADD9E4" w14:textId="77777777" w:rsidR="00D12939" w:rsidRDefault="004F47F5">
            <w:pPr>
              <w:adjustRightInd w:val="0"/>
              <w:snapToGrid w:val="0"/>
              <w:jc w:val="center"/>
              <w:rPr>
                <w:rFonts w:ascii="Times New Roman" w:eastAsia="宋体" w:hAnsi="Times New Roman" w:cs="Times New Roman"/>
                <w:b/>
                <w:bCs/>
                <w:szCs w:val="21"/>
              </w:rPr>
            </w:pPr>
            <w:r>
              <w:rPr>
                <w:rFonts w:ascii="Times New Roman" w:eastAsia="宋体" w:hAnsi="Times New Roman" w:cs="Times New Roman"/>
                <w:b/>
                <w:bCs/>
                <w:szCs w:val="21"/>
              </w:rPr>
              <w:t>占标率</w:t>
            </w:r>
            <w:r>
              <w:rPr>
                <w:rFonts w:ascii="Times New Roman" w:eastAsia="宋体" w:hAnsi="Times New Roman" w:cs="Times New Roman"/>
                <w:b/>
                <w:bCs/>
                <w:szCs w:val="21"/>
              </w:rPr>
              <w:t>(%)</w:t>
            </w:r>
          </w:p>
        </w:tc>
      </w:tr>
      <w:tr w:rsidR="00D12939" w14:paraId="18AF91C4" w14:textId="77777777">
        <w:trPr>
          <w:trHeight w:val="293"/>
          <w:jc w:val="center"/>
        </w:trPr>
        <w:tc>
          <w:tcPr>
            <w:tcW w:w="1383" w:type="dxa"/>
            <w:vAlign w:val="center"/>
          </w:tcPr>
          <w:p w14:paraId="337C1E55" w14:textId="77777777" w:rsidR="00D12939" w:rsidRDefault="004F47F5">
            <w:pPr>
              <w:jc w:val="center"/>
              <w:rPr>
                <w:rFonts w:ascii="Times New Roman" w:hAnsi="Times New Roman" w:cs="Times New Roman"/>
                <w:szCs w:val="21"/>
              </w:rPr>
            </w:pPr>
            <w:r>
              <w:rPr>
                <w:rFonts w:ascii="Times New Roman" w:hAnsi="Times New Roman" w:cs="Times New Roman"/>
                <w:szCs w:val="21"/>
              </w:rPr>
              <w:t>10</w:t>
            </w:r>
          </w:p>
        </w:tc>
        <w:tc>
          <w:tcPr>
            <w:tcW w:w="1362" w:type="dxa"/>
            <w:vAlign w:val="center"/>
          </w:tcPr>
          <w:p w14:paraId="3BA46B09" w14:textId="77777777" w:rsidR="00D12939" w:rsidRDefault="004F47F5">
            <w:pPr>
              <w:jc w:val="center"/>
              <w:rPr>
                <w:rFonts w:ascii="Times New Roman" w:hAnsi="Times New Roman" w:cs="Times New Roman"/>
              </w:rPr>
            </w:pPr>
            <w:r>
              <w:rPr>
                <w:rFonts w:ascii="Times New Roman" w:hAnsi="Times New Roman" w:cs="Times New Roman"/>
              </w:rPr>
              <w:t>2.52E-05</w:t>
            </w:r>
          </w:p>
        </w:tc>
        <w:tc>
          <w:tcPr>
            <w:tcW w:w="1363" w:type="dxa"/>
            <w:vAlign w:val="center"/>
          </w:tcPr>
          <w:p w14:paraId="2DAB0F0A" w14:textId="77777777" w:rsidR="00D12939" w:rsidRDefault="004F47F5">
            <w:pPr>
              <w:jc w:val="center"/>
              <w:rPr>
                <w:rFonts w:ascii="Times New Roman" w:hAnsi="Times New Roman" w:cs="Times New Roman"/>
              </w:rPr>
            </w:pPr>
            <w:r>
              <w:rPr>
                <w:rFonts w:ascii="Times New Roman" w:hAnsi="Times New Roman" w:cs="Times New Roman"/>
              </w:rPr>
              <w:t>0.01</w:t>
            </w:r>
          </w:p>
        </w:tc>
        <w:tc>
          <w:tcPr>
            <w:tcW w:w="1557" w:type="dxa"/>
            <w:vAlign w:val="center"/>
          </w:tcPr>
          <w:p w14:paraId="166CB326" w14:textId="77777777" w:rsidR="00D12939" w:rsidRDefault="004F47F5">
            <w:pPr>
              <w:jc w:val="center"/>
              <w:rPr>
                <w:rFonts w:ascii="Times New Roman" w:hAnsi="Times New Roman" w:cs="Times New Roman"/>
              </w:rPr>
            </w:pPr>
            <w:r>
              <w:rPr>
                <w:rFonts w:ascii="Times New Roman" w:hAnsi="Times New Roman" w:cs="Times New Roman"/>
              </w:rPr>
              <w:t>1.34E-04</w:t>
            </w:r>
          </w:p>
        </w:tc>
        <w:tc>
          <w:tcPr>
            <w:tcW w:w="1365" w:type="dxa"/>
            <w:vAlign w:val="center"/>
          </w:tcPr>
          <w:p w14:paraId="63217B57" w14:textId="77777777" w:rsidR="00D12939" w:rsidRDefault="004F47F5">
            <w:pPr>
              <w:jc w:val="center"/>
              <w:rPr>
                <w:rFonts w:ascii="Times New Roman" w:hAnsi="Times New Roman" w:cs="Times New Roman"/>
              </w:rPr>
            </w:pPr>
            <w:r>
              <w:rPr>
                <w:rFonts w:ascii="Times New Roman" w:hAnsi="Times New Roman" w:cs="Times New Roman"/>
              </w:rPr>
              <w:t>0.07</w:t>
            </w:r>
          </w:p>
        </w:tc>
        <w:tc>
          <w:tcPr>
            <w:tcW w:w="1363" w:type="dxa"/>
            <w:vAlign w:val="center"/>
          </w:tcPr>
          <w:p w14:paraId="16859DD6" w14:textId="77777777" w:rsidR="00D12939" w:rsidRDefault="004F47F5">
            <w:pPr>
              <w:jc w:val="center"/>
              <w:rPr>
                <w:rFonts w:ascii="Times New Roman" w:hAnsi="Times New Roman" w:cs="Times New Roman"/>
              </w:rPr>
            </w:pPr>
            <w:r>
              <w:rPr>
                <w:rFonts w:ascii="Times New Roman" w:hAnsi="Times New Roman" w:cs="Times New Roman"/>
              </w:rPr>
              <w:t>2.24E-04</w:t>
            </w:r>
          </w:p>
        </w:tc>
        <w:tc>
          <w:tcPr>
            <w:tcW w:w="1324" w:type="dxa"/>
            <w:vAlign w:val="center"/>
          </w:tcPr>
          <w:p w14:paraId="1F04DD6E" w14:textId="77777777" w:rsidR="00D12939" w:rsidRDefault="004F47F5">
            <w:pPr>
              <w:jc w:val="center"/>
              <w:rPr>
                <w:rFonts w:ascii="Times New Roman" w:hAnsi="Times New Roman" w:cs="Times New Roman"/>
              </w:rPr>
            </w:pPr>
            <w:r>
              <w:rPr>
                <w:rFonts w:ascii="Times New Roman" w:hAnsi="Times New Roman" w:cs="Times New Roman"/>
              </w:rPr>
              <w:t>0.11</w:t>
            </w:r>
          </w:p>
        </w:tc>
      </w:tr>
      <w:tr w:rsidR="00D12939" w14:paraId="1B9E4A7A" w14:textId="77777777">
        <w:trPr>
          <w:trHeight w:val="306"/>
          <w:jc w:val="center"/>
        </w:trPr>
        <w:tc>
          <w:tcPr>
            <w:tcW w:w="1383" w:type="dxa"/>
            <w:vAlign w:val="center"/>
          </w:tcPr>
          <w:p w14:paraId="2277C6A6" w14:textId="77777777" w:rsidR="00D12939" w:rsidRDefault="004F47F5">
            <w:pPr>
              <w:jc w:val="center"/>
              <w:rPr>
                <w:rFonts w:ascii="Times New Roman" w:hAnsi="Times New Roman" w:cs="Times New Roman"/>
                <w:szCs w:val="21"/>
              </w:rPr>
            </w:pPr>
            <w:r>
              <w:rPr>
                <w:rFonts w:ascii="Times New Roman" w:hAnsi="Times New Roman" w:cs="Times New Roman"/>
                <w:szCs w:val="21"/>
              </w:rPr>
              <w:t>25</w:t>
            </w:r>
          </w:p>
        </w:tc>
        <w:tc>
          <w:tcPr>
            <w:tcW w:w="1362" w:type="dxa"/>
            <w:vAlign w:val="center"/>
          </w:tcPr>
          <w:p w14:paraId="680C9BDA" w14:textId="77777777" w:rsidR="00D12939" w:rsidRDefault="004F47F5">
            <w:pPr>
              <w:jc w:val="center"/>
              <w:rPr>
                <w:rFonts w:ascii="Times New Roman" w:hAnsi="Times New Roman" w:cs="Times New Roman"/>
              </w:rPr>
            </w:pPr>
            <w:r>
              <w:rPr>
                <w:rFonts w:ascii="Times New Roman" w:hAnsi="Times New Roman" w:cs="Times New Roman"/>
              </w:rPr>
              <w:t>3.38E-04</w:t>
            </w:r>
          </w:p>
        </w:tc>
        <w:tc>
          <w:tcPr>
            <w:tcW w:w="1363" w:type="dxa"/>
            <w:vAlign w:val="center"/>
          </w:tcPr>
          <w:p w14:paraId="46C3FA53" w14:textId="77777777" w:rsidR="00D12939" w:rsidRDefault="004F47F5">
            <w:pPr>
              <w:jc w:val="center"/>
              <w:rPr>
                <w:rFonts w:ascii="Times New Roman" w:hAnsi="Times New Roman" w:cs="Times New Roman"/>
              </w:rPr>
            </w:pPr>
            <w:r>
              <w:rPr>
                <w:rFonts w:ascii="Times New Roman" w:hAnsi="Times New Roman" w:cs="Times New Roman"/>
              </w:rPr>
              <w:t>0.07</w:t>
            </w:r>
          </w:p>
        </w:tc>
        <w:tc>
          <w:tcPr>
            <w:tcW w:w="1557" w:type="dxa"/>
            <w:vAlign w:val="center"/>
          </w:tcPr>
          <w:p w14:paraId="67670CDB" w14:textId="77777777" w:rsidR="00D12939" w:rsidRDefault="004F47F5">
            <w:pPr>
              <w:jc w:val="center"/>
              <w:rPr>
                <w:rFonts w:ascii="Times New Roman" w:hAnsi="Times New Roman" w:cs="Times New Roman"/>
              </w:rPr>
            </w:pPr>
            <w:r>
              <w:rPr>
                <w:rFonts w:ascii="Times New Roman" w:hAnsi="Times New Roman" w:cs="Times New Roman"/>
              </w:rPr>
              <w:t>1.81E-03</w:t>
            </w:r>
          </w:p>
        </w:tc>
        <w:tc>
          <w:tcPr>
            <w:tcW w:w="1365" w:type="dxa"/>
            <w:vAlign w:val="center"/>
          </w:tcPr>
          <w:p w14:paraId="77650B11" w14:textId="77777777" w:rsidR="00D12939" w:rsidRDefault="004F47F5">
            <w:pPr>
              <w:jc w:val="center"/>
              <w:rPr>
                <w:rFonts w:ascii="Times New Roman" w:hAnsi="Times New Roman" w:cs="Times New Roman"/>
              </w:rPr>
            </w:pPr>
            <w:r>
              <w:rPr>
                <w:rFonts w:ascii="Times New Roman" w:hAnsi="Times New Roman" w:cs="Times New Roman"/>
              </w:rPr>
              <w:t>0.90</w:t>
            </w:r>
          </w:p>
        </w:tc>
        <w:tc>
          <w:tcPr>
            <w:tcW w:w="1363" w:type="dxa"/>
            <w:vAlign w:val="center"/>
          </w:tcPr>
          <w:p w14:paraId="7A667F63" w14:textId="77777777" w:rsidR="00D12939" w:rsidRDefault="004F47F5">
            <w:pPr>
              <w:jc w:val="center"/>
              <w:rPr>
                <w:rFonts w:ascii="Times New Roman" w:hAnsi="Times New Roman" w:cs="Times New Roman"/>
              </w:rPr>
            </w:pPr>
            <w:r>
              <w:rPr>
                <w:rFonts w:ascii="Times New Roman" w:hAnsi="Times New Roman" w:cs="Times New Roman"/>
              </w:rPr>
              <w:t>3.01E-03</w:t>
            </w:r>
          </w:p>
        </w:tc>
        <w:tc>
          <w:tcPr>
            <w:tcW w:w="1324" w:type="dxa"/>
            <w:vAlign w:val="center"/>
          </w:tcPr>
          <w:p w14:paraId="4931EEAD" w14:textId="77777777" w:rsidR="00D12939" w:rsidRDefault="004F47F5">
            <w:pPr>
              <w:jc w:val="center"/>
              <w:rPr>
                <w:rFonts w:ascii="Times New Roman" w:hAnsi="Times New Roman" w:cs="Times New Roman"/>
              </w:rPr>
            </w:pPr>
            <w:r>
              <w:rPr>
                <w:rFonts w:ascii="Times New Roman" w:hAnsi="Times New Roman" w:cs="Times New Roman"/>
              </w:rPr>
              <w:t>1.50</w:t>
            </w:r>
          </w:p>
        </w:tc>
      </w:tr>
      <w:tr w:rsidR="00D12939" w14:paraId="3BB899EA" w14:textId="77777777">
        <w:trPr>
          <w:trHeight w:val="293"/>
          <w:jc w:val="center"/>
        </w:trPr>
        <w:tc>
          <w:tcPr>
            <w:tcW w:w="1383" w:type="dxa"/>
            <w:vAlign w:val="center"/>
          </w:tcPr>
          <w:p w14:paraId="229BE5D1" w14:textId="77777777" w:rsidR="00D12939" w:rsidRDefault="004F47F5">
            <w:pPr>
              <w:jc w:val="center"/>
              <w:rPr>
                <w:rFonts w:ascii="Times New Roman" w:hAnsi="Times New Roman" w:cs="Times New Roman"/>
                <w:szCs w:val="21"/>
              </w:rPr>
            </w:pPr>
            <w:r>
              <w:rPr>
                <w:rFonts w:ascii="Times New Roman" w:hAnsi="Times New Roman" w:cs="Times New Roman"/>
                <w:szCs w:val="21"/>
              </w:rPr>
              <w:t>50</w:t>
            </w:r>
          </w:p>
        </w:tc>
        <w:tc>
          <w:tcPr>
            <w:tcW w:w="1362" w:type="dxa"/>
            <w:vAlign w:val="center"/>
          </w:tcPr>
          <w:p w14:paraId="51CC3EF1" w14:textId="77777777" w:rsidR="00D12939" w:rsidRDefault="004F47F5">
            <w:pPr>
              <w:jc w:val="center"/>
              <w:rPr>
                <w:rFonts w:ascii="Times New Roman" w:hAnsi="Times New Roman" w:cs="Times New Roman"/>
              </w:rPr>
            </w:pPr>
            <w:r>
              <w:rPr>
                <w:rFonts w:ascii="Times New Roman" w:hAnsi="Times New Roman" w:cs="Times New Roman"/>
              </w:rPr>
              <w:t>4.69E-04</w:t>
            </w:r>
          </w:p>
        </w:tc>
        <w:tc>
          <w:tcPr>
            <w:tcW w:w="1363" w:type="dxa"/>
            <w:vAlign w:val="center"/>
          </w:tcPr>
          <w:p w14:paraId="23979059"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1557" w:type="dxa"/>
            <w:vAlign w:val="center"/>
          </w:tcPr>
          <w:p w14:paraId="08897649" w14:textId="77777777" w:rsidR="00D12939" w:rsidRDefault="004F47F5">
            <w:pPr>
              <w:jc w:val="center"/>
              <w:rPr>
                <w:rFonts w:ascii="Times New Roman" w:hAnsi="Times New Roman" w:cs="Times New Roman"/>
              </w:rPr>
            </w:pPr>
            <w:r>
              <w:rPr>
                <w:rFonts w:ascii="Times New Roman" w:hAnsi="Times New Roman" w:cs="Times New Roman"/>
              </w:rPr>
              <w:t>2.50E-03</w:t>
            </w:r>
          </w:p>
        </w:tc>
        <w:tc>
          <w:tcPr>
            <w:tcW w:w="1365" w:type="dxa"/>
            <w:vAlign w:val="center"/>
          </w:tcPr>
          <w:p w14:paraId="1C8B7ABB" w14:textId="77777777" w:rsidR="00D12939" w:rsidRDefault="004F47F5">
            <w:pPr>
              <w:jc w:val="center"/>
              <w:rPr>
                <w:rFonts w:ascii="Times New Roman" w:hAnsi="Times New Roman" w:cs="Times New Roman"/>
              </w:rPr>
            </w:pPr>
            <w:r>
              <w:rPr>
                <w:rFonts w:ascii="Times New Roman" w:hAnsi="Times New Roman" w:cs="Times New Roman"/>
              </w:rPr>
              <w:t>1.25</w:t>
            </w:r>
          </w:p>
        </w:tc>
        <w:tc>
          <w:tcPr>
            <w:tcW w:w="1363" w:type="dxa"/>
            <w:vAlign w:val="center"/>
          </w:tcPr>
          <w:p w14:paraId="2DF011DB" w14:textId="77777777" w:rsidR="00D12939" w:rsidRDefault="004F47F5">
            <w:pPr>
              <w:jc w:val="center"/>
              <w:rPr>
                <w:rFonts w:ascii="Times New Roman" w:hAnsi="Times New Roman" w:cs="Times New Roman"/>
              </w:rPr>
            </w:pPr>
            <w:r>
              <w:rPr>
                <w:rFonts w:ascii="Times New Roman" w:hAnsi="Times New Roman" w:cs="Times New Roman"/>
              </w:rPr>
              <w:t>4.17E-03</w:t>
            </w:r>
          </w:p>
        </w:tc>
        <w:tc>
          <w:tcPr>
            <w:tcW w:w="1324" w:type="dxa"/>
            <w:vAlign w:val="center"/>
          </w:tcPr>
          <w:p w14:paraId="6DE9C1B1" w14:textId="77777777" w:rsidR="00D12939" w:rsidRDefault="004F47F5">
            <w:pPr>
              <w:jc w:val="center"/>
              <w:rPr>
                <w:rFonts w:ascii="Times New Roman" w:hAnsi="Times New Roman" w:cs="Times New Roman"/>
              </w:rPr>
            </w:pPr>
            <w:r>
              <w:rPr>
                <w:rFonts w:ascii="Times New Roman" w:hAnsi="Times New Roman" w:cs="Times New Roman"/>
              </w:rPr>
              <w:t>2.09</w:t>
            </w:r>
          </w:p>
        </w:tc>
      </w:tr>
      <w:tr w:rsidR="00D12939" w14:paraId="5A99F719" w14:textId="77777777">
        <w:trPr>
          <w:trHeight w:val="293"/>
          <w:jc w:val="center"/>
        </w:trPr>
        <w:tc>
          <w:tcPr>
            <w:tcW w:w="1383" w:type="dxa"/>
            <w:vAlign w:val="center"/>
          </w:tcPr>
          <w:p w14:paraId="33F56E2A" w14:textId="77777777" w:rsidR="00D12939" w:rsidRDefault="004F47F5">
            <w:pPr>
              <w:jc w:val="center"/>
              <w:rPr>
                <w:rFonts w:ascii="Times New Roman" w:hAnsi="Times New Roman" w:cs="Times New Roman"/>
                <w:b/>
                <w:szCs w:val="21"/>
              </w:rPr>
            </w:pPr>
            <w:r>
              <w:rPr>
                <w:rFonts w:ascii="Times New Roman" w:hAnsi="Times New Roman" w:cs="Times New Roman"/>
                <w:b/>
                <w:szCs w:val="21"/>
              </w:rPr>
              <w:t>56</w:t>
            </w:r>
          </w:p>
        </w:tc>
        <w:tc>
          <w:tcPr>
            <w:tcW w:w="1362" w:type="dxa"/>
            <w:vAlign w:val="center"/>
          </w:tcPr>
          <w:p w14:paraId="69901806" w14:textId="77777777" w:rsidR="00D12939" w:rsidRDefault="004F47F5">
            <w:pPr>
              <w:jc w:val="center"/>
              <w:rPr>
                <w:rFonts w:ascii="Times New Roman" w:hAnsi="Times New Roman" w:cs="Times New Roman"/>
                <w:b/>
              </w:rPr>
            </w:pPr>
            <w:r>
              <w:rPr>
                <w:rFonts w:ascii="Times New Roman" w:hAnsi="Times New Roman" w:cs="Times New Roman"/>
                <w:b/>
              </w:rPr>
              <w:t>4.81E-04</w:t>
            </w:r>
          </w:p>
        </w:tc>
        <w:tc>
          <w:tcPr>
            <w:tcW w:w="1363" w:type="dxa"/>
            <w:vAlign w:val="center"/>
          </w:tcPr>
          <w:p w14:paraId="57F6850E" w14:textId="77777777" w:rsidR="00D12939" w:rsidRDefault="004F47F5">
            <w:pPr>
              <w:jc w:val="center"/>
              <w:rPr>
                <w:rFonts w:ascii="Times New Roman" w:hAnsi="Times New Roman" w:cs="Times New Roman"/>
                <w:b/>
              </w:rPr>
            </w:pPr>
            <w:r>
              <w:rPr>
                <w:rFonts w:ascii="Times New Roman" w:hAnsi="Times New Roman" w:cs="Times New Roman"/>
                <w:b/>
              </w:rPr>
              <w:t>0.10</w:t>
            </w:r>
          </w:p>
        </w:tc>
        <w:tc>
          <w:tcPr>
            <w:tcW w:w="1557" w:type="dxa"/>
            <w:vAlign w:val="center"/>
          </w:tcPr>
          <w:p w14:paraId="275B52FD" w14:textId="77777777" w:rsidR="00D12939" w:rsidRDefault="004F47F5">
            <w:pPr>
              <w:jc w:val="center"/>
              <w:rPr>
                <w:rFonts w:ascii="Times New Roman" w:hAnsi="Times New Roman" w:cs="Times New Roman"/>
                <w:b/>
              </w:rPr>
            </w:pPr>
            <w:r>
              <w:rPr>
                <w:rFonts w:ascii="Times New Roman" w:hAnsi="Times New Roman" w:cs="Times New Roman"/>
                <w:b/>
              </w:rPr>
              <w:t>2.57E-03</w:t>
            </w:r>
          </w:p>
        </w:tc>
        <w:tc>
          <w:tcPr>
            <w:tcW w:w="1365" w:type="dxa"/>
            <w:vAlign w:val="center"/>
          </w:tcPr>
          <w:p w14:paraId="758B72C6" w14:textId="77777777" w:rsidR="00D12939" w:rsidRDefault="004F47F5">
            <w:pPr>
              <w:jc w:val="center"/>
              <w:rPr>
                <w:rFonts w:ascii="Times New Roman" w:hAnsi="Times New Roman" w:cs="Times New Roman"/>
                <w:b/>
              </w:rPr>
            </w:pPr>
            <w:r>
              <w:rPr>
                <w:rFonts w:ascii="Times New Roman" w:hAnsi="Times New Roman" w:cs="Times New Roman"/>
                <w:b/>
              </w:rPr>
              <w:t>1.28</w:t>
            </w:r>
          </w:p>
        </w:tc>
        <w:tc>
          <w:tcPr>
            <w:tcW w:w="1363" w:type="dxa"/>
            <w:vAlign w:val="center"/>
          </w:tcPr>
          <w:p w14:paraId="01BEFEFC" w14:textId="77777777" w:rsidR="00D12939" w:rsidRDefault="004F47F5">
            <w:pPr>
              <w:jc w:val="center"/>
              <w:rPr>
                <w:rFonts w:ascii="Times New Roman" w:hAnsi="Times New Roman" w:cs="Times New Roman"/>
                <w:b/>
              </w:rPr>
            </w:pPr>
            <w:r>
              <w:rPr>
                <w:rFonts w:ascii="Times New Roman" w:hAnsi="Times New Roman" w:cs="Times New Roman"/>
                <w:b/>
              </w:rPr>
              <w:t>4.28E-03</w:t>
            </w:r>
          </w:p>
        </w:tc>
        <w:tc>
          <w:tcPr>
            <w:tcW w:w="1324" w:type="dxa"/>
            <w:vAlign w:val="center"/>
          </w:tcPr>
          <w:p w14:paraId="1748B023" w14:textId="77777777" w:rsidR="00D12939" w:rsidRDefault="004F47F5">
            <w:pPr>
              <w:jc w:val="center"/>
              <w:rPr>
                <w:rFonts w:ascii="Times New Roman" w:hAnsi="Times New Roman" w:cs="Times New Roman"/>
                <w:b/>
              </w:rPr>
            </w:pPr>
            <w:r>
              <w:rPr>
                <w:rFonts w:ascii="Times New Roman" w:hAnsi="Times New Roman" w:cs="Times New Roman"/>
                <w:b/>
              </w:rPr>
              <w:t>2.14</w:t>
            </w:r>
          </w:p>
        </w:tc>
      </w:tr>
      <w:tr w:rsidR="00D12939" w14:paraId="7000DCF7" w14:textId="77777777">
        <w:trPr>
          <w:trHeight w:val="293"/>
          <w:jc w:val="center"/>
        </w:trPr>
        <w:tc>
          <w:tcPr>
            <w:tcW w:w="1383" w:type="dxa"/>
            <w:vAlign w:val="center"/>
          </w:tcPr>
          <w:p w14:paraId="5FA95664" w14:textId="77777777" w:rsidR="00D12939" w:rsidRDefault="004F47F5">
            <w:pPr>
              <w:jc w:val="center"/>
              <w:rPr>
                <w:rFonts w:ascii="Times New Roman" w:hAnsi="Times New Roman" w:cs="Times New Roman"/>
                <w:szCs w:val="21"/>
              </w:rPr>
            </w:pPr>
            <w:r>
              <w:rPr>
                <w:rFonts w:ascii="Times New Roman" w:hAnsi="Times New Roman" w:cs="Times New Roman"/>
                <w:szCs w:val="21"/>
              </w:rPr>
              <w:t>75</w:t>
            </w:r>
          </w:p>
        </w:tc>
        <w:tc>
          <w:tcPr>
            <w:tcW w:w="1362" w:type="dxa"/>
            <w:vAlign w:val="center"/>
          </w:tcPr>
          <w:p w14:paraId="7E643223" w14:textId="77777777" w:rsidR="00D12939" w:rsidRDefault="004F47F5">
            <w:pPr>
              <w:jc w:val="center"/>
              <w:rPr>
                <w:rFonts w:ascii="Times New Roman" w:hAnsi="Times New Roman" w:cs="Times New Roman"/>
              </w:rPr>
            </w:pPr>
            <w:r>
              <w:rPr>
                <w:rFonts w:ascii="Times New Roman" w:hAnsi="Times New Roman" w:cs="Times New Roman"/>
              </w:rPr>
              <w:t>4.51E-04</w:t>
            </w:r>
          </w:p>
        </w:tc>
        <w:tc>
          <w:tcPr>
            <w:tcW w:w="1363" w:type="dxa"/>
            <w:vAlign w:val="center"/>
          </w:tcPr>
          <w:p w14:paraId="64E45390" w14:textId="77777777" w:rsidR="00D12939" w:rsidRDefault="004F47F5">
            <w:pPr>
              <w:jc w:val="center"/>
              <w:rPr>
                <w:rFonts w:ascii="Times New Roman" w:hAnsi="Times New Roman" w:cs="Times New Roman"/>
              </w:rPr>
            </w:pPr>
            <w:r>
              <w:rPr>
                <w:rFonts w:ascii="Times New Roman" w:hAnsi="Times New Roman" w:cs="Times New Roman"/>
              </w:rPr>
              <w:t>0.09</w:t>
            </w:r>
          </w:p>
        </w:tc>
        <w:tc>
          <w:tcPr>
            <w:tcW w:w="1557" w:type="dxa"/>
            <w:vAlign w:val="center"/>
          </w:tcPr>
          <w:p w14:paraId="2666960D" w14:textId="77777777" w:rsidR="00D12939" w:rsidRDefault="004F47F5">
            <w:pPr>
              <w:jc w:val="center"/>
              <w:rPr>
                <w:rFonts w:ascii="Times New Roman" w:hAnsi="Times New Roman" w:cs="Times New Roman"/>
              </w:rPr>
            </w:pPr>
            <w:r>
              <w:rPr>
                <w:rFonts w:ascii="Times New Roman" w:hAnsi="Times New Roman" w:cs="Times New Roman"/>
              </w:rPr>
              <w:t>2.41E-03</w:t>
            </w:r>
          </w:p>
        </w:tc>
        <w:tc>
          <w:tcPr>
            <w:tcW w:w="1365" w:type="dxa"/>
            <w:vAlign w:val="center"/>
          </w:tcPr>
          <w:p w14:paraId="4897494A" w14:textId="77777777" w:rsidR="00D12939" w:rsidRDefault="004F47F5">
            <w:pPr>
              <w:jc w:val="center"/>
              <w:rPr>
                <w:rFonts w:ascii="Times New Roman" w:hAnsi="Times New Roman" w:cs="Times New Roman"/>
              </w:rPr>
            </w:pPr>
            <w:r>
              <w:rPr>
                <w:rFonts w:ascii="Times New Roman" w:hAnsi="Times New Roman" w:cs="Times New Roman"/>
              </w:rPr>
              <w:t>1.20</w:t>
            </w:r>
          </w:p>
        </w:tc>
        <w:tc>
          <w:tcPr>
            <w:tcW w:w="1363" w:type="dxa"/>
            <w:vAlign w:val="center"/>
          </w:tcPr>
          <w:p w14:paraId="6EE36A2E" w14:textId="77777777" w:rsidR="00D12939" w:rsidRDefault="004F47F5">
            <w:pPr>
              <w:jc w:val="center"/>
              <w:rPr>
                <w:rFonts w:ascii="Times New Roman" w:hAnsi="Times New Roman" w:cs="Times New Roman"/>
              </w:rPr>
            </w:pPr>
            <w:r>
              <w:rPr>
                <w:rFonts w:ascii="Times New Roman" w:hAnsi="Times New Roman" w:cs="Times New Roman"/>
              </w:rPr>
              <w:t>4.01E-03</w:t>
            </w:r>
          </w:p>
        </w:tc>
        <w:tc>
          <w:tcPr>
            <w:tcW w:w="1324" w:type="dxa"/>
            <w:vAlign w:val="center"/>
          </w:tcPr>
          <w:p w14:paraId="256D5FCC" w14:textId="77777777" w:rsidR="00D12939" w:rsidRDefault="004F47F5">
            <w:pPr>
              <w:jc w:val="center"/>
              <w:rPr>
                <w:rFonts w:ascii="Times New Roman" w:hAnsi="Times New Roman" w:cs="Times New Roman"/>
              </w:rPr>
            </w:pPr>
            <w:r>
              <w:rPr>
                <w:rFonts w:ascii="Times New Roman" w:hAnsi="Times New Roman" w:cs="Times New Roman"/>
              </w:rPr>
              <w:t>2.01</w:t>
            </w:r>
          </w:p>
        </w:tc>
      </w:tr>
      <w:tr w:rsidR="00D12939" w14:paraId="15CFC722" w14:textId="77777777">
        <w:trPr>
          <w:trHeight w:val="293"/>
          <w:jc w:val="center"/>
        </w:trPr>
        <w:tc>
          <w:tcPr>
            <w:tcW w:w="1383" w:type="dxa"/>
            <w:vAlign w:val="center"/>
          </w:tcPr>
          <w:p w14:paraId="6C29D0FC" w14:textId="77777777" w:rsidR="00D12939" w:rsidRDefault="004F47F5">
            <w:pPr>
              <w:jc w:val="center"/>
              <w:rPr>
                <w:rFonts w:ascii="Times New Roman" w:hAnsi="Times New Roman" w:cs="Times New Roman"/>
                <w:szCs w:val="21"/>
              </w:rPr>
            </w:pPr>
            <w:r>
              <w:rPr>
                <w:rFonts w:ascii="Times New Roman" w:hAnsi="Times New Roman" w:cs="Times New Roman"/>
                <w:szCs w:val="21"/>
              </w:rPr>
              <w:t>100</w:t>
            </w:r>
          </w:p>
        </w:tc>
        <w:tc>
          <w:tcPr>
            <w:tcW w:w="1362" w:type="dxa"/>
            <w:vAlign w:val="center"/>
          </w:tcPr>
          <w:p w14:paraId="1B434B0F" w14:textId="77777777" w:rsidR="00D12939" w:rsidRDefault="004F47F5">
            <w:pPr>
              <w:jc w:val="center"/>
              <w:rPr>
                <w:rFonts w:ascii="Times New Roman" w:hAnsi="Times New Roman" w:cs="Times New Roman"/>
              </w:rPr>
            </w:pPr>
            <w:r>
              <w:rPr>
                <w:rFonts w:ascii="Times New Roman" w:hAnsi="Times New Roman" w:cs="Times New Roman"/>
              </w:rPr>
              <w:t>3.70E-04</w:t>
            </w:r>
          </w:p>
        </w:tc>
        <w:tc>
          <w:tcPr>
            <w:tcW w:w="1363" w:type="dxa"/>
            <w:vAlign w:val="center"/>
          </w:tcPr>
          <w:p w14:paraId="7FA34D7F" w14:textId="77777777" w:rsidR="00D12939" w:rsidRDefault="004F47F5">
            <w:pPr>
              <w:jc w:val="center"/>
              <w:rPr>
                <w:rFonts w:ascii="Times New Roman" w:hAnsi="Times New Roman" w:cs="Times New Roman"/>
              </w:rPr>
            </w:pPr>
            <w:r>
              <w:rPr>
                <w:rFonts w:ascii="Times New Roman" w:hAnsi="Times New Roman" w:cs="Times New Roman"/>
              </w:rPr>
              <w:t>0.07</w:t>
            </w:r>
          </w:p>
        </w:tc>
        <w:tc>
          <w:tcPr>
            <w:tcW w:w="1557" w:type="dxa"/>
            <w:vAlign w:val="center"/>
          </w:tcPr>
          <w:p w14:paraId="36E0F32E" w14:textId="77777777" w:rsidR="00D12939" w:rsidRDefault="004F47F5">
            <w:pPr>
              <w:jc w:val="center"/>
              <w:rPr>
                <w:rFonts w:ascii="Times New Roman" w:hAnsi="Times New Roman" w:cs="Times New Roman"/>
              </w:rPr>
            </w:pPr>
            <w:r>
              <w:rPr>
                <w:rFonts w:ascii="Times New Roman" w:hAnsi="Times New Roman" w:cs="Times New Roman"/>
              </w:rPr>
              <w:t>1.98E-03</w:t>
            </w:r>
          </w:p>
        </w:tc>
        <w:tc>
          <w:tcPr>
            <w:tcW w:w="1365" w:type="dxa"/>
            <w:vAlign w:val="center"/>
          </w:tcPr>
          <w:p w14:paraId="6EDDF0DE" w14:textId="77777777" w:rsidR="00D12939" w:rsidRDefault="004F47F5">
            <w:pPr>
              <w:jc w:val="center"/>
              <w:rPr>
                <w:rFonts w:ascii="Times New Roman" w:hAnsi="Times New Roman" w:cs="Times New Roman"/>
              </w:rPr>
            </w:pPr>
            <w:r>
              <w:rPr>
                <w:rFonts w:ascii="Times New Roman" w:hAnsi="Times New Roman" w:cs="Times New Roman"/>
              </w:rPr>
              <w:t>0.99</w:t>
            </w:r>
          </w:p>
        </w:tc>
        <w:tc>
          <w:tcPr>
            <w:tcW w:w="1363" w:type="dxa"/>
            <w:vAlign w:val="center"/>
          </w:tcPr>
          <w:p w14:paraId="536E6796" w14:textId="77777777" w:rsidR="00D12939" w:rsidRDefault="004F47F5">
            <w:pPr>
              <w:jc w:val="center"/>
              <w:rPr>
                <w:rFonts w:ascii="Times New Roman" w:hAnsi="Times New Roman" w:cs="Times New Roman"/>
              </w:rPr>
            </w:pPr>
            <w:r>
              <w:rPr>
                <w:rFonts w:ascii="Times New Roman" w:hAnsi="Times New Roman" w:cs="Times New Roman"/>
              </w:rPr>
              <w:t>3.29E-03</w:t>
            </w:r>
          </w:p>
        </w:tc>
        <w:tc>
          <w:tcPr>
            <w:tcW w:w="1324" w:type="dxa"/>
            <w:vAlign w:val="center"/>
          </w:tcPr>
          <w:p w14:paraId="4D88D7E8" w14:textId="77777777" w:rsidR="00D12939" w:rsidRDefault="004F47F5">
            <w:pPr>
              <w:jc w:val="center"/>
              <w:rPr>
                <w:rFonts w:ascii="Times New Roman" w:hAnsi="Times New Roman" w:cs="Times New Roman"/>
              </w:rPr>
            </w:pPr>
            <w:r>
              <w:rPr>
                <w:rFonts w:ascii="Times New Roman" w:hAnsi="Times New Roman" w:cs="Times New Roman"/>
              </w:rPr>
              <w:t>1.65</w:t>
            </w:r>
          </w:p>
        </w:tc>
      </w:tr>
      <w:tr w:rsidR="00D12939" w14:paraId="47623F69" w14:textId="77777777">
        <w:trPr>
          <w:trHeight w:val="293"/>
          <w:jc w:val="center"/>
        </w:trPr>
        <w:tc>
          <w:tcPr>
            <w:tcW w:w="1383" w:type="dxa"/>
            <w:vAlign w:val="center"/>
          </w:tcPr>
          <w:p w14:paraId="5F1733C0" w14:textId="77777777" w:rsidR="00D12939" w:rsidRDefault="004F47F5">
            <w:pPr>
              <w:jc w:val="center"/>
              <w:rPr>
                <w:rFonts w:ascii="Times New Roman" w:hAnsi="Times New Roman" w:cs="Times New Roman"/>
                <w:szCs w:val="21"/>
              </w:rPr>
            </w:pPr>
            <w:r>
              <w:rPr>
                <w:rFonts w:ascii="Times New Roman" w:hAnsi="Times New Roman" w:cs="Times New Roman"/>
                <w:szCs w:val="21"/>
              </w:rPr>
              <w:t>125</w:t>
            </w:r>
          </w:p>
        </w:tc>
        <w:tc>
          <w:tcPr>
            <w:tcW w:w="1362" w:type="dxa"/>
            <w:vAlign w:val="center"/>
          </w:tcPr>
          <w:p w14:paraId="182922C5" w14:textId="77777777" w:rsidR="00D12939" w:rsidRDefault="004F47F5">
            <w:pPr>
              <w:jc w:val="center"/>
              <w:rPr>
                <w:rFonts w:ascii="Times New Roman" w:hAnsi="Times New Roman" w:cs="Times New Roman"/>
              </w:rPr>
            </w:pPr>
            <w:r>
              <w:rPr>
                <w:rFonts w:ascii="Times New Roman" w:hAnsi="Times New Roman" w:cs="Times New Roman"/>
              </w:rPr>
              <w:t>3.24E-04</w:t>
            </w:r>
          </w:p>
        </w:tc>
        <w:tc>
          <w:tcPr>
            <w:tcW w:w="1363" w:type="dxa"/>
            <w:vAlign w:val="center"/>
          </w:tcPr>
          <w:p w14:paraId="7D27A71F" w14:textId="77777777" w:rsidR="00D12939" w:rsidRDefault="004F47F5">
            <w:pPr>
              <w:jc w:val="center"/>
              <w:rPr>
                <w:rFonts w:ascii="Times New Roman" w:hAnsi="Times New Roman" w:cs="Times New Roman"/>
              </w:rPr>
            </w:pPr>
            <w:r>
              <w:rPr>
                <w:rFonts w:ascii="Times New Roman" w:hAnsi="Times New Roman" w:cs="Times New Roman"/>
              </w:rPr>
              <w:t>0.06</w:t>
            </w:r>
          </w:p>
        </w:tc>
        <w:tc>
          <w:tcPr>
            <w:tcW w:w="1557" w:type="dxa"/>
            <w:vAlign w:val="center"/>
          </w:tcPr>
          <w:p w14:paraId="75433C01" w14:textId="77777777" w:rsidR="00D12939" w:rsidRDefault="004F47F5">
            <w:pPr>
              <w:jc w:val="center"/>
              <w:rPr>
                <w:rFonts w:ascii="Times New Roman" w:hAnsi="Times New Roman" w:cs="Times New Roman"/>
              </w:rPr>
            </w:pPr>
            <w:r>
              <w:rPr>
                <w:rFonts w:ascii="Times New Roman" w:hAnsi="Times New Roman" w:cs="Times New Roman"/>
              </w:rPr>
              <w:t>1.73E-03</w:t>
            </w:r>
          </w:p>
        </w:tc>
        <w:tc>
          <w:tcPr>
            <w:tcW w:w="1365" w:type="dxa"/>
            <w:vAlign w:val="center"/>
          </w:tcPr>
          <w:p w14:paraId="2F61FA5C" w14:textId="77777777" w:rsidR="00D12939" w:rsidRDefault="004F47F5">
            <w:pPr>
              <w:jc w:val="center"/>
              <w:rPr>
                <w:rFonts w:ascii="Times New Roman" w:hAnsi="Times New Roman" w:cs="Times New Roman"/>
              </w:rPr>
            </w:pPr>
            <w:r>
              <w:rPr>
                <w:rFonts w:ascii="Times New Roman" w:hAnsi="Times New Roman" w:cs="Times New Roman"/>
              </w:rPr>
              <w:t>0.86</w:t>
            </w:r>
          </w:p>
        </w:tc>
        <w:tc>
          <w:tcPr>
            <w:tcW w:w="1363" w:type="dxa"/>
            <w:vAlign w:val="center"/>
          </w:tcPr>
          <w:p w14:paraId="5CCE68F9" w14:textId="77777777" w:rsidR="00D12939" w:rsidRDefault="004F47F5">
            <w:pPr>
              <w:jc w:val="center"/>
              <w:rPr>
                <w:rFonts w:ascii="Times New Roman" w:hAnsi="Times New Roman" w:cs="Times New Roman"/>
              </w:rPr>
            </w:pPr>
            <w:r>
              <w:rPr>
                <w:rFonts w:ascii="Times New Roman" w:hAnsi="Times New Roman" w:cs="Times New Roman"/>
              </w:rPr>
              <w:t>2.88E-03</w:t>
            </w:r>
          </w:p>
        </w:tc>
        <w:tc>
          <w:tcPr>
            <w:tcW w:w="1324" w:type="dxa"/>
            <w:vAlign w:val="center"/>
          </w:tcPr>
          <w:p w14:paraId="759DF238" w14:textId="77777777" w:rsidR="00D12939" w:rsidRDefault="004F47F5">
            <w:pPr>
              <w:jc w:val="center"/>
              <w:rPr>
                <w:rFonts w:ascii="Times New Roman" w:hAnsi="Times New Roman" w:cs="Times New Roman"/>
              </w:rPr>
            </w:pPr>
            <w:r>
              <w:rPr>
                <w:rFonts w:ascii="Times New Roman" w:hAnsi="Times New Roman" w:cs="Times New Roman"/>
              </w:rPr>
              <w:t>1.44</w:t>
            </w:r>
          </w:p>
        </w:tc>
      </w:tr>
      <w:tr w:rsidR="00D12939" w14:paraId="07DBEDFF" w14:textId="77777777">
        <w:trPr>
          <w:trHeight w:val="293"/>
          <w:jc w:val="center"/>
        </w:trPr>
        <w:tc>
          <w:tcPr>
            <w:tcW w:w="1383" w:type="dxa"/>
            <w:vAlign w:val="center"/>
          </w:tcPr>
          <w:p w14:paraId="1F277CBB" w14:textId="77777777" w:rsidR="00D12939" w:rsidRDefault="004F47F5">
            <w:pPr>
              <w:jc w:val="center"/>
              <w:rPr>
                <w:rFonts w:ascii="Times New Roman" w:hAnsi="Times New Roman" w:cs="Times New Roman"/>
                <w:szCs w:val="21"/>
              </w:rPr>
            </w:pPr>
            <w:r>
              <w:rPr>
                <w:rFonts w:ascii="Times New Roman" w:hAnsi="Times New Roman" w:cs="Times New Roman"/>
                <w:szCs w:val="21"/>
              </w:rPr>
              <w:t>150</w:t>
            </w:r>
          </w:p>
        </w:tc>
        <w:tc>
          <w:tcPr>
            <w:tcW w:w="1362" w:type="dxa"/>
            <w:vAlign w:val="center"/>
          </w:tcPr>
          <w:p w14:paraId="48E8E6C1" w14:textId="77777777" w:rsidR="00D12939" w:rsidRDefault="004F47F5">
            <w:pPr>
              <w:jc w:val="center"/>
              <w:rPr>
                <w:rFonts w:ascii="Times New Roman" w:hAnsi="Times New Roman" w:cs="Times New Roman"/>
              </w:rPr>
            </w:pPr>
            <w:r>
              <w:rPr>
                <w:rFonts w:ascii="Times New Roman" w:hAnsi="Times New Roman" w:cs="Times New Roman"/>
              </w:rPr>
              <w:t>2.89E-04</w:t>
            </w:r>
          </w:p>
        </w:tc>
        <w:tc>
          <w:tcPr>
            <w:tcW w:w="1363" w:type="dxa"/>
            <w:vAlign w:val="center"/>
          </w:tcPr>
          <w:p w14:paraId="29E94545" w14:textId="77777777" w:rsidR="00D12939" w:rsidRDefault="004F47F5">
            <w:pPr>
              <w:jc w:val="center"/>
              <w:rPr>
                <w:rFonts w:ascii="Times New Roman" w:hAnsi="Times New Roman" w:cs="Times New Roman"/>
              </w:rPr>
            </w:pPr>
            <w:r>
              <w:rPr>
                <w:rFonts w:ascii="Times New Roman" w:hAnsi="Times New Roman" w:cs="Times New Roman"/>
              </w:rPr>
              <w:t>0.06</w:t>
            </w:r>
          </w:p>
        </w:tc>
        <w:tc>
          <w:tcPr>
            <w:tcW w:w="1557" w:type="dxa"/>
            <w:vAlign w:val="center"/>
          </w:tcPr>
          <w:p w14:paraId="751322A8" w14:textId="77777777" w:rsidR="00D12939" w:rsidRDefault="004F47F5">
            <w:pPr>
              <w:jc w:val="center"/>
              <w:rPr>
                <w:rFonts w:ascii="Times New Roman" w:hAnsi="Times New Roman" w:cs="Times New Roman"/>
              </w:rPr>
            </w:pPr>
            <w:r>
              <w:rPr>
                <w:rFonts w:ascii="Times New Roman" w:hAnsi="Times New Roman" w:cs="Times New Roman"/>
              </w:rPr>
              <w:t>1.54E-03</w:t>
            </w:r>
          </w:p>
        </w:tc>
        <w:tc>
          <w:tcPr>
            <w:tcW w:w="1365" w:type="dxa"/>
            <w:vAlign w:val="center"/>
          </w:tcPr>
          <w:p w14:paraId="7A2588E1" w14:textId="77777777" w:rsidR="00D12939" w:rsidRDefault="004F47F5">
            <w:pPr>
              <w:jc w:val="center"/>
              <w:rPr>
                <w:rFonts w:ascii="Times New Roman" w:hAnsi="Times New Roman" w:cs="Times New Roman"/>
              </w:rPr>
            </w:pPr>
            <w:r>
              <w:rPr>
                <w:rFonts w:ascii="Times New Roman" w:hAnsi="Times New Roman" w:cs="Times New Roman"/>
              </w:rPr>
              <w:t>0.77</w:t>
            </w:r>
          </w:p>
        </w:tc>
        <w:tc>
          <w:tcPr>
            <w:tcW w:w="1363" w:type="dxa"/>
            <w:vAlign w:val="center"/>
          </w:tcPr>
          <w:p w14:paraId="0D0117B4" w14:textId="77777777" w:rsidR="00D12939" w:rsidRDefault="004F47F5">
            <w:pPr>
              <w:jc w:val="center"/>
              <w:rPr>
                <w:rFonts w:ascii="Times New Roman" w:hAnsi="Times New Roman" w:cs="Times New Roman"/>
              </w:rPr>
            </w:pPr>
            <w:r>
              <w:rPr>
                <w:rFonts w:ascii="Times New Roman" w:hAnsi="Times New Roman" w:cs="Times New Roman"/>
              </w:rPr>
              <w:t>2.57E-03</w:t>
            </w:r>
          </w:p>
        </w:tc>
        <w:tc>
          <w:tcPr>
            <w:tcW w:w="1324" w:type="dxa"/>
            <w:vAlign w:val="center"/>
          </w:tcPr>
          <w:p w14:paraId="7DF70085" w14:textId="77777777" w:rsidR="00D12939" w:rsidRDefault="004F47F5">
            <w:pPr>
              <w:jc w:val="center"/>
              <w:rPr>
                <w:rFonts w:ascii="Times New Roman" w:hAnsi="Times New Roman" w:cs="Times New Roman"/>
              </w:rPr>
            </w:pPr>
            <w:r>
              <w:rPr>
                <w:rFonts w:ascii="Times New Roman" w:hAnsi="Times New Roman" w:cs="Times New Roman"/>
              </w:rPr>
              <w:t>1.28</w:t>
            </w:r>
          </w:p>
        </w:tc>
      </w:tr>
      <w:tr w:rsidR="00D12939" w14:paraId="53EF8CDA" w14:textId="77777777">
        <w:trPr>
          <w:trHeight w:val="293"/>
          <w:jc w:val="center"/>
        </w:trPr>
        <w:tc>
          <w:tcPr>
            <w:tcW w:w="1383" w:type="dxa"/>
            <w:vAlign w:val="center"/>
          </w:tcPr>
          <w:p w14:paraId="1B4616E5" w14:textId="77777777" w:rsidR="00D12939" w:rsidRDefault="004F47F5">
            <w:pPr>
              <w:jc w:val="center"/>
              <w:rPr>
                <w:rFonts w:ascii="Times New Roman" w:hAnsi="Times New Roman" w:cs="Times New Roman"/>
                <w:szCs w:val="21"/>
              </w:rPr>
            </w:pPr>
            <w:r>
              <w:rPr>
                <w:rFonts w:ascii="Times New Roman" w:hAnsi="Times New Roman" w:cs="Times New Roman"/>
                <w:szCs w:val="21"/>
              </w:rPr>
              <w:t>175</w:t>
            </w:r>
          </w:p>
        </w:tc>
        <w:tc>
          <w:tcPr>
            <w:tcW w:w="1362" w:type="dxa"/>
            <w:vAlign w:val="center"/>
          </w:tcPr>
          <w:p w14:paraId="6AE91F10" w14:textId="77777777" w:rsidR="00D12939" w:rsidRDefault="004F47F5">
            <w:pPr>
              <w:jc w:val="center"/>
              <w:rPr>
                <w:rFonts w:ascii="Times New Roman" w:hAnsi="Times New Roman" w:cs="Times New Roman"/>
              </w:rPr>
            </w:pPr>
            <w:r>
              <w:rPr>
                <w:rFonts w:ascii="Times New Roman" w:hAnsi="Times New Roman" w:cs="Times New Roman"/>
              </w:rPr>
              <w:t>2.51E-04</w:t>
            </w:r>
          </w:p>
        </w:tc>
        <w:tc>
          <w:tcPr>
            <w:tcW w:w="1363" w:type="dxa"/>
            <w:vAlign w:val="center"/>
          </w:tcPr>
          <w:p w14:paraId="0C599AC8" w14:textId="77777777" w:rsidR="00D12939" w:rsidRDefault="004F47F5">
            <w:pPr>
              <w:jc w:val="center"/>
              <w:rPr>
                <w:rFonts w:ascii="Times New Roman" w:hAnsi="Times New Roman" w:cs="Times New Roman"/>
              </w:rPr>
            </w:pPr>
            <w:r>
              <w:rPr>
                <w:rFonts w:ascii="Times New Roman" w:hAnsi="Times New Roman" w:cs="Times New Roman"/>
              </w:rPr>
              <w:t>0.05</w:t>
            </w:r>
          </w:p>
        </w:tc>
        <w:tc>
          <w:tcPr>
            <w:tcW w:w="1557" w:type="dxa"/>
            <w:vAlign w:val="center"/>
          </w:tcPr>
          <w:p w14:paraId="6493A8C5" w14:textId="77777777" w:rsidR="00D12939" w:rsidRDefault="004F47F5">
            <w:pPr>
              <w:jc w:val="center"/>
              <w:rPr>
                <w:rFonts w:ascii="Times New Roman" w:hAnsi="Times New Roman" w:cs="Times New Roman"/>
              </w:rPr>
            </w:pPr>
            <w:r>
              <w:rPr>
                <w:rFonts w:ascii="Times New Roman" w:hAnsi="Times New Roman" w:cs="Times New Roman"/>
              </w:rPr>
              <w:t>1.34E-03</w:t>
            </w:r>
          </w:p>
        </w:tc>
        <w:tc>
          <w:tcPr>
            <w:tcW w:w="1365" w:type="dxa"/>
            <w:vAlign w:val="center"/>
          </w:tcPr>
          <w:p w14:paraId="0FBE7DAA" w14:textId="77777777" w:rsidR="00D12939" w:rsidRDefault="004F47F5">
            <w:pPr>
              <w:jc w:val="center"/>
              <w:rPr>
                <w:rFonts w:ascii="Times New Roman" w:hAnsi="Times New Roman" w:cs="Times New Roman"/>
              </w:rPr>
            </w:pPr>
            <w:r>
              <w:rPr>
                <w:rFonts w:ascii="Times New Roman" w:hAnsi="Times New Roman" w:cs="Times New Roman"/>
              </w:rPr>
              <w:t>0.67</w:t>
            </w:r>
          </w:p>
        </w:tc>
        <w:tc>
          <w:tcPr>
            <w:tcW w:w="1363" w:type="dxa"/>
            <w:vAlign w:val="center"/>
          </w:tcPr>
          <w:p w14:paraId="19E78C0C" w14:textId="77777777" w:rsidR="00D12939" w:rsidRDefault="004F47F5">
            <w:pPr>
              <w:jc w:val="center"/>
              <w:rPr>
                <w:rFonts w:ascii="Times New Roman" w:hAnsi="Times New Roman" w:cs="Times New Roman"/>
              </w:rPr>
            </w:pPr>
            <w:r>
              <w:rPr>
                <w:rFonts w:ascii="Times New Roman" w:hAnsi="Times New Roman" w:cs="Times New Roman"/>
              </w:rPr>
              <w:t>2.23E-03</w:t>
            </w:r>
          </w:p>
        </w:tc>
        <w:tc>
          <w:tcPr>
            <w:tcW w:w="1324" w:type="dxa"/>
            <w:vAlign w:val="center"/>
          </w:tcPr>
          <w:p w14:paraId="62F45F0E" w14:textId="77777777" w:rsidR="00D12939" w:rsidRDefault="004F47F5">
            <w:pPr>
              <w:jc w:val="center"/>
              <w:rPr>
                <w:rFonts w:ascii="Times New Roman" w:hAnsi="Times New Roman" w:cs="Times New Roman"/>
              </w:rPr>
            </w:pPr>
            <w:r>
              <w:rPr>
                <w:rFonts w:ascii="Times New Roman" w:hAnsi="Times New Roman" w:cs="Times New Roman"/>
              </w:rPr>
              <w:t>1.12</w:t>
            </w:r>
          </w:p>
        </w:tc>
      </w:tr>
      <w:tr w:rsidR="00D12939" w14:paraId="21D5435A" w14:textId="77777777">
        <w:trPr>
          <w:trHeight w:val="293"/>
          <w:jc w:val="center"/>
        </w:trPr>
        <w:tc>
          <w:tcPr>
            <w:tcW w:w="1383" w:type="dxa"/>
            <w:vAlign w:val="center"/>
          </w:tcPr>
          <w:p w14:paraId="27FB6F33" w14:textId="77777777" w:rsidR="00D12939" w:rsidRDefault="004F47F5">
            <w:pPr>
              <w:jc w:val="center"/>
              <w:rPr>
                <w:rFonts w:ascii="Times New Roman" w:hAnsi="Times New Roman" w:cs="Times New Roman"/>
                <w:szCs w:val="21"/>
              </w:rPr>
            </w:pPr>
            <w:r>
              <w:rPr>
                <w:rFonts w:ascii="Times New Roman" w:hAnsi="Times New Roman" w:cs="Times New Roman"/>
                <w:szCs w:val="21"/>
              </w:rPr>
              <w:t>200</w:t>
            </w:r>
          </w:p>
        </w:tc>
        <w:tc>
          <w:tcPr>
            <w:tcW w:w="1362" w:type="dxa"/>
            <w:vAlign w:val="center"/>
          </w:tcPr>
          <w:p w14:paraId="73E5AF7F" w14:textId="77777777" w:rsidR="00D12939" w:rsidRDefault="004F47F5">
            <w:pPr>
              <w:jc w:val="center"/>
              <w:rPr>
                <w:rFonts w:ascii="Times New Roman" w:hAnsi="Times New Roman" w:cs="Times New Roman"/>
              </w:rPr>
            </w:pPr>
            <w:r>
              <w:rPr>
                <w:rFonts w:ascii="Times New Roman" w:hAnsi="Times New Roman" w:cs="Times New Roman"/>
              </w:rPr>
              <w:t>2.20E-04</w:t>
            </w:r>
          </w:p>
        </w:tc>
        <w:tc>
          <w:tcPr>
            <w:tcW w:w="1363" w:type="dxa"/>
            <w:vAlign w:val="center"/>
          </w:tcPr>
          <w:p w14:paraId="4D8A8F46" w14:textId="77777777" w:rsidR="00D12939" w:rsidRDefault="004F47F5">
            <w:pPr>
              <w:jc w:val="center"/>
              <w:rPr>
                <w:rFonts w:ascii="Times New Roman" w:hAnsi="Times New Roman" w:cs="Times New Roman"/>
              </w:rPr>
            </w:pPr>
            <w:r>
              <w:rPr>
                <w:rFonts w:ascii="Times New Roman" w:hAnsi="Times New Roman" w:cs="Times New Roman"/>
              </w:rPr>
              <w:t>0.04</w:t>
            </w:r>
          </w:p>
        </w:tc>
        <w:tc>
          <w:tcPr>
            <w:tcW w:w="1557" w:type="dxa"/>
            <w:vAlign w:val="center"/>
          </w:tcPr>
          <w:p w14:paraId="57A75F3F" w14:textId="77777777" w:rsidR="00D12939" w:rsidRDefault="004F47F5">
            <w:pPr>
              <w:jc w:val="center"/>
              <w:rPr>
                <w:rFonts w:ascii="Times New Roman" w:hAnsi="Times New Roman" w:cs="Times New Roman"/>
              </w:rPr>
            </w:pPr>
            <w:r>
              <w:rPr>
                <w:rFonts w:ascii="Times New Roman" w:hAnsi="Times New Roman" w:cs="Times New Roman"/>
              </w:rPr>
              <w:t>1.18E-03</w:t>
            </w:r>
          </w:p>
        </w:tc>
        <w:tc>
          <w:tcPr>
            <w:tcW w:w="1365" w:type="dxa"/>
            <w:vAlign w:val="center"/>
          </w:tcPr>
          <w:p w14:paraId="4AFDE687" w14:textId="77777777" w:rsidR="00D12939" w:rsidRDefault="004F47F5">
            <w:pPr>
              <w:jc w:val="center"/>
              <w:rPr>
                <w:rFonts w:ascii="Times New Roman" w:hAnsi="Times New Roman" w:cs="Times New Roman"/>
              </w:rPr>
            </w:pPr>
            <w:r>
              <w:rPr>
                <w:rFonts w:ascii="Times New Roman" w:hAnsi="Times New Roman" w:cs="Times New Roman"/>
              </w:rPr>
              <w:t>0.59</w:t>
            </w:r>
          </w:p>
        </w:tc>
        <w:tc>
          <w:tcPr>
            <w:tcW w:w="1363" w:type="dxa"/>
            <w:vAlign w:val="center"/>
          </w:tcPr>
          <w:p w14:paraId="09819F70" w14:textId="77777777" w:rsidR="00D12939" w:rsidRDefault="004F47F5">
            <w:pPr>
              <w:jc w:val="center"/>
              <w:rPr>
                <w:rFonts w:ascii="Times New Roman" w:hAnsi="Times New Roman" w:cs="Times New Roman"/>
              </w:rPr>
            </w:pPr>
            <w:r>
              <w:rPr>
                <w:rFonts w:ascii="Times New Roman" w:hAnsi="Times New Roman" w:cs="Times New Roman"/>
              </w:rPr>
              <w:t>1.96E-03</w:t>
            </w:r>
          </w:p>
        </w:tc>
        <w:tc>
          <w:tcPr>
            <w:tcW w:w="1324" w:type="dxa"/>
            <w:vAlign w:val="center"/>
          </w:tcPr>
          <w:p w14:paraId="4CCE4FB9" w14:textId="77777777" w:rsidR="00D12939" w:rsidRDefault="004F47F5">
            <w:pPr>
              <w:jc w:val="center"/>
              <w:rPr>
                <w:rFonts w:ascii="Times New Roman" w:hAnsi="Times New Roman" w:cs="Times New Roman"/>
              </w:rPr>
            </w:pPr>
            <w:r>
              <w:rPr>
                <w:rFonts w:ascii="Times New Roman" w:hAnsi="Times New Roman" w:cs="Times New Roman"/>
              </w:rPr>
              <w:t>0.98</w:t>
            </w:r>
          </w:p>
        </w:tc>
      </w:tr>
      <w:tr w:rsidR="00D12939" w14:paraId="0CADF175" w14:textId="77777777">
        <w:trPr>
          <w:trHeight w:val="293"/>
          <w:jc w:val="center"/>
        </w:trPr>
        <w:tc>
          <w:tcPr>
            <w:tcW w:w="1383" w:type="dxa"/>
            <w:vAlign w:val="center"/>
          </w:tcPr>
          <w:p w14:paraId="0D8590B1" w14:textId="77777777" w:rsidR="00D12939" w:rsidRDefault="004F47F5">
            <w:pPr>
              <w:jc w:val="center"/>
              <w:rPr>
                <w:rFonts w:ascii="Times New Roman" w:hAnsi="Times New Roman" w:cs="Times New Roman"/>
                <w:szCs w:val="21"/>
              </w:rPr>
            </w:pPr>
            <w:r>
              <w:rPr>
                <w:rFonts w:ascii="Times New Roman" w:hAnsi="Times New Roman" w:cs="Times New Roman"/>
                <w:szCs w:val="21"/>
              </w:rPr>
              <w:t>225</w:t>
            </w:r>
          </w:p>
        </w:tc>
        <w:tc>
          <w:tcPr>
            <w:tcW w:w="1362" w:type="dxa"/>
            <w:vAlign w:val="center"/>
          </w:tcPr>
          <w:p w14:paraId="580C843B" w14:textId="77777777" w:rsidR="00D12939" w:rsidRDefault="004F47F5">
            <w:pPr>
              <w:jc w:val="center"/>
              <w:rPr>
                <w:rFonts w:ascii="Times New Roman" w:hAnsi="Times New Roman" w:cs="Times New Roman"/>
              </w:rPr>
            </w:pPr>
            <w:r>
              <w:rPr>
                <w:rFonts w:ascii="Times New Roman" w:hAnsi="Times New Roman" w:cs="Times New Roman"/>
              </w:rPr>
              <w:t>2.05E-04</w:t>
            </w:r>
          </w:p>
        </w:tc>
        <w:tc>
          <w:tcPr>
            <w:tcW w:w="1363" w:type="dxa"/>
            <w:vAlign w:val="center"/>
          </w:tcPr>
          <w:p w14:paraId="7339B288" w14:textId="77777777" w:rsidR="00D12939" w:rsidRDefault="004F47F5">
            <w:pPr>
              <w:jc w:val="center"/>
              <w:rPr>
                <w:rFonts w:ascii="Times New Roman" w:hAnsi="Times New Roman" w:cs="Times New Roman"/>
              </w:rPr>
            </w:pPr>
            <w:r>
              <w:rPr>
                <w:rFonts w:ascii="Times New Roman" w:hAnsi="Times New Roman" w:cs="Times New Roman"/>
              </w:rPr>
              <w:t>0.04</w:t>
            </w:r>
          </w:p>
        </w:tc>
        <w:tc>
          <w:tcPr>
            <w:tcW w:w="1557" w:type="dxa"/>
            <w:vAlign w:val="center"/>
          </w:tcPr>
          <w:p w14:paraId="07830937" w14:textId="77777777" w:rsidR="00D12939" w:rsidRDefault="004F47F5">
            <w:pPr>
              <w:jc w:val="center"/>
              <w:rPr>
                <w:rFonts w:ascii="Times New Roman" w:hAnsi="Times New Roman" w:cs="Times New Roman"/>
              </w:rPr>
            </w:pPr>
            <w:r>
              <w:rPr>
                <w:rFonts w:ascii="Times New Roman" w:hAnsi="Times New Roman" w:cs="Times New Roman"/>
              </w:rPr>
              <w:t>1.09E-03</w:t>
            </w:r>
          </w:p>
        </w:tc>
        <w:tc>
          <w:tcPr>
            <w:tcW w:w="1365" w:type="dxa"/>
            <w:vAlign w:val="center"/>
          </w:tcPr>
          <w:p w14:paraId="4905358F" w14:textId="77777777" w:rsidR="00D12939" w:rsidRDefault="004F47F5">
            <w:pPr>
              <w:jc w:val="center"/>
              <w:rPr>
                <w:rFonts w:ascii="Times New Roman" w:hAnsi="Times New Roman" w:cs="Times New Roman"/>
              </w:rPr>
            </w:pPr>
            <w:r>
              <w:rPr>
                <w:rFonts w:ascii="Times New Roman" w:hAnsi="Times New Roman" w:cs="Times New Roman"/>
              </w:rPr>
              <w:t>0.55</w:t>
            </w:r>
          </w:p>
        </w:tc>
        <w:tc>
          <w:tcPr>
            <w:tcW w:w="1363" w:type="dxa"/>
            <w:vAlign w:val="center"/>
          </w:tcPr>
          <w:p w14:paraId="67E479BA" w14:textId="77777777" w:rsidR="00D12939" w:rsidRDefault="004F47F5">
            <w:pPr>
              <w:jc w:val="center"/>
              <w:rPr>
                <w:rFonts w:ascii="Times New Roman" w:hAnsi="Times New Roman" w:cs="Times New Roman"/>
              </w:rPr>
            </w:pPr>
            <w:r>
              <w:rPr>
                <w:rFonts w:ascii="Times New Roman" w:hAnsi="Times New Roman" w:cs="Times New Roman"/>
              </w:rPr>
              <w:t>1.82E-03</w:t>
            </w:r>
          </w:p>
        </w:tc>
        <w:tc>
          <w:tcPr>
            <w:tcW w:w="1324" w:type="dxa"/>
            <w:vAlign w:val="center"/>
          </w:tcPr>
          <w:p w14:paraId="431EB90D" w14:textId="77777777" w:rsidR="00D12939" w:rsidRDefault="004F47F5">
            <w:pPr>
              <w:jc w:val="center"/>
              <w:rPr>
                <w:rFonts w:ascii="Times New Roman" w:hAnsi="Times New Roman" w:cs="Times New Roman"/>
              </w:rPr>
            </w:pPr>
            <w:r>
              <w:rPr>
                <w:rFonts w:ascii="Times New Roman" w:hAnsi="Times New Roman" w:cs="Times New Roman"/>
              </w:rPr>
              <w:t>0.91</w:t>
            </w:r>
          </w:p>
        </w:tc>
      </w:tr>
      <w:tr w:rsidR="00D12939" w14:paraId="3DD64187" w14:textId="77777777">
        <w:trPr>
          <w:trHeight w:val="306"/>
          <w:jc w:val="center"/>
        </w:trPr>
        <w:tc>
          <w:tcPr>
            <w:tcW w:w="1383" w:type="dxa"/>
            <w:vAlign w:val="center"/>
          </w:tcPr>
          <w:p w14:paraId="0814BECB" w14:textId="77777777" w:rsidR="00D12939" w:rsidRDefault="004F47F5">
            <w:pPr>
              <w:jc w:val="center"/>
              <w:rPr>
                <w:rFonts w:ascii="Times New Roman" w:hAnsi="Times New Roman" w:cs="Times New Roman"/>
                <w:szCs w:val="21"/>
              </w:rPr>
            </w:pPr>
            <w:r>
              <w:rPr>
                <w:rFonts w:ascii="Times New Roman" w:hAnsi="Times New Roman" w:cs="Times New Roman"/>
                <w:szCs w:val="21"/>
              </w:rPr>
              <w:t>250</w:t>
            </w:r>
          </w:p>
        </w:tc>
        <w:tc>
          <w:tcPr>
            <w:tcW w:w="1362" w:type="dxa"/>
            <w:vAlign w:val="center"/>
          </w:tcPr>
          <w:p w14:paraId="1EE82872" w14:textId="77777777" w:rsidR="00D12939" w:rsidRDefault="004F47F5">
            <w:pPr>
              <w:jc w:val="center"/>
              <w:rPr>
                <w:rFonts w:ascii="Times New Roman" w:hAnsi="Times New Roman" w:cs="Times New Roman"/>
              </w:rPr>
            </w:pPr>
            <w:r>
              <w:rPr>
                <w:rFonts w:ascii="Times New Roman" w:hAnsi="Times New Roman" w:cs="Times New Roman"/>
              </w:rPr>
              <w:t>1.93E-04</w:t>
            </w:r>
          </w:p>
        </w:tc>
        <w:tc>
          <w:tcPr>
            <w:tcW w:w="1363" w:type="dxa"/>
            <w:vAlign w:val="center"/>
          </w:tcPr>
          <w:p w14:paraId="4B6467D1" w14:textId="77777777" w:rsidR="00D12939" w:rsidRDefault="004F47F5">
            <w:pPr>
              <w:jc w:val="center"/>
              <w:rPr>
                <w:rFonts w:ascii="Times New Roman" w:hAnsi="Times New Roman" w:cs="Times New Roman"/>
              </w:rPr>
            </w:pPr>
            <w:r>
              <w:rPr>
                <w:rFonts w:ascii="Times New Roman" w:hAnsi="Times New Roman" w:cs="Times New Roman"/>
              </w:rPr>
              <w:t>0.04</w:t>
            </w:r>
          </w:p>
        </w:tc>
        <w:tc>
          <w:tcPr>
            <w:tcW w:w="1557" w:type="dxa"/>
            <w:vAlign w:val="center"/>
          </w:tcPr>
          <w:p w14:paraId="65EFA4ED" w14:textId="77777777" w:rsidR="00D12939" w:rsidRDefault="004F47F5">
            <w:pPr>
              <w:jc w:val="center"/>
              <w:rPr>
                <w:rFonts w:ascii="Times New Roman" w:hAnsi="Times New Roman" w:cs="Times New Roman"/>
              </w:rPr>
            </w:pPr>
            <w:r>
              <w:rPr>
                <w:rFonts w:ascii="Times New Roman" w:hAnsi="Times New Roman" w:cs="Times New Roman"/>
              </w:rPr>
              <w:t>1.03E-03</w:t>
            </w:r>
          </w:p>
        </w:tc>
        <w:tc>
          <w:tcPr>
            <w:tcW w:w="1365" w:type="dxa"/>
            <w:vAlign w:val="center"/>
          </w:tcPr>
          <w:p w14:paraId="3596F66F" w14:textId="77777777" w:rsidR="00D12939" w:rsidRDefault="004F47F5">
            <w:pPr>
              <w:jc w:val="center"/>
              <w:rPr>
                <w:rFonts w:ascii="Times New Roman" w:hAnsi="Times New Roman" w:cs="Times New Roman"/>
              </w:rPr>
            </w:pPr>
            <w:r>
              <w:rPr>
                <w:rFonts w:ascii="Times New Roman" w:hAnsi="Times New Roman" w:cs="Times New Roman"/>
              </w:rPr>
              <w:t>0.51</w:t>
            </w:r>
          </w:p>
        </w:tc>
        <w:tc>
          <w:tcPr>
            <w:tcW w:w="1363" w:type="dxa"/>
            <w:vAlign w:val="center"/>
          </w:tcPr>
          <w:p w14:paraId="7B78CE19" w14:textId="77777777" w:rsidR="00D12939" w:rsidRDefault="004F47F5">
            <w:pPr>
              <w:jc w:val="center"/>
              <w:rPr>
                <w:rFonts w:ascii="Times New Roman" w:hAnsi="Times New Roman" w:cs="Times New Roman"/>
              </w:rPr>
            </w:pPr>
            <w:r>
              <w:rPr>
                <w:rFonts w:ascii="Times New Roman" w:hAnsi="Times New Roman" w:cs="Times New Roman"/>
              </w:rPr>
              <w:t>1.71E-03</w:t>
            </w:r>
          </w:p>
        </w:tc>
        <w:tc>
          <w:tcPr>
            <w:tcW w:w="1324" w:type="dxa"/>
            <w:vAlign w:val="center"/>
          </w:tcPr>
          <w:p w14:paraId="648783C0" w14:textId="77777777" w:rsidR="00D12939" w:rsidRDefault="004F47F5">
            <w:pPr>
              <w:jc w:val="center"/>
              <w:rPr>
                <w:rFonts w:ascii="Times New Roman" w:hAnsi="Times New Roman" w:cs="Times New Roman"/>
              </w:rPr>
            </w:pPr>
            <w:r>
              <w:rPr>
                <w:rFonts w:ascii="Times New Roman" w:hAnsi="Times New Roman" w:cs="Times New Roman"/>
              </w:rPr>
              <w:t>0.86</w:t>
            </w:r>
          </w:p>
        </w:tc>
      </w:tr>
      <w:tr w:rsidR="00D12939" w14:paraId="384C8FDF" w14:textId="77777777">
        <w:trPr>
          <w:trHeight w:val="293"/>
          <w:jc w:val="center"/>
        </w:trPr>
        <w:tc>
          <w:tcPr>
            <w:tcW w:w="1383" w:type="dxa"/>
            <w:vAlign w:val="center"/>
          </w:tcPr>
          <w:p w14:paraId="5F9CBDA5" w14:textId="77777777" w:rsidR="00D12939" w:rsidRDefault="004F47F5">
            <w:pPr>
              <w:jc w:val="center"/>
              <w:rPr>
                <w:rFonts w:ascii="Times New Roman" w:hAnsi="Times New Roman" w:cs="Times New Roman"/>
                <w:szCs w:val="21"/>
              </w:rPr>
            </w:pPr>
            <w:r>
              <w:rPr>
                <w:rFonts w:ascii="Times New Roman" w:hAnsi="Times New Roman" w:cs="Times New Roman"/>
                <w:szCs w:val="21"/>
              </w:rPr>
              <w:t>275</w:t>
            </w:r>
          </w:p>
        </w:tc>
        <w:tc>
          <w:tcPr>
            <w:tcW w:w="1362" w:type="dxa"/>
            <w:vAlign w:val="center"/>
          </w:tcPr>
          <w:p w14:paraId="1B244879" w14:textId="77777777" w:rsidR="00D12939" w:rsidRDefault="004F47F5">
            <w:pPr>
              <w:jc w:val="center"/>
              <w:rPr>
                <w:rFonts w:ascii="Times New Roman" w:hAnsi="Times New Roman" w:cs="Times New Roman"/>
              </w:rPr>
            </w:pPr>
            <w:r>
              <w:rPr>
                <w:rFonts w:ascii="Times New Roman" w:hAnsi="Times New Roman" w:cs="Times New Roman"/>
              </w:rPr>
              <w:t>1.82E-04</w:t>
            </w:r>
          </w:p>
        </w:tc>
        <w:tc>
          <w:tcPr>
            <w:tcW w:w="1363" w:type="dxa"/>
            <w:vAlign w:val="center"/>
          </w:tcPr>
          <w:p w14:paraId="59FD0227" w14:textId="77777777" w:rsidR="00D12939" w:rsidRDefault="004F47F5">
            <w:pPr>
              <w:jc w:val="center"/>
              <w:rPr>
                <w:rFonts w:ascii="Times New Roman" w:hAnsi="Times New Roman" w:cs="Times New Roman"/>
              </w:rPr>
            </w:pPr>
            <w:r>
              <w:rPr>
                <w:rFonts w:ascii="Times New Roman" w:hAnsi="Times New Roman" w:cs="Times New Roman"/>
              </w:rPr>
              <w:t>0.04</w:t>
            </w:r>
          </w:p>
        </w:tc>
        <w:tc>
          <w:tcPr>
            <w:tcW w:w="1557" w:type="dxa"/>
            <w:vAlign w:val="center"/>
          </w:tcPr>
          <w:p w14:paraId="5A4874D9" w14:textId="77777777" w:rsidR="00D12939" w:rsidRDefault="004F47F5">
            <w:pPr>
              <w:jc w:val="center"/>
              <w:rPr>
                <w:rFonts w:ascii="Times New Roman" w:hAnsi="Times New Roman" w:cs="Times New Roman"/>
              </w:rPr>
            </w:pPr>
            <w:r>
              <w:rPr>
                <w:rFonts w:ascii="Times New Roman" w:hAnsi="Times New Roman" w:cs="Times New Roman"/>
              </w:rPr>
              <w:t>9.70E-04</w:t>
            </w:r>
          </w:p>
        </w:tc>
        <w:tc>
          <w:tcPr>
            <w:tcW w:w="1365" w:type="dxa"/>
            <w:vAlign w:val="center"/>
          </w:tcPr>
          <w:p w14:paraId="28B78B24" w14:textId="77777777" w:rsidR="00D12939" w:rsidRDefault="004F47F5">
            <w:pPr>
              <w:jc w:val="center"/>
              <w:rPr>
                <w:rFonts w:ascii="Times New Roman" w:hAnsi="Times New Roman" w:cs="Times New Roman"/>
              </w:rPr>
            </w:pPr>
            <w:r>
              <w:rPr>
                <w:rFonts w:ascii="Times New Roman" w:hAnsi="Times New Roman" w:cs="Times New Roman"/>
              </w:rPr>
              <w:t>0.48</w:t>
            </w:r>
          </w:p>
        </w:tc>
        <w:tc>
          <w:tcPr>
            <w:tcW w:w="1363" w:type="dxa"/>
            <w:vAlign w:val="center"/>
          </w:tcPr>
          <w:p w14:paraId="2461A38B" w14:textId="77777777" w:rsidR="00D12939" w:rsidRDefault="004F47F5">
            <w:pPr>
              <w:jc w:val="center"/>
              <w:rPr>
                <w:rFonts w:ascii="Times New Roman" w:hAnsi="Times New Roman" w:cs="Times New Roman"/>
              </w:rPr>
            </w:pPr>
            <w:r>
              <w:rPr>
                <w:rFonts w:ascii="Times New Roman" w:hAnsi="Times New Roman" w:cs="Times New Roman"/>
              </w:rPr>
              <w:t>1.62E-03</w:t>
            </w:r>
          </w:p>
        </w:tc>
        <w:tc>
          <w:tcPr>
            <w:tcW w:w="1324" w:type="dxa"/>
            <w:vAlign w:val="center"/>
          </w:tcPr>
          <w:p w14:paraId="50CBDF91" w14:textId="77777777" w:rsidR="00D12939" w:rsidRDefault="004F47F5">
            <w:pPr>
              <w:jc w:val="center"/>
              <w:rPr>
                <w:rFonts w:ascii="Times New Roman" w:hAnsi="Times New Roman" w:cs="Times New Roman"/>
              </w:rPr>
            </w:pPr>
            <w:r>
              <w:rPr>
                <w:rFonts w:ascii="Times New Roman" w:hAnsi="Times New Roman" w:cs="Times New Roman"/>
              </w:rPr>
              <w:t>0.81</w:t>
            </w:r>
          </w:p>
        </w:tc>
      </w:tr>
      <w:tr w:rsidR="00D12939" w14:paraId="325421F8" w14:textId="77777777">
        <w:trPr>
          <w:trHeight w:val="293"/>
          <w:jc w:val="center"/>
        </w:trPr>
        <w:tc>
          <w:tcPr>
            <w:tcW w:w="1383" w:type="dxa"/>
            <w:vAlign w:val="center"/>
          </w:tcPr>
          <w:p w14:paraId="6C3841D0" w14:textId="77777777" w:rsidR="00D12939" w:rsidRDefault="004F47F5">
            <w:pPr>
              <w:jc w:val="center"/>
              <w:rPr>
                <w:rFonts w:ascii="Times New Roman" w:hAnsi="Times New Roman" w:cs="Times New Roman"/>
                <w:szCs w:val="21"/>
              </w:rPr>
            </w:pPr>
            <w:r>
              <w:rPr>
                <w:rFonts w:ascii="Times New Roman" w:hAnsi="Times New Roman" w:cs="Times New Roman"/>
                <w:szCs w:val="21"/>
              </w:rPr>
              <w:t>300</w:t>
            </w:r>
          </w:p>
        </w:tc>
        <w:tc>
          <w:tcPr>
            <w:tcW w:w="1362" w:type="dxa"/>
            <w:vAlign w:val="center"/>
          </w:tcPr>
          <w:p w14:paraId="4541C6AB" w14:textId="77777777" w:rsidR="00D12939" w:rsidRDefault="004F47F5">
            <w:pPr>
              <w:jc w:val="center"/>
              <w:rPr>
                <w:rFonts w:ascii="Times New Roman" w:hAnsi="Times New Roman" w:cs="Times New Roman"/>
              </w:rPr>
            </w:pPr>
            <w:r>
              <w:rPr>
                <w:rFonts w:ascii="Times New Roman" w:hAnsi="Times New Roman" w:cs="Times New Roman"/>
              </w:rPr>
              <w:t>1.72E-04</w:t>
            </w:r>
          </w:p>
        </w:tc>
        <w:tc>
          <w:tcPr>
            <w:tcW w:w="1363" w:type="dxa"/>
            <w:vAlign w:val="center"/>
          </w:tcPr>
          <w:p w14:paraId="076F5C93"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1557" w:type="dxa"/>
            <w:vAlign w:val="center"/>
          </w:tcPr>
          <w:p w14:paraId="563F2DB2" w14:textId="77777777" w:rsidR="00D12939" w:rsidRDefault="004F47F5">
            <w:pPr>
              <w:jc w:val="center"/>
              <w:rPr>
                <w:rFonts w:ascii="Times New Roman" w:hAnsi="Times New Roman" w:cs="Times New Roman"/>
              </w:rPr>
            </w:pPr>
            <w:r>
              <w:rPr>
                <w:rFonts w:ascii="Times New Roman" w:hAnsi="Times New Roman" w:cs="Times New Roman"/>
              </w:rPr>
              <w:t>9.19E-04</w:t>
            </w:r>
          </w:p>
        </w:tc>
        <w:tc>
          <w:tcPr>
            <w:tcW w:w="1365" w:type="dxa"/>
            <w:vAlign w:val="center"/>
          </w:tcPr>
          <w:p w14:paraId="50C8EBA4" w14:textId="77777777" w:rsidR="00D12939" w:rsidRDefault="004F47F5">
            <w:pPr>
              <w:jc w:val="center"/>
              <w:rPr>
                <w:rFonts w:ascii="Times New Roman" w:hAnsi="Times New Roman" w:cs="Times New Roman"/>
              </w:rPr>
            </w:pPr>
            <w:r>
              <w:rPr>
                <w:rFonts w:ascii="Times New Roman" w:hAnsi="Times New Roman" w:cs="Times New Roman"/>
              </w:rPr>
              <w:t>0.46</w:t>
            </w:r>
          </w:p>
        </w:tc>
        <w:tc>
          <w:tcPr>
            <w:tcW w:w="1363" w:type="dxa"/>
            <w:vAlign w:val="center"/>
          </w:tcPr>
          <w:p w14:paraId="4704D496" w14:textId="77777777" w:rsidR="00D12939" w:rsidRDefault="004F47F5">
            <w:pPr>
              <w:jc w:val="center"/>
              <w:rPr>
                <w:rFonts w:ascii="Times New Roman" w:hAnsi="Times New Roman" w:cs="Times New Roman"/>
              </w:rPr>
            </w:pPr>
            <w:r>
              <w:rPr>
                <w:rFonts w:ascii="Times New Roman" w:hAnsi="Times New Roman" w:cs="Times New Roman"/>
              </w:rPr>
              <w:t>1.53E-03</w:t>
            </w:r>
          </w:p>
        </w:tc>
        <w:tc>
          <w:tcPr>
            <w:tcW w:w="1324" w:type="dxa"/>
            <w:vAlign w:val="center"/>
          </w:tcPr>
          <w:p w14:paraId="1F5C4873" w14:textId="77777777" w:rsidR="00D12939" w:rsidRDefault="004F47F5">
            <w:pPr>
              <w:jc w:val="center"/>
              <w:rPr>
                <w:rFonts w:ascii="Times New Roman" w:hAnsi="Times New Roman" w:cs="Times New Roman"/>
              </w:rPr>
            </w:pPr>
            <w:r>
              <w:rPr>
                <w:rFonts w:ascii="Times New Roman" w:hAnsi="Times New Roman" w:cs="Times New Roman"/>
              </w:rPr>
              <w:t>0.77</w:t>
            </w:r>
          </w:p>
        </w:tc>
      </w:tr>
      <w:tr w:rsidR="00D12939" w14:paraId="19099965" w14:textId="77777777">
        <w:trPr>
          <w:trHeight w:val="293"/>
          <w:jc w:val="center"/>
        </w:trPr>
        <w:tc>
          <w:tcPr>
            <w:tcW w:w="1383" w:type="dxa"/>
            <w:vAlign w:val="center"/>
          </w:tcPr>
          <w:p w14:paraId="60A7F7CA" w14:textId="77777777" w:rsidR="00D12939" w:rsidRDefault="004F47F5">
            <w:pPr>
              <w:jc w:val="center"/>
              <w:rPr>
                <w:rFonts w:ascii="Times New Roman" w:hAnsi="Times New Roman" w:cs="Times New Roman"/>
                <w:szCs w:val="21"/>
              </w:rPr>
            </w:pPr>
            <w:r>
              <w:rPr>
                <w:rFonts w:ascii="Times New Roman" w:hAnsi="Times New Roman" w:cs="Times New Roman"/>
                <w:szCs w:val="21"/>
              </w:rPr>
              <w:t>325</w:t>
            </w:r>
          </w:p>
        </w:tc>
        <w:tc>
          <w:tcPr>
            <w:tcW w:w="1362" w:type="dxa"/>
            <w:vAlign w:val="center"/>
          </w:tcPr>
          <w:p w14:paraId="26D9F247" w14:textId="77777777" w:rsidR="00D12939" w:rsidRDefault="004F47F5">
            <w:pPr>
              <w:jc w:val="center"/>
              <w:rPr>
                <w:rFonts w:ascii="Times New Roman" w:hAnsi="Times New Roman" w:cs="Times New Roman"/>
              </w:rPr>
            </w:pPr>
            <w:r>
              <w:rPr>
                <w:rFonts w:ascii="Times New Roman" w:hAnsi="Times New Roman" w:cs="Times New Roman"/>
              </w:rPr>
              <w:t>1.64E-04</w:t>
            </w:r>
          </w:p>
        </w:tc>
        <w:tc>
          <w:tcPr>
            <w:tcW w:w="1363" w:type="dxa"/>
            <w:vAlign w:val="center"/>
          </w:tcPr>
          <w:p w14:paraId="123044DE"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1557" w:type="dxa"/>
            <w:vAlign w:val="center"/>
          </w:tcPr>
          <w:p w14:paraId="60CEBF87" w14:textId="77777777" w:rsidR="00D12939" w:rsidRDefault="004F47F5">
            <w:pPr>
              <w:jc w:val="center"/>
              <w:rPr>
                <w:rFonts w:ascii="Times New Roman" w:hAnsi="Times New Roman" w:cs="Times New Roman"/>
              </w:rPr>
            </w:pPr>
            <w:r>
              <w:rPr>
                <w:rFonts w:ascii="Times New Roman" w:hAnsi="Times New Roman" w:cs="Times New Roman"/>
              </w:rPr>
              <w:t>8.75E-04</w:t>
            </w:r>
          </w:p>
        </w:tc>
        <w:tc>
          <w:tcPr>
            <w:tcW w:w="1365" w:type="dxa"/>
            <w:vAlign w:val="center"/>
          </w:tcPr>
          <w:p w14:paraId="769697CC" w14:textId="77777777" w:rsidR="00D12939" w:rsidRDefault="004F47F5">
            <w:pPr>
              <w:jc w:val="center"/>
              <w:rPr>
                <w:rFonts w:ascii="Times New Roman" w:hAnsi="Times New Roman" w:cs="Times New Roman"/>
              </w:rPr>
            </w:pPr>
            <w:r>
              <w:rPr>
                <w:rFonts w:ascii="Times New Roman" w:hAnsi="Times New Roman" w:cs="Times New Roman"/>
              </w:rPr>
              <w:t>0.44</w:t>
            </w:r>
          </w:p>
        </w:tc>
        <w:tc>
          <w:tcPr>
            <w:tcW w:w="1363" w:type="dxa"/>
            <w:vAlign w:val="center"/>
          </w:tcPr>
          <w:p w14:paraId="0A4A73AF" w14:textId="77777777" w:rsidR="00D12939" w:rsidRDefault="004F47F5">
            <w:pPr>
              <w:jc w:val="center"/>
              <w:rPr>
                <w:rFonts w:ascii="Times New Roman" w:hAnsi="Times New Roman" w:cs="Times New Roman"/>
              </w:rPr>
            </w:pPr>
            <w:r>
              <w:rPr>
                <w:rFonts w:ascii="Times New Roman" w:hAnsi="Times New Roman" w:cs="Times New Roman"/>
              </w:rPr>
              <w:t>1.46E-03</w:t>
            </w:r>
          </w:p>
        </w:tc>
        <w:tc>
          <w:tcPr>
            <w:tcW w:w="1324" w:type="dxa"/>
            <w:vAlign w:val="center"/>
          </w:tcPr>
          <w:p w14:paraId="6544BCBD" w14:textId="77777777" w:rsidR="00D12939" w:rsidRDefault="004F47F5">
            <w:pPr>
              <w:jc w:val="center"/>
              <w:rPr>
                <w:rFonts w:ascii="Times New Roman" w:hAnsi="Times New Roman" w:cs="Times New Roman"/>
              </w:rPr>
            </w:pPr>
            <w:r>
              <w:rPr>
                <w:rFonts w:ascii="Times New Roman" w:hAnsi="Times New Roman" w:cs="Times New Roman"/>
              </w:rPr>
              <w:t>0.73</w:t>
            </w:r>
          </w:p>
        </w:tc>
      </w:tr>
      <w:tr w:rsidR="00D12939" w14:paraId="5D1A758A" w14:textId="77777777">
        <w:trPr>
          <w:trHeight w:val="293"/>
          <w:jc w:val="center"/>
        </w:trPr>
        <w:tc>
          <w:tcPr>
            <w:tcW w:w="1383" w:type="dxa"/>
            <w:vAlign w:val="center"/>
          </w:tcPr>
          <w:p w14:paraId="204E7F66" w14:textId="77777777" w:rsidR="00D12939" w:rsidRDefault="004F47F5">
            <w:pPr>
              <w:jc w:val="center"/>
              <w:rPr>
                <w:rFonts w:ascii="Times New Roman" w:hAnsi="Times New Roman" w:cs="Times New Roman"/>
                <w:szCs w:val="21"/>
              </w:rPr>
            </w:pPr>
            <w:r>
              <w:rPr>
                <w:rFonts w:ascii="Times New Roman" w:hAnsi="Times New Roman" w:cs="Times New Roman"/>
                <w:szCs w:val="21"/>
              </w:rPr>
              <w:t>350</w:t>
            </w:r>
          </w:p>
        </w:tc>
        <w:tc>
          <w:tcPr>
            <w:tcW w:w="1362" w:type="dxa"/>
            <w:vAlign w:val="center"/>
          </w:tcPr>
          <w:p w14:paraId="7E7A3F5F" w14:textId="77777777" w:rsidR="00D12939" w:rsidRDefault="004F47F5">
            <w:pPr>
              <w:jc w:val="center"/>
              <w:rPr>
                <w:rFonts w:ascii="Times New Roman" w:hAnsi="Times New Roman" w:cs="Times New Roman"/>
              </w:rPr>
            </w:pPr>
            <w:r>
              <w:rPr>
                <w:rFonts w:ascii="Times New Roman" w:hAnsi="Times New Roman" w:cs="Times New Roman"/>
              </w:rPr>
              <w:t>1.57E-04</w:t>
            </w:r>
          </w:p>
        </w:tc>
        <w:tc>
          <w:tcPr>
            <w:tcW w:w="1363" w:type="dxa"/>
            <w:vAlign w:val="center"/>
          </w:tcPr>
          <w:p w14:paraId="32DE1F1E"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1557" w:type="dxa"/>
            <w:vAlign w:val="center"/>
          </w:tcPr>
          <w:p w14:paraId="0E5C8244" w14:textId="77777777" w:rsidR="00D12939" w:rsidRDefault="004F47F5">
            <w:pPr>
              <w:jc w:val="center"/>
              <w:rPr>
                <w:rFonts w:ascii="Times New Roman" w:hAnsi="Times New Roman" w:cs="Times New Roman"/>
              </w:rPr>
            </w:pPr>
            <w:r>
              <w:rPr>
                <w:rFonts w:ascii="Times New Roman" w:hAnsi="Times New Roman" w:cs="Times New Roman"/>
              </w:rPr>
              <w:t>8.35E-04</w:t>
            </w:r>
          </w:p>
        </w:tc>
        <w:tc>
          <w:tcPr>
            <w:tcW w:w="1365" w:type="dxa"/>
            <w:vAlign w:val="center"/>
          </w:tcPr>
          <w:p w14:paraId="0DFE1F4E" w14:textId="77777777" w:rsidR="00D12939" w:rsidRDefault="004F47F5">
            <w:pPr>
              <w:jc w:val="center"/>
              <w:rPr>
                <w:rFonts w:ascii="Times New Roman" w:hAnsi="Times New Roman" w:cs="Times New Roman"/>
              </w:rPr>
            </w:pPr>
            <w:r>
              <w:rPr>
                <w:rFonts w:ascii="Times New Roman" w:hAnsi="Times New Roman" w:cs="Times New Roman"/>
              </w:rPr>
              <w:t>0.42</w:t>
            </w:r>
          </w:p>
        </w:tc>
        <w:tc>
          <w:tcPr>
            <w:tcW w:w="1363" w:type="dxa"/>
            <w:vAlign w:val="center"/>
          </w:tcPr>
          <w:p w14:paraId="6903BA71" w14:textId="77777777" w:rsidR="00D12939" w:rsidRDefault="004F47F5">
            <w:pPr>
              <w:jc w:val="center"/>
              <w:rPr>
                <w:rFonts w:ascii="Times New Roman" w:hAnsi="Times New Roman" w:cs="Times New Roman"/>
              </w:rPr>
            </w:pPr>
            <w:r>
              <w:rPr>
                <w:rFonts w:ascii="Times New Roman" w:hAnsi="Times New Roman" w:cs="Times New Roman"/>
              </w:rPr>
              <w:t>1.39E-03</w:t>
            </w:r>
          </w:p>
        </w:tc>
        <w:tc>
          <w:tcPr>
            <w:tcW w:w="1324" w:type="dxa"/>
            <w:vAlign w:val="center"/>
          </w:tcPr>
          <w:p w14:paraId="4F14695A" w14:textId="77777777" w:rsidR="00D12939" w:rsidRDefault="004F47F5">
            <w:pPr>
              <w:jc w:val="center"/>
              <w:rPr>
                <w:rFonts w:ascii="Times New Roman" w:hAnsi="Times New Roman" w:cs="Times New Roman"/>
              </w:rPr>
            </w:pPr>
            <w:r>
              <w:rPr>
                <w:rFonts w:ascii="Times New Roman" w:hAnsi="Times New Roman" w:cs="Times New Roman"/>
              </w:rPr>
              <w:t>0.70</w:t>
            </w:r>
          </w:p>
        </w:tc>
      </w:tr>
      <w:tr w:rsidR="00D12939" w14:paraId="40873DC2" w14:textId="77777777">
        <w:trPr>
          <w:trHeight w:val="293"/>
          <w:jc w:val="center"/>
        </w:trPr>
        <w:tc>
          <w:tcPr>
            <w:tcW w:w="1383" w:type="dxa"/>
            <w:vAlign w:val="center"/>
          </w:tcPr>
          <w:p w14:paraId="5B1C12C9" w14:textId="77777777" w:rsidR="00D12939" w:rsidRDefault="004F47F5">
            <w:pPr>
              <w:jc w:val="center"/>
              <w:rPr>
                <w:rFonts w:ascii="Times New Roman" w:hAnsi="Times New Roman" w:cs="Times New Roman"/>
                <w:szCs w:val="21"/>
              </w:rPr>
            </w:pPr>
            <w:r>
              <w:rPr>
                <w:rFonts w:ascii="Times New Roman" w:hAnsi="Times New Roman" w:cs="Times New Roman"/>
                <w:szCs w:val="21"/>
              </w:rPr>
              <w:t>375</w:t>
            </w:r>
          </w:p>
        </w:tc>
        <w:tc>
          <w:tcPr>
            <w:tcW w:w="1362" w:type="dxa"/>
            <w:vAlign w:val="center"/>
          </w:tcPr>
          <w:p w14:paraId="5F099930" w14:textId="77777777" w:rsidR="00D12939" w:rsidRDefault="004F47F5">
            <w:pPr>
              <w:jc w:val="center"/>
              <w:rPr>
                <w:rFonts w:ascii="Times New Roman" w:hAnsi="Times New Roman" w:cs="Times New Roman"/>
              </w:rPr>
            </w:pPr>
            <w:r>
              <w:rPr>
                <w:rFonts w:ascii="Times New Roman" w:hAnsi="Times New Roman" w:cs="Times New Roman"/>
              </w:rPr>
              <w:t>1.50E-04</w:t>
            </w:r>
          </w:p>
        </w:tc>
        <w:tc>
          <w:tcPr>
            <w:tcW w:w="1363" w:type="dxa"/>
            <w:vAlign w:val="center"/>
          </w:tcPr>
          <w:p w14:paraId="0E469D0F"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1557" w:type="dxa"/>
            <w:vAlign w:val="center"/>
          </w:tcPr>
          <w:p w14:paraId="4603FB07" w14:textId="77777777" w:rsidR="00D12939" w:rsidRDefault="004F47F5">
            <w:pPr>
              <w:jc w:val="center"/>
              <w:rPr>
                <w:rFonts w:ascii="Times New Roman" w:hAnsi="Times New Roman" w:cs="Times New Roman"/>
              </w:rPr>
            </w:pPr>
            <w:r>
              <w:rPr>
                <w:rFonts w:ascii="Times New Roman" w:hAnsi="Times New Roman" w:cs="Times New Roman"/>
              </w:rPr>
              <w:t>8.00E-04</w:t>
            </w:r>
          </w:p>
        </w:tc>
        <w:tc>
          <w:tcPr>
            <w:tcW w:w="1365" w:type="dxa"/>
            <w:vAlign w:val="center"/>
          </w:tcPr>
          <w:p w14:paraId="21C20653" w14:textId="77777777" w:rsidR="00D12939" w:rsidRDefault="004F47F5">
            <w:pPr>
              <w:jc w:val="center"/>
              <w:rPr>
                <w:rFonts w:ascii="Times New Roman" w:hAnsi="Times New Roman" w:cs="Times New Roman"/>
              </w:rPr>
            </w:pPr>
            <w:r>
              <w:rPr>
                <w:rFonts w:ascii="Times New Roman" w:hAnsi="Times New Roman" w:cs="Times New Roman"/>
              </w:rPr>
              <w:t>0.40</w:t>
            </w:r>
          </w:p>
        </w:tc>
        <w:tc>
          <w:tcPr>
            <w:tcW w:w="1363" w:type="dxa"/>
            <w:vAlign w:val="center"/>
          </w:tcPr>
          <w:p w14:paraId="2B795C45" w14:textId="77777777" w:rsidR="00D12939" w:rsidRDefault="004F47F5">
            <w:pPr>
              <w:jc w:val="center"/>
              <w:rPr>
                <w:rFonts w:ascii="Times New Roman" w:hAnsi="Times New Roman" w:cs="Times New Roman"/>
              </w:rPr>
            </w:pPr>
            <w:r>
              <w:rPr>
                <w:rFonts w:ascii="Times New Roman" w:hAnsi="Times New Roman" w:cs="Times New Roman"/>
              </w:rPr>
              <w:t>1.33E-03</w:t>
            </w:r>
          </w:p>
        </w:tc>
        <w:tc>
          <w:tcPr>
            <w:tcW w:w="1324" w:type="dxa"/>
            <w:vAlign w:val="center"/>
          </w:tcPr>
          <w:p w14:paraId="69D58CCB" w14:textId="77777777" w:rsidR="00D12939" w:rsidRDefault="004F47F5">
            <w:pPr>
              <w:jc w:val="center"/>
              <w:rPr>
                <w:rFonts w:ascii="Times New Roman" w:hAnsi="Times New Roman" w:cs="Times New Roman"/>
              </w:rPr>
            </w:pPr>
            <w:r>
              <w:rPr>
                <w:rFonts w:ascii="Times New Roman" w:hAnsi="Times New Roman" w:cs="Times New Roman"/>
              </w:rPr>
              <w:t>0.67</w:t>
            </w:r>
          </w:p>
        </w:tc>
      </w:tr>
      <w:tr w:rsidR="00D12939" w14:paraId="0381CB87" w14:textId="77777777">
        <w:trPr>
          <w:trHeight w:val="293"/>
          <w:jc w:val="center"/>
        </w:trPr>
        <w:tc>
          <w:tcPr>
            <w:tcW w:w="1383" w:type="dxa"/>
            <w:vAlign w:val="center"/>
          </w:tcPr>
          <w:p w14:paraId="1F59188A" w14:textId="77777777" w:rsidR="00D12939" w:rsidRDefault="004F47F5">
            <w:pPr>
              <w:jc w:val="center"/>
              <w:rPr>
                <w:rFonts w:ascii="Times New Roman" w:hAnsi="Times New Roman" w:cs="Times New Roman"/>
                <w:szCs w:val="21"/>
              </w:rPr>
            </w:pPr>
            <w:r>
              <w:rPr>
                <w:rFonts w:ascii="Times New Roman" w:hAnsi="Times New Roman" w:cs="Times New Roman"/>
                <w:szCs w:val="21"/>
              </w:rPr>
              <w:t>400</w:t>
            </w:r>
          </w:p>
        </w:tc>
        <w:tc>
          <w:tcPr>
            <w:tcW w:w="1362" w:type="dxa"/>
            <w:vAlign w:val="center"/>
          </w:tcPr>
          <w:p w14:paraId="380F308A" w14:textId="77777777" w:rsidR="00D12939" w:rsidRDefault="004F47F5">
            <w:pPr>
              <w:jc w:val="center"/>
              <w:rPr>
                <w:rFonts w:ascii="Times New Roman" w:hAnsi="Times New Roman" w:cs="Times New Roman"/>
              </w:rPr>
            </w:pPr>
            <w:r>
              <w:rPr>
                <w:rFonts w:ascii="Times New Roman" w:hAnsi="Times New Roman" w:cs="Times New Roman"/>
              </w:rPr>
              <w:t>1.44E-04</w:t>
            </w:r>
          </w:p>
        </w:tc>
        <w:tc>
          <w:tcPr>
            <w:tcW w:w="1363" w:type="dxa"/>
            <w:vAlign w:val="center"/>
          </w:tcPr>
          <w:p w14:paraId="39C5DFC5"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1557" w:type="dxa"/>
            <w:vAlign w:val="center"/>
          </w:tcPr>
          <w:p w14:paraId="772666E6" w14:textId="77777777" w:rsidR="00D12939" w:rsidRDefault="004F47F5">
            <w:pPr>
              <w:jc w:val="center"/>
              <w:rPr>
                <w:rFonts w:ascii="Times New Roman" w:hAnsi="Times New Roman" w:cs="Times New Roman"/>
              </w:rPr>
            </w:pPr>
            <w:r>
              <w:rPr>
                <w:rFonts w:ascii="Times New Roman" w:hAnsi="Times New Roman" w:cs="Times New Roman"/>
              </w:rPr>
              <w:t>7.68E-04</w:t>
            </w:r>
          </w:p>
        </w:tc>
        <w:tc>
          <w:tcPr>
            <w:tcW w:w="1365" w:type="dxa"/>
            <w:vAlign w:val="center"/>
          </w:tcPr>
          <w:p w14:paraId="174679B2" w14:textId="77777777" w:rsidR="00D12939" w:rsidRDefault="004F47F5">
            <w:pPr>
              <w:jc w:val="center"/>
              <w:rPr>
                <w:rFonts w:ascii="Times New Roman" w:hAnsi="Times New Roman" w:cs="Times New Roman"/>
              </w:rPr>
            </w:pPr>
            <w:r>
              <w:rPr>
                <w:rFonts w:ascii="Times New Roman" w:hAnsi="Times New Roman" w:cs="Times New Roman"/>
              </w:rPr>
              <w:t>0.38</w:t>
            </w:r>
          </w:p>
        </w:tc>
        <w:tc>
          <w:tcPr>
            <w:tcW w:w="1363" w:type="dxa"/>
            <w:vAlign w:val="center"/>
          </w:tcPr>
          <w:p w14:paraId="05B76A20" w14:textId="77777777" w:rsidR="00D12939" w:rsidRDefault="004F47F5">
            <w:pPr>
              <w:jc w:val="center"/>
              <w:rPr>
                <w:rFonts w:ascii="Times New Roman" w:hAnsi="Times New Roman" w:cs="Times New Roman"/>
              </w:rPr>
            </w:pPr>
            <w:r>
              <w:rPr>
                <w:rFonts w:ascii="Times New Roman" w:hAnsi="Times New Roman" w:cs="Times New Roman"/>
              </w:rPr>
              <w:t>1.28E-03</w:t>
            </w:r>
          </w:p>
        </w:tc>
        <w:tc>
          <w:tcPr>
            <w:tcW w:w="1324" w:type="dxa"/>
            <w:vAlign w:val="center"/>
          </w:tcPr>
          <w:p w14:paraId="686EF389" w14:textId="77777777" w:rsidR="00D12939" w:rsidRDefault="004F47F5">
            <w:pPr>
              <w:jc w:val="center"/>
              <w:rPr>
                <w:rFonts w:ascii="Times New Roman" w:hAnsi="Times New Roman" w:cs="Times New Roman"/>
              </w:rPr>
            </w:pPr>
            <w:r>
              <w:rPr>
                <w:rFonts w:ascii="Times New Roman" w:hAnsi="Times New Roman" w:cs="Times New Roman"/>
              </w:rPr>
              <w:t>0.64</w:t>
            </w:r>
          </w:p>
        </w:tc>
      </w:tr>
      <w:tr w:rsidR="00D12939" w14:paraId="677C0C86" w14:textId="77777777">
        <w:trPr>
          <w:trHeight w:val="293"/>
          <w:jc w:val="center"/>
        </w:trPr>
        <w:tc>
          <w:tcPr>
            <w:tcW w:w="1383" w:type="dxa"/>
            <w:vAlign w:val="center"/>
          </w:tcPr>
          <w:p w14:paraId="2569BE14" w14:textId="77777777" w:rsidR="00D12939" w:rsidRDefault="004F47F5">
            <w:pPr>
              <w:jc w:val="center"/>
              <w:rPr>
                <w:rFonts w:ascii="Times New Roman" w:hAnsi="Times New Roman" w:cs="Times New Roman"/>
                <w:szCs w:val="21"/>
              </w:rPr>
            </w:pPr>
            <w:r>
              <w:rPr>
                <w:rFonts w:ascii="Times New Roman" w:hAnsi="Times New Roman" w:cs="Times New Roman"/>
                <w:szCs w:val="21"/>
              </w:rPr>
              <w:t>425</w:t>
            </w:r>
          </w:p>
        </w:tc>
        <w:tc>
          <w:tcPr>
            <w:tcW w:w="1362" w:type="dxa"/>
            <w:vAlign w:val="center"/>
          </w:tcPr>
          <w:p w14:paraId="64ADDC68" w14:textId="77777777" w:rsidR="00D12939" w:rsidRDefault="004F47F5">
            <w:pPr>
              <w:jc w:val="center"/>
              <w:rPr>
                <w:rFonts w:ascii="Times New Roman" w:hAnsi="Times New Roman" w:cs="Times New Roman"/>
              </w:rPr>
            </w:pPr>
            <w:r>
              <w:rPr>
                <w:rFonts w:ascii="Times New Roman" w:hAnsi="Times New Roman" w:cs="Times New Roman"/>
              </w:rPr>
              <w:t>1.39E-04</w:t>
            </w:r>
          </w:p>
        </w:tc>
        <w:tc>
          <w:tcPr>
            <w:tcW w:w="1363" w:type="dxa"/>
            <w:vAlign w:val="center"/>
          </w:tcPr>
          <w:p w14:paraId="7CED6522"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1557" w:type="dxa"/>
            <w:vAlign w:val="center"/>
          </w:tcPr>
          <w:p w14:paraId="3A4DC403" w14:textId="77777777" w:rsidR="00D12939" w:rsidRDefault="004F47F5">
            <w:pPr>
              <w:jc w:val="center"/>
              <w:rPr>
                <w:rFonts w:ascii="Times New Roman" w:hAnsi="Times New Roman" w:cs="Times New Roman"/>
              </w:rPr>
            </w:pPr>
            <w:r>
              <w:rPr>
                <w:rFonts w:ascii="Times New Roman" w:hAnsi="Times New Roman" w:cs="Times New Roman"/>
              </w:rPr>
              <w:t>7.39E-04</w:t>
            </w:r>
          </w:p>
        </w:tc>
        <w:tc>
          <w:tcPr>
            <w:tcW w:w="1365" w:type="dxa"/>
            <w:vAlign w:val="center"/>
          </w:tcPr>
          <w:p w14:paraId="546567E7" w14:textId="77777777" w:rsidR="00D12939" w:rsidRDefault="004F47F5">
            <w:pPr>
              <w:jc w:val="center"/>
              <w:rPr>
                <w:rFonts w:ascii="Times New Roman" w:hAnsi="Times New Roman" w:cs="Times New Roman"/>
              </w:rPr>
            </w:pPr>
            <w:r>
              <w:rPr>
                <w:rFonts w:ascii="Times New Roman" w:hAnsi="Times New Roman" w:cs="Times New Roman"/>
              </w:rPr>
              <w:t>0.37</w:t>
            </w:r>
          </w:p>
        </w:tc>
        <w:tc>
          <w:tcPr>
            <w:tcW w:w="1363" w:type="dxa"/>
            <w:vAlign w:val="center"/>
          </w:tcPr>
          <w:p w14:paraId="514FE754" w14:textId="77777777" w:rsidR="00D12939" w:rsidRDefault="004F47F5">
            <w:pPr>
              <w:jc w:val="center"/>
              <w:rPr>
                <w:rFonts w:ascii="Times New Roman" w:hAnsi="Times New Roman" w:cs="Times New Roman"/>
              </w:rPr>
            </w:pPr>
            <w:r>
              <w:rPr>
                <w:rFonts w:ascii="Times New Roman" w:hAnsi="Times New Roman" w:cs="Times New Roman"/>
              </w:rPr>
              <w:t>1.23E-03</w:t>
            </w:r>
          </w:p>
        </w:tc>
        <w:tc>
          <w:tcPr>
            <w:tcW w:w="1324" w:type="dxa"/>
            <w:vAlign w:val="center"/>
          </w:tcPr>
          <w:p w14:paraId="016A5643" w14:textId="77777777" w:rsidR="00D12939" w:rsidRDefault="004F47F5">
            <w:pPr>
              <w:jc w:val="center"/>
              <w:rPr>
                <w:rFonts w:ascii="Times New Roman" w:hAnsi="Times New Roman" w:cs="Times New Roman"/>
              </w:rPr>
            </w:pPr>
            <w:r>
              <w:rPr>
                <w:rFonts w:ascii="Times New Roman" w:hAnsi="Times New Roman" w:cs="Times New Roman"/>
              </w:rPr>
              <w:t>0.62</w:t>
            </w:r>
          </w:p>
        </w:tc>
      </w:tr>
      <w:tr w:rsidR="00D12939" w14:paraId="45CA8F5C" w14:textId="77777777">
        <w:trPr>
          <w:trHeight w:val="293"/>
          <w:jc w:val="center"/>
        </w:trPr>
        <w:tc>
          <w:tcPr>
            <w:tcW w:w="1383" w:type="dxa"/>
            <w:vAlign w:val="center"/>
          </w:tcPr>
          <w:p w14:paraId="1CF955C3" w14:textId="77777777" w:rsidR="00D12939" w:rsidRDefault="004F47F5">
            <w:pPr>
              <w:jc w:val="center"/>
              <w:rPr>
                <w:rFonts w:ascii="Times New Roman" w:hAnsi="Times New Roman" w:cs="Times New Roman"/>
                <w:szCs w:val="21"/>
              </w:rPr>
            </w:pPr>
            <w:r>
              <w:rPr>
                <w:rFonts w:ascii="Times New Roman" w:hAnsi="Times New Roman" w:cs="Times New Roman"/>
                <w:szCs w:val="21"/>
              </w:rPr>
              <w:t>450</w:t>
            </w:r>
          </w:p>
        </w:tc>
        <w:tc>
          <w:tcPr>
            <w:tcW w:w="1362" w:type="dxa"/>
            <w:vAlign w:val="center"/>
          </w:tcPr>
          <w:p w14:paraId="245BDA0E" w14:textId="77777777" w:rsidR="00D12939" w:rsidRDefault="004F47F5">
            <w:pPr>
              <w:jc w:val="center"/>
              <w:rPr>
                <w:rFonts w:ascii="Times New Roman" w:hAnsi="Times New Roman" w:cs="Times New Roman"/>
              </w:rPr>
            </w:pPr>
            <w:r>
              <w:rPr>
                <w:rFonts w:ascii="Times New Roman" w:hAnsi="Times New Roman" w:cs="Times New Roman"/>
              </w:rPr>
              <w:t>1.34E-04</w:t>
            </w:r>
          </w:p>
        </w:tc>
        <w:tc>
          <w:tcPr>
            <w:tcW w:w="1363" w:type="dxa"/>
            <w:vAlign w:val="center"/>
          </w:tcPr>
          <w:p w14:paraId="72C9181C"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1557" w:type="dxa"/>
            <w:vAlign w:val="center"/>
          </w:tcPr>
          <w:p w14:paraId="27AEDFE3" w14:textId="77777777" w:rsidR="00D12939" w:rsidRDefault="004F47F5">
            <w:pPr>
              <w:jc w:val="center"/>
              <w:rPr>
                <w:rFonts w:ascii="Times New Roman" w:hAnsi="Times New Roman" w:cs="Times New Roman"/>
              </w:rPr>
            </w:pPr>
            <w:r>
              <w:rPr>
                <w:rFonts w:ascii="Times New Roman" w:hAnsi="Times New Roman" w:cs="Times New Roman"/>
              </w:rPr>
              <w:t>7.13E-04</w:t>
            </w:r>
          </w:p>
        </w:tc>
        <w:tc>
          <w:tcPr>
            <w:tcW w:w="1365" w:type="dxa"/>
            <w:vAlign w:val="center"/>
          </w:tcPr>
          <w:p w14:paraId="7ACFC8B9" w14:textId="77777777" w:rsidR="00D12939" w:rsidRDefault="004F47F5">
            <w:pPr>
              <w:jc w:val="center"/>
              <w:rPr>
                <w:rFonts w:ascii="Times New Roman" w:hAnsi="Times New Roman" w:cs="Times New Roman"/>
              </w:rPr>
            </w:pPr>
            <w:r>
              <w:rPr>
                <w:rFonts w:ascii="Times New Roman" w:hAnsi="Times New Roman" w:cs="Times New Roman"/>
              </w:rPr>
              <w:t>0.36</w:t>
            </w:r>
          </w:p>
        </w:tc>
        <w:tc>
          <w:tcPr>
            <w:tcW w:w="1363" w:type="dxa"/>
            <w:vAlign w:val="center"/>
          </w:tcPr>
          <w:p w14:paraId="1054696E" w14:textId="77777777" w:rsidR="00D12939" w:rsidRDefault="004F47F5">
            <w:pPr>
              <w:jc w:val="center"/>
              <w:rPr>
                <w:rFonts w:ascii="Times New Roman" w:hAnsi="Times New Roman" w:cs="Times New Roman"/>
              </w:rPr>
            </w:pPr>
            <w:r>
              <w:rPr>
                <w:rFonts w:ascii="Times New Roman" w:hAnsi="Times New Roman" w:cs="Times New Roman"/>
              </w:rPr>
              <w:t>1.19E-03</w:t>
            </w:r>
          </w:p>
        </w:tc>
        <w:tc>
          <w:tcPr>
            <w:tcW w:w="1324" w:type="dxa"/>
            <w:vAlign w:val="center"/>
          </w:tcPr>
          <w:p w14:paraId="115D5D22" w14:textId="77777777" w:rsidR="00D12939" w:rsidRDefault="004F47F5">
            <w:pPr>
              <w:jc w:val="center"/>
              <w:rPr>
                <w:rFonts w:ascii="Times New Roman" w:hAnsi="Times New Roman" w:cs="Times New Roman"/>
              </w:rPr>
            </w:pPr>
            <w:r>
              <w:rPr>
                <w:rFonts w:ascii="Times New Roman" w:hAnsi="Times New Roman" w:cs="Times New Roman"/>
              </w:rPr>
              <w:t>0.59</w:t>
            </w:r>
          </w:p>
        </w:tc>
      </w:tr>
      <w:tr w:rsidR="00D12939" w14:paraId="3DDC8DE1" w14:textId="77777777">
        <w:trPr>
          <w:trHeight w:val="293"/>
          <w:jc w:val="center"/>
        </w:trPr>
        <w:tc>
          <w:tcPr>
            <w:tcW w:w="1383" w:type="dxa"/>
            <w:vAlign w:val="center"/>
          </w:tcPr>
          <w:p w14:paraId="06EA8422" w14:textId="77777777" w:rsidR="00D12939" w:rsidRDefault="004F47F5">
            <w:pPr>
              <w:jc w:val="center"/>
              <w:rPr>
                <w:rFonts w:ascii="Times New Roman" w:hAnsi="Times New Roman" w:cs="Times New Roman"/>
                <w:szCs w:val="21"/>
              </w:rPr>
            </w:pPr>
            <w:r>
              <w:rPr>
                <w:rFonts w:ascii="Times New Roman" w:hAnsi="Times New Roman" w:cs="Times New Roman"/>
                <w:szCs w:val="21"/>
              </w:rPr>
              <w:t>475</w:t>
            </w:r>
          </w:p>
        </w:tc>
        <w:tc>
          <w:tcPr>
            <w:tcW w:w="1362" w:type="dxa"/>
            <w:vAlign w:val="center"/>
          </w:tcPr>
          <w:p w14:paraId="6DDBB94E" w14:textId="77777777" w:rsidR="00D12939" w:rsidRDefault="004F47F5">
            <w:pPr>
              <w:jc w:val="center"/>
              <w:rPr>
                <w:rFonts w:ascii="Times New Roman" w:hAnsi="Times New Roman" w:cs="Times New Roman"/>
              </w:rPr>
            </w:pPr>
            <w:r>
              <w:rPr>
                <w:rFonts w:ascii="Times New Roman" w:hAnsi="Times New Roman" w:cs="Times New Roman"/>
              </w:rPr>
              <w:t>1.29E-04</w:t>
            </w:r>
          </w:p>
        </w:tc>
        <w:tc>
          <w:tcPr>
            <w:tcW w:w="1363" w:type="dxa"/>
            <w:vAlign w:val="center"/>
          </w:tcPr>
          <w:p w14:paraId="2160E4F1" w14:textId="77777777" w:rsidR="00D12939" w:rsidRDefault="004F47F5">
            <w:pPr>
              <w:jc w:val="center"/>
              <w:rPr>
                <w:rFonts w:ascii="Times New Roman" w:hAnsi="Times New Roman" w:cs="Times New Roman"/>
              </w:rPr>
            </w:pPr>
            <w:r>
              <w:rPr>
                <w:rFonts w:ascii="Times New Roman" w:hAnsi="Times New Roman" w:cs="Times New Roman"/>
              </w:rPr>
              <w:t>0.03</w:t>
            </w:r>
          </w:p>
        </w:tc>
        <w:tc>
          <w:tcPr>
            <w:tcW w:w="1557" w:type="dxa"/>
            <w:vAlign w:val="center"/>
          </w:tcPr>
          <w:p w14:paraId="1D3BB1EB" w14:textId="77777777" w:rsidR="00D12939" w:rsidRDefault="004F47F5">
            <w:pPr>
              <w:jc w:val="center"/>
              <w:rPr>
                <w:rFonts w:ascii="Times New Roman" w:hAnsi="Times New Roman" w:cs="Times New Roman"/>
              </w:rPr>
            </w:pPr>
            <w:r>
              <w:rPr>
                <w:rFonts w:ascii="Times New Roman" w:hAnsi="Times New Roman" w:cs="Times New Roman"/>
              </w:rPr>
              <w:t>6.89E-04</w:t>
            </w:r>
          </w:p>
        </w:tc>
        <w:tc>
          <w:tcPr>
            <w:tcW w:w="1365" w:type="dxa"/>
            <w:vAlign w:val="center"/>
          </w:tcPr>
          <w:p w14:paraId="162538F9" w14:textId="77777777" w:rsidR="00D12939" w:rsidRDefault="004F47F5">
            <w:pPr>
              <w:jc w:val="center"/>
              <w:rPr>
                <w:rFonts w:ascii="Times New Roman" w:hAnsi="Times New Roman" w:cs="Times New Roman"/>
              </w:rPr>
            </w:pPr>
            <w:r>
              <w:rPr>
                <w:rFonts w:ascii="Times New Roman" w:hAnsi="Times New Roman" w:cs="Times New Roman"/>
              </w:rPr>
              <w:t>0.34</w:t>
            </w:r>
          </w:p>
        </w:tc>
        <w:tc>
          <w:tcPr>
            <w:tcW w:w="1363" w:type="dxa"/>
            <w:vAlign w:val="center"/>
          </w:tcPr>
          <w:p w14:paraId="2D076F91" w14:textId="77777777" w:rsidR="00D12939" w:rsidRDefault="004F47F5">
            <w:pPr>
              <w:jc w:val="center"/>
              <w:rPr>
                <w:rFonts w:ascii="Times New Roman" w:hAnsi="Times New Roman" w:cs="Times New Roman"/>
              </w:rPr>
            </w:pPr>
            <w:r>
              <w:rPr>
                <w:rFonts w:ascii="Times New Roman" w:hAnsi="Times New Roman" w:cs="Times New Roman"/>
              </w:rPr>
              <w:t>1.15E-03</w:t>
            </w:r>
          </w:p>
        </w:tc>
        <w:tc>
          <w:tcPr>
            <w:tcW w:w="1324" w:type="dxa"/>
            <w:vAlign w:val="center"/>
          </w:tcPr>
          <w:p w14:paraId="114FCF9E" w14:textId="77777777" w:rsidR="00D12939" w:rsidRDefault="004F47F5">
            <w:pPr>
              <w:jc w:val="center"/>
              <w:rPr>
                <w:rFonts w:ascii="Times New Roman" w:hAnsi="Times New Roman" w:cs="Times New Roman"/>
              </w:rPr>
            </w:pPr>
            <w:r>
              <w:rPr>
                <w:rFonts w:ascii="Times New Roman" w:hAnsi="Times New Roman" w:cs="Times New Roman"/>
              </w:rPr>
              <w:t>0.57</w:t>
            </w:r>
          </w:p>
        </w:tc>
      </w:tr>
      <w:tr w:rsidR="00D12939" w14:paraId="5E60F479" w14:textId="77777777">
        <w:trPr>
          <w:trHeight w:val="306"/>
          <w:jc w:val="center"/>
        </w:trPr>
        <w:tc>
          <w:tcPr>
            <w:tcW w:w="1383" w:type="dxa"/>
            <w:vAlign w:val="center"/>
          </w:tcPr>
          <w:p w14:paraId="513BD464" w14:textId="77777777" w:rsidR="00D12939" w:rsidRDefault="004F47F5">
            <w:pPr>
              <w:jc w:val="center"/>
              <w:rPr>
                <w:rFonts w:ascii="Times New Roman" w:hAnsi="Times New Roman" w:cs="Times New Roman"/>
                <w:szCs w:val="21"/>
              </w:rPr>
            </w:pPr>
            <w:r>
              <w:rPr>
                <w:rFonts w:ascii="Times New Roman" w:hAnsi="Times New Roman" w:cs="Times New Roman"/>
                <w:szCs w:val="21"/>
              </w:rPr>
              <w:t>500</w:t>
            </w:r>
          </w:p>
        </w:tc>
        <w:tc>
          <w:tcPr>
            <w:tcW w:w="1362" w:type="dxa"/>
            <w:vAlign w:val="center"/>
          </w:tcPr>
          <w:p w14:paraId="7F4FF07E" w14:textId="77777777" w:rsidR="00D12939" w:rsidRDefault="004F47F5">
            <w:pPr>
              <w:jc w:val="center"/>
              <w:rPr>
                <w:rFonts w:ascii="Times New Roman" w:hAnsi="Times New Roman" w:cs="Times New Roman"/>
              </w:rPr>
            </w:pPr>
            <w:r>
              <w:rPr>
                <w:rFonts w:ascii="Times New Roman" w:hAnsi="Times New Roman" w:cs="Times New Roman"/>
              </w:rPr>
              <w:t>1.25E-04</w:t>
            </w:r>
          </w:p>
        </w:tc>
        <w:tc>
          <w:tcPr>
            <w:tcW w:w="1363" w:type="dxa"/>
            <w:vAlign w:val="center"/>
          </w:tcPr>
          <w:p w14:paraId="38CA0EC1"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3AA4DB0E" w14:textId="77777777" w:rsidR="00D12939" w:rsidRDefault="004F47F5">
            <w:pPr>
              <w:jc w:val="center"/>
              <w:rPr>
                <w:rFonts w:ascii="Times New Roman" w:hAnsi="Times New Roman" w:cs="Times New Roman"/>
              </w:rPr>
            </w:pPr>
            <w:r>
              <w:rPr>
                <w:rFonts w:ascii="Times New Roman" w:hAnsi="Times New Roman" w:cs="Times New Roman"/>
              </w:rPr>
              <w:t>6.67E-04</w:t>
            </w:r>
          </w:p>
        </w:tc>
        <w:tc>
          <w:tcPr>
            <w:tcW w:w="1365" w:type="dxa"/>
            <w:vAlign w:val="center"/>
          </w:tcPr>
          <w:p w14:paraId="617472DD" w14:textId="77777777" w:rsidR="00D12939" w:rsidRDefault="004F47F5">
            <w:pPr>
              <w:jc w:val="center"/>
              <w:rPr>
                <w:rFonts w:ascii="Times New Roman" w:hAnsi="Times New Roman" w:cs="Times New Roman"/>
              </w:rPr>
            </w:pPr>
            <w:r>
              <w:rPr>
                <w:rFonts w:ascii="Times New Roman" w:hAnsi="Times New Roman" w:cs="Times New Roman"/>
              </w:rPr>
              <w:t>0.33</w:t>
            </w:r>
          </w:p>
        </w:tc>
        <w:tc>
          <w:tcPr>
            <w:tcW w:w="1363" w:type="dxa"/>
            <w:vAlign w:val="center"/>
          </w:tcPr>
          <w:p w14:paraId="4B676CC3" w14:textId="77777777" w:rsidR="00D12939" w:rsidRDefault="004F47F5">
            <w:pPr>
              <w:jc w:val="center"/>
              <w:rPr>
                <w:rFonts w:ascii="Times New Roman" w:hAnsi="Times New Roman" w:cs="Times New Roman"/>
              </w:rPr>
            </w:pPr>
            <w:r>
              <w:rPr>
                <w:rFonts w:ascii="Times New Roman" w:hAnsi="Times New Roman" w:cs="Times New Roman"/>
              </w:rPr>
              <w:t>1.11E-03</w:t>
            </w:r>
          </w:p>
        </w:tc>
        <w:tc>
          <w:tcPr>
            <w:tcW w:w="1324" w:type="dxa"/>
            <w:vAlign w:val="center"/>
          </w:tcPr>
          <w:p w14:paraId="59C464EE" w14:textId="77777777" w:rsidR="00D12939" w:rsidRDefault="004F47F5">
            <w:pPr>
              <w:jc w:val="center"/>
              <w:rPr>
                <w:rFonts w:ascii="Times New Roman" w:hAnsi="Times New Roman" w:cs="Times New Roman"/>
              </w:rPr>
            </w:pPr>
            <w:r>
              <w:rPr>
                <w:rFonts w:ascii="Times New Roman" w:hAnsi="Times New Roman" w:cs="Times New Roman"/>
              </w:rPr>
              <w:t>0.56</w:t>
            </w:r>
          </w:p>
        </w:tc>
      </w:tr>
      <w:tr w:rsidR="00D12939" w14:paraId="4DAA48D5" w14:textId="77777777">
        <w:trPr>
          <w:trHeight w:val="293"/>
          <w:jc w:val="center"/>
        </w:trPr>
        <w:tc>
          <w:tcPr>
            <w:tcW w:w="1383" w:type="dxa"/>
            <w:vAlign w:val="center"/>
          </w:tcPr>
          <w:p w14:paraId="488FA305" w14:textId="77777777" w:rsidR="00D12939" w:rsidRDefault="004F47F5">
            <w:pPr>
              <w:jc w:val="center"/>
              <w:rPr>
                <w:rFonts w:ascii="Times New Roman" w:hAnsi="Times New Roman" w:cs="Times New Roman"/>
                <w:szCs w:val="21"/>
              </w:rPr>
            </w:pPr>
            <w:r>
              <w:rPr>
                <w:rFonts w:ascii="Times New Roman" w:hAnsi="Times New Roman" w:cs="Times New Roman"/>
                <w:szCs w:val="21"/>
              </w:rPr>
              <w:t>600</w:t>
            </w:r>
          </w:p>
        </w:tc>
        <w:tc>
          <w:tcPr>
            <w:tcW w:w="1362" w:type="dxa"/>
            <w:vAlign w:val="center"/>
          </w:tcPr>
          <w:p w14:paraId="496DC13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1.11E-04</w:t>
            </w:r>
          </w:p>
        </w:tc>
        <w:tc>
          <w:tcPr>
            <w:tcW w:w="1363" w:type="dxa"/>
            <w:vAlign w:val="center"/>
          </w:tcPr>
          <w:p w14:paraId="129A6959"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48C8334E" w14:textId="77777777" w:rsidR="00D12939" w:rsidRDefault="004F47F5">
            <w:pPr>
              <w:jc w:val="center"/>
              <w:rPr>
                <w:rFonts w:ascii="Times New Roman" w:hAnsi="Times New Roman" w:cs="Times New Roman"/>
              </w:rPr>
            </w:pPr>
            <w:r>
              <w:rPr>
                <w:rFonts w:ascii="Times New Roman" w:hAnsi="Times New Roman" w:cs="Times New Roman"/>
              </w:rPr>
              <w:t>5.93E-04</w:t>
            </w:r>
          </w:p>
        </w:tc>
        <w:tc>
          <w:tcPr>
            <w:tcW w:w="1365" w:type="dxa"/>
            <w:vAlign w:val="center"/>
          </w:tcPr>
          <w:p w14:paraId="4365051D" w14:textId="77777777" w:rsidR="00D12939" w:rsidRDefault="004F47F5">
            <w:pPr>
              <w:jc w:val="center"/>
              <w:rPr>
                <w:rFonts w:ascii="Times New Roman" w:hAnsi="Times New Roman" w:cs="Times New Roman"/>
              </w:rPr>
            </w:pPr>
            <w:r>
              <w:rPr>
                <w:rFonts w:ascii="Times New Roman" w:hAnsi="Times New Roman" w:cs="Times New Roman"/>
              </w:rPr>
              <w:t>0.30</w:t>
            </w:r>
          </w:p>
        </w:tc>
        <w:tc>
          <w:tcPr>
            <w:tcW w:w="1363" w:type="dxa"/>
            <w:vAlign w:val="center"/>
          </w:tcPr>
          <w:p w14:paraId="1581F1D8" w14:textId="77777777" w:rsidR="00D12939" w:rsidRDefault="004F47F5">
            <w:pPr>
              <w:jc w:val="center"/>
              <w:rPr>
                <w:rFonts w:ascii="Times New Roman" w:hAnsi="Times New Roman" w:cs="Times New Roman"/>
              </w:rPr>
            </w:pPr>
            <w:r>
              <w:rPr>
                <w:rFonts w:ascii="Times New Roman" w:hAnsi="Times New Roman" w:cs="Times New Roman"/>
              </w:rPr>
              <w:t>9.88E-04</w:t>
            </w:r>
          </w:p>
        </w:tc>
        <w:tc>
          <w:tcPr>
            <w:tcW w:w="1324" w:type="dxa"/>
            <w:vAlign w:val="center"/>
          </w:tcPr>
          <w:p w14:paraId="3527A9CF" w14:textId="77777777" w:rsidR="00D12939" w:rsidRDefault="004F47F5">
            <w:pPr>
              <w:jc w:val="center"/>
              <w:rPr>
                <w:rFonts w:ascii="Times New Roman" w:hAnsi="Times New Roman" w:cs="Times New Roman"/>
              </w:rPr>
            </w:pPr>
            <w:r>
              <w:rPr>
                <w:rFonts w:ascii="Times New Roman" w:hAnsi="Times New Roman" w:cs="Times New Roman"/>
              </w:rPr>
              <w:t>0.49</w:t>
            </w:r>
          </w:p>
        </w:tc>
      </w:tr>
      <w:tr w:rsidR="00D12939" w14:paraId="643B71C6" w14:textId="77777777">
        <w:trPr>
          <w:trHeight w:val="293"/>
          <w:jc w:val="center"/>
        </w:trPr>
        <w:tc>
          <w:tcPr>
            <w:tcW w:w="1383" w:type="dxa"/>
            <w:vAlign w:val="center"/>
          </w:tcPr>
          <w:p w14:paraId="18B8FD08" w14:textId="77777777" w:rsidR="00D12939" w:rsidRDefault="004F47F5">
            <w:pPr>
              <w:jc w:val="center"/>
              <w:rPr>
                <w:rFonts w:ascii="Times New Roman" w:hAnsi="Times New Roman" w:cs="Times New Roman"/>
                <w:szCs w:val="21"/>
              </w:rPr>
            </w:pPr>
            <w:r>
              <w:rPr>
                <w:rFonts w:ascii="Times New Roman" w:hAnsi="Times New Roman" w:cs="Times New Roman"/>
                <w:szCs w:val="21"/>
              </w:rPr>
              <w:t>700</w:t>
            </w:r>
          </w:p>
        </w:tc>
        <w:tc>
          <w:tcPr>
            <w:tcW w:w="1362" w:type="dxa"/>
            <w:vAlign w:val="center"/>
          </w:tcPr>
          <w:p w14:paraId="0BCFD3B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1.01E-04</w:t>
            </w:r>
          </w:p>
        </w:tc>
        <w:tc>
          <w:tcPr>
            <w:tcW w:w="1363" w:type="dxa"/>
            <w:vAlign w:val="center"/>
          </w:tcPr>
          <w:p w14:paraId="3EFA6CC6"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282BB87B" w14:textId="77777777" w:rsidR="00D12939" w:rsidRDefault="004F47F5">
            <w:pPr>
              <w:jc w:val="center"/>
              <w:rPr>
                <w:rFonts w:ascii="Times New Roman" w:hAnsi="Times New Roman" w:cs="Times New Roman"/>
              </w:rPr>
            </w:pPr>
            <w:r>
              <w:rPr>
                <w:rFonts w:ascii="Times New Roman" w:hAnsi="Times New Roman" w:cs="Times New Roman"/>
              </w:rPr>
              <w:t>5.37E-04</w:t>
            </w:r>
          </w:p>
        </w:tc>
        <w:tc>
          <w:tcPr>
            <w:tcW w:w="1365" w:type="dxa"/>
            <w:vAlign w:val="center"/>
          </w:tcPr>
          <w:p w14:paraId="30510447" w14:textId="77777777" w:rsidR="00D12939" w:rsidRDefault="004F47F5">
            <w:pPr>
              <w:jc w:val="center"/>
              <w:rPr>
                <w:rFonts w:ascii="Times New Roman" w:hAnsi="Times New Roman" w:cs="Times New Roman"/>
              </w:rPr>
            </w:pPr>
            <w:r>
              <w:rPr>
                <w:rFonts w:ascii="Times New Roman" w:hAnsi="Times New Roman" w:cs="Times New Roman"/>
              </w:rPr>
              <w:t>0.27</w:t>
            </w:r>
          </w:p>
        </w:tc>
        <w:tc>
          <w:tcPr>
            <w:tcW w:w="1363" w:type="dxa"/>
            <w:vAlign w:val="center"/>
          </w:tcPr>
          <w:p w14:paraId="2F1DD71C" w14:textId="77777777" w:rsidR="00D12939" w:rsidRDefault="004F47F5">
            <w:pPr>
              <w:jc w:val="center"/>
              <w:rPr>
                <w:rFonts w:ascii="Times New Roman" w:hAnsi="Times New Roman" w:cs="Times New Roman"/>
              </w:rPr>
            </w:pPr>
            <w:r>
              <w:rPr>
                <w:rFonts w:ascii="Times New Roman" w:hAnsi="Times New Roman" w:cs="Times New Roman"/>
              </w:rPr>
              <w:t>8.95E-04</w:t>
            </w:r>
          </w:p>
        </w:tc>
        <w:tc>
          <w:tcPr>
            <w:tcW w:w="1324" w:type="dxa"/>
            <w:vAlign w:val="center"/>
          </w:tcPr>
          <w:p w14:paraId="26D2134E" w14:textId="77777777" w:rsidR="00D12939" w:rsidRDefault="004F47F5">
            <w:pPr>
              <w:jc w:val="center"/>
              <w:rPr>
                <w:rFonts w:ascii="Times New Roman" w:hAnsi="Times New Roman" w:cs="Times New Roman"/>
              </w:rPr>
            </w:pPr>
            <w:r>
              <w:rPr>
                <w:rFonts w:ascii="Times New Roman" w:hAnsi="Times New Roman" w:cs="Times New Roman"/>
              </w:rPr>
              <w:t>0.45</w:t>
            </w:r>
          </w:p>
        </w:tc>
      </w:tr>
      <w:tr w:rsidR="00D12939" w14:paraId="2D79F7FB" w14:textId="77777777">
        <w:trPr>
          <w:trHeight w:val="293"/>
          <w:jc w:val="center"/>
        </w:trPr>
        <w:tc>
          <w:tcPr>
            <w:tcW w:w="1383" w:type="dxa"/>
            <w:vAlign w:val="center"/>
          </w:tcPr>
          <w:p w14:paraId="57889BFC" w14:textId="77777777" w:rsidR="00D12939" w:rsidRDefault="004F47F5">
            <w:pPr>
              <w:jc w:val="center"/>
              <w:rPr>
                <w:rFonts w:ascii="Times New Roman" w:hAnsi="Times New Roman" w:cs="Times New Roman"/>
                <w:szCs w:val="21"/>
              </w:rPr>
            </w:pPr>
            <w:r>
              <w:rPr>
                <w:rFonts w:ascii="Times New Roman" w:hAnsi="Times New Roman" w:cs="Times New Roman"/>
                <w:szCs w:val="21"/>
              </w:rPr>
              <w:t>800</w:t>
            </w:r>
          </w:p>
        </w:tc>
        <w:tc>
          <w:tcPr>
            <w:tcW w:w="1362" w:type="dxa"/>
            <w:vAlign w:val="center"/>
          </w:tcPr>
          <w:p w14:paraId="2ED4F15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9.88E-05</w:t>
            </w:r>
          </w:p>
        </w:tc>
        <w:tc>
          <w:tcPr>
            <w:tcW w:w="1363" w:type="dxa"/>
            <w:vAlign w:val="center"/>
          </w:tcPr>
          <w:p w14:paraId="3A3B1B1A"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088B8A64" w14:textId="77777777" w:rsidR="00D12939" w:rsidRDefault="004F47F5">
            <w:pPr>
              <w:jc w:val="center"/>
              <w:rPr>
                <w:rFonts w:ascii="Times New Roman" w:hAnsi="Times New Roman" w:cs="Times New Roman"/>
              </w:rPr>
            </w:pPr>
            <w:r>
              <w:rPr>
                <w:rFonts w:ascii="Times New Roman" w:hAnsi="Times New Roman" w:cs="Times New Roman"/>
              </w:rPr>
              <w:t>5.27E-04</w:t>
            </w:r>
          </w:p>
        </w:tc>
        <w:tc>
          <w:tcPr>
            <w:tcW w:w="1365" w:type="dxa"/>
            <w:vAlign w:val="center"/>
          </w:tcPr>
          <w:p w14:paraId="6C48DEEA" w14:textId="77777777" w:rsidR="00D12939" w:rsidRDefault="004F47F5">
            <w:pPr>
              <w:jc w:val="center"/>
              <w:rPr>
                <w:rFonts w:ascii="Times New Roman" w:hAnsi="Times New Roman" w:cs="Times New Roman"/>
              </w:rPr>
            </w:pPr>
            <w:r>
              <w:rPr>
                <w:rFonts w:ascii="Times New Roman" w:hAnsi="Times New Roman" w:cs="Times New Roman"/>
              </w:rPr>
              <w:t>0.26</w:t>
            </w:r>
          </w:p>
        </w:tc>
        <w:tc>
          <w:tcPr>
            <w:tcW w:w="1363" w:type="dxa"/>
            <w:vAlign w:val="center"/>
          </w:tcPr>
          <w:p w14:paraId="429CA6E0" w14:textId="77777777" w:rsidR="00D12939" w:rsidRDefault="004F47F5">
            <w:pPr>
              <w:jc w:val="center"/>
              <w:rPr>
                <w:rFonts w:ascii="Times New Roman" w:hAnsi="Times New Roman" w:cs="Times New Roman"/>
              </w:rPr>
            </w:pPr>
            <w:r>
              <w:rPr>
                <w:rFonts w:ascii="Times New Roman" w:hAnsi="Times New Roman" w:cs="Times New Roman"/>
              </w:rPr>
              <w:t>8.78E-04</w:t>
            </w:r>
          </w:p>
        </w:tc>
        <w:tc>
          <w:tcPr>
            <w:tcW w:w="1324" w:type="dxa"/>
            <w:vAlign w:val="center"/>
          </w:tcPr>
          <w:p w14:paraId="0EBAC08F" w14:textId="77777777" w:rsidR="00D12939" w:rsidRDefault="004F47F5">
            <w:pPr>
              <w:jc w:val="center"/>
              <w:rPr>
                <w:rFonts w:ascii="Times New Roman" w:hAnsi="Times New Roman" w:cs="Times New Roman"/>
              </w:rPr>
            </w:pPr>
            <w:r>
              <w:rPr>
                <w:rFonts w:ascii="Times New Roman" w:hAnsi="Times New Roman" w:cs="Times New Roman"/>
              </w:rPr>
              <w:t>0.44</w:t>
            </w:r>
          </w:p>
        </w:tc>
      </w:tr>
      <w:tr w:rsidR="00D12939" w14:paraId="6D45B806" w14:textId="77777777">
        <w:trPr>
          <w:trHeight w:val="293"/>
          <w:jc w:val="center"/>
        </w:trPr>
        <w:tc>
          <w:tcPr>
            <w:tcW w:w="1383" w:type="dxa"/>
            <w:vAlign w:val="center"/>
          </w:tcPr>
          <w:p w14:paraId="3B2B1D58" w14:textId="77777777" w:rsidR="00D12939" w:rsidRDefault="004F47F5">
            <w:pPr>
              <w:jc w:val="center"/>
              <w:rPr>
                <w:rFonts w:ascii="Times New Roman" w:hAnsi="Times New Roman" w:cs="Times New Roman"/>
                <w:szCs w:val="21"/>
              </w:rPr>
            </w:pPr>
            <w:r>
              <w:rPr>
                <w:rFonts w:ascii="Times New Roman" w:hAnsi="Times New Roman" w:cs="Times New Roman"/>
                <w:szCs w:val="21"/>
              </w:rPr>
              <w:t>900</w:t>
            </w:r>
          </w:p>
        </w:tc>
        <w:tc>
          <w:tcPr>
            <w:tcW w:w="1362" w:type="dxa"/>
            <w:vAlign w:val="center"/>
          </w:tcPr>
          <w:p w14:paraId="0011858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9.68E-05</w:t>
            </w:r>
          </w:p>
        </w:tc>
        <w:tc>
          <w:tcPr>
            <w:tcW w:w="1363" w:type="dxa"/>
            <w:vAlign w:val="center"/>
          </w:tcPr>
          <w:p w14:paraId="3B3D17C3"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31C56DC2" w14:textId="77777777" w:rsidR="00D12939" w:rsidRDefault="004F47F5">
            <w:pPr>
              <w:jc w:val="center"/>
              <w:rPr>
                <w:rFonts w:ascii="Times New Roman" w:hAnsi="Times New Roman" w:cs="Times New Roman"/>
              </w:rPr>
            </w:pPr>
            <w:r>
              <w:rPr>
                <w:rFonts w:ascii="Times New Roman" w:hAnsi="Times New Roman" w:cs="Times New Roman"/>
              </w:rPr>
              <w:t>5.16E-04</w:t>
            </w:r>
          </w:p>
        </w:tc>
        <w:tc>
          <w:tcPr>
            <w:tcW w:w="1365" w:type="dxa"/>
            <w:vAlign w:val="center"/>
          </w:tcPr>
          <w:p w14:paraId="7E106B63" w14:textId="77777777" w:rsidR="00D12939" w:rsidRDefault="004F47F5">
            <w:pPr>
              <w:jc w:val="center"/>
              <w:rPr>
                <w:rFonts w:ascii="Times New Roman" w:hAnsi="Times New Roman" w:cs="Times New Roman"/>
              </w:rPr>
            </w:pPr>
            <w:r>
              <w:rPr>
                <w:rFonts w:ascii="Times New Roman" w:hAnsi="Times New Roman" w:cs="Times New Roman"/>
              </w:rPr>
              <w:t>0.26</w:t>
            </w:r>
          </w:p>
        </w:tc>
        <w:tc>
          <w:tcPr>
            <w:tcW w:w="1363" w:type="dxa"/>
            <w:vAlign w:val="center"/>
          </w:tcPr>
          <w:p w14:paraId="56F4B2D8" w14:textId="77777777" w:rsidR="00D12939" w:rsidRDefault="004F47F5">
            <w:pPr>
              <w:jc w:val="center"/>
              <w:rPr>
                <w:rFonts w:ascii="Times New Roman" w:hAnsi="Times New Roman" w:cs="Times New Roman"/>
              </w:rPr>
            </w:pPr>
            <w:r>
              <w:rPr>
                <w:rFonts w:ascii="Times New Roman" w:hAnsi="Times New Roman" w:cs="Times New Roman"/>
              </w:rPr>
              <w:t>8.60E-04</w:t>
            </w:r>
          </w:p>
        </w:tc>
        <w:tc>
          <w:tcPr>
            <w:tcW w:w="1324" w:type="dxa"/>
            <w:vAlign w:val="center"/>
          </w:tcPr>
          <w:p w14:paraId="047DE84E" w14:textId="77777777" w:rsidR="00D12939" w:rsidRDefault="004F47F5">
            <w:pPr>
              <w:jc w:val="center"/>
              <w:rPr>
                <w:rFonts w:ascii="Times New Roman" w:hAnsi="Times New Roman" w:cs="Times New Roman"/>
              </w:rPr>
            </w:pPr>
            <w:r>
              <w:rPr>
                <w:rFonts w:ascii="Times New Roman" w:hAnsi="Times New Roman" w:cs="Times New Roman"/>
              </w:rPr>
              <w:t>0.43</w:t>
            </w:r>
          </w:p>
        </w:tc>
      </w:tr>
      <w:tr w:rsidR="00D12939" w14:paraId="595E6370" w14:textId="77777777">
        <w:trPr>
          <w:trHeight w:val="293"/>
          <w:jc w:val="center"/>
        </w:trPr>
        <w:tc>
          <w:tcPr>
            <w:tcW w:w="1383" w:type="dxa"/>
            <w:vAlign w:val="center"/>
          </w:tcPr>
          <w:p w14:paraId="26B1A728" w14:textId="77777777" w:rsidR="00D12939" w:rsidRDefault="004F47F5">
            <w:pPr>
              <w:jc w:val="center"/>
              <w:rPr>
                <w:rFonts w:ascii="Times New Roman" w:hAnsi="Times New Roman" w:cs="Times New Roman"/>
                <w:szCs w:val="21"/>
              </w:rPr>
            </w:pPr>
            <w:r>
              <w:rPr>
                <w:rFonts w:ascii="Times New Roman" w:hAnsi="Times New Roman" w:cs="Times New Roman"/>
                <w:szCs w:val="21"/>
              </w:rPr>
              <w:t>1000</w:t>
            </w:r>
          </w:p>
        </w:tc>
        <w:tc>
          <w:tcPr>
            <w:tcW w:w="1362" w:type="dxa"/>
            <w:vAlign w:val="center"/>
          </w:tcPr>
          <w:p w14:paraId="08666F7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9.40E-05</w:t>
            </w:r>
          </w:p>
        </w:tc>
        <w:tc>
          <w:tcPr>
            <w:tcW w:w="1363" w:type="dxa"/>
            <w:vAlign w:val="center"/>
          </w:tcPr>
          <w:p w14:paraId="5CCE0795"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6705CE8C" w14:textId="77777777" w:rsidR="00D12939" w:rsidRDefault="004F47F5">
            <w:pPr>
              <w:jc w:val="center"/>
              <w:rPr>
                <w:rFonts w:ascii="Times New Roman" w:hAnsi="Times New Roman" w:cs="Times New Roman"/>
              </w:rPr>
            </w:pPr>
            <w:r>
              <w:rPr>
                <w:rFonts w:ascii="Times New Roman" w:hAnsi="Times New Roman" w:cs="Times New Roman"/>
              </w:rPr>
              <w:t>5.01E-04</w:t>
            </w:r>
          </w:p>
        </w:tc>
        <w:tc>
          <w:tcPr>
            <w:tcW w:w="1365" w:type="dxa"/>
            <w:vAlign w:val="center"/>
          </w:tcPr>
          <w:p w14:paraId="64D1AE85" w14:textId="77777777" w:rsidR="00D12939" w:rsidRDefault="004F47F5">
            <w:pPr>
              <w:jc w:val="center"/>
              <w:rPr>
                <w:rFonts w:ascii="Times New Roman" w:hAnsi="Times New Roman" w:cs="Times New Roman"/>
              </w:rPr>
            </w:pPr>
            <w:r>
              <w:rPr>
                <w:rFonts w:ascii="Times New Roman" w:hAnsi="Times New Roman" w:cs="Times New Roman"/>
              </w:rPr>
              <w:t>0.25</w:t>
            </w:r>
          </w:p>
        </w:tc>
        <w:tc>
          <w:tcPr>
            <w:tcW w:w="1363" w:type="dxa"/>
            <w:vAlign w:val="center"/>
          </w:tcPr>
          <w:p w14:paraId="5B21001A" w14:textId="77777777" w:rsidR="00D12939" w:rsidRDefault="004F47F5">
            <w:pPr>
              <w:jc w:val="center"/>
              <w:rPr>
                <w:rFonts w:ascii="Times New Roman" w:hAnsi="Times New Roman" w:cs="Times New Roman"/>
              </w:rPr>
            </w:pPr>
            <w:r>
              <w:rPr>
                <w:rFonts w:ascii="Times New Roman" w:hAnsi="Times New Roman" w:cs="Times New Roman"/>
              </w:rPr>
              <w:t>8.36E-04</w:t>
            </w:r>
          </w:p>
        </w:tc>
        <w:tc>
          <w:tcPr>
            <w:tcW w:w="1324" w:type="dxa"/>
            <w:vAlign w:val="center"/>
          </w:tcPr>
          <w:p w14:paraId="1C0DD2D8" w14:textId="77777777" w:rsidR="00D12939" w:rsidRDefault="004F47F5">
            <w:pPr>
              <w:jc w:val="center"/>
              <w:rPr>
                <w:rFonts w:ascii="Times New Roman" w:hAnsi="Times New Roman" w:cs="Times New Roman"/>
              </w:rPr>
            </w:pPr>
            <w:r>
              <w:rPr>
                <w:rFonts w:ascii="Times New Roman" w:hAnsi="Times New Roman" w:cs="Times New Roman"/>
              </w:rPr>
              <w:t>0.42</w:t>
            </w:r>
          </w:p>
        </w:tc>
      </w:tr>
      <w:tr w:rsidR="00D12939" w14:paraId="09628B68" w14:textId="77777777">
        <w:trPr>
          <w:trHeight w:val="293"/>
          <w:jc w:val="center"/>
        </w:trPr>
        <w:tc>
          <w:tcPr>
            <w:tcW w:w="1383" w:type="dxa"/>
            <w:vAlign w:val="center"/>
          </w:tcPr>
          <w:p w14:paraId="151997A8" w14:textId="77777777" w:rsidR="00D12939" w:rsidRDefault="004F47F5">
            <w:pPr>
              <w:jc w:val="center"/>
              <w:rPr>
                <w:rFonts w:ascii="Times New Roman" w:hAnsi="Times New Roman" w:cs="Times New Roman"/>
                <w:szCs w:val="21"/>
              </w:rPr>
            </w:pPr>
            <w:r>
              <w:rPr>
                <w:rFonts w:ascii="Times New Roman" w:hAnsi="Times New Roman" w:cs="Times New Roman"/>
                <w:szCs w:val="21"/>
              </w:rPr>
              <w:t>1200</w:t>
            </w:r>
          </w:p>
        </w:tc>
        <w:tc>
          <w:tcPr>
            <w:tcW w:w="1362" w:type="dxa"/>
            <w:vAlign w:val="center"/>
          </w:tcPr>
          <w:p w14:paraId="11DBC4F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8.76E-05</w:t>
            </w:r>
          </w:p>
        </w:tc>
        <w:tc>
          <w:tcPr>
            <w:tcW w:w="1363" w:type="dxa"/>
            <w:vAlign w:val="center"/>
          </w:tcPr>
          <w:p w14:paraId="371F6B9B"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4B6FDE2B" w14:textId="77777777" w:rsidR="00D12939" w:rsidRDefault="004F47F5">
            <w:pPr>
              <w:jc w:val="center"/>
              <w:rPr>
                <w:rFonts w:ascii="Times New Roman" w:hAnsi="Times New Roman" w:cs="Times New Roman"/>
              </w:rPr>
            </w:pPr>
            <w:r>
              <w:rPr>
                <w:rFonts w:ascii="Times New Roman" w:hAnsi="Times New Roman" w:cs="Times New Roman"/>
              </w:rPr>
              <w:t>4.67E-04</w:t>
            </w:r>
          </w:p>
        </w:tc>
        <w:tc>
          <w:tcPr>
            <w:tcW w:w="1365" w:type="dxa"/>
            <w:vAlign w:val="center"/>
          </w:tcPr>
          <w:p w14:paraId="1DAAEEB1" w14:textId="77777777" w:rsidR="00D12939" w:rsidRDefault="004F47F5">
            <w:pPr>
              <w:jc w:val="center"/>
              <w:rPr>
                <w:rFonts w:ascii="Times New Roman" w:hAnsi="Times New Roman" w:cs="Times New Roman"/>
              </w:rPr>
            </w:pPr>
            <w:r>
              <w:rPr>
                <w:rFonts w:ascii="Times New Roman" w:hAnsi="Times New Roman" w:cs="Times New Roman"/>
              </w:rPr>
              <w:t>0.23</w:t>
            </w:r>
          </w:p>
        </w:tc>
        <w:tc>
          <w:tcPr>
            <w:tcW w:w="1363" w:type="dxa"/>
            <w:vAlign w:val="center"/>
          </w:tcPr>
          <w:p w14:paraId="4193B253" w14:textId="77777777" w:rsidR="00D12939" w:rsidRDefault="004F47F5">
            <w:pPr>
              <w:jc w:val="center"/>
              <w:rPr>
                <w:rFonts w:ascii="Times New Roman" w:hAnsi="Times New Roman" w:cs="Times New Roman"/>
              </w:rPr>
            </w:pPr>
            <w:r>
              <w:rPr>
                <w:rFonts w:ascii="Times New Roman" w:hAnsi="Times New Roman" w:cs="Times New Roman"/>
              </w:rPr>
              <w:t>7.79E-04</w:t>
            </w:r>
          </w:p>
        </w:tc>
        <w:tc>
          <w:tcPr>
            <w:tcW w:w="1324" w:type="dxa"/>
            <w:vAlign w:val="center"/>
          </w:tcPr>
          <w:p w14:paraId="5A2CF291" w14:textId="77777777" w:rsidR="00D12939" w:rsidRDefault="004F47F5">
            <w:pPr>
              <w:jc w:val="center"/>
              <w:rPr>
                <w:rFonts w:ascii="Times New Roman" w:hAnsi="Times New Roman" w:cs="Times New Roman"/>
              </w:rPr>
            </w:pPr>
            <w:r>
              <w:rPr>
                <w:rFonts w:ascii="Times New Roman" w:hAnsi="Times New Roman" w:cs="Times New Roman"/>
              </w:rPr>
              <w:t>0.39</w:t>
            </w:r>
          </w:p>
        </w:tc>
      </w:tr>
      <w:tr w:rsidR="00D12939" w14:paraId="460A1AAB" w14:textId="77777777">
        <w:trPr>
          <w:trHeight w:val="293"/>
          <w:jc w:val="center"/>
        </w:trPr>
        <w:tc>
          <w:tcPr>
            <w:tcW w:w="1383" w:type="dxa"/>
            <w:vAlign w:val="center"/>
          </w:tcPr>
          <w:p w14:paraId="248AC962" w14:textId="77777777" w:rsidR="00D12939" w:rsidRDefault="004F47F5">
            <w:pPr>
              <w:jc w:val="center"/>
              <w:rPr>
                <w:rFonts w:ascii="Times New Roman" w:hAnsi="Times New Roman" w:cs="Times New Roman"/>
                <w:szCs w:val="21"/>
              </w:rPr>
            </w:pPr>
            <w:r>
              <w:rPr>
                <w:rFonts w:ascii="Times New Roman" w:hAnsi="Times New Roman" w:cs="Times New Roman"/>
                <w:szCs w:val="21"/>
              </w:rPr>
              <w:t>1400</w:t>
            </w:r>
          </w:p>
        </w:tc>
        <w:tc>
          <w:tcPr>
            <w:tcW w:w="1362" w:type="dxa"/>
            <w:vAlign w:val="center"/>
          </w:tcPr>
          <w:p w14:paraId="7B5C7BB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8.12E-05</w:t>
            </w:r>
          </w:p>
        </w:tc>
        <w:tc>
          <w:tcPr>
            <w:tcW w:w="1363" w:type="dxa"/>
            <w:vAlign w:val="center"/>
          </w:tcPr>
          <w:p w14:paraId="2602B70E"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513567EE" w14:textId="77777777" w:rsidR="00D12939" w:rsidRDefault="004F47F5">
            <w:pPr>
              <w:jc w:val="center"/>
              <w:rPr>
                <w:rFonts w:ascii="Times New Roman" w:hAnsi="Times New Roman" w:cs="Times New Roman"/>
              </w:rPr>
            </w:pPr>
            <w:r>
              <w:rPr>
                <w:rFonts w:ascii="Times New Roman" w:hAnsi="Times New Roman" w:cs="Times New Roman"/>
              </w:rPr>
              <w:t>4.33E-04</w:t>
            </w:r>
          </w:p>
        </w:tc>
        <w:tc>
          <w:tcPr>
            <w:tcW w:w="1365" w:type="dxa"/>
            <w:vAlign w:val="center"/>
          </w:tcPr>
          <w:p w14:paraId="08E0F91F" w14:textId="77777777" w:rsidR="00D12939" w:rsidRDefault="004F47F5">
            <w:pPr>
              <w:jc w:val="center"/>
              <w:rPr>
                <w:rFonts w:ascii="Times New Roman" w:hAnsi="Times New Roman" w:cs="Times New Roman"/>
              </w:rPr>
            </w:pPr>
            <w:r>
              <w:rPr>
                <w:rFonts w:ascii="Times New Roman" w:hAnsi="Times New Roman" w:cs="Times New Roman"/>
              </w:rPr>
              <w:t>0.22</w:t>
            </w:r>
          </w:p>
        </w:tc>
        <w:tc>
          <w:tcPr>
            <w:tcW w:w="1363" w:type="dxa"/>
            <w:vAlign w:val="center"/>
          </w:tcPr>
          <w:p w14:paraId="39C1BDB4" w14:textId="77777777" w:rsidR="00D12939" w:rsidRDefault="004F47F5">
            <w:pPr>
              <w:jc w:val="center"/>
              <w:rPr>
                <w:rFonts w:ascii="Times New Roman" w:hAnsi="Times New Roman" w:cs="Times New Roman"/>
              </w:rPr>
            </w:pPr>
            <w:r>
              <w:rPr>
                <w:rFonts w:ascii="Times New Roman" w:hAnsi="Times New Roman" w:cs="Times New Roman"/>
              </w:rPr>
              <w:t>7.22E-04</w:t>
            </w:r>
          </w:p>
        </w:tc>
        <w:tc>
          <w:tcPr>
            <w:tcW w:w="1324" w:type="dxa"/>
            <w:vAlign w:val="center"/>
          </w:tcPr>
          <w:p w14:paraId="58977902" w14:textId="77777777" w:rsidR="00D12939" w:rsidRDefault="004F47F5">
            <w:pPr>
              <w:jc w:val="center"/>
              <w:rPr>
                <w:rFonts w:ascii="Times New Roman" w:hAnsi="Times New Roman" w:cs="Times New Roman"/>
              </w:rPr>
            </w:pPr>
            <w:r>
              <w:rPr>
                <w:rFonts w:ascii="Times New Roman" w:hAnsi="Times New Roman" w:cs="Times New Roman"/>
              </w:rPr>
              <w:t>0.36</w:t>
            </w:r>
          </w:p>
        </w:tc>
      </w:tr>
      <w:tr w:rsidR="00D12939" w14:paraId="0502FD40" w14:textId="77777777">
        <w:trPr>
          <w:trHeight w:val="306"/>
          <w:jc w:val="center"/>
        </w:trPr>
        <w:tc>
          <w:tcPr>
            <w:tcW w:w="1383" w:type="dxa"/>
            <w:vAlign w:val="center"/>
          </w:tcPr>
          <w:p w14:paraId="0CADDCE7" w14:textId="77777777" w:rsidR="00D12939" w:rsidRDefault="004F47F5">
            <w:pPr>
              <w:jc w:val="center"/>
              <w:rPr>
                <w:rFonts w:ascii="Times New Roman" w:hAnsi="Times New Roman" w:cs="Times New Roman"/>
                <w:szCs w:val="21"/>
              </w:rPr>
            </w:pPr>
            <w:r>
              <w:rPr>
                <w:rFonts w:ascii="Times New Roman" w:hAnsi="Times New Roman" w:cs="Times New Roman"/>
                <w:szCs w:val="21"/>
              </w:rPr>
              <w:t>1600</w:t>
            </w:r>
          </w:p>
        </w:tc>
        <w:tc>
          <w:tcPr>
            <w:tcW w:w="1362" w:type="dxa"/>
            <w:vAlign w:val="center"/>
          </w:tcPr>
          <w:p w14:paraId="0500480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7.53E-05</w:t>
            </w:r>
          </w:p>
        </w:tc>
        <w:tc>
          <w:tcPr>
            <w:tcW w:w="1363" w:type="dxa"/>
            <w:vAlign w:val="center"/>
          </w:tcPr>
          <w:p w14:paraId="76D84AFF" w14:textId="77777777" w:rsidR="00D12939" w:rsidRDefault="004F47F5">
            <w:pPr>
              <w:jc w:val="center"/>
              <w:rPr>
                <w:rFonts w:ascii="Times New Roman" w:hAnsi="Times New Roman" w:cs="Times New Roman"/>
              </w:rPr>
            </w:pPr>
            <w:r>
              <w:rPr>
                <w:rFonts w:ascii="Times New Roman" w:hAnsi="Times New Roman" w:cs="Times New Roman"/>
              </w:rPr>
              <w:t>0.02</w:t>
            </w:r>
          </w:p>
        </w:tc>
        <w:tc>
          <w:tcPr>
            <w:tcW w:w="1557" w:type="dxa"/>
            <w:vAlign w:val="center"/>
          </w:tcPr>
          <w:p w14:paraId="62C20EA6" w14:textId="77777777" w:rsidR="00D12939" w:rsidRDefault="004F47F5">
            <w:pPr>
              <w:jc w:val="center"/>
              <w:rPr>
                <w:rFonts w:ascii="Times New Roman" w:hAnsi="Times New Roman" w:cs="Times New Roman"/>
              </w:rPr>
            </w:pPr>
            <w:r>
              <w:rPr>
                <w:rFonts w:ascii="Times New Roman" w:hAnsi="Times New Roman" w:cs="Times New Roman"/>
              </w:rPr>
              <w:t>4.02E-04</w:t>
            </w:r>
          </w:p>
        </w:tc>
        <w:tc>
          <w:tcPr>
            <w:tcW w:w="1365" w:type="dxa"/>
            <w:vAlign w:val="center"/>
          </w:tcPr>
          <w:p w14:paraId="49B8D371" w14:textId="77777777" w:rsidR="00D12939" w:rsidRDefault="004F47F5">
            <w:pPr>
              <w:jc w:val="center"/>
              <w:rPr>
                <w:rFonts w:ascii="Times New Roman" w:hAnsi="Times New Roman" w:cs="Times New Roman"/>
              </w:rPr>
            </w:pPr>
            <w:r>
              <w:rPr>
                <w:rFonts w:ascii="Times New Roman" w:hAnsi="Times New Roman" w:cs="Times New Roman"/>
              </w:rPr>
              <w:t>0.20</w:t>
            </w:r>
          </w:p>
        </w:tc>
        <w:tc>
          <w:tcPr>
            <w:tcW w:w="1363" w:type="dxa"/>
            <w:vAlign w:val="center"/>
          </w:tcPr>
          <w:p w14:paraId="5294676C" w14:textId="77777777" w:rsidR="00D12939" w:rsidRDefault="004F47F5">
            <w:pPr>
              <w:jc w:val="center"/>
              <w:rPr>
                <w:rFonts w:ascii="Times New Roman" w:hAnsi="Times New Roman" w:cs="Times New Roman"/>
              </w:rPr>
            </w:pPr>
            <w:r>
              <w:rPr>
                <w:rFonts w:ascii="Times New Roman" w:hAnsi="Times New Roman" w:cs="Times New Roman"/>
              </w:rPr>
              <w:t>6.69E-04</w:t>
            </w:r>
          </w:p>
        </w:tc>
        <w:tc>
          <w:tcPr>
            <w:tcW w:w="1324" w:type="dxa"/>
            <w:vAlign w:val="center"/>
          </w:tcPr>
          <w:p w14:paraId="22507E1E" w14:textId="77777777" w:rsidR="00D12939" w:rsidRDefault="004F47F5">
            <w:pPr>
              <w:jc w:val="center"/>
              <w:rPr>
                <w:rFonts w:ascii="Times New Roman" w:hAnsi="Times New Roman" w:cs="Times New Roman"/>
              </w:rPr>
            </w:pPr>
            <w:r>
              <w:rPr>
                <w:rFonts w:ascii="Times New Roman" w:hAnsi="Times New Roman" w:cs="Times New Roman"/>
              </w:rPr>
              <w:t>0.33</w:t>
            </w:r>
          </w:p>
        </w:tc>
      </w:tr>
      <w:tr w:rsidR="00D12939" w14:paraId="3F7051A9" w14:textId="77777777">
        <w:trPr>
          <w:trHeight w:val="293"/>
          <w:jc w:val="center"/>
        </w:trPr>
        <w:tc>
          <w:tcPr>
            <w:tcW w:w="1383" w:type="dxa"/>
            <w:vAlign w:val="center"/>
          </w:tcPr>
          <w:p w14:paraId="5EBA2424" w14:textId="77777777" w:rsidR="00D12939" w:rsidRDefault="004F47F5">
            <w:pPr>
              <w:jc w:val="center"/>
              <w:rPr>
                <w:rFonts w:ascii="Times New Roman" w:hAnsi="Times New Roman" w:cs="Times New Roman"/>
                <w:szCs w:val="21"/>
              </w:rPr>
            </w:pPr>
            <w:r>
              <w:rPr>
                <w:rFonts w:ascii="Times New Roman" w:hAnsi="Times New Roman" w:cs="Times New Roman"/>
                <w:szCs w:val="21"/>
              </w:rPr>
              <w:t>1800</w:t>
            </w:r>
          </w:p>
        </w:tc>
        <w:tc>
          <w:tcPr>
            <w:tcW w:w="1362" w:type="dxa"/>
            <w:vAlign w:val="center"/>
          </w:tcPr>
          <w:p w14:paraId="2609532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7.00E-05</w:t>
            </w:r>
          </w:p>
        </w:tc>
        <w:tc>
          <w:tcPr>
            <w:tcW w:w="1363" w:type="dxa"/>
            <w:vAlign w:val="center"/>
          </w:tcPr>
          <w:p w14:paraId="4EC772A8" w14:textId="77777777" w:rsidR="00D12939" w:rsidRDefault="004F47F5">
            <w:pPr>
              <w:jc w:val="center"/>
              <w:rPr>
                <w:rFonts w:ascii="Times New Roman" w:hAnsi="Times New Roman" w:cs="Times New Roman"/>
              </w:rPr>
            </w:pPr>
            <w:r>
              <w:rPr>
                <w:rFonts w:ascii="Times New Roman" w:hAnsi="Times New Roman" w:cs="Times New Roman"/>
              </w:rPr>
              <w:t>0.01</w:t>
            </w:r>
          </w:p>
        </w:tc>
        <w:tc>
          <w:tcPr>
            <w:tcW w:w="1557" w:type="dxa"/>
            <w:vAlign w:val="center"/>
          </w:tcPr>
          <w:p w14:paraId="5486640E" w14:textId="77777777" w:rsidR="00D12939" w:rsidRDefault="004F47F5">
            <w:pPr>
              <w:jc w:val="center"/>
              <w:rPr>
                <w:rFonts w:ascii="Times New Roman" w:hAnsi="Times New Roman" w:cs="Times New Roman"/>
              </w:rPr>
            </w:pPr>
            <w:r>
              <w:rPr>
                <w:rFonts w:ascii="Times New Roman" w:hAnsi="Times New Roman" w:cs="Times New Roman"/>
              </w:rPr>
              <w:t>3.73E-04</w:t>
            </w:r>
          </w:p>
        </w:tc>
        <w:tc>
          <w:tcPr>
            <w:tcW w:w="1365" w:type="dxa"/>
            <w:vAlign w:val="center"/>
          </w:tcPr>
          <w:p w14:paraId="42B962CC" w14:textId="77777777" w:rsidR="00D12939" w:rsidRDefault="004F47F5">
            <w:pPr>
              <w:jc w:val="center"/>
              <w:rPr>
                <w:rFonts w:ascii="Times New Roman" w:hAnsi="Times New Roman" w:cs="Times New Roman"/>
              </w:rPr>
            </w:pPr>
            <w:r>
              <w:rPr>
                <w:rFonts w:ascii="Times New Roman" w:hAnsi="Times New Roman" w:cs="Times New Roman"/>
              </w:rPr>
              <w:t>0.19</w:t>
            </w:r>
          </w:p>
        </w:tc>
        <w:tc>
          <w:tcPr>
            <w:tcW w:w="1363" w:type="dxa"/>
            <w:vAlign w:val="center"/>
          </w:tcPr>
          <w:p w14:paraId="5D1013A9" w14:textId="77777777" w:rsidR="00D12939" w:rsidRDefault="004F47F5">
            <w:pPr>
              <w:jc w:val="center"/>
              <w:rPr>
                <w:rFonts w:ascii="Times New Roman" w:hAnsi="Times New Roman" w:cs="Times New Roman"/>
              </w:rPr>
            </w:pPr>
            <w:r>
              <w:rPr>
                <w:rFonts w:ascii="Times New Roman" w:hAnsi="Times New Roman" w:cs="Times New Roman"/>
              </w:rPr>
              <w:t>6.22E-04</w:t>
            </w:r>
          </w:p>
        </w:tc>
        <w:tc>
          <w:tcPr>
            <w:tcW w:w="1324" w:type="dxa"/>
            <w:vAlign w:val="center"/>
          </w:tcPr>
          <w:p w14:paraId="4CCF1548" w14:textId="77777777" w:rsidR="00D12939" w:rsidRDefault="004F47F5">
            <w:pPr>
              <w:jc w:val="center"/>
              <w:rPr>
                <w:rFonts w:ascii="Times New Roman" w:hAnsi="Times New Roman" w:cs="Times New Roman"/>
              </w:rPr>
            </w:pPr>
            <w:r>
              <w:rPr>
                <w:rFonts w:ascii="Times New Roman" w:hAnsi="Times New Roman" w:cs="Times New Roman"/>
              </w:rPr>
              <w:t>0.31</w:t>
            </w:r>
          </w:p>
        </w:tc>
      </w:tr>
      <w:tr w:rsidR="00D12939" w14:paraId="6F214E63" w14:textId="77777777">
        <w:trPr>
          <w:trHeight w:val="293"/>
          <w:jc w:val="center"/>
        </w:trPr>
        <w:tc>
          <w:tcPr>
            <w:tcW w:w="1383" w:type="dxa"/>
            <w:vAlign w:val="center"/>
          </w:tcPr>
          <w:p w14:paraId="52F98674" w14:textId="77777777" w:rsidR="00D12939" w:rsidRDefault="004F47F5">
            <w:pPr>
              <w:jc w:val="center"/>
              <w:rPr>
                <w:rFonts w:ascii="Times New Roman" w:hAnsi="Times New Roman" w:cs="Times New Roman"/>
                <w:szCs w:val="21"/>
              </w:rPr>
            </w:pPr>
            <w:r>
              <w:rPr>
                <w:rFonts w:ascii="Times New Roman" w:hAnsi="Times New Roman" w:cs="Times New Roman"/>
                <w:szCs w:val="21"/>
              </w:rPr>
              <w:t>2000</w:t>
            </w:r>
          </w:p>
        </w:tc>
        <w:tc>
          <w:tcPr>
            <w:tcW w:w="1362" w:type="dxa"/>
            <w:vAlign w:val="center"/>
          </w:tcPr>
          <w:p w14:paraId="49A7E39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6.53E-05</w:t>
            </w:r>
          </w:p>
        </w:tc>
        <w:tc>
          <w:tcPr>
            <w:tcW w:w="1363" w:type="dxa"/>
            <w:vAlign w:val="center"/>
          </w:tcPr>
          <w:p w14:paraId="48D3BED9" w14:textId="77777777" w:rsidR="00D12939" w:rsidRDefault="004F47F5">
            <w:pPr>
              <w:jc w:val="center"/>
              <w:rPr>
                <w:rFonts w:ascii="Times New Roman" w:hAnsi="Times New Roman" w:cs="Times New Roman"/>
              </w:rPr>
            </w:pPr>
            <w:r>
              <w:rPr>
                <w:rFonts w:ascii="Times New Roman" w:hAnsi="Times New Roman" w:cs="Times New Roman"/>
              </w:rPr>
              <w:t>0.01</w:t>
            </w:r>
          </w:p>
        </w:tc>
        <w:tc>
          <w:tcPr>
            <w:tcW w:w="1557" w:type="dxa"/>
            <w:vAlign w:val="center"/>
          </w:tcPr>
          <w:p w14:paraId="7E4D693D" w14:textId="77777777" w:rsidR="00D12939" w:rsidRDefault="004F47F5">
            <w:pPr>
              <w:jc w:val="center"/>
              <w:rPr>
                <w:rFonts w:ascii="Times New Roman" w:hAnsi="Times New Roman" w:cs="Times New Roman"/>
              </w:rPr>
            </w:pPr>
            <w:r>
              <w:rPr>
                <w:rFonts w:ascii="Times New Roman" w:hAnsi="Times New Roman" w:cs="Times New Roman"/>
              </w:rPr>
              <w:t>3.48E-04</w:t>
            </w:r>
          </w:p>
        </w:tc>
        <w:tc>
          <w:tcPr>
            <w:tcW w:w="1365" w:type="dxa"/>
            <w:vAlign w:val="center"/>
          </w:tcPr>
          <w:p w14:paraId="7ACB4444" w14:textId="77777777" w:rsidR="00D12939" w:rsidRDefault="004F47F5">
            <w:pPr>
              <w:jc w:val="center"/>
              <w:rPr>
                <w:rFonts w:ascii="Times New Roman" w:hAnsi="Times New Roman" w:cs="Times New Roman"/>
              </w:rPr>
            </w:pPr>
            <w:r>
              <w:rPr>
                <w:rFonts w:ascii="Times New Roman" w:hAnsi="Times New Roman" w:cs="Times New Roman"/>
              </w:rPr>
              <w:t>0.17</w:t>
            </w:r>
          </w:p>
        </w:tc>
        <w:tc>
          <w:tcPr>
            <w:tcW w:w="1363" w:type="dxa"/>
            <w:vAlign w:val="center"/>
          </w:tcPr>
          <w:p w14:paraId="6306CF53" w14:textId="77777777" w:rsidR="00D12939" w:rsidRDefault="004F47F5">
            <w:pPr>
              <w:jc w:val="center"/>
              <w:rPr>
                <w:rFonts w:ascii="Times New Roman" w:hAnsi="Times New Roman" w:cs="Times New Roman"/>
              </w:rPr>
            </w:pPr>
            <w:r>
              <w:rPr>
                <w:rFonts w:ascii="Times New Roman" w:hAnsi="Times New Roman" w:cs="Times New Roman"/>
              </w:rPr>
              <w:t>5.81E-04</w:t>
            </w:r>
          </w:p>
        </w:tc>
        <w:tc>
          <w:tcPr>
            <w:tcW w:w="1324" w:type="dxa"/>
            <w:vAlign w:val="center"/>
          </w:tcPr>
          <w:p w14:paraId="174C8F47" w14:textId="77777777" w:rsidR="00D12939" w:rsidRDefault="004F47F5">
            <w:pPr>
              <w:jc w:val="center"/>
              <w:rPr>
                <w:rFonts w:ascii="Times New Roman" w:hAnsi="Times New Roman" w:cs="Times New Roman"/>
              </w:rPr>
            </w:pPr>
            <w:r>
              <w:rPr>
                <w:rFonts w:ascii="Times New Roman" w:hAnsi="Times New Roman" w:cs="Times New Roman"/>
              </w:rPr>
              <w:t>0.29</w:t>
            </w:r>
          </w:p>
        </w:tc>
      </w:tr>
      <w:tr w:rsidR="00D12939" w14:paraId="03587DA8" w14:textId="77777777">
        <w:trPr>
          <w:trHeight w:val="293"/>
          <w:jc w:val="center"/>
        </w:trPr>
        <w:tc>
          <w:tcPr>
            <w:tcW w:w="1383" w:type="dxa"/>
            <w:vAlign w:val="center"/>
          </w:tcPr>
          <w:p w14:paraId="6BC9239F" w14:textId="77777777" w:rsidR="00D12939" w:rsidRDefault="004F47F5">
            <w:pPr>
              <w:jc w:val="center"/>
              <w:rPr>
                <w:rFonts w:ascii="Times New Roman" w:hAnsi="Times New Roman" w:cs="Times New Roman"/>
                <w:szCs w:val="21"/>
              </w:rPr>
            </w:pPr>
            <w:r>
              <w:rPr>
                <w:rFonts w:ascii="Times New Roman" w:hAnsi="Times New Roman" w:cs="Times New Roman"/>
                <w:szCs w:val="21"/>
              </w:rPr>
              <w:lastRenderedPageBreak/>
              <w:t>2250</w:t>
            </w:r>
          </w:p>
        </w:tc>
        <w:tc>
          <w:tcPr>
            <w:tcW w:w="1362" w:type="dxa"/>
            <w:vAlign w:val="center"/>
          </w:tcPr>
          <w:p w14:paraId="1E688E1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6.02E-05</w:t>
            </w:r>
          </w:p>
        </w:tc>
        <w:tc>
          <w:tcPr>
            <w:tcW w:w="1363" w:type="dxa"/>
            <w:vAlign w:val="center"/>
          </w:tcPr>
          <w:p w14:paraId="2C20B20C" w14:textId="77777777" w:rsidR="00D12939" w:rsidRDefault="004F47F5">
            <w:pPr>
              <w:jc w:val="center"/>
              <w:rPr>
                <w:rFonts w:ascii="Times New Roman" w:hAnsi="Times New Roman" w:cs="Times New Roman"/>
              </w:rPr>
            </w:pPr>
            <w:r>
              <w:rPr>
                <w:rFonts w:ascii="Times New Roman" w:hAnsi="Times New Roman" w:cs="Times New Roman"/>
              </w:rPr>
              <w:t>0.01</w:t>
            </w:r>
          </w:p>
        </w:tc>
        <w:tc>
          <w:tcPr>
            <w:tcW w:w="1557" w:type="dxa"/>
            <w:vAlign w:val="center"/>
          </w:tcPr>
          <w:p w14:paraId="7D5B4315" w14:textId="77777777" w:rsidR="00D12939" w:rsidRDefault="004F47F5">
            <w:pPr>
              <w:jc w:val="center"/>
              <w:rPr>
                <w:rFonts w:ascii="Times New Roman" w:hAnsi="Times New Roman" w:cs="Times New Roman"/>
              </w:rPr>
            </w:pPr>
            <w:r>
              <w:rPr>
                <w:rFonts w:ascii="Times New Roman" w:hAnsi="Times New Roman" w:cs="Times New Roman"/>
              </w:rPr>
              <w:t>3.21E-04</w:t>
            </w:r>
          </w:p>
        </w:tc>
        <w:tc>
          <w:tcPr>
            <w:tcW w:w="1365" w:type="dxa"/>
            <w:vAlign w:val="center"/>
          </w:tcPr>
          <w:p w14:paraId="31297CD5" w14:textId="77777777" w:rsidR="00D12939" w:rsidRDefault="004F47F5">
            <w:pPr>
              <w:jc w:val="center"/>
              <w:rPr>
                <w:rFonts w:ascii="Times New Roman" w:hAnsi="Times New Roman" w:cs="Times New Roman"/>
              </w:rPr>
            </w:pPr>
            <w:r>
              <w:rPr>
                <w:rFonts w:ascii="Times New Roman" w:hAnsi="Times New Roman" w:cs="Times New Roman"/>
              </w:rPr>
              <w:t>0.16</w:t>
            </w:r>
          </w:p>
        </w:tc>
        <w:tc>
          <w:tcPr>
            <w:tcW w:w="1363" w:type="dxa"/>
            <w:vAlign w:val="center"/>
          </w:tcPr>
          <w:p w14:paraId="1FA6C921" w14:textId="77777777" w:rsidR="00D12939" w:rsidRDefault="004F47F5">
            <w:pPr>
              <w:jc w:val="center"/>
              <w:rPr>
                <w:rFonts w:ascii="Times New Roman" w:hAnsi="Times New Roman" w:cs="Times New Roman"/>
              </w:rPr>
            </w:pPr>
            <w:r>
              <w:rPr>
                <w:rFonts w:ascii="Times New Roman" w:hAnsi="Times New Roman" w:cs="Times New Roman"/>
              </w:rPr>
              <w:t>5.35E-04</w:t>
            </w:r>
          </w:p>
        </w:tc>
        <w:tc>
          <w:tcPr>
            <w:tcW w:w="1324" w:type="dxa"/>
            <w:vAlign w:val="center"/>
          </w:tcPr>
          <w:p w14:paraId="5C7EB0FB" w14:textId="77777777" w:rsidR="00D12939" w:rsidRDefault="004F47F5">
            <w:pPr>
              <w:jc w:val="center"/>
              <w:rPr>
                <w:rFonts w:ascii="Times New Roman" w:hAnsi="Times New Roman" w:cs="Times New Roman"/>
              </w:rPr>
            </w:pPr>
            <w:r>
              <w:rPr>
                <w:rFonts w:ascii="Times New Roman" w:hAnsi="Times New Roman" w:cs="Times New Roman"/>
              </w:rPr>
              <w:t>0.27</w:t>
            </w:r>
          </w:p>
        </w:tc>
      </w:tr>
      <w:tr w:rsidR="00D12939" w14:paraId="30A3F90D" w14:textId="77777777">
        <w:trPr>
          <w:trHeight w:val="306"/>
          <w:jc w:val="center"/>
        </w:trPr>
        <w:tc>
          <w:tcPr>
            <w:tcW w:w="1383" w:type="dxa"/>
            <w:vAlign w:val="center"/>
          </w:tcPr>
          <w:p w14:paraId="74D93BCB" w14:textId="77777777" w:rsidR="00D12939" w:rsidRDefault="004F47F5">
            <w:pPr>
              <w:jc w:val="center"/>
              <w:rPr>
                <w:rFonts w:ascii="Times New Roman" w:hAnsi="Times New Roman" w:cs="Times New Roman"/>
                <w:szCs w:val="21"/>
              </w:rPr>
            </w:pPr>
            <w:r>
              <w:rPr>
                <w:rFonts w:ascii="Times New Roman" w:hAnsi="Times New Roman" w:cs="Times New Roman"/>
                <w:szCs w:val="21"/>
              </w:rPr>
              <w:t>2500</w:t>
            </w:r>
          </w:p>
        </w:tc>
        <w:tc>
          <w:tcPr>
            <w:tcW w:w="1362" w:type="dxa"/>
            <w:vAlign w:val="center"/>
          </w:tcPr>
          <w:p w14:paraId="4CD7C99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5.58E-05</w:t>
            </w:r>
          </w:p>
        </w:tc>
        <w:tc>
          <w:tcPr>
            <w:tcW w:w="1363" w:type="dxa"/>
            <w:vAlign w:val="center"/>
          </w:tcPr>
          <w:p w14:paraId="0D5C8C08" w14:textId="77777777" w:rsidR="00D12939" w:rsidRDefault="004F47F5">
            <w:pPr>
              <w:jc w:val="center"/>
              <w:rPr>
                <w:rFonts w:ascii="Times New Roman" w:hAnsi="Times New Roman" w:cs="Times New Roman"/>
              </w:rPr>
            </w:pPr>
            <w:r>
              <w:rPr>
                <w:rFonts w:ascii="Times New Roman" w:hAnsi="Times New Roman" w:cs="Times New Roman"/>
              </w:rPr>
              <w:t>0.01</w:t>
            </w:r>
          </w:p>
        </w:tc>
        <w:tc>
          <w:tcPr>
            <w:tcW w:w="1557" w:type="dxa"/>
            <w:vAlign w:val="center"/>
          </w:tcPr>
          <w:p w14:paraId="3274C5E8" w14:textId="77777777" w:rsidR="00D12939" w:rsidRDefault="004F47F5">
            <w:pPr>
              <w:jc w:val="center"/>
              <w:rPr>
                <w:rFonts w:ascii="Times New Roman" w:hAnsi="Times New Roman" w:cs="Times New Roman"/>
              </w:rPr>
            </w:pPr>
            <w:r>
              <w:rPr>
                <w:rFonts w:ascii="Times New Roman" w:hAnsi="Times New Roman" w:cs="Times New Roman"/>
              </w:rPr>
              <w:t>2.97E-04</w:t>
            </w:r>
          </w:p>
        </w:tc>
        <w:tc>
          <w:tcPr>
            <w:tcW w:w="1365" w:type="dxa"/>
            <w:vAlign w:val="center"/>
          </w:tcPr>
          <w:p w14:paraId="44D91532" w14:textId="77777777" w:rsidR="00D12939" w:rsidRDefault="004F47F5">
            <w:pPr>
              <w:jc w:val="center"/>
              <w:rPr>
                <w:rFonts w:ascii="Times New Roman" w:hAnsi="Times New Roman" w:cs="Times New Roman"/>
              </w:rPr>
            </w:pPr>
            <w:r>
              <w:rPr>
                <w:rFonts w:ascii="Times New Roman" w:hAnsi="Times New Roman" w:cs="Times New Roman"/>
              </w:rPr>
              <w:t>0.15</w:t>
            </w:r>
          </w:p>
        </w:tc>
        <w:tc>
          <w:tcPr>
            <w:tcW w:w="1363" w:type="dxa"/>
            <w:vAlign w:val="center"/>
          </w:tcPr>
          <w:p w14:paraId="570EF6AE" w14:textId="77777777" w:rsidR="00D12939" w:rsidRDefault="004F47F5">
            <w:pPr>
              <w:jc w:val="center"/>
              <w:rPr>
                <w:rFonts w:ascii="Times New Roman" w:hAnsi="Times New Roman" w:cs="Times New Roman"/>
              </w:rPr>
            </w:pPr>
            <w:r>
              <w:rPr>
                <w:rFonts w:ascii="Times New Roman" w:hAnsi="Times New Roman" w:cs="Times New Roman"/>
              </w:rPr>
              <w:t>4.96E-04</w:t>
            </w:r>
          </w:p>
        </w:tc>
        <w:tc>
          <w:tcPr>
            <w:tcW w:w="1324" w:type="dxa"/>
            <w:vAlign w:val="center"/>
          </w:tcPr>
          <w:p w14:paraId="741A510B" w14:textId="77777777" w:rsidR="00D12939" w:rsidRDefault="004F47F5">
            <w:pPr>
              <w:jc w:val="center"/>
              <w:rPr>
                <w:rFonts w:ascii="Times New Roman" w:hAnsi="Times New Roman" w:cs="Times New Roman"/>
              </w:rPr>
            </w:pPr>
            <w:r>
              <w:rPr>
                <w:rFonts w:ascii="Times New Roman" w:hAnsi="Times New Roman" w:cs="Times New Roman"/>
              </w:rPr>
              <w:t>0.25</w:t>
            </w:r>
          </w:p>
        </w:tc>
      </w:tr>
    </w:tbl>
    <w:p w14:paraId="1D962A7C" w14:textId="77777777" w:rsidR="00D12939" w:rsidRDefault="004F47F5">
      <w:pPr>
        <w:adjustRightInd w:val="0"/>
        <w:snapToGrid w:val="0"/>
        <w:spacing w:line="360" w:lineRule="auto"/>
        <w:jc w:val="center"/>
        <w:rPr>
          <w:rFonts w:ascii="黑体" w:eastAsia="黑体" w:hAnsi="黑体"/>
          <w:bCs/>
          <w:kern w:val="0"/>
          <w:sz w:val="24"/>
          <w:szCs w:val="21"/>
        </w:rPr>
      </w:pPr>
      <w:r>
        <w:rPr>
          <w:rFonts w:ascii="黑体" w:eastAsia="黑体" w:hAnsi="黑体"/>
          <w:bCs/>
          <w:kern w:val="0"/>
          <w:sz w:val="24"/>
          <w:szCs w:val="21"/>
        </w:rPr>
        <w:t>表</w:t>
      </w:r>
      <w:r>
        <w:rPr>
          <w:rFonts w:ascii="黑体" w:eastAsia="黑体" w:hAnsi="黑体" w:hint="eastAsia"/>
          <w:bCs/>
          <w:kern w:val="0"/>
          <w:sz w:val="24"/>
          <w:szCs w:val="21"/>
        </w:rPr>
        <w:t>7.1-</w:t>
      </w:r>
      <w:r>
        <w:rPr>
          <w:rFonts w:ascii="黑体" w:eastAsia="黑体" w:hAnsi="黑体"/>
          <w:bCs/>
          <w:kern w:val="0"/>
          <w:sz w:val="24"/>
          <w:szCs w:val="21"/>
        </w:rPr>
        <w:t xml:space="preserve">8 </w:t>
      </w:r>
      <w:r>
        <w:rPr>
          <w:rFonts w:ascii="黑体" w:eastAsia="黑体" w:hAnsi="黑体" w:hint="eastAsia"/>
          <w:bCs/>
          <w:kern w:val="0"/>
          <w:sz w:val="24"/>
          <w:szCs w:val="21"/>
        </w:rPr>
        <w:t>除臭系统</w:t>
      </w:r>
      <w:r>
        <w:rPr>
          <w:rFonts w:ascii="黑体" w:eastAsia="黑体" w:hAnsi="黑体"/>
          <w:bCs/>
          <w:kern w:val="0"/>
          <w:sz w:val="24"/>
          <w:szCs w:val="21"/>
        </w:rPr>
        <w:t>估算模式</w:t>
      </w:r>
      <w:r>
        <w:rPr>
          <w:rFonts w:ascii="黑体" w:eastAsia="黑体" w:hAnsi="黑体" w:hint="eastAsia"/>
          <w:bCs/>
          <w:kern w:val="0"/>
          <w:sz w:val="24"/>
          <w:szCs w:val="21"/>
        </w:rPr>
        <w:t>计算</w:t>
      </w:r>
      <w:r>
        <w:rPr>
          <w:rFonts w:ascii="黑体" w:eastAsia="黑体" w:hAnsi="黑体"/>
          <w:bCs/>
          <w:kern w:val="0"/>
          <w:sz w:val="24"/>
          <w:szCs w:val="21"/>
        </w:rPr>
        <w:t>结果统计表</w:t>
      </w:r>
    </w:p>
    <w:tbl>
      <w:tblPr>
        <w:tblW w:w="969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117"/>
        <w:gridCol w:w="1099"/>
        <w:gridCol w:w="1102"/>
        <w:gridCol w:w="1256"/>
        <w:gridCol w:w="1024"/>
        <w:gridCol w:w="1080"/>
        <w:gridCol w:w="961"/>
        <w:gridCol w:w="1061"/>
        <w:gridCol w:w="982"/>
        <w:gridCol w:w="8"/>
      </w:tblGrid>
      <w:tr w:rsidR="00D12939" w14:paraId="1F3484F7" w14:textId="77777777">
        <w:trPr>
          <w:trHeight w:val="262"/>
        </w:trPr>
        <w:tc>
          <w:tcPr>
            <w:tcW w:w="1117" w:type="dxa"/>
            <w:vMerge w:val="restart"/>
            <w:vAlign w:val="center"/>
          </w:tcPr>
          <w:p w14:paraId="24E8AAD2"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距源中心下风向距离</w:t>
            </w:r>
            <w:r>
              <w:rPr>
                <w:rFonts w:ascii="Times New Roman" w:eastAsia="宋体" w:hAnsi="Times New Roman" w:cs="Times New Roman"/>
                <w:b/>
                <w:bCs/>
                <w:sz w:val="18"/>
                <w:szCs w:val="18"/>
              </w:rPr>
              <w:t>D</w:t>
            </w:r>
            <w:r>
              <w:rPr>
                <w:rFonts w:ascii="Times New Roman" w:eastAsia="宋体" w:hAnsi="Times New Roman" w:cs="Times New Roman"/>
                <w:b/>
                <w:bCs/>
                <w:sz w:val="18"/>
                <w:szCs w:val="18"/>
              </w:rPr>
              <w:t>（</w:t>
            </w:r>
            <w:r>
              <w:rPr>
                <w:rFonts w:ascii="Times New Roman" w:eastAsia="宋体" w:hAnsi="Times New Roman" w:cs="Times New Roman"/>
                <w:b/>
                <w:bCs/>
                <w:sz w:val="18"/>
                <w:szCs w:val="18"/>
              </w:rPr>
              <w:t>m</w:t>
            </w:r>
            <w:r>
              <w:rPr>
                <w:rFonts w:ascii="Times New Roman" w:eastAsia="宋体" w:hAnsi="Times New Roman" w:cs="Times New Roman"/>
                <w:b/>
                <w:bCs/>
                <w:sz w:val="18"/>
                <w:szCs w:val="18"/>
              </w:rPr>
              <w:t>）</w:t>
            </w:r>
          </w:p>
        </w:tc>
        <w:tc>
          <w:tcPr>
            <w:tcW w:w="8573" w:type="dxa"/>
            <w:gridSpan w:val="9"/>
            <w:tcBorders>
              <w:right w:val="single" w:sz="4" w:space="0" w:color="auto"/>
            </w:tcBorders>
            <w:vAlign w:val="center"/>
          </w:tcPr>
          <w:p w14:paraId="0CEDF09E"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hint="eastAsia"/>
                <w:b/>
                <w:bCs/>
                <w:sz w:val="18"/>
                <w:szCs w:val="18"/>
              </w:rPr>
              <w:t>除臭系统</w:t>
            </w:r>
          </w:p>
        </w:tc>
      </w:tr>
      <w:tr w:rsidR="00D12939" w14:paraId="2EA2F1E7" w14:textId="77777777">
        <w:trPr>
          <w:trHeight w:val="262"/>
        </w:trPr>
        <w:tc>
          <w:tcPr>
            <w:tcW w:w="1117" w:type="dxa"/>
            <w:vMerge/>
            <w:vAlign w:val="center"/>
          </w:tcPr>
          <w:p w14:paraId="3CDDA79C" w14:textId="77777777" w:rsidR="00D12939" w:rsidRDefault="00D12939">
            <w:pPr>
              <w:adjustRightInd w:val="0"/>
              <w:snapToGrid w:val="0"/>
              <w:jc w:val="center"/>
              <w:rPr>
                <w:rFonts w:ascii="Times New Roman" w:eastAsia="宋体" w:hAnsi="Times New Roman" w:cs="Times New Roman"/>
                <w:b/>
                <w:bCs/>
                <w:sz w:val="18"/>
                <w:szCs w:val="18"/>
              </w:rPr>
            </w:pPr>
          </w:p>
        </w:tc>
        <w:tc>
          <w:tcPr>
            <w:tcW w:w="4483" w:type="dxa"/>
            <w:gridSpan w:val="4"/>
            <w:tcBorders>
              <w:right w:val="single" w:sz="4" w:space="0" w:color="auto"/>
            </w:tcBorders>
            <w:vAlign w:val="center"/>
          </w:tcPr>
          <w:p w14:paraId="1E73E823" w14:textId="77777777" w:rsidR="00D12939" w:rsidRDefault="004F47F5">
            <w:pPr>
              <w:adjustRightInd w:val="0"/>
              <w:snapToGrid w:val="0"/>
              <w:jc w:val="center"/>
              <w:rPr>
                <w:rFonts w:ascii="Times New Roman" w:eastAsia="宋体" w:hAnsi="Times New Roman" w:cs="Times New Roman"/>
                <w:b/>
                <w:sz w:val="18"/>
                <w:szCs w:val="18"/>
              </w:rPr>
            </w:pPr>
            <w:r>
              <w:rPr>
                <w:rFonts w:ascii="Times New Roman" w:eastAsia="宋体" w:hAnsi="Times New Roman" w:cs="Times New Roman" w:hint="eastAsia"/>
                <w:b/>
                <w:sz w:val="18"/>
                <w:szCs w:val="18"/>
              </w:rPr>
              <w:t>正常工况</w:t>
            </w:r>
          </w:p>
        </w:tc>
        <w:tc>
          <w:tcPr>
            <w:tcW w:w="4089" w:type="dxa"/>
            <w:gridSpan w:val="5"/>
            <w:tcBorders>
              <w:right w:val="single" w:sz="4" w:space="0" w:color="auto"/>
            </w:tcBorders>
          </w:tcPr>
          <w:p w14:paraId="5F9D3FBC" w14:textId="77777777" w:rsidR="00D12939" w:rsidRDefault="004F47F5">
            <w:pPr>
              <w:adjustRightInd w:val="0"/>
              <w:snapToGrid w:val="0"/>
              <w:jc w:val="center"/>
              <w:rPr>
                <w:rFonts w:ascii="Times New Roman" w:eastAsia="宋体" w:hAnsi="Times New Roman" w:cs="Times New Roman"/>
                <w:b/>
                <w:sz w:val="18"/>
                <w:szCs w:val="18"/>
              </w:rPr>
            </w:pPr>
            <w:r>
              <w:rPr>
                <w:rFonts w:ascii="Times New Roman" w:eastAsia="宋体" w:hAnsi="Times New Roman" w:cs="Times New Roman" w:hint="eastAsia"/>
                <w:b/>
                <w:sz w:val="18"/>
                <w:szCs w:val="18"/>
              </w:rPr>
              <w:t>非正常工况</w:t>
            </w:r>
          </w:p>
        </w:tc>
      </w:tr>
      <w:tr w:rsidR="00D12939" w14:paraId="5AD30EBC" w14:textId="77777777">
        <w:trPr>
          <w:gridAfter w:val="1"/>
          <w:wAfter w:w="4" w:type="dxa"/>
          <w:trHeight w:val="262"/>
        </w:trPr>
        <w:tc>
          <w:tcPr>
            <w:tcW w:w="1117" w:type="dxa"/>
            <w:vMerge/>
            <w:vAlign w:val="center"/>
          </w:tcPr>
          <w:p w14:paraId="3C270642" w14:textId="77777777" w:rsidR="00D12939" w:rsidRDefault="00D12939">
            <w:pPr>
              <w:adjustRightInd w:val="0"/>
              <w:snapToGrid w:val="0"/>
              <w:jc w:val="center"/>
              <w:rPr>
                <w:rFonts w:ascii="Times New Roman" w:eastAsia="宋体" w:hAnsi="Times New Roman" w:cs="Times New Roman"/>
                <w:b/>
                <w:bCs/>
                <w:sz w:val="18"/>
                <w:szCs w:val="18"/>
              </w:rPr>
            </w:pPr>
          </w:p>
        </w:tc>
        <w:tc>
          <w:tcPr>
            <w:tcW w:w="2201" w:type="dxa"/>
            <w:gridSpan w:val="2"/>
            <w:vAlign w:val="center"/>
          </w:tcPr>
          <w:p w14:paraId="4027D590" w14:textId="77777777" w:rsidR="00D12939" w:rsidRDefault="004F47F5">
            <w:pPr>
              <w:jc w:val="center"/>
              <w:rPr>
                <w:rFonts w:ascii="Times New Roman" w:eastAsia="宋体" w:hAnsi="Times New Roman" w:cs="Times New Roman"/>
                <w:b/>
                <w:bCs/>
                <w:sz w:val="18"/>
                <w:szCs w:val="18"/>
              </w:rPr>
            </w:pPr>
            <w:r>
              <w:rPr>
                <w:rFonts w:ascii="Times New Roman" w:eastAsia="宋体" w:hAnsi="Times New Roman" w:cs="Times New Roman"/>
                <w:b/>
                <w:sz w:val="18"/>
                <w:szCs w:val="18"/>
              </w:rPr>
              <w:t>NH</w:t>
            </w:r>
            <w:r>
              <w:rPr>
                <w:rFonts w:ascii="Times New Roman" w:eastAsia="宋体" w:hAnsi="Times New Roman" w:cs="Times New Roman"/>
                <w:b/>
                <w:sz w:val="18"/>
                <w:szCs w:val="18"/>
                <w:vertAlign w:val="subscript"/>
              </w:rPr>
              <w:t>3</w:t>
            </w:r>
          </w:p>
        </w:tc>
        <w:tc>
          <w:tcPr>
            <w:tcW w:w="2280" w:type="dxa"/>
            <w:gridSpan w:val="2"/>
            <w:tcBorders>
              <w:right w:val="single" w:sz="4" w:space="0" w:color="auto"/>
            </w:tcBorders>
            <w:vAlign w:val="center"/>
          </w:tcPr>
          <w:p w14:paraId="5338C902" w14:textId="77777777" w:rsidR="00D12939" w:rsidRDefault="004F47F5">
            <w:pPr>
              <w:adjustRightInd w:val="0"/>
              <w:snapToGrid w:val="0"/>
              <w:jc w:val="center"/>
              <w:rPr>
                <w:rFonts w:ascii="Times New Roman" w:eastAsia="宋体" w:hAnsi="Times New Roman" w:cs="Times New Roman"/>
                <w:b/>
                <w:sz w:val="18"/>
                <w:szCs w:val="18"/>
              </w:rPr>
            </w:pPr>
            <w:r>
              <w:rPr>
                <w:rFonts w:ascii="Times New Roman" w:eastAsia="宋体" w:hAnsi="Times New Roman" w:cs="Times New Roman"/>
                <w:b/>
                <w:sz w:val="18"/>
                <w:szCs w:val="18"/>
              </w:rPr>
              <w:t>H</w:t>
            </w:r>
            <w:r>
              <w:rPr>
                <w:rFonts w:ascii="Times New Roman" w:eastAsia="宋体" w:hAnsi="Times New Roman" w:cs="Times New Roman"/>
                <w:b/>
                <w:sz w:val="18"/>
                <w:szCs w:val="18"/>
                <w:vertAlign w:val="subscript"/>
              </w:rPr>
              <w:t>2</w:t>
            </w:r>
            <w:r>
              <w:rPr>
                <w:rFonts w:ascii="Times New Roman" w:eastAsia="宋体" w:hAnsi="Times New Roman" w:cs="Times New Roman"/>
                <w:b/>
                <w:sz w:val="18"/>
                <w:szCs w:val="18"/>
              </w:rPr>
              <w:t>S</w:t>
            </w:r>
          </w:p>
        </w:tc>
        <w:tc>
          <w:tcPr>
            <w:tcW w:w="2043" w:type="dxa"/>
            <w:gridSpan w:val="2"/>
            <w:tcBorders>
              <w:right w:val="single" w:sz="4" w:space="0" w:color="auto"/>
            </w:tcBorders>
            <w:vAlign w:val="center"/>
          </w:tcPr>
          <w:p w14:paraId="44842772" w14:textId="77777777" w:rsidR="00D12939" w:rsidRDefault="004F47F5">
            <w:pPr>
              <w:jc w:val="center"/>
              <w:rPr>
                <w:rFonts w:ascii="Times New Roman" w:eastAsia="宋体" w:hAnsi="Times New Roman" w:cs="Times New Roman"/>
                <w:b/>
                <w:bCs/>
                <w:sz w:val="18"/>
                <w:szCs w:val="18"/>
              </w:rPr>
            </w:pPr>
            <w:r>
              <w:rPr>
                <w:rFonts w:ascii="Times New Roman" w:eastAsia="宋体" w:hAnsi="Times New Roman" w:cs="Times New Roman"/>
                <w:b/>
                <w:sz w:val="18"/>
                <w:szCs w:val="18"/>
              </w:rPr>
              <w:t>NH</w:t>
            </w:r>
            <w:r>
              <w:rPr>
                <w:rFonts w:ascii="Times New Roman" w:eastAsia="宋体" w:hAnsi="Times New Roman" w:cs="Times New Roman"/>
                <w:b/>
                <w:sz w:val="18"/>
                <w:szCs w:val="18"/>
                <w:vertAlign w:val="subscript"/>
              </w:rPr>
              <w:t>3</w:t>
            </w:r>
          </w:p>
        </w:tc>
        <w:tc>
          <w:tcPr>
            <w:tcW w:w="2045" w:type="dxa"/>
            <w:gridSpan w:val="2"/>
            <w:tcBorders>
              <w:right w:val="single" w:sz="4" w:space="0" w:color="auto"/>
            </w:tcBorders>
            <w:vAlign w:val="center"/>
          </w:tcPr>
          <w:p w14:paraId="1CEA1277" w14:textId="77777777" w:rsidR="00D12939" w:rsidRDefault="004F47F5">
            <w:pPr>
              <w:adjustRightInd w:val="0"/>
              <w:snapToGrid w:val="0"/>
              <w:jc w:val="center"/>
              <w:rPr>
                <w:rFonts w:ascii="Times New Roman" w:eastAsia="宋体" w:hAnsi="Times New Roman" w:cs="Times New Roman"/>
                <w:b/>
                <w:sz w:val="18"/>
                <w:szCs w:val="18"/>
              </w:rPr>
            </w:pPr>
            <w:r>
              <w:rPr>
                <w:rFonts w:ascii="Times New Roman" w:eastAsia="宋体" w:hAnsi="Times New Roman" w:cs="Times New Roman"/>
                <w:b/>
                <w:sz w:val="18"/>
                <w:szCs w:val="18"/>
              </w:rPr>
              <w:t>H</w:t>
            </w:r>
            <w:r>
              <w:rPr>
                <w:rFonts w:ascii="Times New Roman" w:eastAsia="宋体" w:hAnsi="Times New Roman" w:cs="Times New Roman"/>
                <w:b/>
                <w:sz w:val="18"/>
                <w:szCs w:val="18"/>
                <w:vertAlign w:val="subscript"/>
              </w:rPr>
              <w:t>2</w:t>
            </w:r>
            <w:r>
              <w:rPr>
                <w:rFonts w:ascii="Times New Roman" w:eastAsia="宋体" w:hAnsi="Times New Roman" w:cs="Times New Roman"/>
                <w:b/>
                <w:sz w:val="18"/>
                <w:szCs w:val="18"/>
              </w:rPr>
              <w:t>S</w:t>
            </w:r>
          </w:p>
        </w:tc>
      </w:tr>
      <w:tr w:rsidR="00D12939" w14:paraId="62E1A87D" w14:textId="77777777">
        <w:trPr>
          <w:gridAfter w:val="1"/>
          <w:wAfter w:w="8" w:type="dxa"/>
          <w:trHeight w:val="342"/>
        </w:trPr>
        <w:tc>
          <w:tcPr>
            <w:tcW w:w="1117" w:type="dxa"/>
            <w:vMerge/>
            <w:vAlign w:val="center"/>
          </w:tcPr>
          <w:p w14:paraId="6DE92247" w14:textId="77777777" w:rsidR="00D12939" w:rsidRDefault="00D12939">
            <w:pPr>
              <w:adjustRightInd w:val="0"/>
              <w:snapToGrid w:val="0"/>
              <w:jc w:val="center"/>
              <w:rPr>
                <w:rFonts w:ascii="Times New Roman" w:eastAsia="宋体" w:hAnsi="Times New Roman" w:cs="Times New Roman"/>
                <w:b/>
                <w:bCs/>
                <w:sz w:val="18"/>
                <w:szCs w:val="18"/>
              </w:rPr>
            </w:pPr>
          </w:p>
        </w:tc>
        <w:tc>
          <w:tcPr>
            <w:tcW w:w="1099" w:type="dxa"/>
            <w:vAlign w:val="center"/>
          </w:tcPr>
          <w:p w14:paraId="23D4F1C9"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1102" w:type="dxa"/>
            <w:vAlign w:val="center"/>
          </w:tcPr>
          <w:p w14:paraId="3B4C6664"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1257" w:type="dxa"/>
            <w:vAlign w:val="center"/>
          </w:tcPr>
          <w:p w14:paraId="7D00D0E8"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1022" w:type="dxa"/>
            <w:vAlign w:val="center"/>
          </w:tcPr>
          <w:p w14:paraId="235B5888"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1081" w:type="dxa"/>
            <w:vAlign w:val="center"/>
          </w:tcPr>
          <w:p w14:paraId="026023D0"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960" w:type="dxa"/>
            <w:vAlign w:val="center"/>
          </w:tcPr>
          <w:p w14:paraId="3D4AA433"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1062" w:type="dxa"/>
            <w:vAlign w:val="center"/>
          </w:tcPr>
          <w:p w14:paraId="738A16DD"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982" w:type="dxa"/>
            <w:vAlign w:val="center"/>
          </w:tcPr>
          <w:p w14:paraId="139C0111"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r>
      <w:tr w:rsidR="00D12939" w14:paraId="1B9A45AA" w14:textId="77777777">
        <w:trPr>
          <w:gridAfter w:val="1"/>
          <w:wAfter w:w="8" w:type="dxa"/>
          <w:trHeight w:val="248"/>
        </w:trPr>
        <w:tc>
          <w:tcPr>
            <w:tcW w:w="1117" w:type="dxa"/>
            <w:vAlign w:val="center"/>
          </w:tcPr>
          <w:p w14:paraId="0609AFE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w:t>
            </w:r>
          </w:p>
        </w:tc>
        <w:tc>
          <w:tcPr>
            <w:tcW w:w="1099" w:type="dxa"/>
            <w:vAlign w:val="center"/>
          </w:tcPr>
          <w:p w14:paraId="3CAE31B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1.97E-06</w:t>
            </w:r>
          </w:p>
        </w:tc>
        <w:tc>
          <w:tcPr>
            <w:tcW w:w="1102" w:type="dxa"/>
            <w:vAlign w:val="center"/>
          </w:tcPr>
          <w:p w14:paraId="01B642E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0.00</w:t>
            </w:r>
          </w:p>
        </w:tc>
        <w:tc>
          <w:tcPr>
            <w:tcW w:w="1257" w:type="dxa"/>
            <w:vAlign w:val="center"/>
          </w:tcPr>
          <w:p w14:paraId="4831505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2.81E-08</w:t>
            </w:r>
          </w:p>
        </w:tc>
        <w:tc>
          <w:tcPr>
            <w:tcW w:w="1022" w:type="dxa"/>
            <w:vAlign w:val="center"/>
          </w:tcPr>
          <w:p w14:paraId="26E3EAD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0.00</w:t>
            </w:r>
          </w:p>
        </w:tc>
        <w:tc>
          <w:tcPr>
            <w:tcW w:w="1081" w:type="dxa"/>
            <w:vAlign w:val="center"/>
          </w:tcPr>
          <w:p w14:paraId="10B4B3F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3.95E-05</w:t>
            </w:r>
          </w:p>
        </w:tc>
        <w:tc>
          <w:tcPr>
            <w:tcW w:w="960" w:type="dxa"/>
            <w:vAlign w:val="center"/>
          </w:tcPr>
          <w:p w14:paraId="7F68C24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0.02</w:t>
            </w:r>
          </w:p>
        </w:tc>
        <w:tc>
          <w:tcPr>
            <w:tcW w:w="1062" w:type="dxa"/>
            <w:vAlign w:val="center"/>
          </w:tcPr>
          <w:p w14:paraId="70F101F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5.64E-07</w:t>
            </w:r>
          </w:p>
        </w:tc>
        <w:tc>
          <w:tcPr>
            <w:tcW w:w="982" w:type="dxa"/>
            <w:vAlign w:val="center"/>
          </w:tcPr>
          <w:p w14:paraId="68E45B9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w:t>
            </w:r>
          </w:p>
        </w:tc>
      </w:tr>
      <w:tr w:rsidR="00D12939" w14:paraId="554CE923" w14:textId="77777777">
        <w:trPr>
          <w:gridAfter w:val="1"/>
          <w:wAfter w:w="8" w:type="dxa"/>
          <w:trHeight w:val="260"/>
        </w:trPr>
        <w:tc>
          <w:tcPr>
            <w:tcW w:w="1117" w:type="dxa"/>
            <w:vAlign w:val="center"/>
          </w:tcPr>
          <w:p w14:paraId="086F38C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w:t>
            </w:r>
          </w:p>
        </w:tc>
        <w:tc>
          <w:tcPr>
            <w:tcW w:w="1099" w:type="dxa"/>
            <w:vAlign w:val="center"/>
          </w:tcPr>
          <w:p w14:paraId="2DE17EE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2.37E-04</w:t>
            </w:r>
          </w:p>
        </w:tc>
        <w:tc>
          <w:tcPr>
            <w:tcW w:w="1102" w:type="dxa"/>
            <w:vAlign w:val="center"/>
          </w:tcPr>
          <w:p w14:paraId="3ECE83F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0.12</w:t>
            </w:r>
          </w:p>
        </w:tc>
        <w:tc>
          <w:tcPr>
            <w:tcW w:w="1257" w:type="dxa"/>
            <w:vAlign w:val="center"/>
          </w:tcPr>
          <w:p w14:paraId="13A973F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3.38E-06</w:t>
            </w:r>
          </w:p>
        </w:tc>
        <w:tc>
          <w:tcPr>
            <w:tcW w:w="1022" w:type="dxa"/>
            <w:vAlign w:val="center"/>
          </w:tcPr>
          <w:p w14:paraId="66D2D7B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0.03</w:t>
            </w:r>
          </w:p>
        </w:tc>
        <w:tc>
          <w:tcPr>
            <w:tcW w:w="1081" w:type="dxa"/>
            <w:vAlign w:val="center"/>
          </w:tcPr>
          <w:p w14:paraId="41AB8E6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4.75E-03</w:t>
            </w:r>
          </w:p>
        </w:tc>
        <w:tc>
          <w:tcPr>
            <w:tcW w:w="960" w:type="dxa"/>
            <w:vAlign w:val="center"/>
          </w:tcPr>
          <w:p w14:paraId="6D8210D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2.38</w:t>
            </w:r>
          </w:p>
        </w:tc>
        <w:tc>
          <w:tcPr>
            <w:tcW w:w="1062" w:type="dxa"/>
            <w:vAlign w:val="center"/>
          </w:tcPr>
          <w:p w14:paraId="31CC7CF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6.78E-05</w:t>
            </w:r>
          </w:p>
        </w:tc>
        <w:tc>
          <w:tcPr>
            <w:tcW w:w="982" w:type="dxa"/>
            <w:vAlign w:val="center"/>
          </w:tcPr>
          <w:p w14:paraId="0CE200F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0.68</w:t>
            </w:r>
          </w:p>
        </w:tc>
      </w:tr>
      <w:tr w:rsidR="00D12939" w14:paraId="33EAA1F1" w14:textId="77777777">
        <w:trPr>
          <w:gridAfter w:val="1"/>
          <w:wAfter w:w="8" w:type="dxa"/>
          <w:trHeight w:val="248"/>
        </w:trPr>
        <w:tc>
          <w:tcPr>
            <w:tcW w:w="1117" w:type="dxa"/>
            <w:vAlign w:val="center"/>
          </w:tcPr>
          <w:p w14:paraId="0298CDE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w:t>
            </w:r>
          </w:p>
        </w:tc>
        <w:tc>
          <w:tcPr>
            <w:tcW w:w="1099" w:type="dxa"/>
            <w:vAlign w:val="center"/>
          </w:tcPr>
          <w:p w14:paraId="3B1F661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3.13E-04</w:t>
            </w:r>
          </w:p>
        </w:tc>
        <w:tc>
          <w:tcPr>
            <w:tcW w:w="1102" w:type="dxa"/>
            <w:vAlign w:val="center"/>
          </w:tcPr>
          <w:p w14:paraId="3E9B638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0.16</w:t>
            </w:r>
          </w:p>
        </w:tc>
        <w:tc>
          <w:tcPr>
            <w:tcW w:w="1257" w:type="dxa"/>
            <w:vAlign w:val="center"/>
          </w:tcPr>
          <w:p w14:paraId="6A46429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4.47E-06</w:t>
            </w:r>
          </w:p>
        </w:tc>
        <w:tc>
          <w:tcPr>
            <w:tcW w:w="1022" w:type="dxa"/>
            <w:vAlign w:val="center"/>
          </w:tcPr>
          <w:p w14:paraId="2475105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081" w:type="dxa"/>
            <w:vAlign w:val="center"/>
          </w:tcPr>
          <w:p w14:paraId="3A01AF8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6.28E-03</w:t>
            </w:r>
          </w:p>
        </w:tc>
        <w:tc>
          <w:tcPr>
            <w:tcW w:w="960" w:type="dxa"/>
            <w:vAlign w:val="center"/>
          </w:tcPr>
          <w:p w14:paraId="6DB6BB0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3.14</w:t>
            </w:r>
          </w:p>
        </w:tc>
        <w:tc>
          <w:tcPr>
            <w:tcW w:w="1062" w:type="dxa"/>
            <w:vAlign w:val="center"/>
          </w:tcPr>
          <w:p w14:paraId="1632139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8.96E-05</w:t>
            </w:r>
          </w:p>
        </w:tc>
        <w:tc>
          <w:tcPr>
            <w:tcW w:w="982" w:type="dxa"/>
            <w:vAlign w:val="center"/>
          </w:tcPr>
          <w:p w14:paraId="1A25B70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0.90</w:t>
            </w:r>
          </w:p>
        </w:tc>
      </w:tr>
      <w:tr w:rsidR="00D12939" w14:paraId="3854EF57" w14:textId="77777777">
        <w:trPr>
          <w:gridAfter w:val="1"/>
          <w:wAfter w:w="8" w:type="dxa"/>
          <w:trHeight w:val="248"/>
        </w:trPr>
        <w:tc>
          <w:tcPr>
            <w:tcW w:w="1117" w:type="dxa"/>
            <w:vAlign w:val="center"/>
          </w:tcPr>
          <w:p w14:paraId="4B5368B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75</w:t>
            </w:r>
          </w:p>
        </w:tc>
        <w:tc>
          <w:tcPr>
            <w:tcW w:w="1099" w:type="dxa"/>
            <w:vAlign w:val="center"/>
          </w:tcPr>
          <w:p w14:paraId="59E4862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4.05E-04</w:t>
            </w:r>
          </w:p>
        </w:tc>
        <w:tc>
          <w:tcPr>
            <w:tcW w:w="1102" w:type="dxa"/>
            <w:vAlign w:val="center"/>
          </w:tcPr>
          <w:p w14:paraId="2EFC3C7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0.20</w:t>
            </w:r>
          </w:p>
        </w:tc>
        <w:tc>
          <w:tcPr>
            <w:tcW w:w="1257" w:type="dxa"/>
            <w:vAlign w:val="center"/>
          </w:tcPr>
          <w:p w14:paraId="1DA7C1E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5.78E-06</w:t>
            </w:r>
          </w:p>
        </w:tc>
        <w:tc>
          <w:tcPr>
            <w:tcW w:w="1022" w:type="dxa"/>
            <w:vAlign w:val="center"/>
          </w:tcPr>
          <w:p w14:paraId="47C752C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0.06</w:t>
            </w:r>
          </w:p>
        </w:tc>
        <w:tc>
          <w:tcPr>
            <w:tcW w:w="1081" w:type="dxa"/>
            <w:vAlign w:val="center"/>
          </w:tcPr>
          <w:p w14:paraId="44BF602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8.12E-03</w:t>
            </w:r>
          </w:p>
        </w:tc>
        <w:tc>
          <w:tcPr>
            <w:tcW w:w="960" w:type="dxa"/>
            <w:vAlign w:val="center"/>
          </w:tcPr>
          <w:p w14:paraId="7CD98DE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4.06</w:t>
            </w:r>
          </w:p>
        </w:tc>
        <w:tc>
          <w:tcPr>
            <w:tcW w:w="1062" w:type="dxa"/>
            <w:vAlign w:val="center"/>
          </w:tcPr>
          <w:p w14:paraId="4126359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1.16E-04</w:t>
            </w:r>
          </w:p>
        </w:tc>
        <w:tc>
          <w:tcPr>
            <w:tcW w:w="982" w:type="dxa"/>
            <w:vAlign w:val="center"/>
          </w:tcPr>
          <w:p w14:paraId="71E34ED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1.16</w:t>
            </w:r>
          </w:p>
        </w:tc>
      </w:tr>
      <w:tr w:rsidR="00D12939" w14:paraId="350BE809" w14:textId="77777777">
        <w:trPr>
          <w:gridAfter w:val="1"/>
          <w:wAfter w:w="8" w:type="dxa"/>
          <w:trHeight w:val="248"/>
        </w:trPr>
        <w:tc>
          <w:tcPr>
            <w:tcW w:w="1117" w:type="dxa"/>
            <w:vAlign w:val="center"/>
          </w:tcPr>
          <w:p w14:paraId="2D6EB70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100</w:t>
            </w:r>
          </w:p>
        </w:tc>
        <w:tc>
          <w:tcPr>
            <w:tcW w:w="1099" w:type="dxa"/>
            <w:vAlign w:val="center"/>
          </w:tcPr>
          <w:p w14:paraId="0B71040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5.19E-04</w:t>
            </w:r>
          </w:p>
        </w:tc>
        <w:tc>
          <w:tcPr>
            <w:tcW w:w="1102" w:type="dxa"/>
            <w:vAlign w:val="center"/>
          </w:tcPr>
          <w:p w14:paraId="09B5458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0.26</w:t>
            </w:r>
          </w:p>
        </w:tc>
        <w:tc>
          <w:tcPr>
            <w:tcW w:w="1257" w:type="dxa"/>
            <w:vAlign w:val="center"/>
          </w:tcPr>
          <w:p w14:paraId="0A385D7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7.41E-06</w:t>
            </w:r>
          </w:p>
        </w:tc>
        <w:tc>
          <w:tcPr>
            <w:tcW w:w="1022" w:type="dxa"/>
            <w:vAlign w:val="center"/>
          </w:tcPr>
          <w:p w14:paraId="2F65DAB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0.07</w:t>
            </w:r>
          </w:p>
        </w:tc>
        <w:tc>
          <w:tcPr>
            <w:tcW w:w="1081" w:type="dxa"/>
            <w:vAlign w:val="center"/>
          </w:tcPr>
          <w:p w14:paraId="7184ABC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1.04E-02</w:t>
            </w:r>
          </w:p>
        </w:tc>
        <w:tc>
          <w:tcPr>
            <w:tcW w:w="960" w:type="dxa"/>
            <w:vAlign w:val="center"/>
          </w:tcPr>
          <w:p w14:paraId="09BF7A9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5.20</w:t>
            </w:r>
          </w:p>
        </w:tc>
        <w:tc>
          <w:tcPr>
            <w:tcW w:w="1062" w:type="dxa"/>
            <w:vAlign w:val="center"/>
          </w:tcPr>
          <w:p w14:paraId="11CFBA3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1.49E-04</w:t>
            </w:r>
          </w:p>
        </w:tc>
        <w:tc>
          <w:tcPr>
            <w:tcW w:w="982" w:type="dxa"/>
            <w:vAlign w:val="center"/>
          </w:tcPr>
          <w:p w14:paraId="6927C05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1.49</w:t>
            </w:r>
          </w:p>
        </w:tc>
      </w:tr>
      <w:tr w:rsidR="00D12939" w14:paraId="1D080168" w14:textId="77777777">
        <w:trPr>
          <w:gridAfter w:val="1"/>
          <w:wAfter w:w="8" w:type="dxa"/>
          <w:trHeight w:val="248"/>
        </w:trPr>
        <w:tc>
          <w:tcPr>
            <w:tcW w:w="1117" w:type="dxa"/>
            <w:vAlign w:val="center"/>
          </w:tcPr>
          <w:p w14:paraId="24D16DD9" w14:textId="77777777" w:rsidR="00D12939" w:rsidRDefault="004F47F5">
            <w:pPr>
              <w:jc w:val="center"/>
              <w:rPr>
                <w:rFonts w:ascii="Times New Roman" w:hAnsi="Times New Roman" w:cs="Times New Roman"/>
                <w:b/>
                <w:sz w:val="18"/>
                <w:szCs w:val="18"/>
              </w:rPr>
            </w:pPr>
            <w:r>
              <w:rPr>
                <w:rFonts w:ascii="Times New Roman" w:hAnsi="Times New Roman" w:cs="Times New Roman" w:hint="eastAsia"/>
                <w:b/>
                <w:sz w:val="18"/>
                <w:szCs w:val="18"/>
              </w:rPr>
              <w:t>1</w:t>
            </w:r>
            <w:r>
              <w:rPr>
                <w:rFonts w:ascii="Times New Roman" w:hAnsi="Times New Roman" w:cs="Times New Roman"/>
                <w:b/>
                <w:sz w:val="18"/>
                <w:szCs w:val="18"/>
              </w:rPr>
              <w:t>23</w:t>
            </w:r>
          </w:p>
        </w:tc>
        <w:tc>
          <w:tcPr>
            <w:tcW w:w="1099" w:type="dxa"/>
            <w:vAlign w:val="center"/>
          </w:tcPr>
          <w:p w14:paraId="116FE9BD"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5.50E-04</w:t>
            </w:r>
          </w:p>
        </w:tc>
        <w:tc>
          <w:tcPr>
            <w:tcW w:w="1102" w:type="dxa"/>
            <w:vAlign w:val="center"/>
          </w:tcPr>
          <w:p w14:paraId="0D66AB37"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0.28</w:t>
            </w:r>
          </w:p>
        </w:tc>
        <w:tc>
          <w:tcPr>
            <w:tcW w:w="1257" w:type="dxa"/>
            <w:vAlign w:val="center"/>
          </w:tcPr>
          <w:p w14:paraId="36C30F42"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7.86E-06</w:t>
            </w:r>
          </w:p>
        </w:tc>
        <w:tc>
          <w:tcPr>
            <w:tcW w:w="1022" w:type="dxa"/>
            <w:vAlign w:val="center"/>
          </w:tcPr>
          <w:p w14:paraId="742D2C3E"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0.08</w:t>
            </w:r>
          </w:p>
        </w:tc>
        <w:tc>
          <w:tcPr>
            <w:tcW w:w="1081" w:type="dxa"/>
            <w:vAlign w:val="center"/>
          </w:tcPr>
          <w:p w14:paraId="04073B7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1.10E-02</w:t>
            </w:r>
          </w:p>
        </w:tc>
        <w:tc>
          <w:tcPr>
            <w:tcW w:w="960" w:type="dxa"/>
            <w:vAlign w:val="center"/>
          </w:tcPr>
          <w:p w14:paraId="2481F2B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5.52</w:t>
            </w:r>
          </w:p>
        </w:tc>
        <w:tc>
          <w:tcPr>
            <w:tcW w:w="1062" w:type="dxa"/>
            <w:vAlign w:val="center"/>
          </w:tcPr>
          <w:p w14:paraId="28493B3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1.58E-04</w:t>
            </w:r>
          </w:p>
        </w:tc>
        <w:tc>
          <w:tcPr>
            <w:tcW w:w="982" w:type="dxa"/>
            <w:vAlign w:val="center"/>
          </w:tcPr>
          <w:p w14:paraId="1C7058B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1.58</w:t>
            </w:r>
          </w:p>
        </w:tc>
      </w:tr>
      <w:tr w:rsidR="00D12939" w14:paraId="38CB067A" w14:textId="77777777">
        <w:trPr>
          <w:gridAfter w:val="1"/>
          <w:wAfter w:w="8" w:type="dxa"/>
          <w:trHeight w:val="248"/>
        </w:trPr>
        <w:tc>
          <w:tcPr>
            <w:tcW w:w="1117" w:type="dxa"/>
            <w:vAlign w:val="center"/>
          </w:tcPr>
          <w:p w14:paraId="572AAA9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125</w:t>
            </w:r>
          </w:p>
        </w:tc>
        <w:tc>
          <w:tcPr>
            <w:tcW w:w="1099" w:type="dxa"/>
            <w:vAlign w:val="center"/>
          </w:tcPr>
          <w:p w14:paraId="1ADFBC2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5.50E-04</w:t>
            </w:r>
          </w:p>
        </w:tc>
        <w:tc>
          <w:tcPr>
            <w:tcW w:w="1102" w:type="dxa"/>
            <w:vAlign w:val="center"/>
          </w:tcPr>
          <w:p w14:paraId="1441CE5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0.28</w:t>
            </w:r>
          </w:p>
        </w:tc>
        <w:tc>
          <w:tcPr>
            <w:tcW w:w="1257" w:type="dxa"/>
            <w:vAlign w:val="center"/>
          </w:tcPr>
          <w:p w14:paraId="3B9636A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7.86E-06</w:t>
            </w:r>
          </w:p>
        </w:tc>
        <w:tc>
          <w:tcPr>
            <w:tcW w:w="1022" w:type="dxa"/>
            <w:vAlign w:val="center"/>
          </w:tcPr>
          <w:p w14:paraId="0CBB63F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0.08</w:t>
            </w:r>
          </w:p>
        </w:tc>
        <w:tc>
          <w:tcPr>
            <w:tcW w:w="1081" w:type="dxa"/>
            <w:vAlign w:val="center"/>
          </w:tcPr>
          <w:p w14:paraId="0BF780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1.10E-02</w:t>
            </w:r>
          </w:p>
        </w:tc>
        <w:tc>
          <w:tcPr>
            <w:tcW w:w="960" w:type="dxa"/>
            <w:vAlign w:val="center"/>
          </w:tcPr>
          <w:p w14:paraId="31106DA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5.52</w:t>
            </w:r>
          </w:p>
        </w:tc>
        <w:tc>
          <w:tcPr>
            <w:tcW w:w="1062" w:type="dxa"/>
            <w:vAlign w:val="center"/>
          </w:tcPr>
          <w:p w14:paraId="5E4B5C5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1.57E-04</w:t>
            </w:r>
          </w:p>
        </w:tc>
        <w:tc>
          <w:tcPr>
            <w:tcW w:w="982" w:type="dxa"/>
            <w:vAlign w:val="center"/>
          </w:tcPr>
          <w:p w14:paraId="0C23143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1.57</w:t>
            </w:r>
          </w:p>
        </w:tc>
      </w:tr>
      <w:tr w:rsidR="00D12939" w14:paraId="696F47F9" w14:textId="77777777">
        <w:trPr>
          <w:gridAfter w:val="1"/>
          <w:wAfter w:w="8" w:type="dxa"/>
          <w:trHeight w:val="248"/>
        </w:trPr>
        <w:tc>
          <w:tcPr>
            <w:tcW w:w="1117" w:type="dxa"/>
            <w:vAlign w:val="center"/>
          </w:tcPr>
          <w:p w14:paraId="5FC44C4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150</w:t>
            </w:r>
          </w:p>
        </w:tc>
        <w:tc>
          <w:tcPr>
            <w:tcW w:w="1099" w:type="dxa"/>
            <w:vAlign w:val="center"/>
          </w:tcPr>
          <w:p w14:paraId="08AE8D4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5.26E-04</w:t>
            </w:r>
          </w:p>
        </w:tc>
        <w:tc>
          <w:tcPr>
            <w:tcW w:w="1102" w:type="dxa"/>
            <w:vAlign w:val="center"/>
          </w:tcPr>
          <w:p w14:paraId="2B6F3FC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0.26</w:t>
            </w:r>
          </w:p>
        </w:tc>
        <w:tc>
          <w:tcPr>
            <w:tcW w:w="1257" w:type="dxa"/>
            <w:vAlign w:val="center"/>
          </w:tcPr>
          <w:p w14:paraId="65ED89D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7.52E-06</w:t>
            </w:r>
          </w:p>
        </w:tc>
        <w:tc>
          <w:tcPr>
            <w:tcW w:w="1022" w:type="dxa"/>
            <w:vAlign w:val="center"/>
          </w:tcPr>
          <w:p w14:paraId="64CE7FF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0.08</w:t>
            </w:r>
          </w:p>
        </w:tc>
        <w:tc>
          <w:tcPr>
            <w:tcW w:w="1081" w:type="dxa"/>
            <w:vAlign w:val="center"/>
          </w:tcPr>
          <w:p w14:paraId="6110AFD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1.06E-02</w:t>
            </w:r>
          </w:p>
        </w:tc>
        <w:tc>
          <w:tcPr>
            <w:tcW w:w="960" w:type="dxa"/>
            <w:vAlign w:val="center"/>
          </w:tcPr>
          <w:p w14:paraId="5836243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5.28</w:t>
            </w:r>
          </w:p>
        </w:tc>
        <w:tc>
          <w:tcPr>
            <w:tcW w:w="1062" w:type="dxa"/>
            <w:vAlign w:val="center"/>
          </w:tcPr>
          <w:p w14:paraId="301847C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1.51E-04</w:t>
            </w:r>
          </w:p>
        </w:tc>
        <w:tc>
          <w:tcPr>
            <w:tcW w:w="982" w:type="dxa"/>
            <w:vAlign w:val="center"/>
          </w:tcPr>
          <w:p w14:paraId="2E8618B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1.51</w:t>
            </w:r>
          </w:p>
        </w:tc>
      </w:tr>
      <w:tr w:rsidR="00D12939" w14:paraId="220D0CE1" w14:textId="77777777">
        <w:trPr>
          <w:gridAfter w:val="1"/>
          <w:wAfter w:w="8" w:type="dxa"/>
          <w:trHeight w:val="248"/>
        </w:trPr>
        <w:tc>
          <w:tcPr>
            <w:tcW w:w="1117" w:type="dxa"/>
            <w:vAlign w:val="center"/>
          </w:tcPr>
          <w:p w14:paraId="6D29025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175</w:t>
            </w:r>
          </w:p>
        </w:tc>
        <w:tc>
          <w:tcPr>
            <w:tcW w:w="1099" w:type="dxa"/>
            <w:vAlign w:val="center"/>
          </w:tcPr>
          <w:p w14:paraId="594B5FC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4.87E-04</w:t>
            </w:r>
          </w:p>
        </w:tc>
        <w:tc>
          <w:tcPr>
            <w:tcW w:w="1102" w:type="dxa"/>
            <w:vAlign w:val="center"/>
          </w:tcPr>
          <w:p w14:paraId="3BA63A8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0.24</w:t>
            </w:r>
          </w:p>
        </w:tc>
        <w:tc>
          <w:tcPr>
            <w:tcW w:w="1257" w:type="dxa"/>
            <w:vAlign w:val="center"/>
          </w:tcPr>
          <w:p w14:paraId="731FE95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6.96E-06</w:t>
            </w:r>
          </w:p>
        </w:tc>
        <w:tc>
          <w:tcPr>
            <w:tcW w:w="1022" w:type="dxa"/>
            <w:vAlign w:val="center"/>
          </w:tcPr>
          <w:p w14:paraId="2A4887F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0.07</w:t>
            </w:r>
          </w:p>
        </w:tc>
        <w:tc>
          <w:tcPr>
            <w:tcW w:w="1081" w:type="dxa"/>
            <w:vAlign w:val="center"/>
          </w:tcPr>
          <w:p w14:paraId="3B9456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9.77E-03</w:t>
            </w:r>
          </w:p>
        </w:tc>
        <w:tc>
          <w:tcPr>
            <w:tcW w:w="960" w:type="dxa"/>
            <w:vAlign w:val="center"/>
          </w:tcPr>
          <w:p w14:paraId="44BA376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4.89</w:t>
            </w:r>
          </w:p>
        </w:tc>
        <w:tc>
          <w:tcPr>
            <w:tcW w:w="1062" w:type="dxa"/>
            <w:vAlign w:val="center"/>
          </w:tcPr>
          <w:p w14:paraId="36ECB32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1.40E-04</w:t>
            </w:r>
          </w:p>
        </w:tc>
        <w:tc>
          <w:tcPr>
            <w:tcW w:w="982" w:type="dxa"/>
            <w:vAlign w:val="center"/>
          </w:tcPr>
          <w:p w14:paraId="31A1AA3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1.40</w:t>
            </w:r>
          </w:p>
        </w:tc>
      </w:tr>
      <w:tr w:rsidR="00D12939" w14:paraId="524F060C" w14:textId="77777777">
        <w:trPr>
          <w:gridAfter w:val="1"/>
          <w:wAfter w:w="8" w:type="dxa"/>
          <w:trHeight w:val="248"/>
        </w:trPr>
        <w:tc>
          <w:tcPr>
            <w:tcW w:w="1117" w:type="dxa"/>
            <w:vAlign w:val="center"/>
          </w:tcPr>
          <w:p w14:paraId="69B3CCF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200</w:t>
            </w:r>
          </w:p>
        </w:tc>
        <w:tc>
          <w:tcPr>
            <w:tcW w:w="1099" w:type="dxa"/>
            <w:vAlign w:val="center"/>
          </w:tcPr>
          <w:p w14:paraId="31CBB0B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4.48E-04</w:t>
            </w:r>
          </w:p>
        </w:tc>
        <w:tc>
          <w:tcPr>
            <w:tcW w:w="1102" w:type="dxa"/>
            <w:vAlign w:val="center"/>
          </w:tcPr>
          <w:p w14:paraId="6E466BA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0.22</w:t>
            </w:r>
          </w:p>
        </w:tc>
        <w:tc>
          <w:tcPr>
            <w:tcW w:w="1257" w:type="dxa"/>
            <w:vAlign w:val="center"/>
          </w:tcPr>
          <w:p w14:paraId="1E9C374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6.40E-06</w:t>
            </w:r>
          </w:p>
        </w:tc>
        <w:tc>
          <w:tcPr>
            <w:tcW w:w="1022" w:type="dxa"/>
            <w:vAlign w:val="center"/>
          </w:tcPr>
          <w:p w14:paraId="6A01DB1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0.06</w:t>
            </w:r>
          </w:p>
        </w:tc>
        <w:tc>
          <w:tcPr>
            <w:tcW w:w="1081" w:type="dxa"/>
            <w:vAlign w:val="center"/>
          </w:tcPr>
          <w:p w14:paraId="643EC69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8.99E-03</w:t>
            </w:r>
          </w:p>
        </w:tc>
        <w:tc>
          <w:tcPr>
            <w:tcW w:w="960" w:type="dxa"/>
            <w:vAlign w:val="center"/>
          </w:tcPr>
          <w:p w14:paraId="5755626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4.50</w:t>
            </w:r>
          </w:p>
        </w:tc>
        <w:tc>
          <w:tcPr>
            <w:tcW w:w="1062" w:type="dxa"/>
            <w:vAlign w:val="center"/>
          </w:tcPr>
          <w:p w14:paraId="01ACD13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1.28E-04</w:t>
            </w:r>
          </w:p>
        </w:tc>
        <w:tc>
          <w:tcPr>
            <w:tcW w:w="982" w:type="dxa"/>
            <w:vAlign w:val="center"/>
          </w:tcPr>
          <w:p w14:paraId="5DE26BD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1.28</w:t>
            </w:r>
          </w:p>
        </w:tc>
      </w:tr>
      <w:tr w:rsidR="00D12939" w14:paraId="019A0FCC" w14:textId="77777777">
        <w:trPr>
          <w:gridAfter w:val="1"/>
          <w:wAfter w:w="8" w:type="dxa"/>
          <w:trHeight w:val="248"/>
        </w:trPr>
        <w:tc>
          <w:tcPr>
            <w:tcW w:w="1117" w:type="dxa"/>
            <w:vAlign w:val="center"/>
          </w:tcPr>
          <w:p w14:paraId="3CA7D20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225</w:t>
            </w:r>
          </w:p>
        </w:tc>
        <w:tc>
          <w:tcPr>
            <w:tcW w:w="1099" w:type="dxa"/>
            <w:vAlign w:val="center"/>
          </w:tcPr>
          <w:p w14:paraId="0D311DF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4.13E-04</w:t>
            </w:r>
          </w:p>
        </w:tc>
        <w:tc>
          <w:tcPr>
            <w:tcW w:w="1102" w:type="dxa"/>
            <w:vAlign w:val="center"/>
          </w:tcPr>
          <w:p w14:paraId="3056D11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0.21</w:t>
            </w:r>
          </w:p>
        </w:tc>
        <w:tc>
          <w:tcPr>
            <w:tcW w:w="1257" w:type="dxa"/>
            <w:vAlign w:val="center"/>
          </w:tcPr>
          <w:p w14:paraId="0DA022B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5.90E-06</w:t>
            </w:r>
          </w:p>
        </w:tc>
        <w:tc>
          <w:tcPr>
            <w:tcW w:w="1022" w:type="dxa"/>
            <w:vAlign w:val="center"/>
          </w:tcPr>
          <w:p w14:paraId="5360ABA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0.06</w:t>
            </w:r>
          </w:p>
        </w:tc>
        <w:tc>
          <w:tcPr>
            <w:tcW w:w="1081" w:type="dxa"/>
            <w:vAlign w:val="center"/>
          </w:tcPr>
          <w:p w14:paraId="3EA547E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8.28E-03</w:t>
            </w:r>
          </w:p>
        </w:tc>
        <w:tc>
          <w:tcPr>
            <w:tcW w:w="960" w:type="dxa"/>
            <w:vAlign w:val="center"/>
          </w:tcPr>
          <w:p w14:paraId="65C56CB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4.14</w:t>
            </w:r>
          </w:p>
        </w:tc>
        <w:tc>
          <w:tcPr>
            <w:tcW w:w="1062" w:type="dxa"/>
            <w:vAlign w:val="center"/>
          </w:tcPr>
          <w:p w14:paraId="61E9BBD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1.18E-04</w:t>
            </w:r>
          </w:p>
        </w:tc>
        <w:tc>
          <w:tcPr>
            <w:tcW w:w="982" w:type="dxa"/>
            <w:vAlign w:val="center"/>
          </w:tcPr>
          <w:p w14:paraId="5ED7385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1.18</w:t>
            </w:r>
          </w:p>
        </w:tc>
      </w:tr>
      <w:tr w:rsidR="00D12939" w14:paraId="6688CA0E" w14:textId="77777777">
        <w:trPr>
          <w:gridAfter w:val="1"/>
          <w:wAfter w:w="8" w:type="dxa"/>
          <w:trHeight w:val="260"/>
        </w:trPr>
        <w:tc>
          <w:tcPr>
            <w:tcW w:w="1117" w:type="dxa"/>
            <w:vAlign w:val="center"/>
          </w:tcPr>
          <w:p w14:paraId="0E5CA79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250</w:t>
            </w:r>
          </w:p>
        </w:tc>
        <w:tc>
          <w:tcPr>
            <w:tcW w:w="1099" w:type="dxa"/>
            <w:vAlign w:val="center"/>
          </w:tcPr>
          <w:p w14:paraId="1395A18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3.82E-04</w:t>
            </w:r>
          </w:p>
        </w:tc>
        <w:tc>
          <w:tcPr>
            <w:tcW w:w="1102" w:type="dxa"/>
            <w:vAlign w:val="center"/>
          </w:tcPr>
          <w:p w14:paraId="6E625EF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0.19</w:t>
            </w:r>
          </w:p>
        </w:tc>
        <w:tc>
          <w:tcPr>
            <w:tcW w:w="1257" w:type="dxa"/>
            <w:vAlign w:val="center"/>
          </w:tcPr>
          <w:p w14:paraId="4EE224A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5.46E-06</w:t>
            </w:r>
          </w:p>
        </w:tc>
        <w:tc>
          <w:tcPr>
            <w:tcW w:w="1022" w:type="dxa"/>
            <w:vAlign w:val="center"/>
          </w:tcPr>
          <w:p w14:paraId="54A4E0B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0.05</w:t>
            </w:r>
          </w:p>
        </w:tc>
        <w:tc>
          <w:tcPr>
            <w:tcW w:w="1081" w:type="dxa"/>
            <w:vAlign w:val="center"/>
          </w:tcPr>
          <w:p w14:paraId="544E130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7.67E-03</w:t>
            </w:r>
          </w:p>
        </w:tc>
        <w:tc>
          <w:tcPr>
            <w:tcW w:w="960" w:type="dxa"/>
            <w:vAlign w:val="center"/>
          </w:tcPr>
          <w:p w14:paraId="523D4DC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3.83</w:t>
            </w:r>
          </w:p>
        </w:tc>
        <w:tc>
          <w:tcPr>
            <w:tcW w:w="1062" w:type="dxa"/>
            <w:vAlign w:val="center"/>
          </w:tcPr>
          <w:p w14:paraId="14DEDC9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1.09E-04</w:t>
            </w:r>
          </w:p>
        </w:tc>
        <w:tc>
          <w:tcPr>
            <w:tcW w:w="982" w:type="dxa"/>
            <w:vAlign w:val="center"/>
          </w:tcPr>
          <w:p w14:paraId="44C2216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1.09</w:t>
            </w:r>
          </w:p>
        </w:tc>
      </w:tr>
      <w:tr w:rsidR="00D12939" w14:paraId="1505D987" w14:textId="77777777">
        <w:trPr>
          <w:gridAfter w:val="1"/>
          <w:wAfter w:w="8" w:type="dxa"/>
          <w:trHeight w:val="248"/>
        </w:trPr>
        <w:tc>
          <w:tcPr>
            <w:tcW w:w="1117" w:type="dxa"/>
            <w:vAlign w:val="center"/>
          </w:tcPr>
          <w:p w14:paraId="28BC602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275</w:t>
            </w:r>
          </w:p>
        </w:tc>
        <w:tc>
          <w:tcPr>
            <w:tcW w:w="1099" w:type="dxa"/>
            <w:vAlign w:val="center"/>
          </w:tcPr>
          <w:p w14:paraId="5DC2065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3.56E-04</w:t>
            </w:r>
          </w:p>
        </w:tc>
        <w:tc>
          <w:tcPr>
            <w:tcW w:w="1102" w:type="dxa"/>
            <w:vAlign w:val="center"/>
          </w:tcPr>
          <w:p w14:paraId="777B3F8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0.18</w:t>
            </w:r>
          </w:p>
        </w:tc>
        <w:tc>
          <w:tcPr>
            <w:tcW w:w="1257" w:type="dxa"/>
            <w:vAlign w:val="center"/>
          </w:tcPr>
          <w:p w14:paraId="4E420AA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5.08E-06</w:t>
            </w:r>
          </w:p>
        </w:tc>
        <w:tc>
          <w:tcPr>
            <w:tcW w:w="1022" w:type="dxa"/>
            <w:vAlign w:val="center"/>
          </w:tcPr>
          <w:p w14:paraId="569F30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0.05</w:t>
            </w:r>
          </w:p>
        </w:tc>
        <w:tc>
          <w:tcPr>
            <w:tcW w:w="1081" w:type="dxa"/>
            <w:vAlign w:val="center"/>
          </w:tcPr>
          <w:p w14:paraId="341B942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7.14E-03</w:t>
            </w:r>
          </w:p>
        </w:tc>
        <w:tc>
          <w:tcPr>
            <w:tcW w:w="960" w:type="dxa"/>
            <w:vAlign w:val="center"/>
          </w:tcPr>
          <w:p w14:paraId="210E4E5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3.57</w:t>
            </w:r>
          </w:p>
        </w:tc>
        <w:tc>
          <w:tcPr>
            <w:tcW w:w="1062" w:type="dxa"/>
            <w:vAlign w:val="center"/>
          </w:tcPr>
          <w:p w14:paraId="3CE03AB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1.02E-04</w:t>
            </w:r>
          </w:p>
        </w:tc>
        <w:tc>
          <w:tcPr>
            <w:tcW w:w="982" w:type="dxa"/>
            <w:vAlign w:val="center"/>
          </w:tcPr>
          <w:p w14:paraId="013979E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1.02</w:t>
            </w:r>
          </w:p>
        </w:tc>
      </w:tr>
      <w:tr w:rsidR="00D12939" w14:paraId="109410FE" w14:textId="77777777">
        <w:trPr>
          <w:gridAfter w:val="1"/>
          <w:wAfter w:w="8" w:type="dxa"/>
          <w:trHeight w:val="248"/>
        </w:trPr>
        <w:tc>
          <w:tcPr>
            <w:tcW w:w="1117" w:type="dxa"/>
            <w:vAlign w:val="center"/>
          </w:tcPr>
          <w:p w14:paraId="1C76BE4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300</w:t>
            </w:r>
          </w:p>
        </w:tc>
        <w:tc>
          <w:tcPr>
            <w:tcW w:w="1099" w:type="dxa"/>
            <w:vAlign w:val="center"/>
          </w:tcPr>
          <w:p w14:paraId="126E6B8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3.33E-04</w:t>
            </w:r>
          </w:p>
        </w:tc>
        <w:tc>
          <w:tcPr>
            <w:tcW w:w="1102" w:type="dxa"/>
            <w:vAlign w:val="center"/>
          </w:tcPr>
          <w:p w14:paraId="3120891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0.17</w:t>
            </w:r>
          </w:p>
        </w:tc>
        <w:tc>
          <w:tcPr>
            <w:tcW w:w="1257" w:type="dxa"/>
            <w:vAlign w:val="center"/>
          </w:tcPr>
          <w:p w14:paraId="4838853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4.76E-06</w:t>
            </w:r>
          </w:p>
        </w:tc>
        <w:tc>
          <w:tcPr>
            <w:tcW w:w="1022" w:type="dxa"/>
            <w:vAlign w:val="center"/>
          </w:tcPr>
          <w:p w14:paraId="3B5BA49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0.05</w:t>
            </w:r>
          </w:p>
        </w:tc>
        <w:tc>
          <w:tcPr>
            <w:tcW w:w="1081" w:type="dxa"/>
            <w:vAlign w:val="center"/>
          </w:tcPr>
          <w:p w14:paraId="45C57AD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6.68E-03</w:t>
            </w:r>
          </w:p>
        </w:tc>
        <w:tc>
          <w:tcPr>
            <w:tcW w:w="960" w:type="dxa"/>
            <w:vAlign w:val="center"/>
          </w:tcPr>
          <w:p w14:paraId="4407337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3.34</w:t>
            </w:r>
          </w:p>
        </w:tc>
        <w:tc>
          <w:tcPr>
            <w:tcW w:w="1062" w:type="dxa"/>
            <w:vAlign w:val="center"/>
          </w:tcPr>
          <w:p w14:paraId="634F66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9.54E-05</w:t>
            </w:r>
          </w:p>
        </w:tc>
        <w:tc>
          <w:tcPr>
            <w:tcW w:w="982" w:type="dxa"/>
            <w:vAlign w:val="center"/>
          </w:tcPr>
          <w:p w14:paraId="7816750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0.95</w:t>
            </w:r>
          </w:p>
        </w:tc>
      </w:tr>
      <w:tr w:rsidR="00D12939" w14:paraId="314770E7" w14:textId="77777777">
        <w:trPr>
          <w:gridAfter w:val="1"/>
          <w:wAfter w:w="8" w:type="dxa"/>
          <w:trHeight w:val="248"/>
        </w:trPr>
        <w:tc>
          <w:tcPr>
            <w:tcW w:w="1117" w:type="dxa"/>
            <w:vAlign w:val="center"/>
          </w:tcPr>
          <w:p w14:paraId="1B5CA18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325</w:t>
            </w:r>
          </w:p>
        </w:tc>
        <w:tc>
          <w:tcPr>
            <w:tcW w:w="1099" w:type="dxa"/>
            <w:vAlign w:val="center"/>
          </w:tcPr>
          <w:p w14:paraId="4BADE6A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3.14E-04</w:t>
            </w:r>
          </w:p>
        </w:tc>
        <w:tc>
          <w:tcPr>
            <w:tcW w:w="1102" w:type="dxa"/>
            <w:vAlign w:val="center"/>
          </w:tcPr>
          <w:p w14:paraId="69756A8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0.16</w:t>
            </w:r>
          </w:p>
        </w:tc>
        <w:tc>
          <w:tcPr>
            <w:tcW w:w="1257" w:type="dxa"/>
            <w:vAlign w:val="center"/>
          </w:tcPr>
          <w:p w14:paraId="5883C3A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4.48E-06</w:t>
            </w:r>
          </w:p>
        </w:tc>
        <w:tc>
          <w:tcPr>
            <w:tcW w:w="1022" w:type="dxa"/>
            <w:vAlign w:val="center"/>
          </w:tcPr>
          <w:p w14:paraId="51F5FA5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081" w:type="dxa"/>
            <w:vAlign w:val="center"/>
          </w:tcPr>
          <w:p w14:paraId="6491D48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6.29E-03</w:t>
            </w:r>
          </w:p>
        </w:tc>
        <w:tc>
          <w:tcPr>
            <w:tcW w:w="960" w:type="dxa"/>
            <w:vAlign w:val="center"/>
          </w:tcPr>
          <w:p w14:paraId="4993926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3.14</w:t>
            </w:r>
          </w:p>
        </w:tc>
        <w:tc>
          <w:tcPr>
            <w:tcW w:w="1062" w:type="dxa"/>
            <w:vAlign w:val="center"/>
          </w:tcPr>
          <w:p w14:paraId="3D64D60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8.98E-05</w:t>
            </w:r>
          </w:p>
        </w:tc>
        <w:tc>
          <w:tcPr>
            <w:tcW w:w="982" w:type="dxa"/>
            <w:vAlign w:val="center"/>
          </w:tcPr>
          <w:p w14:paraId="6072DAF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0.90</w:t>
            </w:r>
          </w:p>
        </w:tc>
      </w:tr>
      <w:tr w:rsidR="00D12939" w14:paraId="6BA68C01" w14:textId="77777777">
        <w:trPr>
          <w:gridAfter w:val="1"/>
          <w:wAfter w:w="8" w:type="dxa"/>
          <w:trHeight w:val="248"/>
        </w:trPr>
        <w:tc>
          <w:tcPr>
            <w:tcW w:w="1117" w:type="dxa"/>
            <w:vAlign w:val="center"/>
          </w:tcPr>
          <w:p w14:paraId="1CC31DB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350</w:t>
            </w:r>
          </w:p>
        </w:tc>
        <w:tc>
          <w:tcPr>
            <w:tcW w:w="1099" w:type="dxa"/>
            <w:vAlign w:val="center"/>
          </w:tcPr>
          <w:p w14:paraId="0457E07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2.96E-04</w:t>
            </w:r>
          </w:p>
        </w:tc>
        <w:tc>
          <w:tcPr>
            <w:tcW w:w="1102" w:type="dxa"/>
            <w:vAlign w:val="center"/>
          </w:tcPr>
          <w:p w14:paraId="3A4B90D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0.15</w:t>
            </w:r>
          </w:p>
        </w:tc>
        <w:tc>
          <w:tcPr>
            <w:tcW w:w="1257" w:type="dxa"/>
            <w:vAlign w:val="center"/>
          </w:tcPr>
          <w:p w14:paraId="0000973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4.24E-06</w:t>
            </w:r>
          </w:p>
        </w:tc>
        <w:tc>
          <w:tcPr>
            <w:tcW w:w="1022" w:type="dxa"/>
            <w:vAlign w:val="center"/>
          </w:tcPr>
          <w:p w14:paraId="31B616A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081" w:type="dxa"/>
            <w:vAlign w:val="center"/>
          </w:tcPr>
          <w:p w14:paraId="318F362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5.95E-03</w:t>
            </w:r>
          </w:p>
        </w:tc>
        <w:tc>
          <w:tcPr>
            <w:tcW w:w="960" w:type="dxa"/>
            <w:vAlign w:val="center"/>
          </w:tcPr>
          <w:p w14:paraId="5E1D034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2.97</w:t>
            </w:r>
          </w:p>
        </w:tc>
        <w:tc>
          <w:tcPr>
            <w:tcW w:w="1062" w:type="dxa"/>
            <w:vAlign w:val="center"/>
          </w:tcPr>
          <w:p w14:paraId="1A13B2D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8.49E-05</w:t>
            </w:r>
          </w:p>
        </w:tc>
        <w:tc>
          <w:tcPr>
            <w:tcW w:w="982" w:type="dxa"/>
            <w:vAlign w:val="center"/>
          </w:tcPr>
          <w:p w14:paraId="00C0486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0.85</w:t>
            </w:r>
          </w:p>
        </w:tc>
      </w:tr>
      <w:tr w:rsidR="00D12939" w14:paraId="2B242B0E" w14:textId="77777777">
        <w:trPr>
          <w:gridAfter w:val="1"/>
          <w:wAfter w:w="8" w:type="dxa"/>
          <w:trHeight w:val="248"/>
        </w:trPr>
        <w:tc>
          <w:tcPr>
            <w:tcW w:w="1117" w:type="dxa"/>
            <w:vAlign w:val="center"/>
          </w:tcPr>
          <w:p w14:paraId="6F55F47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375</w:t>
            </w:r>
          </w:p>
        </w:tc>
        <w:tc>
          <w:tcPr>
            <w:tcW w:w="1099" w:type="dxa"/>
            <w:vAlign w:val="center"/>
          </w:tcPr>
          <w:p w14:paraId="4F90EA4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2.81E-04</w:t>
            </w:r>
          </w:p>
        </w:tc>
        <w:tc>
          <w:tcPr>
            <w:tcW w:w="1102" w:type="dxa"/>
            <w:vAlign w:val="center"/>
          </w:tcPr>
          <w:p w14:paraId="0578664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0.14</w:t>
            </w:r>
          </w:p>
        </w:tc>
        <w:tc>
          <w:tcPr>
            <w:tcW w:w="1257" w:type="dxa"/>
            <w:vAlign w:val="center"/>
          </w:tcPr>
          <w:p w14:paraId="76F9A73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4.02E-06</w:t>
            </w:r>
          </w:p>
        </w:tc>
        <w:tc>
          <w:tcPr>
            <w:tcW w:w="1022" w:type="dxa"/>
            <w:vAlign w:val="center"/>
          </w:tcPr>
          <w:p w14:paraId="62918E0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081" w:type="dxa"/>
            <w:vAlign w:val="center"/>
          </w:tcPr>
          <w:p w14:paraId="0502654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5.65E-03</w:t>
            </w:r>
          </w:p>
        </w:tc>
        <w:tc>
          <w:tcPr>
            <w:tcW w:w="960" w:type="dxa"/>
            <w:vAlign w:val="center"/>
          </w:tcPr>
          <w:p w14:paraId="47F5351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2.82</w:t>
            </w:r>
          </w:p>
        </w:tc>
        <w:tc>
          <w:tcPr>
            <w:tcW w:w="1062" w:type="dxa"/>
            <w:vAlign w:val="center"/>
          </w:tcPr>
          <w:p w14:paraId="2503297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8.06E-05</w:t>
            </w:r>
          </w:p>
        </w:tc>
        <w:tc>
          <w:tcPr>
            <w:tcW w:w="982" w:type="dxa"/>
            <w:vAlign w:val="center"/>
          </w:tcPr>
          <w:p w14:paraId="055BBB1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0.81</w:t>
            </w:r>
          </w:p>
        </w:tc>
      </w:tr>
      <w:tr w:rsidR="00D12939" w14:paraId="2E8BF0C7" w14:textId="77777777">
        <w:trPr>
          <w:gridAfter w:val="1"/>
          <w:wAfter w:w="8" w:type="dxa"/>
          <w:trHeight w:val="248"/>
        </w:trPr>
        <w:tc>
          <w:tcPr>
            <w:tcW w:w="1117" w:type="dxa"/>
            <w:vAlign w:val="center"/>
          </w:tcPr>
          <w:p w14:paraId="2594948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400</w:t>
            </w:r>
          </w:p>
        </w:tc>
        <w:tc>
          <w:tcPr>
            <w:tcW w:w="1099" w:type="dxa"/>
            <w:vAlign w:val="center"/>
          </w:tcPr>
          <w:p w14:paraId="50139E3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2.68E-04</w:t>
            </w:r>
          </w:p>
        </w:tc>
        <w:tc>
          <w:tcPr>
            <w:tcW w:w="1102" w:type="dxa"/>
            <w:vAlign w:val="center"/>
          </w:tcPr>
          <w:p w14:paraId="1BAA932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0.13</w:t>
            </w:r>
          </w:p>
        </w:tc>
        <w:tc>
          <w:tcPr>
            <w:tcW w:w="1257" w:type="dxa"/>
            <w:vAlign w:val="center"/>
          </w:tcPr>
          <w:p w14:paraId="79DB345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3.83E-06</w:t>
            </w:r>
          </w:p>
        </w:tc>
        <w:tc>
          <w:tcPr>
            <w:tcW w:w="1022" w:type="dxa"/>
            <w:vAlign w:val="center"/>
          </w:tcPr>
          <w:p w14:paraId="69733E1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081" w:type="dxa"/>
            <w:vAlign w:val="center"/>
          </w:tcPr>
          <w:p w14:paraId="05223F4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5.38E-03</w:t>
            </w:r>
          </w:p>
        </w:tc>
        <w:tc>
          <w:tcPr>
            <w:tcW w:w="960" w:type="dxa"/>
            <w:vAlign w:val="center"/>
          </w:tcPr>
          <w:p w14:paraId="0DE2DD8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2.69</w:t>
            </w:r>
          </w:p>
        </w:tc>
        <w:tc>
          <w:tcPr>
            <w:tcW w:w="1062" w:type="dxa"/>
            <w:vAlign w:val="center"/>
          </w:tcPr>
          <w:p w14:paraId="5359C0F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7.68E-05</w:t>
            </w:r>
          </w:p>
        </w:tc>
        <w:tc>
          <w:tcPr>
            <w:tcW w:w="982" w:type="dxa"/>
            <w:vAlign w:val="center"/>
          </w:tcPr>
          <w:p w14:paraId="354B8DC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0.77</w:t>
            </w:r>
          </w:p>
        </w:tc>
      </w:tr>
      <w:tr w:rsidR="00D12939" w14:paraId="1DC075B9" w14:textId="77777777">
        <w:trPr>
          <w:gridAfter w:val="1"/>
          <w:wAfter w:w="8" w:type="dxa"/>
          <w:trHeight w:val="248"/>
        </w:trPr>
        <w:tc>
          <w:tcPr>
            <w:tcW w:w="1117" w:type="dxa"/>
            <w:vAlign w:val="center"/>
          </w:tcPr>
          <w:p w14:paraId="49A0CD1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425</w:t>
            </w:r>
          </w:p>
        </w:tc>
        <w:tc>
          <w:tcPr>
            <w:tcW w:w="1099" w:type="dxa"/>
            <w:vAlign w:val="center"/>
          </w:tcPr>
          <w:p w14:paraId="38E8100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2.56E-04</w:t>
            </w:r>
          </w:p>
        </w:tc>
        <w:tc>
          <w:tcPr>
            <w:tcW w:w="1102" w:type="dxa"/>
            <w:vAlign w:val="center"/>
          </w:tcPr>
          <w:p w14:paraId="39BB598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0.13</w:t>
            </w:r>
          </w:p>
        </w:tc>
        <w:tc>
          <w:tcPr>
            <w:tcW w:w="1257" w:type="dxa"/>
            <w:vAlign w:val="center"/>
          </w:tcPr>
          <w:p w14:paraId="63671F8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3.66E-06</w:t>
            </w:r>
          </w:p>
        </w:tc>
        <w:tc>
          <w:tcPr>
            <w:tcW w:w="1022" w:type="dxa"/>
            <w:vAlign w:val="center"/>
          </w:tcPr>
          <w:p w14:paraId="06309B4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081" w:type="dxa"/>
            <w:vAlign w:val="center"/>
          </w:tcPr>
          <w:p w14:paraId="11C2304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5.14E-03</w:t>
            </w:r>
          </w:p>
        </w:tc>
        <w:tc>
          <w:tcPr>
            <w:tcW w:w="960" w:type="dxa"/>
            <w:vAlign w:val="center"/>
          </w:tcPr>
          <w:p w14:paraId="61C3488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2.57</w:t>
            </w:r>
          </w:p>
        </w:tc>
        <w:tc>
          <w:tcPr>
            <w:tcW w:w="1062" w:type="dxa"/>
            <w:vAlign w:val="center"/>
          </w:tcPr>
          <w:p w14:paraId="1BC1F4A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7.34E-05</w:t>
            </w:r>
          </w:p>
        </w:tc>
        <w:tc>
          <w:tcPr>
            <w:tcW w:w="982" w:type="dxa"/>
            <w:vAlign w:val="center"/>
          </w:tcPr>
          <w:p w14:paraId="7AD378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0.73</w:t>
            </w:r>
          </w:p>
        </w:tc>
      </w:tr>
      <w:tr w:rsidR="00D12939" w14:paraId="6C22C00D" w14:textId="77777777">
        <w:trPr>
          <w:gridAfter w:val="1"/>
          <w:wAfter w:w="8" w:type="dxa"/>
          <w:trHeight w:val="248"/>
        </w:trPr>
        <w:tc>
          <w:tcPr>
            <w:tcW w:w="1117" w:type="dxa"/>
            <w:vAlign w:val="center"/>
          </w:tcPr>
          <w:p w14:paraId="7B70F89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450</w:t>
            </w:r>
          </w:p>
        </w:tc>
        <w:tc>
          <w:tcPr>
            <w:tcW w:w="1099" w:type="dxa"/>
            <w:vAlign w:val="center"/>
          </w:tcPr>
          <w:p w14:paraId="37FED15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2.46E-04</w:t>
            </w:r>
          </w:p>
        </w:tc>
        <w:tc>
          <w:tcPr>
            <w:tcW w:w="1102" w:type="dxa"/>
            <w:vAlign w:val="center"/>
          </w:tcPr>
          <w:p w14:paraId="45B2C25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0.12</w:t>
            </w:r>
          </w:p>
        </w:tc>
        <w:tc>
          <w:tcPr>
            <w:tcW w:w="1257" w:type="dxa"/>
            <w:vAlign w:val="center"/>
          </w:tcPr>
          <w:p w14:paraId="75D5559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3.51E-06</w:t>
            </w:r>
          </w:p>
        </w:tc>
        <w:tc>
          <w:tcPr>
            <w:tcW w:w="1022" w:type="dxa"/>
            <w:vAlign w:val="center"/>
          </w:tcPr>
          <w:p w14:paraId="1442977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081" w:type="dxa"/>
            <w:vAlign w:val="center"/>
          </w:tcPr>
          <w:p w14:paraId="59B8AC6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4.92E-03</w:t>
            </w:r>
          </w:p>
        </w:tc>
        <w:tc>
          <w:tcPr>
            <w:tcW w:w="960" w:type="dxa"/>
            <w:vAlign w:val="center"/>
          </w:tcPr>
          <w:p w14:paraId="1CBBE4C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2.46</w:t>
            </w:r>
          </w:p>
        </w:tc>
        <w:tc>
          <w:tcPr>
            <w:tcW w:w="1062" w:type="dxa"/>
            <w:vAlign w:val="center"/>
          </w:tcPr>
          <w:p w14:paraId="6F43B66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7.03E-05</w:t>
            </w:r>
          </w:p>
        </w:tc>
        <w:tc>
          <w:tcPr>
            <w:tcW w:w="982" w:type="dxa"/>
            <w:vAlign w:val="center"/>
          </w:tcPr>
          <w:p w14:paraId="13BA462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0.70</w:t>
            </w:r>
          </w:p>
        </w:tc>
      </w:tr>
      <w:tr w:rsidR="00D12939" w14:paraId="52CAD14A" w14:textId="77777777">
        <w:trPr>
          <w:gridAfter w:val="1"/>
          <w:wAfter w:w="8" w:type="dxa"/>
          <w:trHeight w:val="248"/>
        </w:trPr>
        <w:tc>
          <w:tcPr>
            <w:tcW w:w="1117" w:type="dxa"/>
            <w:vAlign w:val="center"/>
          </w:tcPr>
          <w:p w14:paraId="0C2EAA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475</w:t>
            </w:r>
          </w:p>
        </w:tc>
        <w:tc>
          <w:tcPr>
            <w:tcW w:w="1099" w:type="dxa"/>
            <w:vAlign w:val="center"/>
          </w:tcPr>
          <w:p w14:paraId="7542AF0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2.36E-04</w:t>
            </w:r>
          </w:p>
        </w:tc>
        <w:tc>
          <w:tcPr>
            <w:tcW w:w="1102" w:type="dxa"/>
            <w:vAlign w:val="center"/>
          </w:tcPr>
          <w:p w14:paraId="1A425C7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0.12</w:t>
            </w:r>
          </w:p>
        </w:tc>
        <w:tc>
          <w:tcPr>
            <w:tcW w:w="1257" w:type="dxa"/>
            <w:vAlign w:val="center"/>
          </w:tcPr>
          <w:p w14:paraId="7EE30E6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3.37E-06</w:t>
            </w:r>
          </w:p>
        </w:tc>
        <w:tc>
          <w:tcPr>
            <w:tcW w:w="1022" w:type="dxa"/>
            <w:vAlign w:val="center"/>
          </w:tcPr>
          <w:p w14:paraId="67ADAF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0.03</w:t>
            </w:r>
          </w:p>
        </w:tc>
        <w:tc>
          <w:tcPr>
            <w:tcW w:w="1081" w:type="dxa"/>
            <w:vAlign w:val="center"/>
          </w:tcPr>
          <w:p w14:paraId="0D25950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4.73E-03</w:t>
            </w:r>
          </w:p>
        </w:tc>
        <w:tc>
          <w:tcPr>
            <w:tcW w:w="960" w:type="dxa"/>
            <w:vAlign w:val="center"/>
          </w:tcPr>
          <w:p w14:paraId="75D3254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2.36</w:t>
            </w:r>
          </w:p>
        </w:tc>
        <w:tc>
          <w:tcPr>
            <w:tcW w:w="1062" w:type="dxa"/>
            <w:vAlign w:val="center"/>
          </w:tcPr>
          <w:p w14:paraId="4049F8A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6.75E-05</w:t>
            </w:r>
          </w:p>
        </w:tc>
        <w:tc>
          <w:tcPr>
            <w:tcW w:w="982" w:type="dxa"/>
            <w:vAlign w:val="center"/>
          </w:tcPr>
          <w:p w14:paraId="70D5BD4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0.68</w:t>
            </w:r>
          </w:p>
        </w:tc>
      </w:tr>
      <w:tr w:rsidR="00D12939" w14:paraId="02F587B2" w14:textId="77777777">
        <w:trPr>
          <w:gridAfter w:val="1"/>
          <w:wAfter w:w="8" w:type="dxa"/>
          <w:trHeight w:val="260"/>
        </w:trPr>
        <w:tc>
          <w:tcPr>
            <w:tcW w:w="1117" w:type="dxa"/>
            <w:vAlign w:val="center"/>
          </w:tcPr>
          <w:p w14:paraId="49CBD9D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500</w:t>
            </w:r>
          </w:p>
        </w:tc>
        <w:tc>
          <w:tcPr>
            <w:tcW w:w="1099" w:type="dxa"/>
            <w:vAlign w:val="center"/>
          </w:tcPr>
          <w:p w14:paraId="2C705A9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2.27E-04</w:t>
            </w:r>
          </w:p>
        </w:tc>
        <w:tc>
          <w:tcPr>
            <w:tcW w:w="1102" w:type="dxa"/>
            <w:vAlign w:val="center"/>
          </w:tcPr>
          <w:p w14:paraId="6D50B5D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0.11</w:t>
            </w:r>
          </w:p>
        </w:tc>
        <w:tc>
          <w:tcPr>
            <w:tcW w:w="1257" w:type="dxa"/>
            <w:vAlign w:val="center"/>
          </w:tcPr>
          <w:p w14:paraId="4C5BCDA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3.24E-06</w:t>
            </w:r>
          </w:p>
        </w:tc>
        <w:tc>
          <w:tcPr>
            <w:tcW w:w="1022" w:type="dxa"/>
            <w:vAlign w:val="center"/>
          </w:tcPr>
          <w:p w14:paraId="78EE028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0.03</w:t>
            </w:r>
          </w:p>
        </w:tc>
        <w:tc>
          <w:tcPr>
            <w:tcW w:w="1081" w:type="dxa"/>
            <w:vAlign w:val="center"/>
          </w:tcPr>
          <w:p w14:paraId="5DE47E2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4.55E-03</w:t>
            </w:r>
          </w:p>
        </w:tc>
        <w:tc>
          <w:tcPr>
            <w:tcW w:w="960" w:type="dxa"/>
            <w:vAlign w:val="center"/>
          </w:tcPr>
          <w:p w14:paraId="21C7F76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2.28</w:t>
            </w:r>
          </w:p>
        </w:tc>
        <w:tc>
          <w:tcPr>
            <w:tcW w:w="1062" w:type="dxa"/>
            <w:vAlign w:val="center"/>
          </w:tcPr>
          <w:p w14:paraId="0F6C145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6.50E-05</w:t>
            </w:r>
          </w:p>
        </w:tc>
        <w:tc>
          <w:tcPr>
            <w:tcW w:w="982" w:type="dxa"/>
            <w:vAlign w:val="center"/>
          </w:tcPr>
          <w:p w14:paraId="4054741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0.65</w:t>
            </w:r>
          </w:p>
        </w:tc>
      </w:tr>
      <w:tr w:rsidR="00D12939" w14:paraId="384F4AAE" w14:textId="77777777">
        <w:trPr>
          <w:gridAfter w:val="1"/>
          <w:wAfter w:w="8" w:type="dxa"/>
          <w:trHeight w:val="248"/>
        </w:trPr>
        <w:tc>
          <w:tcPr>
            <w:tcW w:w="1117" w:type="dxa"/>
            <w:vAlign w:val="center"/>
          </w:tcPr>
          <w:p w14:paraId="2063712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600</w:t>
            </w:r>
          </w:p>
        </w:tc>
        <w:tc>
          <w:tcPr>
            <w:tcW w:w="1099" w:type="dxa"/>
            <w:vAlign w:val="center"/>
          </w:tcPr>
          <w:p w14:paraId="21F80B6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1.98E-04</w:t>
            </w:r>
          </w:p>
        </w:tc>
        <w:tc>
          <w:tcPr>
            <w:tcW w:w="1102" w:type="dxa"/>
            <w:vAlign w:val="center"/>
          </w:tcPr>
          <w:p w14:paraId="43DA6E6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0.10</w:t>
            </w:r>
          </w:p>
        </w:tc>
        <w:tc>
          <w:tcPr>
            <w:tcW w:w="1257" w:type="dxa"/>
            <w:vAlign w:val="center"/>
          </w:tcPr>
          <w:p w14:paraId="2DC9FBD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2.83E-06</w:t>
            </w:r>
          </w:p>
        </w:tc>
        <w:tc>
          <w:tcPr>
            <w:tcW w:w="1022" w:type="dxa"/>
            <w:vAlign w:val="center"/>
          </w:tcPr>
          <w:p w14:paraId="38CE8D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0.03</w:t>
            </w:r>
          </w:p>
        </w:tc>
        <w:tc>
          <w:tcPr>
            <w:tcW w:w="1081" w:type="dxa"/>
            <w:vAlign w:val="center"/>
          </w:tcPr>
          <w:p w14:paraId="6705AC1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3.97E-03</w:t>
            </w:r>
          </w:p>
        </w:tc>
        <w:tc>
          <w:tcPr>
            <w:tcW w:w="960" w:type="dxa"/>
            <w:vAlign w:val="center"/>
          </w:tcPr>
          <w:p w14:paraId="5FA8116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1.99</w:t>
            </w:r>
          </w:p>
        </w:tc>
        <w:tc>
          <w:tcPr>
            <w:tcW w:w="1062" w:type="dxa"/>
            <w:vAlign w:val="center"/>
          </w:tcPr>
          <w:p w14:paraId="4DB0597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5.67E-05</w:t>
            </w:r>
          </w:p>
        </w:tc>
        <w:tc>
          <w:tcPr>
            <w:tcW w:w="982" w:type="dxa"/>
            <w:vAlign w:val="center"/>
          </w:tcPr>
          <w:p w14:paraId="0165C55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0.57</w:t>
            </w:r>
          </w:p>
        </w:tc>
      </w:tr>
      <w:tr w:rsidR="00D12939" w14:paraId="15B64971" w14:textId="77777777">
        <w:trPr>
          <w:gridAfter w:val="1"/>
          <w:wAfter w:w="8" w:type="dxa"/>
          <w:trHeight w:val="248"/>
        </w:trPr>
        <w:tc>
          <w:tcPr>
            <w:tcW w:w="1117" w:type="dxa"/>
            <w:vAlign w:val="center"/>
          </w:tcPr>
          <w:p w14:paraId="54F0CD0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700</w:t>
            </w:r>
          </w:p>
        </w:tc>
        <w:tc>
          <w:tcPr>
            <w:tcW w:w="1099" w:type="dxa"/>
            <w:vAlign w:val="center"/>
          </w:tcPr>
          <w:p w14:paraId="34F666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1.77E-04</w:t>
            </w:r>
          </w:p>
        </w:tc>
        <w:tc>
          <w:tcPr>
            <w:tcW w:w="1102" w:type="dxa"/>
            <w:vAlign w:val="center"/>
          </w:tcPr>
          <w:p w14:paraId="6BC1583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0.10</w:t>
            </w:r>
          </w:p>
        </w:tc>
        <w:tc>
          <w:tcPr>
            <w:tcW w:w="1257" w:type="dxa"/>
            <w:vAlign w:val="center"/>
          </w:tcPr>
          <w:p w14:paraId="736342A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2.52E-06</w:t>
            </w:r>
          </w:p>
        </w:tc>
        <w:tc>
          <w:tcPr>
            <w:tcW w:w="1022" w:type="dxa"/>
            <w:vAlign w:val="center"/>
          </w:tcPr>
          <w:p w14:paraId="4200CB8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0.03</w:t>
            </w:r>
          </w:p>
        </w:tc>
        <w:tc>
          <w:tcPr>
            <w:tcW w:w="1081" w:type="dxa"/>
            <w:vAlign w:val="center"/>
          </w:tcPr>
          <w:p w14:paraId="338C98D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3.54E-03</w:t>
            </w:r>
          </w:p>
        </w:tc>
        <w:tc>
          <w:tcPr>
            <w:tcW w:w="960" w:type="dxa"/>
            <w:vAlign w:val="center"/>
          </w:tcPr>
          <w:p w14:paraId="33D03C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1.77</w:t>
            </w:r>
          </w:p>
        </w:tc>
        <w:tc>
          <w:tcPr>
            <w:tcW w:w="1062" w:type="dxa"/>
            <w:vAlign w:val="center"/>
          </w:tcPr>
          <w:p w14:paraId="56B4D17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5.06E-05</w:t>
            </w:r>
          </w:p>
        </w:tc>
        <w:tc>
          <w:tcPr>
            <w:tcW w:w="982" w:type="dxa"/>
            <w:vAlign w:val="center"/>
          </w:tcPr>
          <w:p w14:paraId="71D50F3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0.51</w:t>
            </w:r>
          </w:p>
        </w:tc>
      </w:tr>
      <w:tr w:rsidR="00D12939" w14:paraId="520FED6D" w14:textId="77777777">
        <w:trPr>
          <w:gridAfter w:val="1"/>
          <w:wAfter w:w="8" w:type="dxa"/>
          <w:trHeight w:val="248"/>
        </w:trPr>
        <w:tc>
          <w:tcPr>
            <w:tcW w:w="1117" w:type="dxa"/>
            <w:vAlign w:val="center"/>
          </w:tcPr>
          <w:p w14:paraId="0D2C230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800</w:t>
            </w:r>
          </w:p>
        </w:tc>
        <w:tc>
          <w:tcPr>
            <w:tcW w:w="1099" w:type="dxa"/>
            <w:vAlign w:val="center"/>
          </w:tcPr>
          <w:p w14:paraId="7148BF7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1.60E-04</w:t>
            </w:r>
          </w:p>
        </w:tc>
        <w:tc>
          <w:tcPr>
            <w:tcW w:w="1102" w:type="dxa"/>
            <w:vAlign w:val="center"/>
          </w:tcPr>
          <w:p w14:paraId="0EE66F6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0.08</w:t>
            </w:r>
          </w:p>
        </w:tc>
        <w:tc>
          <w:tcPr>
            <w:tcW w:w="1257" w:type="dxa"/>
            <w:vAlign w:val="center"/>
          </w:tcPr>
          <w:p w14:paraId="394DAD2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2.29E-06</w:t>
            </w:r>
          </w:p>
        </w:tc>
        <w:tc>
          <w:tcPr>
            <w:tcW w:w="1022" w:type="dxa"/>
            <w:vAlign w:val="center"/>
          </w:tcPr>
          <w:p w14:paraId="73F84AA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0.02</w:t>
            </w:r>
          </w:p>
        </w:tc>
        <w:tc>
          <w:tcPr>
            <w:tcW w:w="1081" w:type="dxa"/>
            <w:vAlign w:val="center"/>
          </w:tcPr>
          <w:p w14:paraId="17546C7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3.21E-03</w:t>
            </w:r>
          </w:p>
        </w:tc>
        <w:tc>
          <w:tcPr>
            <w:tcW w:w="960" w:type="dxa"/>
            <w:vAlign w:val="center"/>
          </w:tcPr>
          <w:p w14:paraId="1CD2DB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1.61</w:t>
            </w:r>
          </w:p>
        </w:tc>
        <w:tc>
          <w:tcPr>
            <w:tcW w:w="1062" w:type="dxa"/>
            <w:vAlign w:val="center"/>
          </w:tcPr>
          <w:p w14:paraId="6039445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4.58E-05</w:t>
            </w:r>
          </w:p>
        </w:tc>
        <w:tc>
          <w:tcPr>
            <w:tcW w:w="982" w:type="dxa"/>
            <w:vAlign w:val="center"/>
          </w:tcPr>
          <w:p w14:paraId="0FFF594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0.46</w:t>
            </w:r>
          </w:p>
        </w:tc>
      </w:tr>
      <w:tr w:rsidR="00D12939" w14:paraId="7118E791" w14:textId="77777777">
        <w:trPr>
          <w:gridAfter w:val="1"/>
          <w:wAfter w:w="8" w:type="dxa"/>
          <w:trHeight w:val="248"/>
        </w:trPr>
        <w:tc>
          <w:tcPr>
            <w:tcW w:w="1117" w:type="dxa"/>
            <w:vAlign w:val="center"/>
          </w:tcPr>
          <w:p w14:paraId="48144E2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900</w:t>
            </w:r>
          </w:p>
        </w:tc>
        <w:tc>
          <w:tcPr>
            <w:tcW w:w="1099" w:type="dxa"/>
            <w:vAlign w:val="center"/>
          </w:tcPr>
          <w:p w14:paraId="4E06388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1.47E-04</w:t>
            </w:r>
          </w:p>
        </w:tc>
        <w:tc>
          <w:tcPr>
            <w:tcW w:w="1102" w:type="dxa"/>
            <w:vAlign w:val="center"/>
          </w:tcPr>
          <w:p w14:paraId="5FB38C8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0.07</w:t>
            </w:r>
          </w:p>
        </w:tc>
        <w:tc>
          <w:tcPr>
            <w:tcW w:w="1257" w:type="dxa"/>
            <w:vAlign w:val="center"/>
          </w:tcPr>
          <w:p w14:paraId="0621F53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2.10E-06</w:t>
            </w:r>
          </w:p>
        </w:tc>
        <w:tc>
          <w:tcPr>
            <w:tcW w:w="1022" w:type="dxa"/>
            <w:vAlign w:val="center"/>
          </w:tcPr>
          <w:p w14:paraId="5FC8722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0.02</w:t>
            </w:r>
          </w:p>
        </w:tc>
        <w:tc>
          <w:tcPr>
            <w:tcW w:w="1081" w:type="dxa"/>
            <w:vAlign w:val="center"/>
          </w:tcPr>
          <w:p w14:paraId="27D1219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2.94E-03</w:t>
            </w:r>
          </w:p>
        </w:tc>
        <w:tc>
          <w:tcPr>
            <w:tcW w:w="960" w:type="dxa"/>
            <w:vAlign w:val="center"/>
          </w:tcPr>
          <w:p w14:paraId="1D0226E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1.47</w:t>
            </w:r>
          </w:p>
        </w:tc>
        <w:tc>
          <w:tcPr>
            <w:tcW w:w="1062" w:type="dxa"/>
            <w:vAlign w:val="center"/>
          </w:tcPr>
          <w:p w14:paraId="769C04B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4.20E-05</w:t>
            </w:r>
          </w:p>
        </w:tc>
        <w:tc>
          <w:tcPr>
            <w:tcW w:w="982" w:type="dxa"/>
            <w:vAlign w:val="center"/>
          </w:tcPr>
          <w:p w14:paraId="5A6F0B7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0.42</w:t>
            </w:r>
          </w:p>
        </w:tc>
      </w:tr>
      <w:tr w:rsidR="00D12939" w14:paraId="52354383" w14:textId="77777777">
        <w:trPr>
          <w:gridAfter w:val="1"/>
          <w:wAfter w:w="8" w:type="dxa"/>
          <w:trHeight w:val="248"/>
        </w:trPr>
        <w:tc>
          <w:tcPr>
            <w:tcW w:w="1117" w:type="dxa"/>
            <w:vAlign w:val="center"/>
          </w:tcPr>
          <w:p w14:paraId="63789D1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1000</w:t>
            </w:r>
          </w:p>
        </w:tc>
        <w:tc>
          <w:tcPr>
            <w:tcW w:w="1099" w:type="dxa"/>
            <w:vAlign w:val="center"/>
          </w:tcPr>
          <w:p w14:paraId="253029B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1.36E-04</w:t>
            </w:r>
          </w:p>
        </w:tc>
        <w:tc>
          <w:tcPr>
            <w:tcW w:w="1102" w:type="dxa"/>
            <w:vAlign w:val="center"/>
          </w:tcPr>
          <w:p w14:paraId="43BC421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0.07</w:t>
            </w:r>
          </w:p>
        </w:tc>
        <w:tc>
          <w:tcPr>
            <w:tcW w:w="1257" w:type="dxa"/>
            <w:vAlign w:val="center"/>
          </w:tcPr>
          <w:p w14:paraId="283F6D0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1.94E-06</w:t>
            </w:r>
          </w:p>
        </w:tc>
        <w:tc>
          <w:tcPr>
            <w:tcW w:w="1022" w:type="dxa"/>
            <w:vAlign w:val="center"/>
          </w:tcPr>
          <w:p w14:paraId="244774A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0.02</w:t>
            </w:r>
          </w:p>
        </w:tc>
        <w:tc>
          <w:tcPr>
            <w:tcW w:w="1081" w:type="dxa"/>
            <w:vAlign w:val="center"/>
          </w:tcPr>
          <w:p w14:paraId="6451DCF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2.72E-03</w:t>
            </w:r>
          </w:p>
        </w:tc>
        <w:tc>
          <w:tcPr>
            <w:tcW w:w="960" w:type="dxa"/>
            <w:vAlign w:val="center"/>
          </w:tcPr>
          <w:p w14:paraId="3397BEF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1.36</w:t>
            </w:r>
          </w:p>
        </w:tc>
        <w:tc>
          <w:tcPr>
            <w:tcW w:w="1062" w:type="dxa"/>
            <w:vAlign w:val="center"/>
          </w:tcPr>
          <w:p w14:paraId="5F85B02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3.88E-05</w:t>
            </w:r>
          </w:p>
        </w:tc>
        <w:tc>
          <w:tcPr>
            <w:tcW w:w="982" w:type="dxa"/>
            <w:vAlign w:val="center"/>
          </w:tcPr>
          <w:p w14:paraId="26C4426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0.39</w:t>
            </w:r>
          </w:p>
        </w:tc>
      </w:tr>
      <w:tr w:rsidR="00D12939" w14:paraId="7F1397E8" w14:textId="77777777">
        <w:trPr>
          <w:gridAfter w:val="1"/>
          <w:wAfter w:w="8" w:type="dxa"/>
          <w:trHeight w:val="248"/>
        </w:trPr>
        <w:tc>
          <w:tcPr>
            <w:tcW w:w="1117" w:type="dxa"/>
            <w:vAlign w:val="center"/>
          </w:tcPr>
          <w:p w14:paraId="606BD2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1200</w:t>
            </w:r>
          </w:p>
        </w:tc>
        <w:tc>
          <w:tcPr>
            <w:tcW w:w="1099" w:type="dxa"/>
            <w:vAlign w:val="center"/>
          </w:tcPr>
          <w:p w14:paraId="2371B7C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1.19E-04</w:t>
            </w:r>
          </w:p>
        </w:tc>
        <w:tc>
          <w:tcPr>
            <w:tcW w:w="1102" w:type="dxa"/>
            <w:vAlign w:val="center"/>
          </w:tcPr>
          <w:p w14:paraId="5CA3915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0.06</w:t>
            </w:r>
          </w:p>
        </w:tc>
        <w:tc>
          <w:tcPr>
            <w:tcW w:w="1257" w:type="dxa"/>
            <w:vAlign w:val="center"/>
          </w:tcPr>
          <w:p w14:paraId="0A0BF78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1.69E-06</w:t>
            </w:r>
          </w:p>
        </w:tc>
        <w:tc>
          <w:tcPr>
            <w:tcW w:w="1022" w:type="dxa"/>
            <w:vAlign w:val="center"/>
          </w:tcPr>
          <w:p w14:paraId="0824852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0.02</w:t>
            </w:r>
          </w:p>
        </w:tc>
        <w:tc>
          <w:tcPr>
            <w:tcW w:w="1081" w:type="dxa"/>
            <w:vAlign w:val="center"/>
          </w:tcPr>
          <w:p w14:paraId="7C1449E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2.38E-03</w:t>
            </w:r>
          </w:p>
        </w:tc>
        <w:tc>
          <w:tcPr>
            <w:tcW w:w="960" w:type="dxa"/>
            <w:vAlign w:val="center"/>
          </w:tcPr>
          <w:p w14:paraId="316534D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1.19</w:t>
            </w:r>
          </w:p>
        </w:tc>
        <w:tc>
          <w:tcPr>
            <w:tcW w:w="1062" w:type="dxa"/>
            <w:vAlign w:val="center"/>
          </w:tcPr>
          <w:p w14:paraId="12A8B58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3.39E-05</w:t>
            </w:r>
          </w:p>
        </w:tc>
        <w:tc>
          <w:tcPr>
            <w:tcW w:w="982" w:type="dxa"/>
            <w:vAlign w:val="center"/>
          </w:tcPr>
          <w:p w14:paraId="6D4805C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0.34</w:t>
            </w:r>
          </w:p>
        </w:tc>
      </w:tr>
      <w:tr w:rsidR="00D12939" w14:paraId="4562BB3C" w14:textId="77777777">
        <w:trPr>
          <w:gridAfter w:val="1"/>
          <w:wAfter w:w="8" w:type="dxa"/>
          <w:trHeight w:val="248"/>
        </w:trPr>
        <w:tc>
          <w:tcPr>
            <w:tcW w:w="1117" w:type="dxa"/>
            <w:vAlign w:val="center"/>
          </w:tcPr>
          <w:p w14:paraId="2DB7AB0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1400</w:t>
            </w:r>
          </w:p>
        </w:tc>
        <w:tc>
          <w:tcPr>
            <w:tcW w:w="1099" w:type="dxa"/>
            <w:vAlign w:val="center"/>
          </w:tcPr>
          <w:p w14:paraId="7A28D5E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1.06E-04</w:t>
            </w:r>
          </w:p>
        </w:tc>
        <w:tc>
          <w:tcPr>
            <w:tcW w:w="1102" w:type="dxa"/>
            <w:vAlign w:val="center"/>
          </w:tcPr>
          <w:p w14:paraId="0BA1E44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0.05</w:t>
            </w:r>
          </w:p>
        </w:tc>
        <w:tc>
          <w:tcPr>
            <w:tcW w:w="1257" w:type="dxa"/>
            <w:vAlign w:val="center"/>
          </w:tcPr>
          <w:p w14:paraId="5CBEE22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1.52E-06</w:t>
            </w:r>
          </w:p>
        </w:tc>
        <w:tc>
          <w:tcPr>
            <w:tcW w:w="1022" w:type="dxa"/>
            <w:vAlign w:val="center"/>
          </w:tcPr>
          <w:p w14:paraId="21F645F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0.02</w:t>
            </w:r>
          </w:p>
        </w:tc>
        <w:tc>
          <w:tcPr>
            <w:tcW w:w="1081" w:type="dxa"/>
            <w:vAlign w:val="center"/>
          </w:tcPr>
          <w:p w14:paraId="7FE6C1C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2.13E-03</w:t>
            </w:r>
          </w:p>
        </w:tc>
        <w:tc>
          <w:tcPr>
            <w:tcW w:w="960" w:type="dxa"/>
            <w:vAlign w:val="center"/>
          </w:tcPr>
          <w:p w14:paraId="52A4360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1.07</w:t>
            </w:r>
          </w:p>
        </w:tc>
        <w:tc>
          <w:tcPr>
            <w:tcW w:w="1062" w:type="dxa"/>
            <w:vAlign w:val="center"/>
          </w:tcPr>
          <w:p w14:paraId="00BA4CE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3.04E-05</w:t>
            </w:r>
          </w:p>
        </w:tc>
        <w:tc>
          <w:tcPr>
            <w:tcW w:w="982" w:type="dxa"/>
            <w:vAlign w:val="center"/>
          </w:tcPr>
          <w:p w14:paraId="06249B3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0.30</w:t>
            </w:r>
          </w:p>
        </w:tc>
      </w:tr>
      <w:tr w:rsidR="00D12939" w14:paraId="5DB2503D" w14:textId="77777777">
        <w:trPr>
          <w:gridAfter w:val="1"/>
          <w:wAfter w:w="8" w:type="dxa"/>
          <w:trHeight w:val="260"/>
        </w:trPr>
        <w:tc>
          <w:tcPr>
            <w:tcW w:w="1117" w:type="dxa"/>
            <w:vAlign w:val="center"/>
          </w:tcPr>
          <w:p w14:paraId="77B5CB9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1600</w:t>
            </w:r>
          </w:p>
        </w:tc>
        <w:tc>
          <w:tcPr>
            <w:tcW w:w="1099" w:type="dxa"/>
            <w:vAlign w:val="center"/>
          </w:tcPr>
          <w:p w14:paraId="1451265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1.03E-04</w:t>
            </w:r>
          </w:p>
        </w:tc>
        <w:tc>
          <w:tcPr>
            <w:tcW w:w="1102" w:type="dxa"/>
            <w:vAlign w:val="center"/>
          </w:tcPr>
          <w:p w14:paraId="0837DB0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0.05</w:t>
            </w:r>
          </w:p>
        </w:tc>
        <w:tc>
          <w:tcPr>
            <w:tcW w:w="1257" w:type="dxa"/>
            <w:vAlign w:val="center"/>
          </w:tcPr>
          <w:p w14:paraId="61D9663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1.47E-06</w:t>
            </w:r>
          </w:p>
        </w:tc>
        <w:tc>
          <w:tcPr>
            <w:tcW w:w="1022" w:type="dxa"/>
            <w:vAlign w:val="center"/>
          </w:tcPr>
          <w:p w14:paraId="6C33364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w:t>
            </w:r>
          </w:p>
        </w:tc>
        <w:tc>
          <w:tcPr>
            <w:tcW w:w="1081" w:type="dxa"/>
            <w:vAlign w:val="center"/>
          </w:tcPr>
          <w:p w14:paraId="03B71E8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2.07E-03</w:t>
            </w:r>
          </w:p>
        </w:tc>
        <w:tc>
          <w:tcPr>
            <w:tcW w:w="960" w:type="dxa"/>
            <w:vAlign w:val="center"/>
          </w:tcPr>
          <w:p w14:paraId="231A48D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1.04</w:t>
            </w:r>
          </w:p>
        </w:tc>
        <w:tc>
          <w:tcPr>
            <w:tcW w:w="1062" w:type="dxa"/>
            <w:vAlign w:val="center"/>
          </w:tcPr>
          <w:p w14:paraId="4269B50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2.96E-05</w:t>
            </w:r>
          </w:p>
        </w:tc>
        <w:tc>
          <w:tcPr>
            <w:tcW w:w="982" w:type="dxa"/>
            <w:vAlign w:val="center"/>
          </w:tcPr>
          <w:p w14:paraId="6C53961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0.30</w:t>
            </w:r>
          </w:p>
        </w:tc>
      </w:tr>
      <w:tr w:rsidR="00D12939" w14:paraId="4B01AF68" w14:textId="77777777">
        <w:trPr>
          <w:gridAfter w:val="1"/>
          <w:wAfter w:w="8" w:type="dxa"/>
          <w:trHeight w:val="248"/>
        </w:trPr>
        <w:tc>
          <w:tcPr>
            <w:tcW w:w="1117" w:type="dxa"/>
            <w:vAlign w:val="center"/>
          </w:tcPr>
          <w:p w14:paraId="1CBD2A7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1800</w:t>
            </w:r>
          </w:p>
        </w:tc>
        <w:tc>
          <w:tcPr>
            <w:tcW w:w="1099" w:type="dxa"/>
            <w:vAlign w:val="center"/>
          </w:tcPr>
          <w:p w14:paraId="2013368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9.92E-05</w:t>
            </w:r>
          </w:p>
        </w:tc>
        <w:tc>
          <w:tcPr>
            <w:tcW w:w="1102" w:type="dxa"/>
            <w:vAlign w:val="center"/>
          </w:tcPr>
          <w:p w14:paraId="1C1FB95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0.05</w:t>
            </w:r>
          </w:p>
        </w:tc>
        <w:tc>
          <w:tcPr>
            <w:tcW w:w="1257" w:type="dxa"/>
            <w:vAlign w:val="center"/>
          </w:tcPr>
          <w:p w14:paraId="08158EA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1.42E-06</w:t>
            </w:r>
          </w:p>
        </w:tc>
        <w:tc>
          <w:tcPr>
            <w:tcW w:w="1022" w:type="dxa"/>
            <w:vAlign w:val="center"/>
          </w:tcPr>
          <w:p w14:paraId="3E0E6CE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w:t>
            </w:r>
          </w:p>
        </w:tc>
        <w:tc>
          <w:tcPr>
            <w:tcW w:w="1081" w:type="dxa"/>
            <w:vAlign w:val="center"/>
          </w:tcPr>
          <w:p w14:paraId="4A753B7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1.99E-03</w:t>
            </w:r>
          </w:p>
        </w:tc>
        <w:tc>
          <w:tcPr>
            <w:tcW w:w="960" w:type="dxa"/>
            <w:vAlign w:val="center"/>
          </w:tcPr>
          <w:p w14:paraId="0E76A0F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0.99</w:t>
            </w:r>
          </w:p>
        </w:tc>
        <w:tc>
          <w:tcPr>
            <w:tcW w:w="1062" w:type="dxa"/>
            <w:vAlign w:val="center"/>
          </w:tcPr>
          <w:p w14:paraId="7809022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2.84E-05</w:t>
            </w:r>
          </w:p>
        </w:tc>
        <w:tc>
          <w:tcPr>
            <w:tcW w:w="982" w:type="dxa"/>
            <w:vAlign w:val="center"/>
          </w:tcPr>
          <w:p w14:paraId="0CA5AD9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0.28</w:t>
            </w:r>
          </w:p>
        </w:tc>
      </w:tr>
      <w:tr w:rsidR="00D12939" w14:paraId="08386746" w14:textId="77777777">
        <w:trPr>
          <w:gridAfter w:val="1"/>
          <w:wAfter w:w="8" w:type="dxa"/>
          <w:trHeight w:val="248"/>
        </w:trPr>
        <w:tc>
          <w:tcPr>
            <w:tcW w:w="1117" w:type="dxa"/>
            <w:vAlign w:val="center"/>
          </w:tcPr>
          <w:p w14:paraId="1AB307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2000</w:t>
            </w:r>
          </w:p>
        </w:tc>
        <w:tc>
          <w:tcPr>
            <w:tcW w:w="1099" w:type="dxa"/>
            <w:vAlign w:val="center"/>
          </w:tcPr>
          <w:p w14:paraId="6121F7C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9.47E-05</w:t>
            </w:r>
          </w:p>
        </w:tc>
        <w:tc>
          <w:tcPr>
            <w:tcW w:w="1102" w:type="dxa"/>
            <w:vAlign w:val="center"/>
          </w:tcPr>
          <w:p w14:paraId="6F2C664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0.05</w:t>
            </w:r>
          </w:p>
        </w:tc>
        <w:tc>
          <w:tcPr>
            <w:tcW w:w="1257" w:type="dxa"/>
            <w:vAlign w:val="center"/>
          </w:tcPr>
          <w:p w14:paraId="155BFCA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1.35E-06</w:t>
            </w:r>
          </w:p>
        </w:tc>
        <w:tc>
          <w:tcPr>
            <w:tcW w:w="1022" w:type="dxa"/>
            <w:vAlign w:val="center"/>
          </w:tcPr>
          <w:p w14:paraId="04F90E5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w:t>
            </w:r>
          </w:p>
        </w:tc>
        <w:tc>
          <w:tcPr>
            <w:tcW w:w="1081" w:type="dxa"/>
            <w:vAlign w:val="center"/>
          </w:tcPr>
          <w:p w14:paraId="61A8718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1.90E-03</w:t>
            </w:r>
          </w:p>
        </w:tc>
        <w:tc>
          <w:tcPr>
            <w:tcW w:w="960" w:type="dxa"/>
            <w:vAlign w:val="center"/>
          </w:tcPr>
          <w:p w14:paraId="16192CC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0.95</w:t>
            </w:r>
          </w:p>
        </w:tc>
        <w:tc>
          <w:tcPr>
            <w:tcW w:w="1062" w:type="dxa"/>
            <w:vAlign w:val="center"/>
          </w:tcPr>
          <w:p w14:paraId="5ED7A01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2.71E-05</w:t>
            </w:r>
          </w:p>
        </w:tc>
        <w:tc>
          <w:tcPr>
            <w:tcW w:w="982" w:type="dxa"/>
            <w:vAlign w:val="center"/>
          </w:tcPr>
          <w:p w14:paraId="11265FD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0.27</w:t>
            </w:r>
          </w:p>
        </w:tc>
      </w:tr>
      <w:tr w:rsidR="00D12939" w14:paraId="2DCF5219" w14:textId="77777777">
        <w:trPr>
          <w:gridAfter w:val="1"/>
          <w:wAfter w:w="8" w:type="dxa"/>
          <w:trHeight w:val="248"/>
        </w:trPr>
        <w:tc>
          <w:tcPr>
            <w:tcW w:w="1117" w:type="dxa"/>
            <w:vAlign w:val="center"/>
          </w:tcPr>
          <w:p w14:paraId="76DE8E9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2250</w:t>
            </w:r>
          </w:p>
        </w:tc>
        <w:tc>
          <w:tcPr>
            <w:tcW w:w="1099" w:type="dxa"/>
            <w:vAlign w:val="center"/>
          </w:tcPr>
          <w:p w14:paraId="53103BF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8.91E-05</w:t>
            </w:r>
          </w:p>
        </w:tc>
        <w:tc>
          <w:tcPr>
            <w:tcW w:w="1102" w:type="dxa"/>
            <w:vAlign w:val="center"/>
          </w:tcPr>
          <w:p w14:paraId="30D99D7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257" w:type="dxa"/>
            <w:vAlign w:val="center"/>
          </w:tcPr>
          <w:p w14:paraId="277BC30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1.27E-06</w:t>
            </w:r>
          </w:p>
        </w:tc>
        <w:tc>
          <w:tcPr>
            <w:tcW w:w="1022" w:type="dxa"/>
            <w:vAlign w:val="center"/>
          </w:tcPr>
          <w:p w14:paraId="51F62F6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w:t>
            </w:r>
          </w:p>
        </w:tc>
        <w:tc>
          <w:tcPr>
            <w:tcW w:w="1081" w:type="dxa"/>
            <w:vAlign w:val="center"/>
          </w:tcPr>
          <w:p w14:paraId="6C86257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1.79E-03</w:t>
            </w:r>
          </w:p>
        </w:tc>
        <w:tc>
          <w:tcPr>
            <w:tcW w:w="960" w:type="dxa"/>
            <w:vAlign w:val="center"/>
          </w:tcPr>
          <w:p w14:paraId="7157266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0.89</w:t>
            </w:r>
          </w:p>
        </w:tc>
        <w:tc>
          <w:tcPr>
            <w:tcW w:w="1062" w:type="dxa"/>
            <w:vAlign w:val="center"/>
          </w:tcPr>
          <w:p w14:paraId="3769533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2.55E-05</w:t>
            </w:r>
          </w:p>
        </w:tc>
        <w:tc>
          <w:tcPr>
            <w:tcW w:w="982" w:type="dxa"/>
            <w:vAlign w:val="center"/>
          </w:tcPr>
          <w:p w14:paraId="5EA9A94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0.25</w:t>
            </w:r>
          </w:p>
        </w:tc>
      </w:tr>
      <w:tr w:rsidR="00D12939" w14:paraId="6596A245" w14:textId="77777777">
        <w:trPr>
          <w:gridAfter w:val="1"/>
          <w:wAfter w:w="8" w:type="dxa"/>
          <w:trHeight w:val="260"/>
        </w:trPr>
        <w:tc>
          <w:tcPr>
            <w:tcW w:w="1117" w:type="dxa"/>
            <w:vAlign w:val="center"/>
          </w:tcPr>
          <w:p w14:paraId="058D4BF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2500</w:t>
            </w:r>
          </w:p>
        </w:tc>
        <w:tc>
          <w:tcPr>
            <w:tcW w:w="1099" w:type="dxa"/>
            <w:vAlign w:val="center"/>
          </w:tcPr>
          <w:p w14:paraId="18A930F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8.36E-05</w:t>
            </w:r>
          </w:p>
        </w:tc>
        <w:tc>
          <w:tcPr>
            <w:tcW w:w="1102" w:type="dxa"/>
            <w:vAlign w:val="center"/>
          </w:tcPr>
          <w:p w14:paraId="2DC8E1A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0.04</w:t>
            </w:r>
          </w:p>
        </w:tc>
        <w:tc>
          <w:tcPr>
            <w:tcW w:w="1257" w:type="dxa"/>
            <w:vAlign w:val="center"/>
          </w:tcPr>
          <w:p w14:paraId="0E84AC2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1.19E-06</w:t>
            </w:r>
          </w:p>
        </w:tc>
        <w:tc>
          <w:tcPr>
            <w:tcW w:w="1022" w:type="dxa"/>
            <w:vAlign w:val="center"/>
          </w:tcPr>
          <w:p w14:paraId="12CD967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0.01</w:t>
            </w:r>
          </w:p>
        </w:tc>
        <w:tc>
          <w:tcPr>
            <w:tcW w:w="1081" w:type="dxa"/>
            <w:vAlign w:val="center"/>
          </w:tcPr>
          <w:p w14:paraId="7411E01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1.68E-03</w:t>
            </w:r>
          </w:p>
        </w:tc>
        <w:tc>
          <w:tcPr>
            <w:tcW w:w="960" w:type="dxa"/>
            <w:vAlign w:val="center"/>
          </w:tcPr>
          <w:p w14:paraId="6CCFC20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0.84</w:t>
            </w:r>
          </w:p>
        </w:tc>
        <w:tc>
          <w:tcPr>
            <w:tcW w:w="1062" w:type="dxa"/>
            <w:vAlign w:val="center"/>
          </w:tcPr>
          <w:p w14:paraId="79536C5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2.39E-05</w:t>
            </w:r>
          </w:p>
        </w:tc>
        <w:tc>
          <w:tcPr>
            <w:tcW w:w="982" w:type="dxa"/>
            <w:vAlign w:val="center"/>
          </w:tcPr>
          <w:p w14:paraId="10714CA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0.24</w:t>
            </w:r>
          </w:p>
        </w:tc>
      </w:tr>
    </w:tbl>
    <w:p w14:paraId="5EDC17B7" w14:textId="77777777" w:rsidR="00D12939" w:rsidRDefault="004F47F5">
      <w:pPr>
        <w:adjustRightInd w:val="0"/>
        <w:snapToGrid w:val="0"/>
        <w:spacing w:line="360" w:lineRule="auto"/>
        <w:ind w:firstLine="480"/>
      </w:pPr>
      <w:r>
        <w:rPr>
          <w:rFonts w:ascii="Times New Roman" w:eastAsia="宋体" w:hAnsi="Times New Roman" w:cs="Times New Roman"/>
          <w:sz w:val="24"/>
        </w:rPr>
        <w:lastRenderedPageBreak/>
        <w:t>从表</w:t>
      </w:r>
      <w:r>
        <w:rPr>
          <w:rFonts w:ascii="Times New Roman" w:eastAsia="宋体" w:hAnsi="Times New Roman" w:cs="Times New Roman"/>
          <w:sz w:val="24"/>
        </w:rPr>
        <w:t>7.1-7</w:t>
      </w:r>
      <w:r>
        <w:rPr>
          <w:rFonts w:ascii="Times New Roman" w:eastAsia="宋体" w:hAnsi="Times New Roman" w:cs="Times New Roman"/>
          <w:sz w:val="24"/>
        </w:rPr>
        <w:t>可知，正常工况下，</w:t>
      </w:r>
      <w:r>
        <w:rPr>
          <w:rFonts w:ascii="Times New Roman" w:eastAsia="宋体" w:hAnsi="Times New Roman" w:cs="Times New Roman" w:hint="eastAsia"/>
          <w:sz w:val="24"/>
        </w:rPr>
        <w:t>填埋气体经过火炬燃烧</w:t>
      </w:r>
      <w:r>
        <w:rPr>
          <w:rFonts w:ascii="Times New Roman" w:eastAsia="宋体" w:hAnsi="Times New Roman" w:cs="Times New Roman"/>
          <w:sz w:val="24"/>
        </w:rPr>
        <w:t>SO</w:t>
      </w:r>
      <w:r>
        <w:rPr>
          <w:rFonts w:ascii="Times New Roman" w:eastAsia="宋体" w:hAnsi="Times New Roman" w:cs="Times New Roman"/>
          <w:sz w:val="24"/>
          <w:vertAlign w:val="subscript"/>
        </w:rPr>
        <w:t>2</w:t>
      </w:r>
      <w:r>
        <w:rPr>
          <w:rFonts w:ascii="Times New Roman" w:eastAsia="宋体" w:hAnsi="Times New Roman" w:cs="Times New Roman"/>
          <w:sz w:val="24"/>
        </w:rPr>
        <w:t>最大浓度为</w:t>
      </w:r>
      <w:r>
        <w:rPr>
          <w:rFonts w:ascii="Times New Roman" w:eastAsia="宋体" w:hAnsi="Times New Roman" w:cs="Times New Roman"/>
          <w:sz w:val="24"/>
          <w:szCs w:val="24"/>
        </w:rPr>
        <w:t>4.81E-04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0.10%</w:t>
      </w:r>
      <w:r>
        <w:rPr>
          <w:rFonts w:ascii="Times New Roman" w:eastAsia="宋体" w:hAnsi="Times New Roman" w:cs="Times New Roman"/>
          <w:sz w:val="24"/>
          <w:szCs w:val="24"/>
        </w:rPr>
        <w:t>；</w:t>
      </w:r>
      <w:r>
        <w:rPr>
          <w:rFonts w:ascii="Times New Roman" w:eastAsia="宋体" w:hAnsi="Times New Roman" w:cs="Times New Roman" w:hint="eastAsia"/>
          <w:sz w:val="24"/>
          <w:szCs w:val="24"/>
        </w:rPr>
        <w:t>N</w:t>
      </w:r>
      <w:r>
        <w:rPr>
          <w:rFonts w:ascii="Times New Roman" w:eastAsia="宋体" w:hAnsi="Times New Roman" w:cs="Times New Roman"/>
          <w:sz w:val="24"/>
          <w:szCs w:val="24"/>
        </w:rPr>
        <w:t>O</w:t>
      </w:r>
      <w:r>
        <w:rPr>
          <w:rFonts w:ascii="Times New Roman" w:eastAsia="宋体" w:hAnsi="Times New Roman" w:cs="Times New Roman"/>
          <w:sz w:val="24"/>
          <w:szCs w:val="24"/>
          <w:vertAlign w:val="subscript"/>
        </w:rPr>
        <w:t>X</w:t>
      </w:r>
      <w:r>
        <w:rPr>
          <w:rFonts w:ascii="Times New Roman" w:eastAsia="宋体" w:hAnsi="Times New Roman" w:cs="Times New Roman"/>
          <w:sz w:val="24"/>
          <w:szCs w:val="24"/>
        </w:rPr>
        <w:t>最大浓度为</w:t>
      </w:r>
      <w:r>
        <w:rPr>
          <w:rFonts w:ascii="Times New Roman" w:eastAsia="宋体" w:hAnsi="Times New Roman" w:cs="Times New Roman"/>
          <w:sz w:val="24"/>
          <w:szCs w:val="24"/>
        </w:rPr>
        <w:t>2.57E-03</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1.28%</w:t>
      </w:r>
      <w:r>
        <w:rPr>
          <w:rFonts w:ascii="Times New Roman" w:eastAsia="宋体" w:hAnsi="Times New Roman" w:cs="Times New Roman"/>
          <w:sz w:val="24"/>
        </w:rPr>
        <w:t xml:space="preserve"> </w:t>
      </w:r>
      <w:r>
        <w:rPr>
          <w:rFonts w:ascii="Times New Roman" w:eastAsia="宋体" w:hAnsi="Times New Roman" w:cs="Times New Roman" w:hint="eastAsia"/>
          <w:sz w:val="24"/>
        </w:rPr>
        <w:t>，</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4.28E-03</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2.14%</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56m</w:t>
      </w:r>
      <w:r>
        <w:rPr>
          <w:rFonts w:ascii="Times New Roman" w:eastAsia="宋体" w:hAnsi="Times New Roman" w:cs="Times New Roman"/>
          <w:sz w:val="24"/>
        </w:rPr>
        <w:t>处。根据工程分析，</w:t>
      </w:r>
      <w:r>
        <w:rPr>
          <w:rFonts w:ascii="Times New Roman" w:eastAsia="宋体" w:hAnsi="Times New Roman" w:cs="Times New Roman"/>
          <w:sz w:val="24"/>
        </w:rPr>
        <w:t>SO</w:t>
      </w:r>
      <w:r>
        <w:rPr>
          <w:rFonts w:ascii="Times New Roman" w:eastAsia="宋体" w:hAnsi="Times New Roman" w:cs="Times New Roman"/>
          <w:sz w:val="24"/>
          <w:vertAlign w:val="subscript"/>
        </w:rPr>
        <w:t>2</w:t>
      </w:r>
      <w:r>
        <w:rPr>
          <w:rFonts w:ascii="Times New Roman" w:eastAsia="宋体" w:hAnsi="Times New Roman" w:cs="Times New Roman"/>
          <w:sz w:val="24"/>
        </w:rPr>
        <w:t>排放浓度</w:t>
      </w:r>
      <w:r>
        <w:rPr>
          <w:rFonts w:ascii="Times New Roman" w:eastAsia="宋体" w:hAnsi="Times New Roman" w:cs="Times New Roman"/>
          <w:sz w:val="24"/>
        </w:rPr>
        <w:t>25.48mg/m</w:t>
      </w:r>
      <w:r>
        <w:rPr>
          <w:rFonts w:ascii="Times New Roman" w:eastAsia="宋体" w:hAnsi="Times New Roman" w:cs="Times New Roman"/>
          <w:sz w:val="24"/>
          <w:vertAlign w:val="superscript"/>
        </w:rPr>
        <w:t>3</w:t>
      </w:r>
      <w:r>
        <w:rPr>
          <w:rFonts w:ascii="Times New Roman" w:eastAsia="宋体" w:hAnsi="Times New Roman" w:cs="Times New Roman"/>
          <w:sz w:val="24"/>
        </w:rPr>
        <w:t>，排放速率</w:t>
      </w:r>
      <w:r>
        <w:rPr>
          <w:rFonts w:ascii="Times New Roman" w:eastAsia="宋体" w:hAnsi="Times New Roman" w:cs="Times New Roman"/>
          <w:snapToGrid w:val="0"/>
          <w:sz w:val="24"/>
        </w:rPr>
        <w:t>0.009</w:t>
      </w:r>
      <w:r>
        <w:rPr>
          <w:rFonts w:ascii="Times New Roman" w:eastAsia="宋体" w:hAnsi="Times New Roman" w:cs="Times New Roman"/>
          <w:sz w:val="24"/>
        </w:rPr>
        <w:t>kg/h</w:t>
      </w:r>
      <w:r>
        <w:rPr>
          <w:rFonts w:ascii="Times New Roman" w:eastAsia="宋体" w:hAnsi="Times New Roman" w:cs="Times New Roman"/>
          <w:sz w:val="24"/>
        </w:rPr>
        <w:t>；</w:t>
      </w:r>
      <w:r>
        <w:rPr>
          <w:rFonts w:ascii="Times New Roman" w:eastAsia="宋体" w:hAnsi="Times New Roman" w:cs="Times New Roman"/>
          <w:sz w:val="24"/>
        </w:rPr>
        <w:t>NOx</w:t>
      </w:r>
      <w:r>
        <w:rPr>
          <w:rFonts w:ascii="Times New Roman" w:eastAsia="宋体" w:hAnsi="Times New Roman" w:cs="Times New Roman"/>
          <w:sz w:val="24"/>
        </w:rPr>
        <w:t>排放浓度</w:t>
      </w:r>
      <w:r>
        <w:rPr>
          <w:rFonts w:ascii="Times New Roman" w:eastAsia="宋体" w:hAnsi="Times New Roman" w:cs="Times New Roman"/>
          <w:sz w:val="24"/>
        </w:rPr>
        <w:t>137mg/m</w:t>
      </w:r>
      <w:r>
        <w:rPr>
          <w:rFonts w:ascii="Times New Roman" w:eastAsia="宋体" w:hAnsi="Times New Roman" w:cs="Times New Roman"/>
          <w:sz w:val="24"/>
          <w:vertAlign w:val="superscript"/>
        </w:rPr>
        <w:t>3</w:t>
      </w:r>
      <w:r>
        <w:rPr>
          <w:rFonts w:ascii="Times New Roman" w:eastAsia="宋体" w:hAnsi="Times New Roman" w:cs="Times New Roman"/>
          <w:sz w:val="24"/>
        </w:rPr>
        <w:t>，排放速率</w:t>
      </w:r>
      <w:r>
        <w:rPr>
          <w:rFonts w:ascii="Times New Roman" w:eastAsia="宋体" w:hAnsi="Times New Roman" w:cs="Times New Roman"/>
          <w:sz w:val="24"/>
        </w:rPr>
        <w:t>0.048kg/h</w:t>
      </w:r>
      <w:r>
        <w:rPr>
          <w:rFonts w:ascii="Times New Roman" w:eastAsia="宋体" w:hAnsi="Times New Roman" w:cs="Times New Roman"/>
          <w:sz w:val="24"/>
        </w:rPr>
        <w:t>，均符合《大气污染物综合排放标准》（</w:t>
      </w:r>
      <w:r>
        <w:rPr>
          <w:rFonts w:ascii="Times New Roman" w:eastAsia="宋体" w:hAnsi="Times New Roman" w:cs="Times New Roman"/>
          <w:sz w:val="24"/>
        </w:rPr>
        <w:t>GB16297-1996</w:t>
      </w:r>
      <w:r>
        <w:rPr>
          <w:rFonts w:ascii="Times New Roman" w:eastAsia="宋体" w:hAnsi="Times New Roman" w:cs="Times New Roman"/>
          <w:sz w:val="24"/>
        </w:rPr>
        <w:t>）表</w:t>
      </w:r>
      <w:r>
        <w:rPr>
          <w:rFonts w:ascii="Times New Roman" w:eastAsia="宋体" w:hAnsi="Times New Roman" w:cs="Times New Roman"/>
          <w:sz w:val="24"/>
        </w:rPr>
        <w:t>2</w:t>
      </w:r>
      <w:r>
        <w:rPr>
          <w:rFonts w:ascii="Times New Roman" w:eastAsia="宋体" w:hAnsi="Times New Roman" w:cs="Times New Roman"/>
          <w:sz w:val="24"/>
        </w:rPr>
        <w:t>中新污染物排放浓度和排放速率二级标准要求：</w:t>
      </w:r>
      <w:r>
        <w:rPr>
          <w:rFonts w:ascii="Times New Roman" w:eastAsia="宋体" w:hAnsi="Times New Roman" w:cs="Times New Roman"/>
          <w:sz w:val="24"/>
        </w:rPr>
        <w:t>SO</w:t>
      </w:r>
      <w:r>
        <w:rPr>
          <w:rFonts w:ascii="Times New Roman" w:eastAsia="宋体" w:hAnsi="Times New Roman" w:cs="Times New Roman"/>
          <w:sz w:val="24"/>
          <w:vertAlign w:val="subscript"/>
        </w:rPr>
        <w:t>2</w:t>
      </w:r>
      <w:r>
        <w:rPr>
          <w:rFonts w:ascii="Times New Roman" w:eastAsia="宋体" w:hAnsi="Times New Roman" w:cs="Times New Roman"/>
          <w:sz w:val="24"/>
        </w:rPr>
        <w:t>最高允许排放浓度</w:t>
      </w:r>
      <w:r>
        <w:rPr>
          <w:rFonts w:ascii="Times New Roman" w:eastAsia="宋体" w:hAnsi="Times New Roman" w:cs="Times New Roman"/>
          <w:sz w:val="24"/>
        </w:rPr>
        <w:t>550mg/m</w:t>
      </w:r>
      <w:r>
        <w:rPr>
          <w:rFonts w:ascii="Times New Roman" w:eastAsia="宋体" w:hAnsi="Times New Roman" w:cs="Times New Roman"/>
          <w:sz w:val="24"/>
          <w:vertAlign w:val="superscript"/>
        </w:rPr>
        <w:t>3</w:t>
      </w:r>
      <w:r>
        <w:rPr>
          <w:rFonts w:ascii="Times New Roman" w:eastAsia="宋体" w:hAnsi="Times New Roman" w:cs="Times New Roman"/>
          <w:sz w:val="24"/>
        </w:rPr>
        <w:t>，</w:t>
      </w:r>
      <w:r>
        <w:rPr>
          <w:rFonts w:ascii="Times New Roman" w:eastAsia="宋体" w:hAnsi="Times New Roman" w:cs="Times New Roman"/>
          <w:sz w:val="24"/>
        </w:rPr>
        <w:t>15m</w:t>
      </w:r>
      <w:r>
        <w:rPr>
          <w:rFonts w:ascii="Times New Roman" w:eastAsia="宋体" w:hAnsi="Times New Roman" w:cs="Times New Roman"/>
          <w:sz w:val="24"/>
        </w:rPr>
        <w:t>高排气筒最高允许排放速率</w:t>
      </w:r>
      <w:r>
        <w:rPr>
          <w:rFonts w:ascii="Times New Roman" w:eastAsia="宋体" w:hAnsi="Times New Roman" w:cs="Times New Roman"/>
          <w:sz w:val="24"/>
        </w:rPr>
        <w:t>2.6kg/h</w:t>
      </w:r>
      <w:r>
        <w:rPr>
          <w:rFonts w:ascii="Times New Roman" w:eastAsia="宋体" w:hAnsi="Times New Roman" w:cs="Times New Roman"/>
          <w:sz w:val="24"/>
        </w:rPr>
        <w:t>；</w:t>
      </w:r>
      <w:r>
        <w:rPr>
          <w:rFonts w:ascii="Times New Roman" w:eastAsia="宋体" w:hAnsi="Times New Roman" w:cs="Times New Roman"/>
          <w:sz w:val="24"/>
        </w:rPr>
        <w:t>NOx</w:t>
      </w:r>
      <w:r>
        <w:rPr>
          <w:rFonts w:ascii="Times New Roman" w:eastAsia="宋体" w:hAnsi="Times New Roman" w:cs="Times New Roman"/>
          <w:sz w:val="24"/>
        </w:rPr>
        <w:t>最高允许排放浓度</w:t>
      </w:r>
      <w:r>
        <w:rPr>
          <w:rFonts w:ascii="Times New Roman" w:eastAsia="宋体" w:hAnsi="Times New Roman" w:cs="Times New Roman"/>
          <w:sz w:val="24"/>
        </w:rPr>
        <w:t>240mg/m</w:t>
      </w:r>
      <w:r>
        <w:rPr>
          <w:rFonts w:ascii="Times New Roman" w:eastAsia="宋体" w:hAnsi="Times New Roman" w:cs="Times New Roman"/>
          <w:sz w:val="24"/>
          <w:vertAlign w:val="superscript"/>
        </w:rPr>
        <w:t>3</w:t>
      </w:r>
      <w:r>
        <w:rPr>
          <w:rFonts w:ascii="Times New Roman" w:eastAsia="宋体" w:hAnsi="Times New Roman" w:cs="Times New Roman"/>
          <w:sz w:val="24"/>
        </w:rPr>
        <w:t>，</w:t>
      </w:r>
      <w:r>
        <w:rPr>
          <w:rFonts w:ascii="Times New Roman" w:eastAsia="宋体" w:hAnsi="Times New Roman" w:cs="Times New Roman"/>
          <w:sz w:val="24"/>
        </w:rPr>
        <w:t>15m</w:t>
      </w:r>
      <w:r>
        <w:rPr>
          <w:rFonts w:ascii="Times New Roman" w:eastAsia="宋体" w:hAnsi="Times New Roman" w:cs="Times New Roman"/>
          <w:sz w:val="24"/>
        </w:rPr>
        <w:t>高排气筒最高允许排放速率</w:t>
      </w:r>
      <w:r>
        <w:rPr>
          <w:rFonts w:ascii="Times New Roman" w:eastAsia="宋体" w:hAnsi="Times New Roman" w:cs="Times New Roman"/>
          <w:sz w:val="24"/>
        </w:rPr>
        <w:t>0.77kg/h</w:t>
      </w:r>
      <w:r>
        <w:rPr>
          <w:rFonts w:ascii="Times New Roman" w:eastAsia="宋体" w:hAnsi="Times New Roman" w:cs="Times New Roman"/>
          <w:sz w:val="24"/>
        </w:rPr>
        <w:t>。</w:t>
      </w:r>
    </w:p>
    <w:p w14:paraId="3C86C1D7"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从表</w:t>
      </w:r>
      <w:r>
        <w:rPr>
          <w:rFonts w:ascii="Times New Roman" w:eastAsia="宋体" w:hAnsi="Times New Roman" w:cs="Times New Roman"/>
          <w:sz w:val="24"/>
        </w:rPr>
        <w:t>7.1-8</w:t>
      </w:r>
      <w:r>
        <w:rPr>
          <w:rFonts w:ascii="Times New Roman" w:eastAsia="宋体" w:hAnsi="Times New Roman" w:cs="Times New Roman"/>
          <w:sz w:val="24"/>
        </w:rPr>
        <w:t>可知，</w:t>
      </w:r>
      <w:r>
        <w:rPr>
          <w:rFonts w:ascii="Times New Roman" w:eastAsia="宋体" w:hAnsi="Times New Roman" w:cs="Times New Roman" w:hint="eastAsia"/>
          <w:sz w:val="24"/>
        </w:rPr>
        <w:t>调节池和渗滤液处理站除臭系统正常工况下，</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5.50E-04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0.28%</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7.86E-06</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0.08%</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123m</w:t>
      </w:r>
      <w:r>
        <w:rPr>
          <w:rFonts w:ascii="Times New Roman" w:eastAsia="宋体" w:hAnsi="Times New Roman" w:cs="Times New Roman"/>
          <w:sz w:val="24"/>
        </w:rPr>
        <w:t>处。项目所在地下风向各</w:t>
      </w:r>
      <w:r>
        <w:rPr>
          <w:rFonts w:ascii="Times New Roman" w:eastAsia="宋体" w:hAnsi="Times New Roman" w:cs="Times New Roman" w:hint="eastAsia"/>
          <w:sz w:val="24"/>
        </w:rPr>
        <w:t>污染物</w:t>
      </w:r>
      <w:r>
        <w:rPr>
          <w:rFonts w:ascii="Times New Roman" w:eastAsia="宋体" w:hAnsi="Times New Roman" w:cs="Times New Roman"/>
          <w:sz w:val="24"/>
        </w:rPr>
        <w:t>的</w:t>
      </w:r>
      <w:r>
        <w:rPr>
          <w:rFonts w:ascii="Times New Roman" w:eastAsia="宋体" w:hAnsi="Times New Roman" w:cs="Times New Roman" w:hint="eastAsia"/>
          <w:sz w:val="24"/>
        </w:rPr>
        <w:t>预测最大落地</w:t>
      </w:r>
      <w:r>
        <w:rPr>
          <w:rFonts w:ascii="Times New Roman" w:eastAsia="宋体" w:hAnsi="Times New Roman" w:cs="Times New Roman"/>
          <w:sz w:val="24"/>
        </w:rPr>
        <w:t>浓度值均满足《环境影响评价技术导则</w:t>
      </w:r>
      <w:r>
        <w:rPr>
          <w:rFonts w:ascii="Times New Roman" w:eastAsia="宋体" w:hAnsi="Times New Roman" w:cs="Times New Roman"/>
          <w:sz w:val="24"/>
        </w:rPr>
        <w:t>·</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）附录</w:t>
      </w:r>
      <w:r>
        <w:rPr>
          <w:rFonts w:ascii="Times New Roman" w:eastAsia="宋体" w:hAnsi="Times New Roman" w:cs="Times New Roman"/>
          <w:sz w:val="24"/>
        </w:rPr>
        <w:t>D</w:t>
      </w:r>
      <w:r>
        <w:rPr>
          <w:rFonts w:ascii="Times New Roman" w:eastAsia="宋体" w:hAnsi="Times New Roman" w:cs="Times New Roman" w:hint="eastAsia"/>
          <w:sz w:val="24"/>
        </w:rPr>
        <w:t>，</w:t>
      </w:r>
      <w:r>
        <w:rPr>
          <w:rFonts w:ascii="Times New Roman" w:eastAsia="宋体" w:hAnsi="Times New Roman" w:cs="Times New Roman"/>
          <w:sz w:val="24"/>
        </w:rPr>
        <w:t>因此</w:t>
      </w:r>
      <w:r>
        <w:rPr>
          <w:rFonts w:ascii="Times New Roman" w:eastAsia="宋体" w:hAnsi="Times New Roman" w:cs="Times New Roman" w:hint="eastAsia"/>
          <w:sz w:val="24"/>
        </w:rPr>
        <w:t>本项目废气</w:t>
      </w:r>
      <w:r>
        <w:rPr>
          <w:rFonts w:ascii="Times New Roman" w:eastAsia="宋体" w:hAnsi="Times New Roman" w:cs="Times New Roman"/>
          <w:sz w:val="24"/>
        </w:rPr>
        <w:t>对周围环境的影响较小。</w:t>
      </w:r>
    </w:p>
    <w:p w14:paraId="18C72056" w14:textId="77777777" w:rsidR="00D12939" w:rsidRDefault="004F47F5">
      <w:pPr>
        <w:pStyle w:val="5c"/>
        <w:spacing w:line="360" w:lineRule="auto"/>
        <w:ind w:firstLineChars="200" w:firstLine="480"/>
        <w:rPr>
          <w:sz w:val="24"/>
          <w:szCs w:val="24"/>
        </w:rPr>
      </w:pPr>
      <w:r>
        <w:rPr>
          <w:rFonts w:hint="eastAsia"/>
          <w:sz w:val="24"/>
        </w:rPr>
        <w:t>调节池和渗滤液处理站除臭系统在非正常工况下，</w:t>
      </w:r>
      <w:r>
        <w:rPr>
          <w:sz w:val="24"/>
        </w:rPr>
        <w:t>NH</w:t>
      </w:r>
      <w:r>
        <w:rPr>
          <w:sz w:val="24"/>
          <w:vertAlign w:val="subscript"/>
        </w:rPr>
        <w:t>3</w:t>
      </w:r>
      <w:r>
        <w:rPr>
          <w:sz w:val="24"/>
        </w:rPr>
        <w:t>最大浓度为</w:t>
      </w:r>
      <w:r>
        <w:rPr>
          <w:sz w:val="24"/>
          <w:szCs w:val="24"/>
        </w:rPr>
        <w:t>1.10E-02</w:t>
      </w:r>
      <w:r>
        <w:rPr>
          <w:rFonts w:hint="eastAsia"/>
          <w:sz w:val="24"/>
          <w:szCs w:val="24"/>
        </w:rPr>
        <w:t>m</w:t>
      </w:r>
      <w:r>
        <w:rPr>
          <w:sz w:val="24"/>
          <w:szCs w:val="24"/>
        </w:rPr>
        <w:t>g/m</w:t>
      </w:r>
      <w:r>
        <w:rPr>
          <w:sz w:val="24"/>
          <w:szCs w:val="24"/>
          <w:vertAlign w:val="superscript"/>
        </w:rPr>
        <w:t>3</w:t>
      </w:r>
      <w:r>
        <w:rPr>
          <w:sz w:val="24"/>
          <w:szCs w:val="24"/>
        </w:rPr>
        <w:t>，占标率为</w:t>
      </w:r>
      <w:r>
        <w:rPr>
          <w:sz w:val="24"/>
          <w:szCs w:val="24"/>
        </w:rPr>
        <w:t>5.52%</w:t>
      </w:r>
      <w:r>
        <w:rPr>
          <w:rFonts w:hint="eastAsia"/>
          <w:sz w:val="24"/>
          <w:szCs w:val="24"/>
        </w:rPr>
        <w:t>；</w:t>
      </w:r>
      <w:r>
        <w:rPr>
          <w:sz w:val="24"/>
        </w:rPr>
        <w:t>H</w:t>
      </w:r>
      <w:r>
        <w:rPr>
          <w:sz w:val="24"/>
          <w:vertAlign w:val="subscript"/>
        </w:rPr>
        <w:t>2</w:t>
      </w:r>
      <w:r>
        <w:rPr>
          <w:sz w:val="24"/>
        </w:rPr>
        <w:t>S</w:t>
      </w:r>
      <w:r>
        <w:rPr>
          <w:sz w:val="24"/>
        </w:rPr>
        <w:t>最大浓度为</w:t>
      </w:r>
      <w:r>
        <w:rPr>
          <w:sz w:val="24"/>
          <w:szCs w:val="24"/>
        </w:rPr>
        <w:t>1.58E-04</w:t>
      </w:r>
      <w:r>
        <w:rPr>
          <w:rFonts w:hint="eastAsia"/>
          <w:sz w:val="24"/>
          <w:szCs w:val="24"/>
        </w:rPr>
        <w:t>m</w:t>
      </w:r>
      <w:r>
        <w:rPr>
          <w:sz w:val="24"/>
          <w:szCs w:val="24"/>
        </w:rPr>
        <w:t>g/m</w:t>
      </w:r>
      <w:r>
        <w:rPr>
          <w:sz w:val="24"/>
          <w:szCs w:val="24"/>
          <w:vertAlign w:val="superscript"/>
        </w:rPr>
        <w:t>3</w:t>
      </w:r>
      <w:r>
        <w:rPr>
          <w:sz w:val="24"/>
          <w:szCs w:val="24"/>
        </w:rPr>
        <w:t>，占标率为</w:t>
      </w:r>
      <w:r>
        <w:rPr>
          <w:sz w:val="24"/>
          <w:szCs w:val="24"/>
        </w:rPr>
        <w:t>1.58%</w:t>
      </w:r>
      <w:r>
        <w:rPr>
          <w:rFonts w:hint="eastAsia"/>
          <w:sz w:val="24"/>
        </w:rPr>
        <w:t>，</w:t>
      </w:r>
      <w:r>
        <w:rPr>
          <w:sz w:val="24"/>
        </w:rPr>
        <w:t>最大浓度出现的距离为源中心下方向</w:t>
      </w:r>
      <w:r>
        <w:rPr>
          <w:sz w:val="24"/>
        </w:rPr>
        <w:t>123m</w:t>
      </w:r>
      <w:r>
        <w:rPr>
          <w:sz w:val="24"/>
        </w:rPr>
        <w:t>处。各</w:t>
      </w:r>
      <w:r>
        <w:rPr>
          <w:rFonts w:hint="eastAsia"/>
          <w:sz w:val="24"/>
        </w:rPr>
        <w:t>污染物</w:t>
      </w:r>
      <w:r>
        <w:rPr>
          <w:sz w:val="24"/>
        </w:rPr>
        <w:t>的</w:t>
      </w:r>
      <w:r>
        <w:rPr>
          <w:rFonts w:hint="eastAsia"/>
          <w:sz w:val="24"/>
        </w:rPr>
        <w:t>预测最大落地</w:t>
      </w:r>
      <w:r>
        <w:rPr>
          <w:sz w:val="24"/>
        </w:rPr>
        <w:t>浓度值均满足《环境影响评价技术导则</w:t>
      </w:r>
      <w:r>
        <w:rPr>
          <w:sz w:val="24"/>
        </w:rPr>
        <w:t>·</w:t>
      </w:r>
      <w:r>
        <w:rPr>
          <w:sz w:val="24"/>
        </w:rPr>
        <w:t>大气环境》（</w:t>
      </w:r>
      <w:r>
        <w:rPr>
          <w:sz w:val="24"/>
        </w:rPr>
        <w:t>HJ2.2-2018</w:t>
      </w:r>
      <w:r>
        <w:rPr>
          <w:sz w:val="24"/>
        </w:rPr>
        <w:t>）附录</w:t>
      </w:r>
      <w:r>
        <w:rPr>
          <w:sz w:val="24"/>
        </w:rPr>
        <w:t>D</w:t>
      </w:r>
      <w:r>
        <w:rPr>
          <w:rFonts w:hint="eastAsia"/>
          <w:sz w:val="24"/>
        </w:rPr>
        <w:t>，因此虽然非正常工况下，除臭系统废气不会造成评价范围内</w:t>
      </w:r>
      <w:r>
        <w:rPr>
          <w:sz w:val="24"/>
        </w:rPr>
        <w:t>NH</w:t>
      </w:r>
      <w:r>
        <w:rPr>
          <w:sz w:val="24"/>
          <w:vertAlign w:val="subscript"/>
        </w:rPr>
        <w:t>3</w:t>
      </w:r>
      <w:r>
        <w:rPr>
          <w:rFonts w:hint="eastAsia"/>
          <w:sz w:val="24"/>
        </w:rPr>
        <w:t>和</w:t>
      </w:r>
      <w:r>
        <w:rPr>
          <w:rFonts w:hint="eastAsia"/>
          <w:sz w:val="24"/>
        </w:rPr>
        <w:t>H</w:t>
      </w:r>
      <w:r>
        <w:rPr>
          <w:sz w:val="24"/>
          <w:vertAlign w:val="subscript"/>
        </w:rPr>
        <w:t>2</w:t>
      </w:r>
      <w:r>
        <w:rPr>
          <w:sz w:val="24"/>
        </w:rPr>
        <w:t>S</w:t>
      </w:r>
      <w:r>
        <w:rPr>
          <w:sz w:val="24"/>
        </w:rPr>
        <w:t>超标</w:t>
      </w:r>
      <w:r>
        <w:rPr>
          <w:rFonts w:hint="eastAsia"/>
          <w:sz w:val="24"/>
        </w:rPr>
        <w:t>，但</w:t>
      </w:r>
      <w:r>
        <w:rPr>
          <w:sz w:val="24"/>
          <w:szCs w:val="24"/>
        </w:rPr>
        <w:t>评价要求</w:t>
      </w:r>
      <w:r>
        <w:rPr>
          <w:rFonts w:hint="eastAsia"/>
          <w:sz w:val="24"/>
          <w:szCs w:val="24"/>
        </w:rPr>
        <w:t>企业</w:t>
      </w:r>
      <w:r>
        <w:rPr>
          <w:sz w:val="24"/>
          <w:szCs w:val="24"/>
        </w:rPr>
        <w:t>加强管理，避免</w:t>
      </w:r>
      <w:r>
        <w:rPr>
          <w:rFonts w:hint="eastAsia"/>
          <w:sz w:val="24"/>
          <w:szCs w:val="24"/>
        </w:rPr>
        <w:t>废气净化系统</w:t>
      </w:r>
      <w:r>
        <w:rPr>
          <w:sz w:val="24"/>
          <w:szCs w:val="24"/>
        </w:rPr>
        <w:t>非正常工况的发生，并采取积极的预防措施，一旦出现事故应在短时间内恢复正常工况。</w:t>
      </w:r>
    </w:p>
    <w:p w14:paraId="2A3044CE" w14:textId="77777777" w:rsidR="00D12939" w:rsidRDefault="004F47F5">
      <w:pPr>
        <w:spacing w:line="360" w:lineRule="auto"/>
        <w:jc w:val="center"/>
        <w:rPr>
          <w:rFonts w:ascii="黑体" w:eastAsia="黑体" w:hAnsi="黑体"/>
          <w:bCs/>
          <w:sz w:val="24"/>
        </w:rPr>
      </w:pPr>
      <w:r>
        <w:rPr>
          <w:rFonts w:ascii="黑体" w:eastAsia="黑体" w:hAnsi="黑体"/>
          <w:bCs/>
          <w:sz w:val="24"/>
        </w:rPr>
        <w:t>表7.1-9</w:t>
      </w:r>
      <w:r>
        <w:rPr>
          <w:rFonts w:ascii="黑体" w:eastAsia="黑体" w:hAnsi="黑体" w:hint="eastAsia"/>
          <w:bCs/>
          <w:sz w:val="24"/>
        </w:rPr>
        <w:t>无组织污染源排放</w:t>
      </w:r>
      <w:r>
        <w:rPr>
          <w:rFonts w:ascii="黑体" w:eastAsia="黑体" w:hAnsi="黑体"/>
          <w:bCs/>
          <w:sz w:val="24"/>
        </w:rPr>
        <w:t>估算模式预测结果一览表</w:t>
      </w:r>
    </w:p>
    <w:tbl>
      <w:tblPr>
        <w:tblW w:w="909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007"/>
        <w:gridCol w:w="992"/>
        <w:gridCol w:w="992"/>
        <w:gridCol w:w="1134"/>
        <w:gridCol w:w="997"/>
        <w:gridCol w:w="992"/>
        <w:gridCol w:w="992"/>
        <w:gridCol w:w="992"/>
        <w:gridCol w:w="992"/>
      </w:tblGrid>
      <w:tr w:rsidR="00D12939" w14:paraId="48D32C4A" w14:textId="77777777">
        <w:trPr>
          <w:trHeight w:val="343"/>
          <w:jc w:val="center"/>
        </w:trPr>
        <w:tc>
          <w:tcPr>
            <w:tcW w:w="1007" w:type="dxa"/>
            <w:vMerge w:val="restart"/>
            <w:vAlign w:val="center"/>
          </w:tcPr>
          <w:p w14:paraId="18CC6A34"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距源中心下风向距离</w:t>
            </w:r>
            <w:r>
              <w:rPr>
                <w:rFonts w:ascii="Times New Roman" w:eastAsia="宋体" w:hAnsi="Times New Roman" w:cs="Times New Roman"/>
                <w:b/>
                <w:bCs/>
                <w:sz w:val="18"/>
                <w:szCs w:val="18"/>
              </w:rPr>
              <w:t>D</w:t>
            </w:r>
            <w:r>
              <w:rPr>
                <w:rFonts w:ascii="Times New Roman" w:eastAsia="宋体" w:hAnsi="Times New Roman" w:cs="Times New Roman"/>
                <w:b/>
                <w:bCs/>
                <w:sz w:val="18"/>
                <w:szCs w:val="18"/>
              </w:rPr>
              <w:t>（</w:t>
            </w:r>
            <w:r>
              <w:rPr>
                <w:rFonts w:ascii="Times New Roman" w:eastAsia="宋体" w:hAnsi="Times New Roman" w:cs="Times New Roman"/>
                <w:b/>
                <w:bCs/>
                <w:sz w:val="18"/>
                <w:szCs w:val="18"/>
              </w:rPr>
              <w:t>m</w:t>
            </w:r>
            <w:r>
              <w:rPr>
                <w:rFonts w:ascii="Times New Roman" w:eastAsia="宋体" w:hAnsi="Times New Roman" w:cs="Times New Roman"/>
                <w:b/>
                <w:bCs/>
                <w:sz w:val="18"/>
                <w:szCs w:val="18"/>
              </w:rPr>
              <w:t>）</w:t>
            </w:r>
          </w:p>
        </w:tc>
        <w:tc>
          <w:tcPr>
            <w:tcW w:w="4115" w:type="dxa"/>
            <w:gridSpan w:val="4"/>
            <w:tcBorders>
              <w:right w:val="single" w:sz="4" w:space="0" w:color="auto"/>
            </w:tcBorders>
            <w:vAlign w:val="center"/>
          </w:tcPr>
          <w:p w14:paraId="75131EC9"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hint="eastAsia"/>
                <w:b/>
                <w:bCs/>
                <w:sz w:val="18"/>
                <w:szCs w:val="18"/>
              </w:rPr>
              <w:t>填埋废气（非点燃状态）</w:t>
            </w:r>
          </w:p>
        </w:tc>
        <w:tc>
          <w:tcPr>
            <w:tcW w:w="3968" w:type="dxa"/>
            <w:gridSpan w:val="4"/>
            <w:tcBorders>
              <w:left w:val="single" w:sz="4" w:space="0" w:color="auto"/>
            </w:tcBorders>
            <w:vAlign w:val="center"/>
          </w:tcPr>
          <w:p w14:paraId="7990F350"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hint="eastAsia"/>
                <w:b/>
                <w:bCs/>
                <w:sz w:val="18"/>
                <w:szCs w:val="18"/>
              </w:rPr>
              <w:t>填埋废气（点燃状态）</w:t>
            </w:r>
          </w:p>
        </w:tc>
      </w:tr>
      <w:tr w:rsidR="00D12939" w14:paraId="05B6045F" w14:textId="77777777">
        <w:trPr>
          <w:trHeight w:val="343"/>
          <w:jc w:val="center"/>
        </w:trPr>
        <w:tc>
          <w:tcPr>
            <w:tcW w:w="1007" w:type="dxa"/>
            <w:vMerge/>
            <w:vAlign w:val="center"/>
          </w:tcPr>
          <w:p w14:paraId="6856DFD5" w14:textId="77777777" w:rsidR="00D12939" w:rsidRDefault="00D12939">
            <w:pPr>
              <w:adjustRightInd w:val="0"/>
              <w:snapToGrid w:val="0"/>
              <w:jc w:val="center"/>
              <w:rPr>
                <w:rFonts w:ascii="Times New Roman" w:eastAsia="宋体" w:hAnsi="Times New Roman" w:cs="Times New Roman"/>
                <w:b/>
                <w:bCs/>
                <w:sz w:val="18"/>
                <w:szCs w:val="18"/>
              </w:rPr>
            </w:pPr>
          </w:p>
        </w:tc>
        <w:tc>
          <w:tcPr>
            <w:tcW w:w="1984" w:type="dxa"/>
            <w:gridSpan w:val="2"/>
            <w:vAlign w:val="center"/>
          </w:tcPr>
          <w:p w14:paraId="67D5DD1F" w14:textId="77777777" w:rsidR="00D12939" w:rsidRDefault="004F47F5">
            <w:pPr>
              <w:jc w:val="center"/>
              <w:rPr>
                <w:rFonts w:ascii="Times New Roman" w:eastAsia="宋体" w:hAnsi="Times New Roman" w:cs="Times New Roman"/>
                <w:b/>
                <w:bCs/>
                <w:sz w:val="18"/>
                <w:szCs w:val="18"/>
              </w:rPr>
            </w:pPr>
            <w:r>
              <w:rPr>
                <w:rFonts w:ascii="Times New Roman" w:eastAsia="宋体" w:hAnsi="Times New Roman" w:cs="Times New Roman"/>
                <w:b/>
                <w:sz w:val="18"/>
                <w:szCs w:val="18"/>
              </w:rPr>
              <w:t>NH</w:t>
            </w:r>
            <w:r>
              <w:rPr>
                <w:rFonts w:ascii="Times New Roman" w:eastAsia="宋体" w:hAnsi="Times New Roman" w:cs="Times New Roman"/>
                <w:b/>
                <w:sz w:val="18"/>
                <w:szCs w:val="18"/>
                <w:vertAlign w:val="subscript"/>
              </w:rPr>
              <w:t>3</w:t>
            </w:r>
          </w:p>
        </w:tc>
        <w:tc>
          <w:tcPr>
            <w:tcW w:w="2131" w:type="dxa"/>
            <w:gridSpan w:val="2"/>
            <w:tcBorders>
              <w:right w:val="single" w:sz="4" w:space="0" w:color="auto"/>
            </w:tcBorders>
            <w:vAlign w:val="center"/>
          </w:tcPr>
          <w:p w14:paraId="1290D9F0"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sz w:val="18"/>
                <w:szCs w:val="18"/>
              </w:rPr>
              <w:t>H</w:t>
            </w:r>
            <w:r>
              <w:rPr>
                <w:rFonts w:ascii="Times New Roman" w:eastAsia="宋体" w:hAnsi="Times New Roman" w:cs="Times New Roman"/>
                <w:b/>
                <w:sz w:val="18"/>
                <w:szCs w:val="18"/>
                <w:vertAlign w:val="subscript"/>
              </w:rPr>
              <w:t>2</w:t>
            </w:r>
            <w:r>
              <w:rPr>
                <w:rFonts w:ascii="Times New Roman" w:eastAsia="宋体" w:hAnsi="Times New Roman" w:cs="Times New Roman"/>
                <w:b/>
                <w:sz w:val="18"/>
                <w:szCs w:val="18"/>
              </w:rPr>
              <w:t>S</w:t>
            </w:r>
          </w:p>
        </w:tc>
        <w:tc>
          <w:tcPr>
            <w:tcW w:w="1984" w:type="dxa"/>
            <w:gridSpan w:val="2"/>
            <w:tcBorders>
              <w:left w:val="single" w:sz="4" w:space="0" w:color="auto"/>
            </w:tcBorders>
            <w:vAlign w:val="center"/>
          </w:tcPr>
          <w:p w14:paraId="5A058056" w14:textId="77777777" w:rsidR="00D12939" w:rsidRDefault="004F47F5">
            <w:pPr>
              <w:jc w:val="center"/>
              <w:rPr>
                <w:rFonts w:ascii="Times New Roman" w:eastAsia="宋体" w:hAnsi="Times New Roman" w:cs="Times New Roman"/>
                <w:b/>
                <w:bCs/>
                <w:sz w:val="18"/>
                <w:szCs w:val="18"/>
              </w:rPr>
            </w:pPr>
            <w:r>
              <w:rPr>
                <w:rFonts w:ascii="Times New Roman" w:eastAsia="宋体" w:hAnsi="Times New Roman" w:cs="Times New Roman"/>
                <w:b/>
                <w:sz w:val="18"/>
                <w:szCs w:val="18"/>
              </w:rPr>
              <w:t>NH</w:t>
            </w:r>
            <w:r>
              <w:rPr>
                <w:rFonts w:ascii="Times New Roman" w:eastAsia="宋体" w:hAnsi="Times New Roman" w:cs="Times New Roman"/>
                <w:b/>
                <w:sz w:val="18"/>
                <w:szCs w:val="18"/>
                <w:vertAlign w:val="subscript"/>
              </w:rPr>
              <w:t>3</w:t>
            </w:r>
          </w:p>
        </w:tc>
        <w:tc>
          <w:tcPr>
            <w:tcW w:w="1984" w:type="dxa"/>
            <w:gridSpan w:val="2"/>
            <w:vAlign w:val="center"/>
          </w:tcPr>
          <w:p w14:paraId="20194D45"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sz w:val="18"/>
                <w:szCs w:val="18"/>
              </w:rPr>
              <w:t>H</w:t>
            </w:r>
            <w:r>
              <w:rPr>
                <w:rFonts w:ascii="Times New Roman" w:eastAsia="宋体" w:hAnsi="Times New Roman" w:cs="Times New Roman"/>
                <w:b/>
                <w:sz w:val="18"/>
                <w:szCs w:val="18"/>
                <w:vertAlign w:val="subscript"/>
              </w:rPr>
              <w:t>2</w:t>
            </w:r>
            <w:r>
              <w:rPr>
                <w:rFonts w:ascii="Times New Roman" w:eastAsia="宋体" w:hAnsi="Times New Roman" w:cs="Times New Roman"/>
                <w:b/>
                <w:sz w:val="18"/>
                <w:szCs w:val="18"/>
              </w:rPr>
              <w:t>S</w:t>
            </w:r>
          </w:p>
        </w:tc>
      </w:tr>
      <w:tr w:rsidR="00D12939" w14:paraId="23D6FB37" w14:textId="77777777">
        <w:trPr>
          <w:jc w:val="center"/>
        </w:trPr>
        <w:tc>
          <w:tcPr>
            <w:tcW w:w="1007" w:type="dxa"/>
            <w:vMerge/>
            <w:vAlign w:val="center"/>
          </w:tcPr>
          <w:p w14:paraId="32D25BBF" w14:textId="77777777" w:rsidR="00D12939" w:rsidRDefault="00D12939">
            <w:pPr>
              <w:adjustRightInd w:val="0"/>
              <w:snapToGrid w:val="0"/>
              <w:jc w:val="center"/>
              <w:rPr>
                <w:rFonts w:ascii="Times New Roman" w:eastAsia="宋体" w:hAnsi="Times New Roman" w:cs="Times New Roman"/>
                <w:b/>
                <w:bCs/>
                <w:sz w:val="18"/>
                <w:szCs w:val="18"/>
              </w:rPr>
            </w:pPr>
          </w:p>
        </w:tc>
        <w:tc>
          <w:tcPr>
            <w:tcW w:w="992" w:type="dxa"/>
            <w:vAlign w:val="center"/>
          </w:tcPr>
          <w:p w14:paraId="4B1680CF"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992" w:type="dxa"/>
            <w:vAlign w:val="center"/>
          </w:tcPr>
          <w:p w14:paraId="3958578C"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1134" w:type="dxa"/>
            <w:vAlign w:val="center"/>
          </w:tcPr>
          <w:p w14:paraId="0D23613E"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997" w:type="dxa"/>
            <w:vAlign w:val="center"/>
          </w:tcPr>
          <w:p w14:paraId="215630A9"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992" w:type="dxa"/>
            <w:vAlign w:val="center"/>
          </w:tcPr>
          <w:p w14:paraId="02959286"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992" w:type="dxa"/>
            <w:vAlign w:val="center"/>
          </w:tcPr>
          <w:p w14:paraId="3F22CAF6"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992" w:type="dxa"/>
            <w:vAlign w:val="center"/>
          </w:tcPr>
          <w:p w14:paraId="34D1269F"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992" w:type="dxa"/>
            <w:vAlign w:val="center"/>
          </w:tcPr>
          <w:p w14:paraId="56C377C7"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r>
      <w:tr w:rsidR="00D12939" w14:paraId="7025A5B3" w14:textId="77777777">
        <w:trPr>
          <w:jc w:val="center"/>
        </w:trPr>
        <w:tc>
          <w:tcPr>
            <w:tcW w:w="1007" w:type="dxa"/>
            <w:vAlign w:val="center"/>
          </w:tcPr>
          <w:p w14:paraId="0970325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w:t>
            </w:r>
          </w:p>
        </w:tc>
        <w:tc>
          <w:tcPr>
            <w:tcW w:w="992" w:type="dxa"/>
            <w:vAlign w:val="center"/>
          </w:tcPr>
          <w:p w14:paraId="3048FB4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7.28E-03</w:t>
            </w:r>
          </w:p>
        </w:tc>
        <w:tc>
          <w:tcPr>
            <w:tcW w:w="992" w:type="dxa"/>
            <w:vAlign w:val="center"/>
          </w:tcPr>
          <w:p w14:paraId="7ADC459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3.64</w:t>
            </w:r>
          </w:p>
        </w:tc>
        <w:tc>
          <w:tcPr>
            <w:tcW w:w="1134" w:type="dxa"/>
            <w:vAlign w:val="center"/>
          </w:tcPr>
          <w:p w14:paraId="6F67265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4.37E-04</w:t>
            </w:r>
          </w:p>
        </w:tc>
        <w:tc>
          <w:tcPr>
            <w:tcW w:w="997" w:type="dxa"/>
            <w:vAlign w:val="center"/>
          </w:tcPr>
          <w:p w14:paraId="6336F27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4.37</w:t>
            </w:r>
          </w:p>
        </w:tc>
        <w:tc>
          <w:tcPr>
            <w:tcW w:w="992" w:type="dxa"/>
            <w:vAlign w:val="center"/>
          </w:tcPr>
          <w:p w14:paraId="4E0143E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1.66E-03</w:t>
            </w:r>
          </w:p>
        </w:tc>
        <w:tc>
          <w:tcPr>
            <w:tcW w:w="992" w:type="dxa"/>
            <w:vAlign w:val="center"/>
          </w:tcPr>
          <w:p w14:paraId="2196F2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0.83</w:t>
            </w:r>
          </w:p>
        </w:tc>
        <w:tc>
          <w:tcPr>
            <w:tcW w:w="992" w:type="dxa"/>
            <w:vAlign w:val="center"/>
          </w:tcPr>
          <w:p w14:paraId="36DC1CB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9.97E-05</w:t>
            </w:r>
          </w:p>
        </w:tc>
        <w:tc>
          <w:tcPr>
            <w:tcW w:w="992" w:type="dxa"/>
            <w:vAlign w:val="center"/>
          </w:tcPr>
          <w:p w14:paraId="3546974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1.00</w:t>
            </w:r>
          </w:p>
        </w:tc>
      </w:tr>
      <w:tr w:rsidR="00D12939" w14:paraId="017EA123" w14:textId="77777777">
        <w:trPr>
          <w:jc w:val="center"/>
        </w:trPr>
        <w:tc>
          <w:tcPr>
            <w:tcW w:w="1007" w:type="dxa"/>
            <w:vAlign w:val="center"/>
          </w:tcPr>
          <w:p w14:paraId="6F52C5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w:t>
            </w:r>
          </w:p>
        </w:tc>
        <w:tc>
          <w:tcPr>
            <w:tcW w:w="992" w:type="dxa"/>
            <w:vAlign w:val="center"/>
          </w:tcPr>
          <w:p w14:paraId="5569FB5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7.69E-03</w:t>
            </w:r>
          </w:p>
        </w:tc>
        <w:tc>
          <w:tcPr>
            <w:tcW w:w="992" w:type="dxa"/>
            <w:vAlign w:val="center"/>
          </w:tcPr>
          <w:p w14:paraId="5DDB225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3.85</w:t>
            </w:r>
          </w:p>
        </w:tc>
        <w:tc>
          <w:tcPr>
            <w:tcW w:w="1134" w:type="dxa"/>
            <w:vAlign w:val="center"/>
          </w:tcPr>
          <w:p w14:paraId="3AC28F7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4.62E-04</w:t>
            </w:r>
          </w:p>
        </w:tc>
        <w:tc>
          <w:tcPr>
            <w:tcW w:w="997" w:type="dxa"/>
            <w:vAlign w:val="center"/>
          </w:tcPr>
          <w:p w14:paraId="5505E8B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4.62</w:t>
            </w:r>
          </w:p>
        </w:tc>
        <w:tc>
          <w:tcPr>
            <w:tcW w:w="992" w:type="dxa"/>
            <w:vAlign w:val="center"/>
          </w:tcPr>
          <w:p w14:paraId="5EBCDE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1.77E-03</w:t>
            </w:r>
          </w:p>
        </w:tc>
        <w:tc>
          <w:tcPr>
            <w:tcW w:w="992" w:type="dxa"/>
            <w:vAlign w:val="center"/>
          </w:tcPr>
          <w:p w14:paraId="0EA3C18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0.88</w:t>
            </w:r>
          </w:p>
        </w:tc>
        <w:tc>
          <w:tcPr>
            <w:tcW w:w="992" w:type="dxa"/>
            <w:vAlign w:val="center"/>
          </w:tcPr>
          <w:p w14:paraId="3B43604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1.06E-04</w:t>
            </w:r>
          </w:p>
        </w:tc>
        <w:tc>
          <w:tcPr>
            <w:tcW w:w="992" w:type="dxa"/>
            <w:vAlign w:val="center"/>
          </w:tcPr>
          <w:p w14:paraId="22D2868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1.06</w:t>
            </w:r>
          </w:p>
        </w:tc>
      </w:tr>
      <w:tr w:rsidR="00D12939" w14:paraId="07034AF2" w14:textId="77777777">
        <w:trPr>
          <w:jc w:val="center"/>
        </w:trPr>
        <w:tc>
          <w:tcPr>
            <w:tcW w:w="1007" w:type="dxa"/>
            <w:vAlign w:val="center"/>
          </w:tcPr>
          <w:p w14:paraId="71F87DE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w:t>
            </w:r>
          </w:p>
        </w:tc>
        <w:tc>
          <w:tcPr>
            <w:tcW w:w="992" w:type="dxa"/>
            <w:vAlign w:val="center"/>
          </w:tcPr>
          <w:p w14:paraId="6501E32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8.37E-03</w:t>
            </w:r>
          </w:p>
        </w:tc>
        <w:tc>
          <w:tcPr>
            <w:tcW w:w="992" w:type="dxa"/>
            <w:vAlign w:val="center"/>
          </w:tcPr>
          <w:p w14:paraId="1473257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4.18</w:t>
            </w:r>
          </w:p>
        </w:tc>
        <w:tc>
          <w:tcPr>
            <w:tcW w:w="1134" w:type="dxa"/>
            <w:vAlign w:val="center"/>
          </w:tcPr>
          <w:p w14:paraId="2070C36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5.02E-04</w:t>
            </w:r>
          </w:p>
        </w:tc>
        <w:tc>
          <w:tcPr>
            <w:tcW w:w="997" w:type="dxa"/>
            <w:vAlign w:val="center"/>
          </w:tcPr>
          <w:p w14:paraId="2104643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5.02</w:t>
            </w:r>
          </w:p>
        </w:tc>
        <w:tc>
          <w:tcPr>
            <w:tcW w:w="992" w:type="dxa"/>
            <w:vAlign w:val="center"/>
          </w:tcPr>
          <w:p w14:paraId="40845A4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1.94E-03</w:t>
            </w:r>
          </w:p>
        </w:tc>
        <w:tc>
          <w:tcPr>
            <w:tcW w:w="992" w:type="dxa"/>
            <w:vAlign w:val="center"/>
          </w:tcPr>
          <w:p w14:paraId="3087612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0.97</w:t>
            </w:r>
          </w:p>
        </w:tc>
        <w:tc>
          <w:tcPr>
            <w:tcW w:w="992" w:type="dxa"/>
            <w:vAlign w:val="center"/>
          </w:tcPr>
          <w:p w14:paraId="54A60FF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1.16E-04</w:t>
            </w:r>
          </w:p>
        </w:tc>
        <w:tc>
          <w:tcPr>
            <w:tcW w:w="992" w:type="dxa"/>
            <w:vAlign w:val="center"/>
          </w:tcPr>
          <w:p w14:paraId="01BE926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1.16</w:t>
            </w:r>
          </w:p>
        </w:tc>
      </w:tr>
      <w:tr w:rsidR="00D12939" w14:paraId="4E3CCC33" w14:textId="77777777">
        <w:trPr>
          <w:jc w:val="center"/>
        </w:trPr>
        <w:tc>
          <w:tcPr>
            <w:tcW w:w="1007" w:type="dxa"/>
            <w:vAlign w:val="center"/>
          </w:tcPr>
          <w:p w14:paraId="245ECB0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75</w:t>
            </w:r>
          </w:p>
        </w:tc>
        <w:tc>
          <w:tcPr>
            <w:tcW w:w="992" w:type="dxa"/>
            <w:vAlign w:val="center"/>
          </w:tcPr>
          <w:p w14:paraId="639ED2D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9.01E-03</w:t>
            </w:r>
          </w:p>
        </w:tc>
        <w:tc>
          <w:tcPr>
            <w:tcW w:w="992" w:type="dxa"/>
            <w:vAlign w:val="center"/>
          </w:tcPr>
          <w:p w14:paraId="5F0AC1B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4.51</w:t>
            </w:r>
          </w:p>
        </w:tc>
        <w:tc>
          <w:tcPr>
            <w:tcW w:w="1134" w:type="dxa"/>
            <w:vAlign w:val="center"/>
          </w:tcPr>
          <w:p w14:paraId="3AB5FED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5.41E-04</w:t>
            </w:r>
          </w:p>
        </w:tc>
        <w:tc>
          <w:tcPr>
            <w:tcW w:w="997" w:type="dxa"/>
            <w:vAlign w:val="center"/>
          </w:tcPr>
          <w:p w14:paraId="72FE5FE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5.41</w:t>
            </w:r>
          </w:p>
        </w:tc>
        <w:tc>
          <w:tcPr>
            <w:tcW w:w="992" w:type="dxa"/>
            <w:vAlign w:val="center"/>
          </w:tcPr>
          <w:p w14:paraId="23B162E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2.10E-03</w:t>
            </w:r>
          </w:p>
        </w:tc>
        <w:tc>
          <w:tcPr>
            <w:tcW w:w="992" w:type="dxa"/>
            <w:vAlign w:val="center"/>
          </w:tcPr>
          <w:p w14:paraId="672B1C4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1.05</w:t>
            </w:r>
          </w:p>
        </w:tc>
        <w:tc>
          <w:tcPr>
            <w:tcW w:w="992" w:type="dxa"/>
            <w:vAlign w:val="center"/>
          </w:tcPr>
          <w:p w14:paraId="7BE938D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1.26E-04</w:t>
            </w:r>
          </w:p>
        </w:tc>
        <w:tc>
          <w:tcPr>
            <w:tcW w:w="992" w:type="dxa"/>
            <w:vAlign w:val="center"/>
          </w:tcPr>
          <w:p w14:paraId="3D35A66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1.26</w:t>
            </w:r>
          </w:p>
        </w:tc>
      </w:tr>
      <w:tr w:rsidR="00D12939" w14:paraId="6E19C443" w14:textId="77777777">
        <w:trPr>
          <w:jc w:val="center"/>
        </w:trPr>
        <w:tc>
          <w:tcPr>
            <w:tcW w:w="1007" w:type="dxa"/>
            <w:vAlign w:val="center"/>
          </w:tcPr>
          <w:p w14:paraId="0D72AF2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100</w:t>
            </w:r>
          </w:p>
        </w:tc>
        <w:tc>
          <w:tcPr>
            <w:tcW w:w="992" w:type="dxa"/>
            <w:vAlign w:val="center"/>
          </w:tcPr>
          <w:p w14:paraId="03B5160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9.63E-03</w:t>
            </w:r>
          </w:p>
        </w:tc>
        <w:tc>
          <w:tcPr>
            <w:tcW w:w="992" w:type="dxa"/>
            <w:vAlign w:val="center"/>
          </w:tcPr>
          <w:p w14:paraId="5519BA6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4.82</w:t>
            </w:r>
          </w:p>
        </w:tc>
        <w:tc>
          <w:tcPr>
            <w:tcW w:w="1134" w:type="dxa"/>
            <w:vAlign w:val="center"/>
          </w:tcPr>
          <w:p w14:paraId="5710779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5.78E-04</w:t>
            </w:r>
          </w:p>
        </w:tc>
        <w:tc>
          <w:tcPr>
            <w:tcW w:w="997" w:type="dxa"/>
            <w:vAlign w:val="center"/>
          </w:tcPr>
          <w:p w14:paraId="2DC930A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5.78</w:t>
            </w:r>
          </w:p>
        </w:tc>
        <w:tc>
          <w:tcPr>
            <w:tcW w:w="992" w:type="dxa"/>
            <w:vAlign w:val="center"/>
          </w:tcPr>
          <w:p w14:paraId="1A5C4B1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2.26E-03</w:t>
            </w:r>
          </w:p>
        </w:tc>
        <w:tc>
          <w:tcPr>
            <w:tcW w:w="992" w:type="dxa"/>
            <w:vAlign w:val="center"/>
          </w:tcPr>
          <w:p w14:paraId="61BA663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1.13</w:t>
            </w:r>
          </w:p>
        </w:tc>
        <w:tc>
          <w:tcPr>
            <w:tcW w:w="992" w:type="dxa"/>
            <w:vAlign w:val="center"/>
          </w:tcPr>
          <w:p w14:paraId="46EFF4D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1.35E-04</w:t>
            </w:r>
          </w:p>
        </w:tc>
        <w:tc>
          <w:tcPr>
            <w:tcW w:w="992" w:type="dxa"/>
            <w:vAlign w:val="center"/>
          </w:tcPr>
          <w:p w14:paraId="7E8FCF8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1.35</w:t>
            </w:r>
          </w:p>
        </w:tc>
      </w:tr>
      <w:tr w:rsidR="00D12939" w14:paraId="78AAD1EC" w14:textId="77777777">
        <w:trPr>
          <w:jc w:val="center"/>
        </w:trPr>
        <w:tc>
          <w:tcPr>
            <w:tcW w:w="1007" w:type="dxa"/>
            <w:vAlign w:val="center"/>
          </w:tcPr>
          <w:p w14:paraId="6D8B242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125</w:t>
            </w:r>
          </w:p>
        </w:tc>
        <w:tc>
          <w:tcPr>
            <w:tcW w:w="992" w:type="dxa"/>
            <w:vAlign w:val="center"/>
          </w:tcPr>
          <w:p w14:paraId="0DF759C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1.02E-02</w:t>
            </w:r>
          </w:p>
        </w:tc>
        <w:tc>
          <w:tcPr>
            <w:tcW w:w="992" w:type="dxa"/>
            <w:vAlign w:val="center"/>
          </w:tcPr>
          <w:p w14:paraId="653B8D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5.11</w:t>
            </w:r>
          </w:p>
        </w:tc>
        <w:tc>
          <w:tcPr>
            <w:tcW w:w="1134" w:type="dxa"/>
            <w:vAlign w:val="center"/>
          </w:tcPr>
          <w:p w14:paraId="38AE0EB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6.14E-04</w:t>
            </w:r>
          </w:p>
        </w:tc>
        <w:tc>
          <w:tcPr>
            <w:tcW w:w="997" w:type="dxa"/>
            <w:vAlign w:val="center"/>
          </w:tcPr>
          <w:p w14:paraId="0876E36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6.14</w:t>
            </w:r>
          </w:p>
        </w:tc>
        <w:tc>
          <w:tcPr>
            <w:tcW w:w="992" w:type="dxa"/>
            <w:vAlign w:val="center"/>
          </w:tcPr>
          <w:p w14:paraId="53FE183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2.38E-03</w:t>
            </w:r>
          </w:p>
        </w:tc>
        <w:tc>
          <w:tcPr>
            <w:tcW w:w="992" w:type="dxa"/>
            <w:vAlign w:val="center"/>
          </w:tcPr>
          <w:p w14:paraId="55F2F7B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1.19</w:t>
            </w:r>
          </w:p>
        </w:tc>
        <w:tc>
          <w:tcPr>
            <w:tcW w:w="992" w:type="dxa"/>
            <w:vAlign w:val="center"/>
          </w:tcPr>
          <w:p w14:paraId="651671E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1.43E-04</w:t>
            </w:r>
          </w:p>
        </w:tc>
        <w:tc>
          <w:tcPr>
            <w:tcW w:w="992" w:type="dxa"/>
            <w:vAlign w:val="center"/>
          </w:tcPr>
          <w:p w14:paraId="291DD61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1.43</w:t>
            </w:r>
          </w:p>
        </w:tc>
      </w:tr>
      <w:tr w:rsidR="00D12939" w14:paraId="0F40C945" w14:textId="77777777">
        <w:trPr>
          <w:jc w:val="center"/>
        </w:trPr>
        <w:tc>
          <w:tcPr>
            <w:tcW w:w="1007" w:type="dxa"/>
            <w:vAlign w:val="center"/>
          </w:tcPr>
          <w:p w14:paraId="4C4432F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150</w:t>
            </w:r>
          </w:p>
        </w:tc>
        <w:tc>
          <w:tcPr>
            <w:tcW w:w="992" w:type="dxa"/>
            <w:vAlign w:val="center"/>
          </w:tcPr>
          <w:p w14:paraId="6F63D45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1.07E-02</w:t>
            </w:r>
          </w:p>
        </w:tc>
        <w:tc>
          <w:tcPr>
            <w:tcW w:w="992" w:type="dxa"/>
            <w:vAlign w:val="center"/>
          </w:tcPr>
          <w:p w14:paraId="63D5162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5.35</w:t>
            </w:r>
          </w:p>
        </w:tc>
        <w:tc>
          <w:tcPr>
            <w:tcW w:w="1134" w:type="dxa"/>
            <w:vAlign w:val="center"/>
          </w:tcPr>
          <w:p w14:paraId="00C05B7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6.42E-04</w:t>
            </w:r>
          </w:p>
        </w:tc>
        <w:tc>
          <w:tcPr>
            <w:tcW w:w="997" w:type="dxa"/>
            <w:vAlign w:val="center"/>
          </w:tcPr>
          <w:p w14:paraId="6E80E68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6.42</w:t>
            </w:r>
          </w:p>
        </w:tc>
        <w:tc>
          <w:tcPr>
            <w:tcW w:w="992" w:type="dxa"/>
            <w:vAlign w:val="center"/>
          </w:tcPr>
          <w:p w14:paraId="62179E4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2.52E-03</w:t>
            </w:r>
          </w:p>
        </w:tc>
        <w:tc>
          <w:tcPr>
            <w:tcW w:w="992" w:type="dxa"/>
            <w:vAlign w:val="center"/>
          </w:tcPr>
          <w:p w14:paraId="3F20172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1.26</w:t>
            </w:r>
          </w:p>
        </w:tc>
        <w:tc>
          <w:tcPr>
            <w:tcW w:w="992" w:type="dxa"/>
            <w:vAlign w:val="center"/>
          </w:tcPr>
          <w:p w14:paraId="4D26368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1.51E-04</w:t>
            </w:r>
          </w:p>
        </w:tc>
        <w:tc>
          <w:tcPr>
            <w:tcW w:w="992" w:type="dxa"/>
            <w:vAlign w:val="center"/>
          </w:tcPr>
          <w:p w14:paraId="4E0775D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1.51</w:t>
            </w:r>
          </w:p>
        </w:tc>
      </w:tr>
      <w:tr w:rsidR="00D12939" w14:paraId="2BB6578C" w14:textId="77777777">
        <w:trPr>
          <w:jc w:val="center"/>
        </w:trPr>
        <w:tc>
          <w:tcPr>
            <w:tcW w:w="1007" w:type="dxa"/>
            <w:vAlign w:val="center"/>
          </w:tcPr>
          <w:p w14:paraId="437621D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175</w:t>
            </w:r>
          </w:p>
        </w:tc>
        <w:tc>
          <w:tcPr>
            <w:tcW w:w="992" w:type="dxa"/>
            <w:vAlign w:val="center"/>
          </w:tcPr>
          <w:p w14:paraId="25FC799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1.12E-02</w:t>
            </w:r>
          </w:p>
        </w:tc>
        <w:tc>
          <w:tcPr>
            <w:tcW w:w="992" w:type="dxa"/>
            <w:vAlign w:val="center"/>
          </w:tcPr>
          <w:p w14:paraId="61D24D5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5.62</w:t>
            </w:r>
          </w:p>
        </w:tc>
        <w:tc>
          <w:tcPr>
            <w:tcW w:w="1134" w:type="dxa"/>
            <w:vAlign w:val="center"/>
          </w:tcPr>
          <w:p w14:paraId="5BED92C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6.74E-04</w:t>
            </w:r>
          </w:p>
        </w:tc>
        <w:tc>
          <w:tcPr>
            <w:tcW w:w="997" w:type="dxa"/>
            <w:vAlign w:val="center"/>
          </w:tcPr>
          <w:p w14:paraId="4425323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6.74</w:t>
            </w:r>
          </w:p>
        </w:tc>
        <w:tc>
          <w:tcPr>
            <w:tcW w:w="992" w:type="dxa"/>
            <w:vAlign w:val="center"/>
          </w:tcPr>
          <w:p w14:paraId="620431D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2.63E-03</w:t>
            </w:r>
          </w:p>
        </w:tc>
        <w:tc>
          <w:tcPr>
            <w:tcW w:w="992" w:type="dxa"/>
            <w:vAlign w:val="center"/>
          </w:tcPr>
          <w:p w14:paraId="55F9A28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1.32</w:t>
            </w:r>
          </w:p>
        </w:tc>
        <w:tc>
          <w:tcPr>
            <w:tcW w:w="992" w:type="dxa"/>
            <w:vAlign w:val="center"/>
          </w:tcPr>
          <w:p w14:paraId="64DC2A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1.58E-04</w:t>
            </w:r>
          </w:p>
        </w:tc>
        <w:tc>
          <w:tcPr>
            <w:tcW w:w="992" w:type="dxa"/>
            <w:vAlign w:val="center"/>
          </w:tcPr>
          <w:p w14:paraId="6D45D98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1.58</w:t>
            </w:r>
          </w:p>
        </w:tc>
      </w:tr>
      <w:tr w:rsidR="00D12939" w14:paraId="0FD8527E" w14:textId="77777777">
        <w:trPr>
          <w:jc w:val="center"/>
        </w:trPr>
        <w:tc>
          <w:tcPr>
            <w:tcW w:w="1007" w:type="dxa"/>
            <w:vAlign w:val="center"/>
          </w:tcPr>
          <w:p w14:paraId="0D49718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200</w:t>
            </w:r>
          </w:p>
        </w:tc>
        <w:tc>
          <w:tcPr>
            <w:tcW w:w="992" w:type="dxa"/>
            <w:vAlign w:val="center"/>
          </w:tcPr>
          <w:p w14:paraId="5593F49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1.18E-02</w:t>
            </w:r>
          </w:p>
        </w:tc>
        <w:tc>
          <w:tcPr>
            <w:tcW w:w="992" w:type="dxa"/>
            <w:vAlign w:val="center"/>
          </w:tcPr>
          <w:p w14:paraId="281B54C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5.88</w:t>
            </w:r>
          </w:p>
        </w:tc>
        <w:tc>
          <w:tcPr>
            <w:tcW w:w="1134" w:type="dxa"/>
            <w:vAlign w:val="center"/>
          </w:tcPr>
          <w:p w14:paraId="3B90C6F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7.06E-04</w:t>
            </w:r>
          </w:p>
        </w:tc>
        <w:tc>
          <w:tcPr>
            <w:tcW w:w="997" w:type="dxa"/>
            <w:vAlign w:val="center"/>
          </w:tcPr>
          <w:p w14:paraId="3C2DB5B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7.06</w:t>
            </w:r>
          </w:p>
        </w:tc>
        <w:tc>
          <w:tcPr>
            <w:tcW w:w="992" w:type="dxa"/>
            <w:vAlign w:val="center"/>
          </w:tcPr>
          <w:p w14:paraId="40A0177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2.76E-03</w:t>
            </w:r>
          </w:p>
        </w:tc>
        <w:tc>
          <w:tcPr>
            <w:tcW w:w="992" w:type="dxa"/>
            <w:vAlign w:val="center"/>
          </w:tcPr>
          <w:p w14:paraId="58B1646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1.38</w:t>
            </w:r>
          </w:p>
        </w:tc>
        <w:tc>
          <w:tcPr>
            <w:tcW w:w="992" w:type="dxa"/>
            <w:vAlign w:val="center"/>
          </w:tcPr>
          <w:p w14:paraId="2866CA3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1.66E-04</w:t>
            </w:r>
          </w:p>
        </w:tc>
        <w:tc>
          <w:tcPr>
            <w:tcW w:w="992" w:type="dxa"/>
            <w:vAlign w:val="center"/>
          </w:tcPr>
          <w:p w14:paraId="0A69972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1.66</w:t>
            </w:r>
          </w:p>
        </w:tc>
      </w:tr>
      <w:tr w:rsidR="00D12939" w14:paraId="74EC3D03" w14:textId="77777777">
        <w:trPr>
          <w:jc w:val="center"/>
        </w:trPr>
        <w:tc>
          <w:tcPr>
            <w:tcW w:w="1007" w:type="dxa"/>
            <w:vAlign w:val="center"/>
          </w:tcPr>
          <w:p w14:paraId="78E15C66" w14:textId="77777777" w:rsidR="00D12939" w:rsidRDefault="004F47F5">
            <w:pPr>
              <w:jc w:val="center"/>
              <w:rPr>
                <w:rFonts w:ascii="Times New Roman" w:hAnsi="Times New Roman" w:cs="Times New Roman"/>
                <w:sz w:val="18"/>
                <w:szCs w:val="18"/>
              </w:rPr>
            </w:pPr>
            <w:r>
              <w:rPr>
                <w:rFonts w:ascii="Times New Roman" w:hAnsi="Times New Roman" w:cs="Times New Roman" w:hint="eastAsia"/>
                <w:sz w:val="18"/>
                <w:szCs w:val="18"/>
              </w:rPr>
              <w:t>2</w:t>
            </w:r>
            <w:r>
              <w:rPr>
                <w:rFonts w:ascii="Times New Roman" w:hAnsi="Times New Roman" w:cs="Times New Roman"/>
                <w:sz w:val="18"/>
                <w:szCs w:val="18"/>
              </w:rPr>
              <w:t>20</w:t>
            </w:r>
          </w:p>
        </w:tc>
        <w:tc>
          <w:tcPr>
            <w:tcW w:w="992" w:type="dxa"/>
            <w:vAlign w:val="center"/>
          </w:tcPr>
          <w:p w14:paraId="78A2B0D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992" w:type="dxa"/>
            <w:vAlign w:val="center"/>
          </w:tcPr>
          <w:p w14:paraId="1466DE4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1134" w:type="dxa"/>
            <w:vAlign w:val="center"/>
          </w:tcPr>
          <w:p w14:paraId="496A303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997" w:type="dxa"/>
            <w:vAlign w:val="center"/>
          </w:tcPr>
          <w:p w14:paraId="09C8B9C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992" w:type="dxa"/>
            <w:vAlign w:val="center"/>
          </w:tcPr>
          <w:p w14:paraId="748C9EB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2.79E-03</w:t>
            </w:r>
          </w:p>
        </w:tc>
        <w:tc>
          <w:tcPr>
            <w:tcW w:w="992" w:type="dxa"/>
            <w:vAlign w:val="center"/>
          </w:tcPr>
          <w:p w14:paraId="51B11FD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1.39</w:t>
            </w:r>
          </w:p>
        </w:tc>
        <w:tc>
          <w:tcPr>
            <w:tcW w:w="992" w:type="dxa"/>
            <w:vAlign w:val="center"/>
          </w:tcPr>
          <w:p w14:paraId="131EE9F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1.67E-04</w:t>
            </w:r>
          </w:p>
        </w:tc>
        <w:tc>
          <w:tcPr>
            <w:tcW w:w="992" w:type="dxa"/>
            <w:vAlign w:val="center"/>
          </w:tcPr>
          <w:p w14:paraId="2401D24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1.67</w:t>
            </w:r>
          </w:p>
        </w:tc>
      </w:tr>
      <w:tr w:rsidR="00D12939" w14:paraId="205EBCEC" w14:textId="77777777">
        <w:trPr>
          <w:jc w:val="center"/>
        </w:trPr>
        <w:tc>
          <w:tcPr>
            <w:tcW w:w="1007" w:type="dxa"/>
            <w:vAlign w:val="center"/>
          </w:tcPr>
          <w:p w14:paraId="25ED92C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225</w:t>
            </w:r>
          </w:p>
        </w:tc>
        <w:tc>
          <w:tcPr>
            <w:tcW w:w="992" w:type="dxa"/>
            <w:vAlign w:val="center"/>
          </w:tcPr>
          <w:p w14:paraId="2624AB5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1.23E-02</w:t>
            </w:r>
          </w:p>
        </w:tc>
        <w:tc>
          <w:tcPr>
            <w:tcW w:w="992" w:type="dxa"/>
            <w:vAlign w:val="center"/>
          </w:tcPr>
          <w:p w14:paraId="67CE1AA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6.14</w:t>
            </w:r>
          </w:p>
        </w:tc>
        <w:tc>
          <w:tcPr>
            <w:tcW w:w="1134" w:type="dxa"/>
            <w:vAlign w:val="center"/>
          </w:tcPr>
          <w:p w14:paraId="68E1175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7.36E-04</w:t>
            </w:r>
          </w:p>
        </w:tc>
        <w:tc>
          <w:tcPr>
            <w:tcW w:w="997" w:type="dxa"/>
            <w:vAlign w:val="center"/>
          </w:tcPr>
          <w:p w14:paraId="1E483D1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7.36</w:t>
            </w:r>
          </w:p>
        </w:tc>
        <w:tc>
          <w:tcPr>
            <w:tcW w:w="992" w:type="dxa"/>
            <w:vAlign w:val="center"/>
          </w:tcPr>
          <w:p w14:paraId="545B895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2.78E-03</w:t>
            </w:r>
          </w:p>
        </w:tc>
        <w:tc>
          <w:tcPr>
            <w:tcW w:w="992" w:type="dxa"/>
            <w:vAlign w:val="center"/>
          </w:tcPr>
          <w:p w14:paraId="56AFE7F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1.39</w:t>
            </w:r>
          </w:p>
        </w:tc>
        <w:tc>
          <w:tcPr>
            <w:tcW w:w="992" w:type="dxa"/>
            <w:vAlign w:val="center"/>
          </w:tcPr>
          <w:p w14:paraId="35625B5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1.67E-04</w:t>
            </w:r>
          </w:p>
        </w:tc>
        <w:tc>
          <w:tcPr>
            <w:tcW w:w="992" w:type="dxa"/>
            <w:vAlign w:val="center"/>
          </w:tcPr>
          <w:p w14:paraId="1956574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1.67</w:t>
            </w:r>
          </w:p>
        </w:tc>
      </w:tr>
      <w:tr w:rsidR="00D12939" w14:paraId="33C448B1" w14:textId="77777777">
        <w:trPr>
          <w:jc w:val="center"/>
        </w:trPr>
        <w:tc>
          <w:tcPr>
            <w:tcW w:w="1007" w:type="dxa"/>
            <w:vAlign w:val="center"/>
          </w:tcPr>
          <w:p w14:paraId="6D826ED1" w14:textId="77777777" w:rsidR="00D12939" w:rsidRDefault="004F47F5">
            <w:pPr>
              <w:jc w:val="center"/>
              <w:rPr>
                <w:rFonts w:ascii="Times New Roman" w:hAnsi="Times New Roman" w:cs="Times New Roman"/>
                <w:sz w:val="18"/>
                <w:szCs w:val="18"/>
              </w:rPr>
            </w:pPr>
            <w:r>
              <w:rPr>
                <w:rFonts w:ascii="Times New Roman" w:hAnsi="Times New Roman" w:cs="Times New Roman" w:hint="eastAsia"/>
                <w:sz w:val="18"/>
                <w:szCs w:val="18"/>
              </w:rPr>
              <w:lastRenderedPageBreak/>
              <w:t>2</w:t>
            </w:r>
            <w:r>
              <w:rPr>
                <w:rFonts w:ascii="Times New Roman" w:hAnsi="Times New Roman" w:cs="Times New Roman"/>
                <w:sz w:val="18"/>
                <w:szCs w:val="18"/>
              </w:rPr>
              <w:t>48</w:t>
            </w:r>
          </w:p>
        </w:tc>
        <w:tc>
          <w:tcPr>
            <w:tcW w:w="992" w:type="dxa"/>
            <w:vAlign w:val="center"/>
          </w:tcPr>
          <w:p w14:paraId="3FE233E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1.24E-02</w:t>
            </w:r>
          </w:p>
        </w:tc>
        <w:tc>
          <w:tcPr>
            <w:tcW w:w="992" w:type="dxa"/>
            <w:vAlign w:val="center"/>
          </w:tcPr>
          <w:p w14:paraId="63EDCEA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6.20</w:t>
            </w:r>
          </w:p>
        </w:tc>
        <w:tc>
          <w:tcPr>
            <w:tcW w:w="1134" w:type="dxa"/>
            <w:vAlign w:val="center"/>
          </w:tcPr>
          <w:p w14:paraId="351DBD2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7.44E-04</w:t>
            </w:r>
          </w:p>
        </w:tc>
        <w:tc>
          <w:tcPr>
            <w:tcW w:w="997" w:type="dxa"/>
            <w:vAlign w:val="center"/>
          </w:tcPr>
          <w:p w14:paraId="50EF3F6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7.44</w:t>
            </w:r>
          </w:p>
        </w:tc>
        <w:tc>
          <w:tcPr>
            <w:tcW w:w="992" w:type="dxa"/>
            <w:vAlign w:val="center"/>
          </w:tcPr>
          <w:p w14:paraId="055FA33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992" w:type="dxa"/>
            <w:vAlign w:val="center"/>
          </w:tcPr>
          <w:p w14:paraId="41053E3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992" w:type="dxa"/>
            <w:vAlign w:val="center"/>
          </w:tcPr>
          <w:p w14:paraId="012F7CA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992" w:type="dxa"/>
            <w:vAlign w:val="center"/>
          </w:tcPr>
          <w:p w14:paraId="15CEA60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r>
      <w:tr w:rsidR="00D12939" w14:paraId="788E6FB3" w14:textId="77777777">
        <w:trPr>
          <w:jc w:val="center"/>
        </w:trPr>
        <w:tc>
          <w:tcPr>
            <w:tcW w:w="1007" w:type="dxa"/>
            <w:vAlign w:val="center"/>
          </w:tcPr>
          <w:p w14:paraId="0C256DB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250</w:t>
            </w:r>
          </w:p>
        </w:tc>
        <w:tc>
          <w:tcPr>
            <w:tcW w:w="992" w:type="dxa"/>
            <w:vAlign w:val="center"/>
          </w:tcPr>
          <w:p w14:paraId="12EF5C5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1.24E-02</w:t>
            </w:r>
          </w:p>
        </w:tc>
        <w:tc>
          <w:tcPr>
            <w:tcW w:w="992" w:type="dxa"/>
            <w:vAlign w:val="center"/>
          </w:tcPr>
          <w:p w14:paraId="03B636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6.20</w:t>
            </w:r>
          </w:p>
        </w:tc>
        <w:tc>
          <w:tcPr>
            <w:tcW w:w="1134" w:type="dxa"/>
            <w:vAlign w:val="center"/>
          </w:tcPr>
          <w:p w14:paraId="005C94D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7.44E-04</w:t>
            </w:r>
          </w:p>
        </w:tc>
        <w:tc>
          <w:tcPr>
            <w:tcW w:w="997" w:type="dxa"/>
            <w:vAlign w:val="center"/>
          </w:tcPr>
          <w:p w14:paraId="7AC6628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7.44</w:t>
            </w:r>
          </w:p>
        </w:tc>
        <w:tc>
          <w:tcPr>
            <w:tcW w:w="992" w:type="dxa"/>
            <w:vAlign w:val="center"/>
          </w:tcPr>
          <w:p w14:paraId="27BE4DD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2.72E-03</w:t>
            </w:r>
          </w:p>
        </w:tc>
        <w:tc>
          <w:tcPr>
            <w:tcW w:w="992" w:type="dxa"/>
            <w:vAlign w:val="center"/>
          </w:tcPr>
          <w:p w14:paraId="4ABC0BB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1.36</w:t>
            </w:r>
          </w:p>
        </w:tc>
        <w:tc>
          <w:tcPr>
            <w:tcW w:w="992" w:type="dxa"/>
            <w:vAlign w:val="center"/>
          </w:tcPr>
          <w:p w14:paraId="2B1B301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1.63E-04</w:t>
            </w:r>
          </w:p>
        </w:tc>
        <w:tc>
          <w:tcPr>
            <w:tcW w:w="992" w:type="dxa"/>
            <w:vAlign w:val="center"/>
          </w:tcPr>
          <w:p w14:paraId="4D0FF74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1.63</w:t>
            </w:r>
          </w:p>
        </w:tc>
      </w:tr>
      <w:tr w:rsidR="00D12939" w14:paraId="534676B0" w14:textId="77777777">
        <w:trPr>
          <w:jc w:val="center"/>
        </w:trPr>
        <w:tc>
          <w:tcPr>
            <w:tcW w:w="1007" w:type="dxa"/>
            <w:vAlign w:val="center"/>
          </w:tcPr>
          <w:p w14:paraId="0B60317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275</w:t>
            </w:r>
          </w:p>
        </w:tc>
        <w:tc>
          <w:tcPr>
            <w:tcW w:w="992" w:type="dxa"/>
            <w:vAlign w:val="center"/>
          </w:tcPr>
          <w:p w14:paraId="0456A3C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1.22E-02</w:t>
            </w:r>
          </w:p>
        </w:tc>
        <w:tc>
          <w:tcPr>
            <w:tcW w:w="992" w:type="dxa"/>
            <w:vAlign w:val="center"/>
          </w:tcPr>
          <w:p w14:paraId="0AD60BA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6.09</w:t>
            </w:r>
          </w:p>
        </w:tc>
        <w:tc>
          <w:tcPr>
            <w:tcW w:w="1134" w:type="dxa"/>
            <w:vAlign w:val="center"/>
          </w:tcPr>
          <w:p w14:paraId="508A7B0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7.30E-04</w:t>
            </w:r>
          </w:p>
        </w:tc>
        <w:tc>
          <w:tcPr>
            <w:tcW w:w="997" w:type="dxa"/>
            <w:vAlign w:val="center"/>
          </w:tcPr>
          <w:p w14:paraId="6B9FC36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7.30</w:t>
            </w:r>
          </w:p>
        </w:tc>
        <w:tc>
          <w:tcPr>
            <w:tcW w:w="992" w:type="dxa"/>
            <w:vAlign w:val="center"/>
          </w:tcPr>
          <w:p w14:paraId="6B18B8F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2.60E-03</w:t>
            </w:r>
          </w:p>
        </w:tc>
        <w:tc>
          <w:tcPr>
            <w:tcW w:w="992" w:type="dxa"/>
            <w:vAlign w:val="center"/>
          </w:tcPr>
          <w:p w14:paraId="2E7C8E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1.30</w:t>
            </w:r>
          </w:p>
        </w:tc>
        <w:tc>
          <w:tcPr>
            <w:tcW w:w="992" w:type="dxa"/>
            <w:vAlign w:val="center"/>
          </w:tcPr>
          <w:p w14:paraId="7B6677C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1.56E-04</w:t>
            </w:r>
          </w:p>
        </w:tc>
        <w:tc>
          <w:tcPr>
            <w:tcW w:w="992" w:type="dxa"/>
            <w:vAlign w:val="center"/>
          </w:tcPr>
          <w:p w14:paraId="250F33E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1.56</w:t>
            </w:r>
          </w:p>
        </w:tc>
      </w:tr>
      <w:tr w:rsidR="00D12939" w14:paraId="48D0DB88" w14:textId="77777777">
        <w:trPr>
          <w:jc w:val="center"/>
        </w:trPr>
        <w:tc>
          <w:tcPr>
            <w:tcW w:w="1007" w:type="dxa"/>
            <w:vAlign w:val="center"/>
          </w:tcPr>
          <w:p w14:paraId="5144150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300</w:t>
            </w:r>
          </w:p>
        </w:tc>
        <w:tc>
          <w:tcPr>
            <w:tcW w:w="992" w:type="dxa"/>
            <w:vAlign w:val="center"/>
          </w:tcPr>
          <w:p w14:paraId="3BE6A3C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1.17E-02</w:t>
            </w:r>
          </w:p>
        </w:tc>
        <w:tc>
          <w:tcPr>
            <w:tcW w:w="992" w:type="dxa"/>
            <w:vAlign w:val="center"/>
          </w:tcPr>
          <w:p w14:paraId="1A24D52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5.86</w:t>
            </w:r>
          </w:p>
        </w:tc>
        <w:tc>
          <w:tcPr>
            <w:tcW w:w="1134" w:type="dxa"/>
            <w:vAlign w:val="center"/>
          </w:tcPr>
          <w:p w14:paraId="121292F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7.04E-04</w:t>
            </w:r>
          </w:p>
        </w:tc>
        <w:tc>
          <w:tcPr>
            <w:tcW w:w="997" w:type="dxa"/>
            <w:vAlign w:val="center"/>
          </w:tcPr>
          <w:p w14:paraId="6D9DA88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7.04</w:t>
            </w:r>
          </w:p>
        </w:tc>
        <w:tc>
          <w:tcPr>
            <w:tcW w:w="992" w:type="dxa"/>
            <w:vAlign w:val="center"/>
          </w:tcPr>
          <w:p w14:paraId="545670B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2.45E-03</w:t>
            </w:r>
          </w:p>
        </w:tc>
        <w:tc>
          <w:tcPr>
            <w:tcW w:w="992" w:type="dxa"/>
            <w:vAlign w:val="center"/>
          </w:tcPr>
          <w:p w14:paraId="132E45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1.22</w:t>
            </w:r>
          </w:p>
        </w:tc>
        <w:tc>
          <w:tcPr>
            <w:tcW w:w="992" w:type="dxa"/>
            <w:vAlign w:val="center"/>
          </w:tcPr>
          <w:p w14:paraId="711B6B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1.47E-04</w:t>
            </w:r>
          </w:p>
        </w:tc>
        <w:tc>
          <w:tcPr>
            <w:tcW w:w="992" w:type="dxa"/>
            <w:vAlign w:val="center"/>
          </w:tcPr>
          <w:p w14:paraId="43F5D3F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1.47</w:t>
            </w:r>
          </w:p>
        </w:tc>
      </w:tr>
      <w:tr w:rsidR="00D12939" w14:paraId="7C9B14CA" w14:textId="77777777">
        <w:trPr>
          <w:jc w:val="center"/>
        </w:trPr>
        <w:tc>
          <w:tcPr>
            <w:tcW w:w="1007" w:type="dxa"/>
            <w:vAlign w:val="center"/>
          </w:tcPr>
          <w:p w14:paraId="0F82CA7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325</w:t>
            </w:r>
          </w:p>
        </w:tc>
        <w:tc>
          <w:tcPr>
            <w:tcW w:w="992" w:type="dxa"/>
            <w:vAlign w:val="center"/>
          </w:tcPr>
          <w:p w14:paraId="279E442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1.12E-02</w:t>
            </w:r>
          </w:p>
        </w:tc>
        <w:tc>
          <w:tcPr>
            <w:tcW w:w="992" w:type="dxa"/>
            <w:vAlign w:val="center"/>
          </w:tcPr>
          <w:p w14:paraId="7DAA190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5.58</w:t>
            </w:r>
          </w:p>
        </w:tc>
        <w:tc>
          <w:tcPr>
            <w:tcW w:w="1134" w:type="dxa"/>
            <w:vAlign w:val="center"/>
          </w:tcPr>
          <w:p w14:paraId="018E57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6.69E-04</w:t>
            </w:r>
          </w:p>
        </w:tc>
        <w:tc>
          <w:tcPr>
            <w:tcW w:w="997" w:type="dxa"/>
            <w:vAlign w:val="center"/>
          </w:tcPr>
          <w:p w14:paraId="4CBD4B5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6.69</w:t>
            </w:r>
          </w:p>
        </w:tc>
        <w:tc>
          <w:tcPr>
            <w:tcW w:w="992" w:type="dxa"/>
            <w:vAlign w:val="center"/>
          </w:tcPr>
          <w:p w14:paraId="14FF1DE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2.33E-03</w:t>
            </w:r>
          </w:p>
        </w:tc>
        <w:tc>
          <w:tcPr>
            <w:tcW w:w="992" w:type="dxa"/>
            <w:vAlign w:val="center"/>
          </w:tcPr>
          <w:p w14:paraId="1A2BAE3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1.17</w:t>
            </w:r>
          </w:p>
        </w:tc>
        <w:tc>
          <w:tcPr>
            <w:tcW w:w="992" w:type="dxa"/>
            <w:vAlign w:val="center"/>
          </w:tcPr>
          <w:p w14:paraId="18C758C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1.40E-04</w:t>
            </w:r>
          </w:p>
        </w:tc>
        <w:tc>
          <w:tcPr>
            <w:tcW w:w="992" w:type="dxa"/>
            <w:vAlign w:val="center"/>
          </w:tcPr>
          <w:p w14:paraId="32A4F01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1.40</w:t>
            </w:r>
          </w:p>
        </w:tc>
      </w:tr>
      <w:tr w:rsidR="00D12939" w14:paraId="6AEAB076" w14:textId="77777777">
        <w:trPr>
          <w:jc w:val="center"/>
        </w:trPr>
        <w:tc>
          <w:tcPr>
            <w:tcW w:w="1007" w:type="dxa"/>
            <w:vAlign w:val="center"/>
          </w:tcPr>
          <w:p w14:paraId="64798E4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350</w:t>
            </w:r>
          </w:p>
        </w:tc>
        <w:tc>
          <w:tcPr>
            <w:tcW w:w="992" w:type="dxa"/>
            <w:vAlign w:val="center"/>
          </w:tcPr>
          <w:p w14:paraId="2655292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1.07E-02</w:t>
            </w:r>
          </w:p>
        </w:tc>
        <w:tc>
          <w:tcPr>
            <w:tcW w:w="992" w:type="dxa"/>
            <w:vAlign w:val="center"/>
          </w:tcPr>
          <w:p w14:paraId="2C19208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5.36</w:t>
            </w:r>
          </w:p>
        </w:tc>
        <w:tc>
          <w:tcPr>
            <w:tcW w:w="1134" w:type="dxa"/>
            <w:vAlign w:val="center"/>
          </w:tcPr>
          <w:p w14:paraId="5B00AC1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6.43E-04</w:t>
            </w:r>
          </w:p>
        </w:tc>
        <w:tc>
          <w:tcPr>
            <w:tcW w:w="997" w:type="dxa"/>
            <w:vAlign w:val="center"/>
          </w:tcPr>
          <w:p w14:paraId="43D69CD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6.43</w:t>
            </w:r>
          </w:p>
        </w:tc>
        <w:tc>
          <w:tcPr>
            <w:tcW w:w="992" w:type="dxa"/>
            <w:vAlign w:val="center"/>
          </w:tcPr>
          <w:p w14:paraId="1B4AA2B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2.23E-03</w:t>
            </w:r>
          </w:p>
        </w:tc>
        <w:tc>
          <w:tcPr>
            <w:tcW w:w="992" w:type="dxa"/>
            <w:vAlign w:val="center"/>
          </w:tcPr>
          <w:p w14:paraId="195127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1.12</w:t>
            </w:r>
          </w:p>
        </w:tc>
        <w:tc>
          <w:tcPr>
            <w:tcW w:w="992" w:type="dxa"/>
            <w:vAlign w:val="center"/>
          </w:tcPr>
          <w:p w14:paraId="5962CF2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1.34E-04</w:t>
            </w:r>
          </w:p>
        </w:tc>
        <w:tc>
          <w:tcPr>
            <w:tcW w:w="992" w:type="dxa"/>
            <w:vAlign w:val="center"/>
          </w:tcPr>
          <w:p w14:paraId="3EB2C2D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1.34</w:t>
            </w:r>
          </w:p>
        </w:tc>
      </w:tr>
      <w:tr w:rsidR="00D12939" w14:paraId="58485E72" w14:textId="77777777">
        <w:trPr>
          <w:jc w:val="center"/>
        </w:trPr>
        <w:tc>
          <w:tcPr>
            <w:tcW w:w="1007" w:type="dxa"/>
            <w:vAlign w:val="center"/>
          </w:tcPr>
          <w:p w14:paraId="48809BB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375</w:t>
            </w:r>
          </w:p>
        </w:tc>
        <w:tc>
          <w:tcPr>
            <w:tcW w:w="992" w:type="dxa"/>
            <w:vAlign w:val="center"/>
          </w:tcPr>
          <w:p w14:paraId="08E1ED2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1.03E-02</w:t>
            </w:r>
          </w:p>
        </w:tc>
        <w:tc>
          <w:tcPr>
            <w:tcW w:w="992" w:type="dxa"/>
            <w:vAlign w:val="center"/>
          </w:tcPr>
          <w:p w14:paraId="5E54DEA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5.17</w:t>
            </w:r>
          </w:p>
        </w:tc>
        <w:tc>
          <w:tcPr>
            <w:tcW w:w="1134" w:type="dxa"/>
            <w:vAlign w:val="center"/>
          </w:tcPr>
          <w:p w14:paraId="78EF219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6.20E-04</w:t>
            </w:r>
          </w:p>
        </w:tc>
        <w:tc>
          <w:tcPr>
            <w:tcW w:w="997" w:type="dxa"/>
            <w:vAlign w:val="center"/>
          </w:tcPr>
          <w:p w14:paraId="08E92F3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6.20</w:t>
            </w:r>
          </w:p>
        </w:tc>
        <w:tc>
          <w:tcPr>
            <w:tcW w:w="992" w:type="dxa"/>
            <w:vAlign w:val="center"/>
          </w:tcPr>
          <w:p w14:paraId="74C45C9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2.14E-03</w:t>
            </w:r>
          </w:p>
        </w:tc>
        <w:tc>
          <w:tcPr>
            <w:tcW w:w="992" w:type="dxa"/>
            <w:vAlign w:val="center"/>
          </w:tcPr>
          <w:p w14:paraId="2C21EFD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1.07</w:t>
            </w:r>
          </w:p>
        </w:tc>
        <w:tc>
          <w:tcPr>
            <w:tcW w:w="992" w:type="dxa"/>
            <w:vAlign w:val="center"/>
          </w:tcPr>
          <w:p w14:paraId="2CFBE2C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1.29E-04</w:t>
            </w:r>
          </w:p>
        </w:tc>
        <w:tc>
          <w:tcPr>
            <w:tcW w:w="992" w:type="dxa"/>
            <w:vAlign w:val="center"/>
          </w:tcPr>
          <w:p w14:paraId="5638B36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1.29</w:t>
            </w:r>
          </w:p>
        </w:tc>
      </w:tr>
      <w:tr w:rsidR="00D12939" w14:paraId="2165CADE" w14:textId="77777777">
        <w:trPr>
          <w:jc w:val="center"/>
        </w:trPr>
        <w:tc>
          <w:tcPr>
            <w:tcW w:w="1007" w:type="dxa"/>
            <w:vAlign w:val="center"/>
          </w:tcPr>
          <w:p w14:paraId="6B5C334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400</w:t>
            </w:r>
          </w:p>
        </w:tc>
        <w:tc>
          <w:tcPr>
            <w:tcW w:w="992" w:type="dxa"/>
            <w:vAlign w:val="center"/>
          </w:tcPr>
          <w:p w14:paraId="4B28DC6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9.99E-03</w:t>
            </w:r>
          </w:p>
        </w:tc>
        <w:tc>
          <w:tcPr>
            <w:tcW w:w="992" w:type="dxa"/>
            <w:vAlign w:val="center"/>
          </w:tcPr>
          <w:p w14:paraId="799D182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4.99</w:t>
            </w:r>
          </w:p>
        </w:tc>
        <w:tc>
          <w:tcPr>
            <w:tcW w:w="1134" w:type="dxa"/>
            <w:vAlign w:val="center"/>
          </w:tcPr>
          <w:p w14:paraId="1AB3EF0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5.99E-04</w:t>
            </w:r>
          </w:p>
        </w:tc>
        <w:tc>
          <w:tcPr>
            <w:tcW w:w="997" w:type="dxa"/>
            <w:vAlign w:val="center"/>
          </w:tcPr>
          <w:p w14:paraId="03E694C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5.99</w:t>
            </w:r>
          </w:p>
        </w:tc>
        <w:tc>
          <w:tcPr>
            <w:tcW w:w="992" w:type="dxa"/>
            <w:vAlign w:val="center"/>
          </w:tcPr>
          <w:p w14:paraId="3FE63B9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2.07E-03</w:t>
            </w:r>
          </w:p>
        </w:tc>
        <w:tc>
          <w:tcPr>
            <w:tcW w:w="992" w:type="dxa"/>
            <w:vAlign w:val="center"/>
          </w:tcPr>
          <w:p w14:paraId="7E8994A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1.03</w:t>
            </w:r>
          </w:p>
        </w:tc>
        <w:tc>
          <w:tcPr>
            <w:tcW w:w="992" w:type="dxa"/>
            <w:vAlign w:val="center"/>
          </w:tcPr>
          <w:p w14:paraId="7F19BC3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1.24E-04</w:t>
            </w:r>
          </w:p>
        </w:tc>
        <w:tc>
          <w:tcPr>
            <w:tcW w:w="992" w:type="dxa"/>
            <w:vAlign w:val="center"/>
          </w:tcPr>
          <w:p w14:paraId="19565E2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1.24</w:t>
            </w:r>
          </w:p>
        </w:tc>
      </w:tr>
      <w:tr w:rsidR="00D12939" w14:paraId="62D77A34" w14:textId="77777777">
        <w:trPr>
          <w:jc w:val="center"/>
        </w:trPr>
        <w:tc>
          <w:tcPr>
            <w:tcW w:w="1007" w:type="dxa"/>
            <w:vAlign w:val="center"/>
          </w:tcPr>
          <w:p w14:paraId="592466F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425</w:t>
            </w:r>
          </w:p>
        </w:tc>
        <w:tc>
          <w:tcPr>
            <w:tcW w:w="992" w:type="dxa"/>
            <w:vAlign w:val="center"/>
          </w:tcPr>
          <w:p w14:paraId="648DD92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9.66E-03</w:t>
            </w:r>
          </w:p>
        </w:tc>
        <w:tc>
          <w:tcPr>
            <w:tcW w:w="992" w:type="dxa"/>
            <w:vAlign w:val="center"/>
          </w:tcPr>
          <w:p w14:paraId="30D1AB4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4.83</w:t>
            </w:r>
          </w:p>
        </w:tc>
        <w:tc>
          <w:tcPr>
            <w:tcW w:w="1134" w:type="dxa"/>
            <w:vAlign w:val="center"/>
          </w:tcPr>
          <w:p w14:paraId="76A590E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5.80E-04</w:t>
            </w:r>
          </w:p>
        </w:tc>
        <w:tc>
          <w:tcPr>
            <w:tcW w:w="997" w:type="dxa"/>
            <w:vAlign w:val="center"/>
          </w:tcPr>
          <w:p w14:paraId="48B49EE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5.80</w:t>
            </w:r>
          </w:p>
        </w:tc>
        <w:tc>
          <w:tcPr>
            <w:tcW w:w="992" w:type="dxa"/>
            <w:vAlign w:val="center"/>
          </w:tcPr>
          <w:p w14:paraId="544195C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1.99E-03</w:t>
            </w:r>
          </w:p>
        </w:tc>
        <w:tc>
          <w:tcPr>
            <w:tcW w:w="992" w:type="dxa"/>
            <w:vAlign w:val="center"/>
          </w:tcPr>
          <w:p w14:paraId="731BEF8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1.00</w:t>
            </w:r>
          </w:p>
        </w:tc>
        <w:tc>
          <w:tcPr>
            <w:tcW w:w="992" w:type="dxa"/>
            <w:vAlign w:val="center"/>
          </w:tcPr>
          <w:p w14:paraId="11C0C7A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1.19E-04</w:t>
            </w:r>
          </w:p>
        </w:tc>
        <w:tc>
          <w:tcPr>
            <w:tcW w:w="992" w:type="dxa"/>
            <w:vAlign w:val="center"/>
          </w:tcPr>
          <w:p w14:paraId="2BB8927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1.19</w:t>
            </w:r>
          </w:p>
        </w:tc>
      </w:tr>
      <w:tr w:rsidR="00D12939" w14:paraId="0956AEA8" w14:textId="77777777">
        <w:trPr>
          <w:jc w:val="center"/>
        </w:trPr>
        <w:tc>
          <w:tcPr>
            <w:tcW w:w="1007" w:type="dxa"/>
            <w:vAlign w:val="center"/>
          </w:tcPr>
          <w:p w14:paraId="7F7805B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450</w:t>
            </w:r>
          </w:p>
        </w:tc>
        <w:tc>
          <w:tcPr>
            <w:tcW w:w="992" w:type="dxa"/>
            <w:vAlign w:val="center"/>
          </w:tcPr>
          <w:p w14:paraId="3A801BB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9.35E-03</w:t>
            </w:r>
          </w:p>
        </w:tc>
        <w:tc>
          <w:tcPr>
            <w:tcW w:w="992" w:type="dxa"/>
            <w:vAlign w:val="center"/>
          </w:tcPr>
          <w:p w14:paraId="5FB50EF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4.68</w:t>
            </w:r>
          </w:p>
        </w:tc>
        <w:tc>
          <w:tcPr>
            <w:tcW w:w="1134" w:type="dxa"/>
            <w:vAlign w:val="center"/>
          </w:tcPr>
          <w:p w14:paraId="400C8D8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5.61E-04</w:t>
            </w:r>
          </w:p>
        </w:tc>
        <w:tc>
          <w:tcPr>
            <w:tcW w:w="997" w:type="dxa"/>
            <w:vAlign w:val="center"/>
          </w:tcPr>
          <w:p w14:paraId="3C9F0FF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5.61</w:t>
            </w:r>
          </w:p>
        </w:tc>
        <w:tc>
          <w:tcPr>
            <w:tcW w:w="992" w:type="dxa"/>
            <w:vAlign w:val="center"/>
          </w:tcPr>
          <w:p w14:paraId="3D3399D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1.92E-03</w:t>
            </w:r>
          </w:p>
        </w:tc>
        <w:tc>
          <w:tcPr>
            <w:tcW w:w="992" w:type="dxa"/>
            <w:vAlign w:val="center"/>
          </w:tcPr>
          <w:p w14:paraId="7FA0DE2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0.96</w:t>
            </w:r>
          </w:p>
        </w:tc>
        <w:tc>
          <w:tcPr>
            <w:tcW w:w="992" w:type="dxa"/>
            <w:vAlign w:val="center"/>
          </w:tcPr>
          <w:p w14:paraId="5976BE2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1.15E-04</w:t>
            </w:r>
          </w:p>
        </w:tc>
        <w:tc>
          <w:tcPr>
            <w:tcW w:w="992" w:type="dxa"/>
            <w:vAlign w:val="center"/>
          </w:tcPr>
          <w:p w14:paraId="3B6AC00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1.15</w:t>
            </w:r>
          </w:p>
        </w:tc>
      </w:tr>
      <w:tr w:rsidR="00D12939" w14:paraId="58993DBC" w14:textId="77777777">
        <w:trPr>
          <w:jc w:val="center"/>
        </w:trPr>
        <w:tc>
          <w:tcPr>
            <w:tcW w:w="1007" w:type="dxa"/>
            <w:vAlign w:val="center"/>
          </w:tcPr>
          <w:p w14:paraId="5D77272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475</w:t>
            </w:r>
          </w:p>
        </w:tc>
        <w:tc>
          <w:tcPr>
            <w:tcW w:w="992" w:type="dxa"/>
            <w:vAlign w:val="center"/>
          </w:tcPr>
          <w:p w14:paraId="3F256E3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9.07E-03</w:t>
            </w:r>
          </w:p>
        </w:tc>
        <w:tc>
          <w:tcPr>
            <w:tcW w:w="992" w:type="dxa"/>
            <w:vAlign w:val="center"/>
          </w:tcPr>
          <w:p w14:paraId="1A0106A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4.54</w:t>
            </w:r>
          </w:p>
        </w:tc>
        <w:tc>
          <w:tcPr>
            <w:tcW w:w="1134" w:type="dxa"/>
            <w:vAlign w:val="center"/>
          </w:tcPr>
          <w:p w14:paraId="3469C92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5.44E-04</w:t>
            </w:r>
          </w:p>
        </w:tc>
        <w:tc>
          <w:tcPr>
            <w:tcW w:w="997" w:type="dxa"/>
            <w:vAlign w:val="center"/>
          </w:tcPr>
          <w:p w14:paraId="5956C0B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5.44</w:t>
            </w:r>
          </w:p>
        </w:tc>
        <w:tc>
          <w:tcPr>
            <w:tcW w:w="992" w:type="dxa"/>
            <w:vAlign w:val="center"/>
          </w:tcPr>
          <w:p w14:paraId="702D489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1.86E-03</w:t>
            </w:r>
          </w:p>
        </w:tc>
        <w:tc>
          <w:tcPr>
            <w:tcW w:w="992" w:type="dxa"/>
            <w:vAlign w:val="center"/>
          </w:tcPr>
          <w:p w14:paraId="14467D3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0.93</w:t>
            </w:r>
          </w:p>
        </w:tc>
        <w:tc>
          <w:tcPr>
            <w:tcW w:w="992" w:type="dxa"/>
            <w:vAlign w:val="center"/>
          </w:tcPr>
          <w:p w14:paraId="6F3F191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1.12E-04</w:t>
            </w:r>
          </w:p>
        </w:tc>
        <w:tc>
          <w:tcPr>
            <w:tcW w:w="992" w:type="dxa"/>
            <w:vAlign w:val="center"/>
          </w:tcPr>
          <w:p w14:paraId="62B1C32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1.12</w:t>
            </w:r>
          </w:p>
        </w:tc>
      </w:tr>
      <w:tr w:rsidR="00D12939" w14:paraId="1C3AFD79" w14:textId="77777777">
        <w:trPr>
          <w:jc w:val="center"/>
        </w:trPr>
        <w:tc>
          <w:tcPr>
            <w:tcW w:w="1007" w:type="dxa"/>
            <w:vAlign w:val="center"/>
          </w:tcPr>
          <w:p w14:paraId="09E22B7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500</w:t>
            </w:r>
          </w:p>
        </w:tc>
        <w:tc>
          <w:tcPr>
            <w:tcW w:w="992" w:type="dxa"/>
            <w:vAlign w:val="center"/>
          </w:tcPr>
          <w:p w14:paraId="44AA49B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8.80E-03</w:t>
            </w:r>
          </w:p>
        </w:tc>
        <w:tc>
          <w:tcPr>
            <w:tcW w:w="992" w:type="dxa"/>
            <w:vAlign w:val="center"/>
          </w:tcPr>
          <w:p w14:paraId="53DB21B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4.40</w:t>
            </w:r>
          </w:p>
        </w:tc>
        <w:tc>
          <w:tcPr>
            <w:tcW w:w="1134" w:type="dxa"/>
            <w:vAlign w:val="center"/>
          </w:tcPr>
          <w:p w14:paraId="18A925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5.28E-04</w:t>
            </w:r>
          </w:p>
        </w:tc>
        <w:tc>
          <w:tcPr>
            <w:tcW w:w="997" w:type="dxa"/>
            <w:vAlign w:val="center"/>
          </w:tcPr>
          <w:p w14:paraId="2C0AA63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5.28</w:t>
            </w:r>
          </w:p>
        </w:tc>
        <w:tc>
          <w:tcPr>
            <w:tcW w:w="992" w:type="dxa"/>
            <w:vAlign w:val="center"/>
          </w:tcPr>
          <w:p w14:paraId="2F967DF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1.80E-03</w:t>
            </w:r>
          </w:p>
        </w:tc>
        <w:tc>
          <w:tcPr>
            <w:tcW w:w="992" w:type="dxa"/>
            <w:vAlign w:val="center"/>
          </w:tcPr>
          <w:p w14:paraId="3B6C4B1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0.90</w:t>
            </w:r>
          </w:p>
        </w:tc>
        <w:tc>
          <w:tcPr>
            <w:tcW w:w="992" w:type="dxa"/>
            <w:vAlign w:val="center"/>
          </w:tcPr>
          <w:p w14:paraId="4489BF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1.08E-04</w:t>
            </w:r>
          </w:p>
        </w:tc>
        <w:tc>
          <w:tcPr>
            <w:tcW w:w="992" w:type="dxa"/>
            <w:vAlign w:val="center"/>
          </w:tcPr>
          <w:p w14:paraId="7372F55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1.08</w:t>
            </w:r>
          </w:p>
        </w:tc>
      </w:tr>
      <w:tr w:rsidR="00D12939" w14:paraId="4C1A47B1" w14:textId="77777777">
        <w:trPr>
          <w:jc w:val="center"/>
        </w:trPr>
        <w:tc>
          <w:tcPr>
            <w:tcW w:w="1007" w:type="dxa"/>
            <w:vAlign w:val="center"/>
          </w:tcPr>
          <w:p w14:paraId="1E1ACFF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600</w:t>
            </w:r>
          </w:p>
        </w:tc>
        <w:tc>
          <w:tcPr>
            <w:tcW w:w="992" w:type="dxa"/>
            <w:vAlign w:val="center"/>
          </w:tcPr>
          <w:p w14:paraId="05A91BB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7.88E-03</w:t>
            </w:r>
          </w:p>
        </w:tc>
        <w:tc>
          <w:tcPr>
            <w:tcW w:w="992" w:type="dxa"/>
            <w:vAlign w:val="center"/>
          </w:tcPr>
          <w:p w14:paraId="4399CF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3.94</w:t>
            </w:r>
          </w:p>
        </w:tc>
        <w:tc>
          <w:tcPr>
            <w:tcW w:w="1134" w:type="dxa"/>
            <w:vAlign w:val="center"/>
          </w:tcPr>
          <w:p w14:paraId="7EB7FB3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4.73E-04</w:t>
            </w:r>
          </w:p>
        </w:tc>
        <w:tc>
          <w:tcPr>
            <w:tcW w:w="997" w:type="dxa"/>
            <w:vAlign w:val="center"/>
          </w:tcPr>
          <w:p w14:paraId="732D4CA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4.73</w:t>
            </w:r>
          </w:p>
        </w:tc>
        <w:tc>
          <w:tcPr>
            <w:tcW w:w="992" w:type="dxa"/>
            <w:vAlign w:val="center"/>
          </w:tcPr>
          <w:p w14:paraId="2BE2EDF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1.62E-03</w:t>
            </w:r>
          </w:p>
        </w:tc>
        <w:tc>
          <w:tcPr>
            <w:tcW w:w="992" w:type="dxa"/>
            <w:vAlign w:val="center"/>
          </w:tcPr>
          <w:p w14:paraId="3BCF552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0.81</w:t>
            </w:r>
          </w:p>
        </w:tc>
        <w:tc>
          <w:tcPr>
            <w:tcW w:w="992" w:type="dxa"/>
            <w:vAlign w:val="center"/>
          </w:tcPr>
          <w:p w14:paraId="1C03674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9.70E-05</w:t>
            </w:r>
          </w:p>
        </w:tc>
        <w:tc>
          <w:tcPr>
            <w:tcW w:w="992" w:type="dxa"/>
            <w:vAlign w:val="center"/>
          </w:tcPr>
          <w:p w14:paraId="499DF70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0.97</w:t>
            </w:r>
          </w:p>
        </w:tc>
      </w:tr>
      <w:tr w:rsidR="00D12939" w14:paraId="6E396609" w14:textId="77777777">
        <w:trPr>
          <w:jc w:val="center"/>
        </w:trPr>
        <w:tc>
          <w:tcPr>
            <w:tcW w:w="1007" w:type="dxa"/>
            <w:vAlign w:val="center"/>
          </w:tcPr>
          <w:p w14:paraId="273D391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700</w:t>
            </w:r>
          </w:p>
        </w:tc>
        <w:tc>
          <w:tcPr>
            <w:tcW w:w="992" w:type="dxa"/>
            <w:vAlign w:val="center"/>
          </w:tcPr>
          <w:p w14:paraId="72C37DB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7.60E-03</w:t>
            </w:r>
          </w:p>
        </w:tc>
        <w:tc>
          <w:tcPr>
            <w:tcW w:w="992" w:type="dxa"/>
            <w:vAlign w:val="center"/>
          </w:tcPr>
          <w:p w14:paraId="50B9EFC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3.80</w:t>
            </w:r>
          </w:p>
        </w:tc>
        <w:tc>
          <w:tcPr>
            <w:tcW w:w="1134" w:type="dxa"/>
            <w:vAlign w:val="center"/>
          </w:tcPr>
          <w:p w14:paraId="0831791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4.56E-04</w:t>
            </w:r>
          </w:p>
        </w:tc>
        <w:tc>
          <w:tcPr>
            <w:tcW w:w="997" w:type="dxa"/>
            <w:vAlign w:val="center"/>
          </w:tcPr>
          <w:p w14:paraId="6CFF5D9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4.56</w:t>
            </w:r>
          </w:p>
        </w:tc>
        <w:tc>
          <w:tcPr>
            <w:tcW w:w="992" w:type="dxa"/>
            <w:vAlign w:val="center"/>
          </w:tcPr>
          <w:p w14:paraId="1BB65BD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1.57E-03</w:t>
            </w:r>
          </w:p>
        </w:tc>
        <w:tc>
          <w:tcPr>
            <w:tcW w:w="992" w:type="dxa"/>
            <w:vAlign w:val="center"/>
          </w:tcPr>
          <w:p w14:paraId="3DED6BC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0.79</w:t>
            </w:r>
          </w:p>
        </w:tc>
        <w:tc>
          <w:tcPr>
            <w:tcW w:w="992" w:type="dxa"/>
            <w:vAlign w:val="center"/>
          </w:tcPr>
          <w:p w14:paraId="584C2E4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9.42E-05</w:t>
            </w:r>
          </w:p>
        </w:tc>
        <w:tc>
          <w:tcPr>
            <w:tcW w:w="992" w:type="dxa"/>
            <w:vAlign w:val="center"/>
          </w:tcPr>
          <w:p w14:paraId="7D98E94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0.94</w:t>
            </w:r>
          </w:p>
        </w:tc>
      </w:tr>
      <w:tr w:rsidR="00D12939" w14:paraId="1A9CE6EA" w14:textId="77777777">
        <w:trPr>
          <w:jc w:val="center"/>
        </w:trPr>
        <w:tc>
          <w:tcPr>
            <w:tcW w:w="1007" w:type="dxa"/>
            <w:vAlign w:val="center"/>
          </w:tcPr>
          <w:p w14:paraId="2B0C583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800</w:t>
            </w:r>
          </w:p>
        </w:tc>
        <w:tc>
          <w:tcPr>
            <w:tcW w:w="992" w:type="dxa"/>
            <w:vAlign w:val="center"/>
          </w:tcPr>
          <w:p w14:paraId="139FF91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7.43E-03</w:t>
            </w:r>
          </w:p>
        </w:tc>
        <w:tc>
          <w:tcPr>
            <w:tcW w:w="992" w:type="dxa"/>
            <w:vAlign w:val="center"/>
          </w:tcPr>
          <w:p w14:paraId="7B239E0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3.71</w:t>
            </w:r>
          </w:p>
        </w:tc>
        <w:tc>
          <w:tcPr>
            <w:tcW w:w="1134" w:type="dxa"/>
            <w:vAlign w:val="center"/>
          </w:tcPr>
          <w:p w14:paraId="2073497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4.46E-04</w:t>
            </w:r>
          </w:p>
        </w:tc>
        <w:tc>
          <w:tcPr>
            <w:tcW w:w="997" w:type="dxa"/>
            <w:vAlign w:val="center"/>
          </w:tcPr>
          <w:p w14:paraId="01D7287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4.46</w:t>
            </w:r>
          </w:p>
        </w:tc>
        <w:tc>
          <w:tcPr>
            <w:tcW w:w="992" w:type="dxa"/>
            <w:vAlign w:val="center"/>
          </w:tcPr>
          <w:p w14:paraId="363902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1.53E-03</w:t>
            </w:r>
          </w:p>
        </w:tc>
        <w:tc>
          <w:tcPr>
            <w:tcW w:w="992" w:type="dxa"/>
            <w:vAlign w:val="center"/>
          </w:tcPr>
          <w:p w14:paraId="441C00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0.76</w:t>
            </w:r>
          </w:p>
        </w:tc>
        <w:tc>
          <w:tcPr>
            <w:tcW w:w="992" w:type="dxa"/>
            <w:vAlign w:val="center"/>
          </w:tcPr>
          <w:p w14:paraId="01465C6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9.16E-05</w:t>
            </w:r>
          </w:p>
        </w:tc>
        <w:tc>
          <w:tcPr>
            <w:tcW w:w="992" w:type="dxa"/>
            <w:vAlign w:val="center"/>
          </w:tcPr>
          <w:p w14:paraId="0352CD5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0.92</w:t>
            </w:r>
          </w:p>
        </w:tc>
      </w:tr>
      <w:tr w:rsidR="00D12939" w14:paraId="18C8D921" w14:textId="77777777">
        <w:trPr>
          <w:jc w:val="center"/>
        </w:trPr>
        <w:tc>
          <w:tcPr>
            <w:tcW w:w="1007" w:type="dxa"/>
            <w:vAlign w:val="center"/>
          </w:tcPr>
          <w:p w14:paraId="10536F9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900</w:t>
            </w:r>
          </w:p>
        </w:tc>
        <w:tc>
          <w:tcPr>
            <w:tcW w:w="992" w:type="dxa"/>
            <w:vAlign w:val="center"/>
          </w:tcPr>
          <w:p w14:paraId="6BECD77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7.26E-03</w:t>
            </w:r>
          </w:p>
        </w:tc>
        <w:tc>
          <w:tcPr>
            <w:tcW w:w="992" w:type="dxa"/>
            <w:vAlign w:val="center"/>
          </w:tcPr>
          <w:p w14:paraId="7813167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3.63</w:t>
            </w:r>
          </w:p>
        </w:tc>
        <w:tc>
          <w:tcPr>
            <w:tcW w:w="1134" w:type="dxa"/>
            <w:vAlign w:val="center"/>
          </w:tcPr>
          <w:p w14:paraId="0F51727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4.35E-04</w:t>
            </w:r>
          </w:p>
        </w:tc>
        <w:tc>
          <w:tcPr>
            <w:tcW w:w="997" w:type="dxa"/>
            <w:vAlign w:val="center"/>
          </w:tcPr>
          <w:p w14:paraId="42A1826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4.35</w:t>
            </w:r>
          </w:p>
        </w:tc>
        <w:tc>
          <w:tcPr>
            <w:tcW w:w="992" w:type="dxa"/>
            <w:vAlign w:val="center"/>
          </w:tcPr>
          <w:p w14:paraId="4915236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1.49E-03</w:t>
            </w:r>
          </w:p>
        </w:tc>
        <w:tc>
          <w:tcPr>
            <w:tcW w:w="992" w:type="dxa"/>
            <w:vAlign w:val="center"/>
          </w:tcPr>
          <w:p w14:paraId="4AFB184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0.74</w:t>
            </w:r>
          </w:p>
        </w:tc>
        <w:tc>
          <w:tcPr>
            <w:tcW w:w="992" w:type="dxa"/>
            <w:vAlign w:val="center"/>
          </w:tcPr>
          <w:p w14:paraId="1DDF46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8.91E-05</w:t>
            </w:r>
          </w:p>
        </w:tc>
        <w:tc>
          <w:tcPr>
            <w:tcW w:w="992" w:type="dxa"/>
            <w:vAlign w:val="center"/>
          </w:tcPr>
          <w:p w14:paraId="198EDD3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0.89</w:t>
            </w:r>
          </w:p>
        </w:tc>
      </w:tr>
      <w:tr w:rsidR="00D12939" w14:paraId="1F809082" w14:textId="77777777">
        <w:trPr>
          <w:jc w:val="center"/>
        </w:trPr>
        <w:tc>
          <w:tcPr>
            <w:tcW w:w="1007" w:type="dxa"/>
            <w:vAlign w:val="center"/>
          </w:tcPr>
          <w:p w14:paraId="6C3E742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1000</w:t>
            </w:r>
          </w:p>
        </w:tc>
        <w:tc>
          <w:tcPr>
            <w:tcW w:w="992" w:type="dxa"/>
            <w:vAlign w:val="center"/>
          </w:tcPr>
          <w:p w14:paraId="32FB83C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7.09E-03</w:t>
            </w:r>
          </w:p>
        </w:tc>
        <w:tc>
          <w:tcPr>
            <w:tcW w:w="992" w:type="dxa"/>
            <w:vAlign w:val="center"/>
          </w:tcPr>
          <w:p w14:paraId="75FAD0A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3.55</w:t>
            </w:r>
          </w:p>
        </w:tc>
        <w:tc>
          <w:tcPr>
            <w:tcW w:w="1134" w:type="dxa"/>
            <w:vAlign w:val="center"/>
          </w:tcPr>
          <w:p w14:paraId="322306A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4.25E-04</w:t>
            </w:r>
          </w:p>
        </w:tc>
        <w:tc>
          <w:tcPr>
            <w:tcW w:w="997" w:type="dxa"/>
            <w:vAlign w:val="center"/>
          </w:tcPr>
          <w:p w14:paraId="04C253C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4.25</w:t>
            </w:r>
          </w:p>
        </w:tc>
        <w:tc>
          <w:tcPr>
            <w:tcW w:w="992" w:type="dxa"/>
            <w:vAlign w:val="center"/>
          </w:tcPr>
          <w:p w14:paraId="2E15252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1.45E-03</w:t>
            </w:r>
          </w:p>
        </w:tc>
        <w:tc>
          <w:tcPr>
            <w:tcW w:w="992" w:type="dxa"/>
            <w:vAlign w:val="center"/>
          </w:tcPr>
          <w:p w14:paraId="7C40236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0.72</w:t>
            </w:r>
          </w:p>
        </w:tc>
        <w:tc>
          <w:tcPr>
            <w:tcW w:w="992" w:type="dxa"/>
            <w:vAlign w:val="center"/>
          </w:tcPr>
          <w:p w14:paraId="439B5AD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8.68E-05</w:t>
            </w:r>
          </w:p>
        </w:tc>
        <w:tc>
          <w:tcPr>
            <w:tcW w:w="992" w:type="dxa"/>
            <w:vAlign w:val="center"/>
          </w:tcPr>
          <w:p w14:paraId="39F8F94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0.87</w:t>
            </w:r>
          </w:p>
        </w:tc>
      </w:tr>
      <w:tr w:rsidR="00D12939" w14:paraId="3D40E4F7" w14:textId="77777777">
        <w:trPr>
          <w:jc w:val="center"/>
        </w:trPr>
        <w:tc>
          <w:tcPr>
            <w:tcW w:w="1007" w:type="dxa"/>
            <w:vAlign w:val="center"/>
          </w:tcPr>
          <w:p w14:paraId="2234920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1200</w:t>
            </w:r>
          </w:p>
        </w:tc>
        <w:tc>
          <w:tcPr>
            <w:tcW w:w="992" w:type="dxa"/>
            <w:vAlign w:val="center"/>
          </w:tcPr>
          <w:p w14:paraId="55D32FB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6.77E-03</w:t>
            </w:r>
          </w:p>
        </w:tc>
        <w:tc>
          <w:tcPr>
            <w:tcW w:w="992" w:type="dxa"/>
            <w:vAlign w:val="center"/>
          </w:tcPr>
          <w:p w14:paraId="21D9A3F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3.39</w:t>
            </w:r>
          </w:p>
        </w:tc>
        <w:tc>
          <w:tcPr>
            <w:tcW w:w="1134" w:type="dxa"/>
            <w:vAlign w:val="center"/>
          </w:tcPr>
          <w:p w14:paraId="3575296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4.06E-04</w:t>
            </w:r>
          </w:p>
        </w:tc>
        <w:tc>
          <w:tcPr>
            <w:tcW w:w="997" w:type="dxa"/>
            <w:vAlign w:val="center"/>
          </w:tcPr>
          <w:p w14:paraId="6AC338D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4.06</w:t>
            </w:r>
          </w:p>
        </w:tc>
        <w:tc>
          <w:tcPr>
            <w:tcW w:w="992" w:type="dxa"/>
            <w:vAlign w:val="center"/>
          </w:tcPr>
          <w:p w14:paraId="5E68DF8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1.38E-03</w:t>
            </w:r>
          </w:p>
        </w:tc>
        <w:tc>
          <w:tcPr>
            <w:tcW w:w="992" w:type="dxa"/>
            <w:vAlign w:val="center"/>
          </w:tcPr>
          <w:p w14:paraId="78534FA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0.69</w:t>
            </w:r>
          </w:p>
        </w:tc>
        <w:tc>
          <w:tcPr>
            <w:tcW w:w="992" w:type="dxa"/>
            <w:vAlign w:val="center"/>
          </w:tcPr>
          <w:p w14:paraId="2F24645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8.26E-05</w:t>
            </w:r>
          </w:p>
        </w:tc>
        <w:tc>
          <w:tcPr>
            <w:tcW w:w="992" w:type="dxa"/>
            <w:vAlign w:val="center"/>
          </w:tcPr>
          <w:p w14:paraId="2229EB9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0.83</w:t>
            </w:r>
          </w:p>
        </w:tc>
      </w:tr>
      <w:tr w:rsidR="00D12939" w14:paraId="53F326A5" w14:textId="77777777">
        <w:trPr>
          <w:jc w:val="center"/>
        </w:trPr>
        <w:tc>
          <w:tcPr>
            <w:tcW w:w="1007" w:type="dxa"/>
            <w:vAlign w:val="center"/>
          </w:tcPr>
          <w:p w14:paraId="7D9CA60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1400</w:t>
            </w:r>
          </w:p>
        </w:tc>
        <w:tc>
          <w:tcPr>
            <w:tcW w:w="992" w:type="dxa"/>
            <w:vAlign w:val="center"/>
          </w:tcPr>
          <w:p w14:paraId="7D9A53A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6.47E-03</w:t>
            </w:r>
          </w:p>
        </w:tc>
        <w:tc>
          <w:tcPr>
            <w:tcW w:w="992" w:type="dxa"/>
            <w:vAlign w:val="center"/>
          </w:tcPr>
          <w:p w14:paraId="24870F5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3.24</w:t>
            </w:r>
          </w:p>
        </w:tc>
        <w:tc>
          <w:tcPr>
            <w:tcW w:w="1134" w:type="dxa"/>
            <w:vAlign w:val="center"/>
          </w:tcPr>
          <w:p w14:paraId="6C64844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3.88E-04</w:t>
            </w:r>
          </w:p>
        </w:tc>
        <w:tc>
          <w:tcPr>
            <w:tcW w:w="997" w:type="dxa"/>
            <w:vAlign w:val="center"/>
          </w:tcPr>
          <w:p w14:paraId="673455F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3.88</w:t>
            </w:r>
          </w:p>
        </w:tc>
        <w:tc>
          <w:tcPr>
            <w:tcW w:w="992" w:type="dxa"/>
            <w:vAlign w:val="center"/>
          </w:tcPr>
          <w:p w14:paraId="5DD1BB9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1.31E-03</w:t>
            </w:r>
          </w:p>
        </w:tc>
        <w:tc>
          <w:tcPr>
            <w:tcW w:w="992" w:type="dxa"/>
            <w:vAlign w:val="center"/>
          </w:tcPr>
          <w:p w14:paraId="521777A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0.66</w:t>
            </w:r>
          </w:p>
        </w:tc>
        <w:tc>
          <w:tcPr>
            <w:tcW w:w="992" w:type="dxa"/>
            <w:vAlign w:val="center"/>
          </w:tcPr>
          <w:p w14:paraId="6956715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7.86E-05</w:t>
            </w:r>
          </w:p>
        </w:tc>
        <w:tc>
          <w:tcPr>
            <w:tcW w:w="992" w:type="dxa"/>
            <w:vAlign w:val="center"/>
          </w:tcPr>
          <w:p w14:paraId="344847B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0.79</w:t>
            </w:r>
          </w:p>
        </w:tc>
      </w:tr>
      <w:tr w:rsidR="00D12939" w14:paraId="0F108F25" w14:textId="77777777">
        <w:trPr>
          <w:jc w:val="center"/>
        </w:trPr>
        <w:tc>
          <w:tcPr>
            <w:tcW w:w="1007" w:type="dxa"/>
            <w:vAlign w:val="center"/>
          </w:tcPr>
          <w:p w14:paraId="321E5D8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1600</w:t>
            </w:r>
          </w:p>
        </w:tc>
        <w:tc>
          <w:tcPr>
            <w:tcW w:w="992" w:type="dxa"/>
            <w:vAlign w:val="center"/>
          </w:tcPr>
          <w:p w14:paraId="51F62EB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6.19E-03</w:t>
            </w:r>
          </w:p>
        </w:tc>
        <w:tc>
          <w:tcPr>
            <w:tcW w:w="992" w:type="dxa"/>
            <w:vAlign w:val="center"/>
          </w:tcPr>
          <w:p w14:paraId="6C6A672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3.10</w:t>
            </w:r>
          </w:p>
        </w:tc>
        <w:tc>
          <w:tcPr>
            <w:tcW w:w="1134" w:type="dxa"/>
            <w:vAlign w:val="center"/>
          </w:tcPr>
          <w:p w14:paraId="490388F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3.71E-04</w:t>
            </w:r>
          </w:p>
        </w:tc>
        <w:tc>
          <w:tcPr>
            <w:tcW w:w="997" w:type="dxa"/>
            <w:vAlign w:val="center"/>
          </w:tcPr>
          <w:p w14:paraId="27A9A70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3.71</w:t>
            </w:r>
          </w:p>
        </w:tc>
        <w:tc>
          <w:tcPr>
            <w:tcW w:w="992" w:type="dxa"/>
            <w:vAlign w:val="center"/>
          </w:tcPr>
          <w:p w14:paraId="3279555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1.25E-03</w:t>
            </w:r>
          </w:p>
        </w:tc>
        <w:tc>
          <w:tcPr>
            <w:tcW w:w="992" w:type="dxa"/>
            <w:vAlign w:val="center"/>
          </w:tcPr>
          <w:p w14:paraId="73CCB5D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0.63</w:t>
            </w:r>
          </w:p>
        </w:tc>
        <w:tc>
          <w:tcPr>
            <w:tcW w:w="992" w:type="dxa"/>
            <w:vAlign w:val="center"/>
          </w:tcPr>
          <w:p w14:paraId="0F69BA6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7.51E-05</w:t>
            </w:r>
          </w:p>
        </w:tc>
        <w:tc>
          <w:tcPr>
            <w:tcW w:w="992" w:type="dxa"/>
            <w:vAlign w:val="center"/>
          </w:tcPr>
          <w:p w14:paraId="6620B01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0.75</w:t>
            </w:r>
          </w:p>
        </w:tc>
      </w:tr>
      <w:tr w:rsidR="00D12939" w14:paraId="78CA2A82" w14:textId="77777777">
        <w:trPr>
          <w:jc w:val="center"/>
        </w:trPr>
        <w:tc>
          <w:tcPr>
            <w:tcW w:w="1007" w:type="dxa"/>
            <w:vAlign w:val="center"/>
          </w:tcPr>
          <w:p w14:paraId="09502CA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1800</w:t>
            </w:r>
          </w:p>
        </w:tc>
        <w:tc>
          <w:tcPr>
            <w:tcW w:w="992" w:type="dxa"/>
            <w:vAlign w:val="center"/>
          </w:tcPr>
          <w:p w14:paraId="63CE9F1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5.93E-03</w:t>
            </w:r>
          </w:p>
        </w:tc>
        <w:tc>
          <w:tcPr>
            <w:tcW w:w="992" w:type="dxa"/>
            <w:vAlign w:val="center"/>
          </w:tcPr>
          <w:p w14:paraId="08BA49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2.96</w:t>
            </w:r>
          </w:p>
        </w:tc>
        <w:tc>
          <w:tcPr>
            <w:tcW w:w="1134" w:type="dxa"/>
            <w:vAlign w:val="center"/>
          </w:tcPr>
          <w:p w14:paraId="6D90DEF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3.56E-04</w:t>
            </w:r>
          </w:p>
        </w:tc>
        <w:tc>
          <w:tcPr>
            <w:tcW w:w="997" w:type="dxa"/>
            <w:vAlign w:val="center"/>
          </w:tcPr>
          <w:p w14:paraId="69C7B8B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3.56</w:t>
            </w:r>
          </w:p>
        </w:tc>
        <w:tc>
          <w:tcPr>
            <w:tcW w:w="992" w:type="dxa"/>
            <w:vAlign w:val="center"/>
          </w:tcPr>
          <w:p w14:paraId="2E06743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1.20E-03</w:t>
            </w:r>
          </w:p>
        </w:tc>
        <w:tc>
          <w:tcPr>
            <w:tcW w:w="992" w:type="dxa"/>
            <w:vAlign w:val="center"/>
          </w:tcPr>
          <w:p w14:paraId="48A42D4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0.60</w:t>
            </w:r>
          </w:p>
        </w:tc>
        <w:tc>
          <w:tcPr>
            <w:tcW w:w="992" w:type="dxa"/>
            <w:vAlign w:val="center"/>
          </w:tcPr>
          <w:p w14:paraId="5D68EBF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7.18E-05</w:t>
            </w:r>
          </w:p>
        </w:tc>
        <w:tc>
          <w:tcPr>
            <w:tcW w:w="992" w:type="dxa"/>
            <w:vAlign w:val="center"/>
          </w:tcPr>
          <w:p w14:paraId="1D30EB9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0.72</w:t>
            </w:r>
          </w:p>
        </w:tc>
      </w:tr>
      <w:tr w:rsidR="00D12939" w14:paraId="3C475769" w14:textId="77777777">
        <w:trPr>
          <w:jc w:val="center"/>
        </w:trPr>
        <w:tc>
          <w:tcPr>
            <w:tcW w:w="1007" w:type="dxa"/>
            <w:vAlign w:val="center"/>
          </w:tcPr>
          <w:p w14:paraId="7ECDC1B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2000</w:t>
            </w:r>
          </w:p>
        </w:tc>
        <w:tc>
          <w:tcPr>
            <w:tcW w:w="992" w:type="dxa"/>
            <w:vAlign w:val="center"/>
          </w:tcPr>
          <w:p w14:paraId="368CCF4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5.68E-03</w:t>
            </w:r>
          </w:p>
        </w:tc>
        <w:tc>
          <w:tcPr>
            <w:tcW w:w="992" w:type="dxa"/>
            <w:vAlign w:val="center"/>
          </w:tcPr>
          <w:p w14:paraId="52F8121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2.84</w:t>
            </w:r>
          </w:p>
        </w:tc>
        <w:tc>
          <w:tcPr>
            <w:tcW w:w="1134" w:type="dxa"/>
            <w:vAlign w:val="center"/>
          </w:tcPr>
          <w:p w14:paraId="11DA9A2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3.41E-04</w:t>
            </w:r>
          </w:p>
        </w:tc>
        <w:tc>
          <w:tcPr>
            <w:tcW w:w="997" w:type="dxa"/>
            <w:vAlign w:val="center"/>
          </w:tcPr>
          <w:p w14:paraId="0A59956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3.41</w:t>
            </w:r>
          </w:p>
        </w:tc>
        <w:tc>
          <w:tcPr>
            <w:tcW w:w="992" w:type="dxa"/>
            <w:vAlign w:val="center"/>
          </w:tcPr>
          <w:p w14:paraId="29C651B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1.15E-03</w:t>
            </w:r>
          </w:p>
        </w:tc>
        <w:tc>
          <w:tcPr>
            <w:tcW w:w="992" w:type="dxa"/>
            <w:vAlign w:val="center"/>
          </w:tcPr>
          <w:p w14:paraId="383988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0.57</w:t>
            </w:r>
          </w:p>
        </w:tc>
        <w:tc>
          <w:tcPr>
            <w:tcW w:w="992" w:type="dxa"/>
            <w:vAlign w:val="center"/>
          </w:tcPr>
          <w:p w14:paraId="12296CF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6.88E-05</w:t>
            </w:r>
          </w:p>
        </w:tc>
        <w:tc>
          <w:tcPr>
            <w:tcW w:w="992" w:type="dxa"/>
            <w:vAlign w:val="center"/>
          </w:tcPr>
          <w:p w14:paraId="5A45A13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0.69</w:t>
            </w:r>
          </w:p>
        </w:tc>
      </w:tr>
      <w:tr w:rsidR="00D12939" w14:paraId="42083853" w14:textId="77777777">
        <w:trPr>
          <w:jc w:val="center"/>
        </w:trPr>
        <w:tc>
          <w:tcPr>
            <w:tcW w:w="1007" w:type="dxa"/>
            <w:vAlign w:val="center"/>
          </w:tcPr>
          <w:p w14:paraId="17F11E1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2250</w:t>
            </w:r>
          </w:p>
        </w:tc>
        <w:tc>
          <w:tcPr>
            <w:tcW w:w="992" w:type="dxa"/>
            <w:vAlign w:val="center"/>
          </w:tcPr>
          <w:p w14:paraId="181CA5D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5.40E-03</w:t>
            </w:r>
          </w:p>
        </w:tc>
        <w:tc>
          <w:tcPr>
            <w:tcW w:w="992" w:type="dxa"/>
            <w:vAlign w:val="center"/>
          </w:tcPr>
          <w:p w14:paraId="1E11D24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2.70</w:t>
            </w:r>
          </w:p>
        </w:tc>
        <w:tc>
          <w:tcPr>
            <w:tcW w:w="1134" w:type="dxa"/>
            <w:vAlign w:val="center"/>
          </w:tcPr>
          <w:p w14:paraId="2CBD1D6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3.24E-04</w:t>
            </w:r>
          </w:p>
        </w:tc>
        <w:tc>
          <w:tcPr>
            <w:tcW w:w="997" w:type="dxa"/>
            <w:vAlign w:val="center"/>
          </w:tcPr>
          <w:p w14:paraId="6E1EAF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3.24</w:t>
            </w:r>
          </w:p>
        </w:tc>
        <w:tc>
          <w:tcPr>
            <w:tcW w:w="992" w:type="dxa"/>
            <w:vAlign w:val="center"/>
          </w:tcPr>
          <w:p w14:paraId="2A3D81E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1.09E-03</w:t>
            </w:r>
          </w:p>
        </w:tc>
        <w:tc>
          <w:tcPr>
            <w:tcW w:w="992" w:type="dxa"/>
            <w:vAlign w:val="center"/>
          </w:tcPr>
          <w:p w14:paraId="14AC6A1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0.54</w:t>
            </w:r>
          </w:p>
        </w:tc>
        <w:tc>
          <w:tcPr>
            <w:tcW w:w="992" w:type="dxa"/>
            <w:vAlign w:val="center"/>
          </w:tcPr>
          <w:p w14:paraId="356E7D3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6.52E-05</w:t>
            </w:r>
          </w:p>
        </w:tc>
        <w:tc>
          <w:tcPr>
            <w:tcW w:w="992" w:type="dxa"/>
            <w:vAlign w:val="center"/>
          </w:tcPr>
          <w:p w14:paraId="6AC5D1A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0.65</w:t>
            </w:r>
          </w:p>
        </w:tc>
      </w:tr>
      <w:tr w:rsidR="00D12939" w14:paraId="6028BFED" w14:textId="77777777">
        <w:trPr>
          <w:jc w:val="center"/>
        </w:trPr>
        <w:tc>
          <w:tcPr>
            <w:tcW w:w="1007" w:type="dxa"/>
            <w:vAlign w:val="center"/>
          </w:tcPr>
          <w:p w14:paraId="5065A76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2500</w:t>
            </w:r>
          </w:p>
        </w:tc>
        <w:tc>
          <w:tcPr>
            <w:tcW w:w="992" w:type="dxa"/>
            <w:vAlign w:val="center"/>
          </w:tcPr>
          <w:p w14:paraId="66D355A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5.14E-03</w:t>
            </w:r>
          </w:p>
        </w:tc>
        <w:tc>
          <w:tcPr>
            <w:tcW w:w="992" w:type="dxa"/>
            <w:vAlign w:val="center"/>
          </w:tcPr>
          <w:p w14:paraId="54890B6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2.57</w:t>
            </w:r>
          </w:p>
        </w:tc>
        <w:tc>
          <w:tcPr>
            <w:tcW w:w="1134" w:type="dxa"/>
            <w:vAlign w:val="center"/>
          </w:tcPr>
          <w:p w14:paraId="288864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3.09E-04</w:t>
            </w:r>
          </w:p>
        </w:tc>
        <w:tc>
          <w:tcPr>
            <w:tcW w:w="997" w:type="dxa"/>
            <w:vAlign w:val="center"/>
          </w:tcPr>
          <w:p w14:paraId="137753A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3.09</w:t>
            </w:r>
          </w:p>
        </w:tc>
        <w:tc>
          <w:tcPr>
            <w:tcW w:w="992" w:type="dxa"/>
            <w:vAlign w:val="center"/>
          </w:tcPr>
          <w:p w14:paraId="63D0466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1.03E-03</w:t>
            </w:r>
          </w:p>
        </w:tc>
        <w:tc>
          <w:tcPr>
            <w:tcW w:w="992" w:type="dxa"/>
            <w:vAlign w:val="center"/>
          </w:tcPr>
          <w:p w14:paraId="482A452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0.52</w:t>
            </w:r>
          </w:p>
        </w:tc>
        <w:tc>
          <w:tcPr>
            <w:tcW w:w="992" w:type="dxa"/>
            <w:vAlign w:val="center"/>
          </w:tcPr>
          <w:p w14:paraId="18AC7BB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6.20E-05</w:t>
            </w:r>
          </w:p>
        </w:tc>
        <w:tc>
          <w:tcPr>
            <w:tcW w:w="992" w:type="dxa"/>
            <w:vAlign w:val="center"/>
          </w:tcPr>
          <w:p w14:paraId="2C12969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0.62</w:t>
            </w:r>
          </w:p>
        </w:tc>
      </w:tr>
    </w:tbl>
    <w:p w14:paraId="1657DE76" w14:textId="77777777" w:rsidR="00D12939" w:rsidRDefault="004F47F5">
      <w:pPr>
        <w:spacing w:line="360" w:lineRule="auto"/>
        <w:jc w:val="center"/>
        <w:rPr>
          <w:rFonts w:ascii="黑体" w:eastAsia="黑体" w:hAnsi="黑体"/>
          <w:bCs/>
          <w:sz w:val="24"/>
        </w:rPr>
      </w:pPr>
      <w:r>
        <w:rPr>
          <w:rFonts w:ascii="黑体" w:eastAsia="黑体" w:hAnsi="黑体"/>
          <w:bCs/>
          <w:sz w:val="24"/>
        </w:rPr>
        <w:t xml:space="preserve">表7.1-9 </w:t>
      </w:r>
      <w:r>
        <w:rPr>
          <w:rFonts w:ascii="黑体" w:eastAsia="黑体" w:hAnsi="黑体" w:hint="eastAsia"/>
          <w:bCs/>
          <w:sz w:val="24"/>
        </w:rPr>
        <w:t>无组织污染源排放</w:t>
      </w:r>
      <w:r>
        <w:rPr>
          <w:rFonts w:ascii="黑体" w:eastAsia="黑体" w:hAnsi="黑体"/>
          <w:bCs/>
          <w:sz w:val="24"/>
        </w:rPr>
        <w:t>估算模式预测结果一览表</w:t>
      </w:r>
      <w:r>
        <w:rPr>
          <w:rFonts w:ascii="黑体" w:eastAsia="黑体" w:hAnsi="黑体" w:hint="eastAsia"/>
          <w:bCs/>
          <w:sz w:val="24"/>
        </w:rPr>
        <w:t>（续表）</w:t>
      </w:r>
    </w:p>
    <w:tbl>
      <w:tblPr>
        <w:tblW w:w="938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853"/>
        <w:gridCol w:w="975"/>
        <w:gridCol w:w="705"/>
        <w:gridCol w:w="960"/>
        <w:gridCol w:w="745"/>
        <w:gridCol w:w="992"/>
        <w:gridCol w:w="787"/>
        <w:gridCol w:w="914"/>
        <w:gridCol w:w="709"/>
        <w:gridCol w:w="992"/>
        <w:gridCol w:w="755"/>
      </w:tblGrid>
      <w:tr w:rsidR="00D12939" w14:paraId="7ECCCC54" w14:textId="77777777">
        <w:trPr>
          <w:trHeight w:val="327"/>
          <w:jc w:val="center"/>
        </w:trPr>
        <w:tc>
          <w:tcPr>
            <w:tcW w:w="853" w:type="dxa"/>
            <w:vMerge w:val="restart"/>
            <w:vAlign w:val="center"/>
          </w:tcPr>
          <w:p w14:paraId="43FE15E8"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距源中心下风向距离</w:t>
            </w:r>
            <w:r>
              <w:rPr>
                <w:rFonts w:ascii="Times New Roman" w:eastAsia="宋体" w:hAnsi="Times New Roman" w:cs="Times New Roman"/>
                <w:b/>
                <w:bCs/>
                <w:sz w:val="18"/>
                <w:szCs w:val="18"/>
              </w:rPr>
              <w:t>D</w:t>
            </w:r>
            <w:r>
              <w:rPr>
                <w:rFonts w:ascii="Times New Roman" w:eastAsia="宋体" w:hAnsi="Times New Roman" w:cs="Times New Roman"/>
                <w:b/>
                <w:bCs/>
                <w:sz w:val="18"/>
                <w:szCs w:val="18"/>
              </w:rPr>
              <w:t>（</w:t>
            </w:r>
            <w:r>
              <w:rPr>
                <w:rFonts w:ascii="Times New Roman" w:eastAsia="宋体" w:hAnsi="Times New Roman" w:cs="Times New Roman"/>
                <w:b/>
                <w:bCs/>
                <w:sz w:val="18"/>
                <w:szCs w:val="18"/>
              </w:rPr>
              <w:t>m</w:t>
            </w:r>
            <w:r>
              <w:rPr>
                <w:rFonts w:ascii="Times New Roman" w:eastAsia="宋体" w:hAnsi="Times New Roman" w:cs="Times New Roman"/>
                <w:b/>
                <w:bCs/>
                <w:sz w:val="18"/>
                <w:szCs w:val="18"/>
              </w:rPr>
              <w:t>）</w:t>
            </w:r>
          </w:p>
        </w:tc>
        <w:tc>
          <w:tcPr>
            <w:tcW w:w="3385" w:type="dxa"/>
            <w:gridSpan w:val="4"/>
            <w:tcBorders>
              <w:right w:val="single" w:sz="4" w:space="0" w:color="auto"/>
            </w:tcBorders>
            <w:vAlign w:val="center"/>
          </w:tcPr>
          <w:p w14:paraId="059B323D"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hint="eastAsia"/>
                <w:b/>
                <w:bCs/>
                <w:sz w:val="18"/>
                <w:szCs w:val="18"/>
              </w:rPr>
              <w:t>调节池</w:t>
            </w:r>
          </w:p>
        </w:tc>
        <w:tc>
          <w:tcPr>
            <w:tcW w:w="3402" w:type="dxa"/>
            <w:gridSpan w:val="4"/>
            <w:tcBorders>
              <w:left w:val="single" w:sz="4" w:space="0" w:color="auto"/>
              <w:right w:val="single" w:sz="4" w:space="0" w:color="auto"/>
            </w:tcBorders>
            <w:vAlign w:val="center"/>
          </w:tcPr>
          <w:p w14:paraId="2DE2F02E"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hint="eastAsia"/>
                <w:b/>
                <w:bCs/>
                <w:sz w:val="18"/>
                <w:szCs w:val="18"/>
              </w:rPr>
              <w:t>渗滤液处理站</w:t>
            </w:r>
          </w:p>
        </w:tc>
        <w:tc>
          <w:tcPr>
            <w:tcW w:w="1747" w:type="dxa"/>
            <w:gridSpan w:val="2"/>
            <w:tcBorders>
              <w:left w:val="single" w:sz="4" w:space="0" w:color="auto"/>
            </w:tcBorders>
            <w:vAlign w:val="center"/>
          </w:tcPr>
          <w:p w14:paraId="7624DA04"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hint="eastAsia"/>
                <w:b/>
                <w:bCs/>
                <w:sz w:val="18"/>
                <w:szCs w:val="18"/>
              </w:rPr>
              <w:t>填埋场扬尘</w:t>
            </w:r>
          </w:p>
        </w:tc>
      </w:tr>
      <w:tr w:rsidR="00D12939" w14:paraId="1B891167" w14:textId="77777777">
        <w:trPr>
          <w:trHeight w:val="327"/>
          <w:jc w:val="center"/>
        </w:trPr>
        <w:tc>
          <w:tcPr>
            <w:tcW w:w="853" w:type="dxa"/>
            <w:vMerge/>
            <w:vAlign w:val="center"/>
          </w:tcPr>
          <w:p w14:paraId="11C79C8B" w14:textId="77777777" w:rsidR="00D12939" w:rsidRDefault="00D12939">
            <w:pPr>
              <w:adjustRightInd w:val="0"/>
              <w:snapToGrid w:val="0"/>
              <w:jc w:val="center"/>
              <w:rPr>
                <w:rFonts w:ascii="Times New Roman" w:eastAsia="宋体" w:hAnsi="Times New Roman" w:cs="Times New Roman"/>
                <w:b/>
                <w:bCs/>
                <w:sz w:val="18"/>
                <w:szCs w:val="18"/>
              </w:rPr>
            </w:pPr>
          </w:p>
        </w:tc>
        <w:tc>
          <w:tcPr>
            <w:tcW w:w="1680" w:type="dxa"/>
            <w:gridSpan w:val="2"/>
            <w:vAlign w:val="center"/>
          </w:tcPr>
          <w:p w14:paraId="31CD34DF" w14:textId="77777777" w:rsidR="00D12939" w:rsidRDefault="004F47F5">
            <w:pPr>
              <w:jc w:val="center"/>
              <w:rPr>
                <w:rFonts w:ascii="Times New Roman" w:eastAsia="宋体" w:hAnsi="Times New Roman" w:cs="Times New Roman"/>
                <w:b/>
                <w:bCs/>
                <w:sz w:val="18"/>
                <w:szCs w:val="18"/>
              </w:rPr>
            </w:pPr>
            <w:r>
              <w:rPr>
                <w:rFonts w:ascii="Times New Roman" w:eastAsia="宋体" w:hAnsi="Times New Roman" w:cs="Times New Roman"/>
                <w:b/>
                <w:sz w:val="18"/>
                <w:szCs w:val="18"/>
              </w:rPr>
              <w:t>NH</w:t>
            </w:r>
            <w:r>
              <w:rPr>
                <w:rFonts w:ascii="Times New Roman" w:eastAsia="宋体" w:hAnsi="Times New Roman" w:cs="Times New Roman"/>
                <w:b/>
                <w:sz w:val="18"/>
                <w:szCs w:val="18"/>
                <w:vertAlign w:val="subscript"/>
              </w:rPr>
              <w:t>3</w:t>
            </w:r>
          </w:p>
        </w:tc>
        <w:tc>
          <w:tcPr>
            <w:tcW w:w="1705" w:type="dxa"/>
            <w:gridSpan w:val="2"/>
            <w:tcBorders>
              <w:right w:val="single" w:sz="4" w:space="0" w:color="auto"/>
            </w:tcBorders>
            <w:vAlign w:val="center"/>
          </w:tcPr>
          <w:p w14:paraId="28722794"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sz w:val="18"/>
                <w:szCs w:val="18"/>
              </w:rPr>
              <w:t>H</w:t>
            </w:r>
            <w:r>
              <w:rPr>
                <w:rFonts w:ascii="Times New Roman" w:eastAsia="宋体" w:hAnsi="Times New Roman" w:cs="Times New Roman"/>
                <w:b/>
                <w:sz w:val="18"/>
                <w:szCs w:val="18"/>
                <w:vertAlign w:val="subscript"/>
              </w:rPr>
              <w:t>2</w:t>
            </w:r>
            <w:r>
              <w:rPr>
                <w:rFonts w:ascii="Times New Roman" w:eastAsia="宋体" w:hAnsi="Times New Roman" w:cs="Times New Roman"/>
                <w:b/>
                <w:sz w:val="18"/>
                <w:szCs w:val="18"/>
              </w:rPr>
              <w:t>S</w:t>
            </w:r>
          </w:p>
        </w:tc>
        <w:tc>
          <w:tcPr>
            <w:tcW w:w="1779" w:type="dxa"/>
            <w:gridSpan w:val="2"/>
            <w:tcBorders>
              <w:left w:val="single" w:sz="4" w:space="0" w:color="auto"/>
              <w:right w:val="single" w:sz="4" w:space="0" w:color="auto"/>
            </w:tcBorders>
            <w:vAlign w:val="center"/>
          </w:tcPr>
          <w:p w14:paraId="3E652711" w14:textId="77777777" w:rsidR="00D12939" w:rsidRDefault="004F47F5">
            <w:pPr>
              <w:jc w:val="center"/>
              <w:rPr>
                <w:rFonts w:ascii="Times New Roman" w:eastAsia="宋体" w:hAnsi="Times New Roman" w:cs="Times New Roman"/>
                <w:b/>
                <w:bCs/>
                <w:sz w:val="18"/>
                <w:szCs w:val="18"/>
              </w:rPr>
            </w:pPr>
            <w:r>
              <w:rPr>
                <w:rFonts w:ascii="Times New Roman" w:eastAsia="宋体" w:hAnsi="Times New Roman" w:cs="Times New Roman"/>
                <w:b/>
                <w:sz w:val="18"/>
                <w:szCs w:val="18"/>
              </w:rPr>
              <w:t>NH</w:t>
            </w:r>
            <w:r>
              <w:rPr>
                <w:rFonts w:ascii="Times New Roman" w:eastAsia="宋体" w:hAnsi="Times New Roman" w:cs="Times New Roman"/>
                <w:b/>
                <w:sz w:val="18"/>
                <w:szCs w:val="18"/>
                <w:vertAlign w:val="subscript"/>
              </w:rPr>
              <w:t>3</w:t>
            </w:r>
          </w:p>
        </w:tc>
        <w:tc>
          <w:tcPr>
            <w:tcW w:w="1623" w:type="dxa"/>
            <w:gridSpan w:val="2"/>
            <w:tcBorders>
              <w:left w:val="single" w:sz="4" w:space="0" w:color="auto"/>
              <w:right w:val="single" w:sz="4" w:space="0" w:color="auto"/>
            </w:tcBorders>
            <w:vAlign w:val="center"/>
          </w:tcPr>
          <w:p w14:paraId="499889E5"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sz w:val="18"/>
                <w:szCs w:val="18"/>
              </w:rPr>
              <w:t>H</w:t>
            </w:r>
            <w:r>
              <w:rPr>
                <w:rFonts w:ascii="Times New Roman" w:eastAsia="宋体" w:hAnsi="Times New Roman" w:cs="Times New Roman"/>
                <w:b/>
                <w:sz w:val="18"/>
                <w:szCs w:val="18"/>
                <w:vertAlign w:val="subscript"/>
              </w:rPr>
              <w:t>2</w:t>
            </w:r>
            <w:r>
              <w:rPr>
                <w:rFonts w:ascii="Times New Roman" w:eastAsia="宋体" w:hAnsi="Times New Roman" w:cs="Times New Roman"/>
                <w:b/>
                <w:sz w:val="18"/>
                <w:szCs w:val="18"/>
              </w:rPr>
              <w:t>S</w:t>
            </w:r>
          </w:p>
        </w:tc>
        <w:tc>
          <w:tcPr>
            <w:tcW w:w="1747" w:type="dxa"/>
            <w:gridSpan w:val="2"/>
            <w:tcBorders>
              <w:left w:val="single" w:sz="4" w:space="0" w:color="auto"/>
            </w:tcBorders>
            <w:vAlign w:val="center"/>
          </w:tcPr>
          <w:p w14:paraId="7BEF0468" w14:textId="77777777" w:rsidR="00D12939" w:rsidRDefault="004F47F5">
            <w:pPr>
              <w:adjustRightInd w:val="0"/>
              <w:snapToGrid w:val="0"/>
              <w:jc w:val="center"/>
              <w:rPr>
                <w:rFonts w:ascii="Times New Roman" w:eastAsia="宋体" w:hAnsi="Times New Roman" w:cs="Times New Roman"/>
                <w:b/>
                <w:sz w:val="18"/>
                <w:szCs w:val="18"/>
              </w:rPr>
            </w:pPr>
            <w:r>
              <w:rPr>
                <w:rFonts w:ascii="Times New Roman" w:eastAsia="宋体" w:hAnsi="Times New Roman" w:cs="Times New Roman" w:hint="eastAsia"/>
                <w:b/>
                <w:sz w:val="18"/>
                <w:szCs w:val="18"/>
              </w:rPr>
              <w:t>T</w:t>
            </w:r>
            <w:r>
              <w:rPr>
                <w:rFonts w:ascii="Times New Roman" w:eastAsia="宋体" w:hAnsi="Times New Roman" w:cs="Times New Roman"/>
                <w:b/>
                <w:sz w:val="18"/>
                <w:szCs w:val="18"/>
              </w:rPr>
              <w:t>SP</w:t>
            </w:r>
          </w:p>
        </w:tc>
      </w:tr>
      <w:tr w:rsidR="00D12939" w14:paraId="432BDAEE" w14:textId="77777777">
        <w:trPr>
          <w:trHeight w:val="337"/>
          <w:jc w:val="center"/>
        </w:trPr>
        <w:tc>
          <w:tcPr>
            <w:tcW w:w="853" w:type="dxa"/>
            <w:vMerge/>
            <w:vAlign w:val="center"/>
          </w:tcPr>
          <w:p w14:paraId="746D6D90" w14:textId="77777777" w:rsidR="00D12939" w:rsidRDefault="00D12939">
            <w:pPr>
              <w:adjustRightInd w:val="0"/>
              <w:snapToGrid w:val="0"/>
              <w:jc w:val="center"/>
              <w:rPr>
                <w:rFonts w:ascii="Times New Roman" w:eastAsia="宋体" w:hAnsi="Times New Roman" w:cs="Times New Roman"/>
                <w:b/>
                <w:bCs/>
                <w:sz w:val="18"/>
                <w:szCs w:val="18"/>
              </w:rPr>
            </w:pPr>
          </w:p>
        </w:tc>
        <w:tc>
          <w:tcPr>
            <w:tcW w:w="975" w:type="dxa"/>
            <w:vAlign w:val="center"/>
          </w:tcPr>
          <w:p w14:paraId="251122A7"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705" w:type="dxa"/>
            <w:vAlign w:val="center"/>
          </w:tcPr>
          <w:p w14:paraId="1D6B2588"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960" w:type="dxa"/>
            <w:vAlign w:val="center"/>
          </w:tcPr>
          <w:p w14:paraId="328B831C"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745" w:type="dxa"/>
            <w:vAlign w:val="center"/>
          </w:tcPr>
          <w:p w14:paraId="2D31A58F"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992" w:type="dxa"/>
            <w:vAlign w:val="center"/>
          </w:tcPr>
          <w:p w14:paraId="64A9375D"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787" w:type="dxa"/>
            <w:vAlign w:val="center"/>
          </w:tcPr>
          <w:p w14:paraId="4ABDD183"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914" w:type="dxa"/>
            <w:vAlign w:val="center"/>
          </w:tcPr>
          <w:p w14:paraId="6F1B698D"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709" w:type="dxa"/>
            <w:vAlign w:val="center"/>
          </w:tcPr>
          <w:p w14:paraId="09AD33B2"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c>
          <w:tcPr>
            <w:tcW w:w="992" w:type="dxa"/>
            <w:vAlign w:val="center"/>
          </w:tcPr>
          <w:p w14:paraId="54A4F5AD"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w:t>
            </w:r>
            <w:r>
              <w:rPr>
                <w:rFonts w:ascii="Times New Roman" w:eastAsia="宋体" w:hAnsi="Times New Roman" w:cs="Times New Roman"/>
                <w:b/>
                <w:bCs/>
                <w:sz w:val="18"/>
                <w:szCs w:val="18"/>
              </w:rPr>
              <w:t>(mg/m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755" w:type="dxa"/>
            <w:vAlign w:val="center"/>
          </w:tcPr>
          <w:p w14:paraId="5771C8A9" w14:textId="77777777" w:rsidR="00D12939" w:rsidRDefault="004F47F5">
            <w:pPr>
              <w:adjustRightInd w:val="0"/>
              <w:snapToGrid w:val="0"/>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占标率</w:t>
            </w:r>
            <w:r>
              <w:rPr>
                <w:rFonts w:ascii="Times New Roman" w:eastAsia="宋体" w:hAnsi="Times New Roman" w:cs="Times New Roman"/>
                <w:b/>
                <w:bCs/>
                <w:sz w:val="18"/>
                <w:szCs w:val="18"/>
              </w:rPr>
              <w:t>(%)</w:t>
            </w:r>
          </w:p>
        </w:tc>
      </w:tr>
      <w:tr w:rsidR="00D12939" w14:paraId="07668BFD" w14:textId="77777777">
        <w:trPr>
          <w:trHeight w:val="302"/>
          <w:jc w:val="center"/>
        </w:trPr>
        <w:tc>
          <w:tcPr>
            <w:tcW w:w="853" w:type="dxa"/>
            <w:vAlign w:val="center"/>
          </w:tcPr>
          <w:p w14:paraId="047AA6A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w:t>
            </w:r>
          </w:p>
        </w:tc>
        <w:tc>
          <w:tcPr>
            <w:tcW w:w="975" w:type="dxa"/>
            <w:vAlign w:val="center"/>
          </w:tcPr>
          <w:p w14:paraId="7057B4A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6.66E-03</w:t>
            </w:r>
          </w:p>
        </w:tc>
        <w:tc>
          <w:tcPr>
            <w:tcW w:w="705" w:type="dxa"/>
            <w:vAlign w:val="center"/>
          </w:tcPr>
          <w:p w14:paraId="6FBB152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3.33</w:t>
            </w:r>
          </w:p>
        </w:tc>
        <w:tc>
          <w:tcPr>
            <w:tcW w:w="960" w:type="dxa"/>
            <w:vAlign w:val="center"/>
          </w:tcPr>
          <w:p w14:paraId="772878B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9.25E-05</w:t>
            </w:r>
          </w:p>
        </w:tc>
        <w:tc>
          <w:tcPr>
            <w:tcW w:w="745" w:type="dxa"/>
            <w:vAlign w:val="center"/>
          </w:tcPr>
          <w:p w14:paraId="66AC4A8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0.92</w:t>
            </w:r>
          </w:p>
        </w:tc>
        <w:tc>
          <w:tcPr>
            <w:tcW w:w="992" w:type="dxa"/>
            <w:vAlign w:val="center"/>
          </w:tcPr>
          <w:p w14:paraId="7AB386C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8.85E-03</w:t>
            </w:r>
          </w:p>
        </w:tc>
        <w:tc>
          <w:tcPr>
            <w:tcW w:w="787" w:type="dxa"/>
            <w:vAlign w:val="center"/>
          </w:tcPr>
          <w:p w14:paraId="5446CF3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4.42</w:t>
            </w:r>
          </w:p>
        </w:tc>
        <w:tc>
          <w:tcPr>
            <w:tcW w:w="914" w:type="dxa"/>
            <w:vAlign w:val="center"/>
          </w:tcPr>
          <w:p w14:paraId="3B89720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1.26E-04</w:t>
            </w:r>
          </w:p>
        </w:tc>
        <w:tc>
          <w:tcPr>
            <w:tcW w:w="709" w:type="dxa"/>
            <w:vAlign w:val="center"/>
          </w:tcPr>
          <w:p w14:paraId="22E8AE6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1.26</w:t>
            </w:r>
          </w:p>
        </w:tc>
        <w:tc>
          <w:tcPr>
            <w:tcW w:w="992" w:type="dxa"/>
            <w:vAlign w:val="center"/>
          </w:tcPr>
          <w:p w14:paraId="53780EF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1.42E-03</w:t>
            </w:r>
          </w:p>
        </w:tc>
        <w:tc>
          <w:tcPr>
            <w:tcW w:w="755" w:type="dxa"/>
            <w:vAlign w:val="center"/>
          </w:tcPr>
          <w:p w14:paraId="3FE3209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0.16</w:t>
            </w:r>
          </w:p>
        </w:tc>
      </w:tr>
      <w:tr w:rsidR="00D12939" w14:paraId="52CB5200" w14:textId="77777777">
        <w:trPr>
          <w:trHeight w:val="302"/>
          <w:jc w:val="center"/>
        </w:trPr>
        <w:tc>
          <w:tcPr>
            <w:tcW w:w="853" w:type="dxa"/>
            <w:vAlign w:val="center"/>
          </w:tcPr>
          <w:p w14:paraId="04152CCD"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16</w:t>
            </w:r>
          </w:p>
        </w:tc>
        <w:tc>
          <w:tcPr>
            <w:tcW w:w="975" w:type="dxa"/>
            <w:vAlign w:val="center"/>
          </w:tcPr>
          <w:p w14:paraId="3B64575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7.29E-03</w:t>
            </w:r>
          </w:p>
        </w:tc>
        <w:tc>
          <w:tcPr>
            <w:tcW w:w="705" w:type="dxa"/>
            <w:vAlign w:val="center"/>
          </w:tcPr>
          <w:p w14:paraId="137683A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3.65</w:t>
            </w:r>
          </w:p>
        </w:tc>
        <w:tc>
          <w:tcPr>
            <w:tcW w:w="960" w:type="dxa"/>
            <w:vAlign w:val="center"/>
          </w:tcPr>
          <w:p w14:paraId="44A5BDF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1.01E-04</w:t>
            </w:r>
          </w:p>
        </w:tc>
        <w:tc>
          <w:tcPr>
            <w:tcW w:w="745" w:type="dxa"/>
            <w:vAlign w:val="center"/>
          </w:tcPr>
          <w:p w14:paraId="25748E5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1.01</w:t>
            </w:r>
          </w:p>
        </w:tc>
        <w:tc>
          <w:tcPr>
            <w:tcW w:w="992" w:type="dxa"/>
            <w:vAlign w:val="center"/>
          </w:tcPr>
          <w:p w14:paraId="03852D2C"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87" w:type="dxa"/>
            <w:vAlign w:val="center"/>
          </w:tcPr>
          <w:p w14:paraId="27229FBE"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914" w:type="dxa"/>
            <w:vAlign w:val="center"/>
          </w:tcPr>
          <w:p w14:paraId="7656FCAF"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09" w:type="dxa"/>
            <w:vAlign w:val="center"/>
          </w:tcPr>
          <w:p w14:paraId="0228BC6A"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992" w:type="dxa"/>
            <w:vAlign w:val="center"/>
          </w:tcPr>
          <w:p w14:paraId="6FD0E547"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55" w:type="dxa"/>
            <w:vAlign w:val="center"/>
          </w:tcPr>
          <w:p w14:paraId="3BF8CC88"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r>
      <w:tr w:rsidR="00D12939" w14:paraId="360B0751" w14:textId="77777777">
        <w:trPr>
          <w:trHeight w:val="302"/>
          <w:jc w:val="center"/>
        </w:trPr>
        <w:tc>
          <w:tcPr>
            <w:tcW w:w="853" w:type="dxa"/>
            <w:vAlign w:val="center"/>
          </w:tcPr>
          <w:p w14:paraId="5D15A69C" w14:textId="77777777" w:rsidR="00D12939" w:rsidRDefault="004F47F5">
            <w:pPr>
              <w:jc w:val="center"/>
              <w:rPr>
                <w:rFonts w:ascii="Times New Roman" w:hAnsi="Times New Roman" w:cs="Times New Roman"/>
                <w:b/>
                <w:sz w:val="18"/>
                <w:szCs w:val="18"/>
              </w:rPr>
            </w:pPr>
            <w:r>
              <w:rPr>
                <w:rFonts w:ascii="Times New Roman" w:hAnsi="Times New Roman" w:cs="Times New Roman" w:hint="eastAsia"/>
                <w:b/>
                <w:sz w:val="18"/>
                <w:szCs w:val="18"/>
              </w:rPr>
              <w:t>2</w:t>
            </w:r>
            <w:r>
              <w:rPr>
                <w:rFonts w:ascii="Times New Roman" w:hAnsi="Times New Roman" w:cs="Times New Roman"/>
                <w:b/>
                <w:sz w:val="18"/>
                <w:szCs w:val="18"/>
              </w:rPr>
              <w:t>1</w:t>
            </w:r>
          </w:p>
        </w:tc>
        <w:tc>
          <w:tcPr>
            <w:tcW w:w="975" w:type="dxa"/>
            <w:vAlign w:val="center"/>
          </w:tcPr>
          <w:p w14:paraId="22A59BFF"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05" w:type="dxa"/>
            <w:vAlign w:val="center"/>
          </w:tcPr>
          <w:p w14:paraId="465E39A3"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960" w:type="dxa"/>
            <w:vAlign w:val="center"/>
          </w:tcPr>
          <w:p w14:paraId="27D5FE4E"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45" w:type="dxa"/>
            <w:vAlign w:val="center"/>
          </w:tcPr>
          <w:p w14:paraId="5789B2E0"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992" w:type="dxa"/>
            <w:vAlign w:val="center"/>
          </w:tcPr>
          <w:p w14:paraId="58A0329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1.12E-02</w:t>
            </w:r>
          </w:p>
        </w:tc>
        <w:tc>
          <w:tcPr>
            <w:tcW w:w="787" w:type="dxa"/>
            <w:vAlign w:val="center"/>
          </w:tcPr>
          <w:p w14:paraId="14C17DF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5.59</w:t>
            </w:r>
          </w:p>
        </w:tc>
        <w:tc>
          <w:tcPr>
            <w:tcW w:w="914" w:type="dxa"/>
            <w:vAlign w:val="center"/>
          </w:tcPr>
          <w:p w14:paraId="5E09F53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1.58E-04</w:t>
            </w:r>
          </w:p>
        </w:tc>
        <w:tc>
          <w:tcPr>
            <w:tcW w:w="709" w:type="dxa"/>
            <w:vAlign w:val="center"/>
          </w:tcPr>
          <w:p w14:paraId="3F106D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1.58</w:t>
            </w:r>
          </w:p>
        </w:tc>
        <w:tc>
          <w:tcPr>
            <w:tcW w:w="992" w:type="dxa"/>
            <w:vAlign w:val="center"/>
          </w:tcPr>
          <w:p w14:paraId="74388A3E"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55" w:type="dxa"/>
            <w:vAlign w:val="center"/>
          </w:tcPr>
          <w:p w14:paraId="381C7040"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r>
      <w:tr w:rsidR="00D12939" w14:paraId="2CBC17B8" w14:textId="77777777">
        <w:trPr>
          <w:trHeight w:val="302"/>
          <w:jc w:val="center"/>
        </w:trPr>
        <w:tc>
          <w:tcPr>
            <w:tcW w:w="853" w:type="dxa"/>
            <w:vAlign w:val="center"/>
          </w:tcPr>
          <w:p w14:paraId="60246D8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w:t>
            </w:r>
          </w:p>
        </w:tc>
        <w:tc>
          <w:tcPr>
            <w:tcW w:w="975" w:type="dxa"/>
            <w:vAlign w:val="center"/>
          </w:tcPr>
          <w:p w14:paraId="708A388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6.36E-03</w:t>
            </w:r>
          </w:p>
        </w:tc>
        <w:tc>
          <w:tcPr>
            <w:tcW w:w="705" w:type="dxa"/>
            <w:vAlign w:val="center"/>
          </w:tcPr>
          <w:p w14:paraId="01A8134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3.18</w:t>
            </w:r>
          </w:p>
        </w:tc>
        <w:tc>
          <w:tcPr>
            <w:tcW w:w="960" w:type="dxa"/>
            <w:vAlign w:val="center"/>
          </w:tcPr>
          <w:p w14:paraId="27F92C8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8.84E-05</w:t>
            </w:r>
          </w:p>
        </w:tc>
        <w:tc>
          <w:tcPr>
            <w:tcW w:w="745" w:type="dxa"/>
            <w:vAlign w:val="center"/>
          </w:tcPr>
          <w:p w14:paraId="1D2E937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0.88</w:t>
            </w:r>
          </w:p>
        </w:tc>
        <w:tc>
          <w:tcPr>
            <w:tcW w:w="992" w:type="dxa"/>
            <w:vAlign w:val="center"/>
          </w:tcPr>
          <w:p w14:paraId="1EDCC9D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1.09E-02</w:t>
            </w:r>
          </w:p>
        </w:tc>
        <w:tc>
          <w:tcPr>
            <w:tcW w:w="787" w:type="dxa"/>
            <w:vAlign w:val="center"/>
          </w:tcPr>
          <w:p w14:paraId="1738DBE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5.44</w:t>
            </w:r>
          </w:p>
        </w:tc>
        <w:tc>
          <w:tcPr>
            <w:tcW w:w="914" w:type="dxa"/>
            <w:vAlign w:val="center"/>
          </w:tcPr>
          <w:p w14:paraId="7B58AFA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1.54E-04</w:t>
            </w:r>
          </w:p>
        </w:tc>
        <w:tc>
          <w:tcPr>
            <w:tcW w:w="709" w:type="dxa"/>
            <w:vAlign w:val="center"/>
          </w:tcPr>
          <w:p w14:paraId="1457787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1.54</w:t>
            </w:r>
          </w:p>
        </w:tc>
        <w:tc>
          <w:tcPr>
            <w:tcW w:w="992" w:type="dxa"/>
            <w:vAlign w:val="center"/>
          </w:tcPr>
          <w:p w14:paraId="7AB63B5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1.51E-03</w:t>
            </w:r>
          </w:p>
        </w:tc>
        <w:tc>
          <w:tcPr>
            <w:tcW w:w="755" w:type="dxa"/>
            <w:vAlign w:val="center"/>
          </w:tcPr>
          <w:p w14:paraId="3C0F299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0.17</w:t>
            </w:r>
          </w:p>
        </w:tc>
      </w:tr>
      <w:tr w:rsidR="00D12939" w14:paraId="160B53D4" w14:textId="77777777">
        <w:trPr>
          <w:trHeight w:val="291"/>
          <w:jc w:val="center"/>
        </w:trPr>
        <w:tc>
          <w:tcPr>
            <w:tcW w:w="853" w:type="dxa"/>
            <w:vAlign w:val="center"/>
          </w:tcPr>
          <w:p w14:paraId="46E6C3B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w:t>
            </w:r>
          </w:p>
        </w:tc>
        <w:tc>
          <w:tcPr>
            <w:tcW w:w="975" w:type="dxa"/>
            <w:vAlign w:val="center"/>
          </w:tcPr>
          <w:p w14:paraId="1DEEFD1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5.93E-03</w:t>
            </w:r>
          </w:p>
        </w:tc>
        <w:tc>
          <w:tcPr>
            <w:tcW w:w="705" w:type="dxa"/>
            <w:vAlign w:val="center"/>
          </w:tcPr>
          <w:p w14:paraId="74709C1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2.97</w:t>
            </w:r>
          </w:p>
        </w:tc>
        <w:tc>
          <w:tcPr>
            <w:tcW w:w="960" w:type="dxa"/>
            <w:vAlign w:val="center"/>
          </w:tcPr>
          <w:p w14:paraId="1F203F4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8.24E-05</w:t>
            </w:r>
          </w:p>
        </w:tc>
        <w:tc>
          <w:tcPr>
            <w:tcW w:w="745" w:type="dxa"/>
            <w:vAlign w:val="center"/>
          </w:tcPr>
          <w:p w14:paraId="3328271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0.82</w:t>
            </w:r>
          </w:p>
        </w:tc>
        <w:tc>
          <w:tcPr>
            <w:tcW w:w="992" w:type="dxa"/>
            <w:vAlign w:val="center"/>
          </w:tcPr>
          <w:p w14:paraId="26705BD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1.09E-02</w:t>
            </w:r>
          </w:p>
        </w:tc>
        <w:tc>
          <w:tcPr>
            <w:tcW w:w="787" w:type="dxa"/>
            <w:vAlign w:val="center"/>
          </w:tcPr>
          <w:p w14:paraId="3F805A0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5.46</w:t>
            </w:r>
          </w:p>
        </w:tc>
        <w:tc>
          <w:tcPr>
            <w:tcW w:w="914" w:type="dxa"/>
            <w:vAlign w:val="center"/>
          </w:tcPr>
          <w:p w14:paraId="3A0B130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1.55E-04</w:t>
            </w:r>
          </w:p>
        </w:tc>
        <w:tc>
          <w:tcPr>
            <w:tcW w:w="709" w:type="dxa"/>
            <w:vAlign w:val="center"/>
          </w:tcPr>
          <w:p w14:paraId="55E6459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1.55</w:t>
            </w:r>
          </w:p>
        </w:tc>
        <w:tc>
          <w:tcPr>
            <w:tcW w:w="992" w:type="dxa"/>
            <w:vAlign w:val="center"/>
          </w:tcPr>
          <w:p w14:paraId="7E07AAD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1.66E-03</w:t>
            </w:r>
          </w:p>
        </w:tc>
        <w:tc>
          <w:tcPr>
            <w:tcW w:w="755" w:type="dxa"/>
            <w:vAlign w:val="center"/>
          </w:tcPr>
          <w:p w14:paraId="0731A17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0.18</w:t>
            </w:r>
          </w:p>
        </w:tc>
      </w:tr>
      <w:tr w:rsidR="00D12939" w14:paraId="230AAC86" w14:textId="77777777">
        <w:trPr>
          <w:trHeight w:val="134"/>
          <w:jc w:val="center"/>
        </w:trPr>
        <w:tc>
          <w:tcPr>
            <w:tcW w:w="853" w:type="dxa"/>
            <w:vAlign w:val="center"/>
          </w:tcPr>
          <w:p w14:paraId="4B9BB57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75</w:t>
            </w:r>
          </w:p>
        </w:tc>
        <w:tc>
          <w:tcPr>
            <w:tcW w:w="975" w:type="dxa"/>
            <w:vAlign w:val="center"/>
          </w:tcPr>
          <w:p w14:paraId="2F8CB08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5.58E-03</w:t>
            </w:r>
          </w:p>
        </w:tc>
        <w:tc>
          <w:tcPr>
            <w:tcW w:w="705" w:type="dxa"/>
            <w:vAlign w:val="center"/>
          </w:tcPr>
          <w:p w14:paraId="435DFEC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2.79</w:t>
            </w:r>
          </w:p>
        </w:tc>
        <w:tc>
          <w:tcPr>
            <w:tcW w:w="960" w:type="dxa"/>
            <w:vAlign w:val="center"/>
          </w:tcPr>
          <w:p w14:paraId="0803947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7.75E-05</w:t>
            </w:r>
          </w:p>
        </w:tc>
        <w:tc>
          <w:tcPr>
            <w:tcW w:w="745" w:type="dxa"/>
            <w:vAlign w:val="center"/>
          </w:tcPr>
          <w:p w14:paraId="0C63B5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0.77</w:t>
            </w:r>
          </w:p>
        </w:tc>
        <w:tc>
          <w:tcPr>
            <w:tcW w:w="992" w:type="dxa"/>
            <w:vAlign w:val="center"/>
          </w:tcPr>
          <w:p w14:paraId="683DB83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1.06E-02</w:t>
            </w:r>
          </w:p>
        </w:tc>
        <w:tc>
          <w:tcPr>
            <w:tcW w:w="787" w:type="dxa"/>
            <w:vAlign w:val="center"/>
          </w:tcPr>
          <w:p w14:paraId="22D1E8C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5.29</w:t>
            </w:r>
          </w:p>
        </w:tc>
        <w:tc>
          <w:tcPr>
            <w:tcW w:w="914" w:type="dxa"/>
            <w:vAlign w:val="center"/>
          </w:tcPr>
          <w:p w14:paraId="69DD0F3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1.50E-04</w:t>
            </w:r>
          </w:p>
        </w:tc>
        <w:tc>
          <w:tcPr>
            <w:tcW w:w="709" w:type="dxa"/>
            <w:vAlign w:val="center"/>
          </w:tcPr>
          <w:p w14:paraId="609D656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1.50</w:t>
            </w:r>
          </w:p>
        </w:tc>
        <w:tc>
          <w:tcPr>
            <w:tcW w:w="992" w:type="dxa"/>
            <w:vAlign w:val="center"/>
          </w:tcPr>
          <w:p w14:paraId="11490C7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1.79E-03</w:t>
            </w:r>
          </w:p>
        </w:tc>
        <w:tc>
          <w:tcPr>
            <w:tcW w:w="755" w:type="dxa"/>
            <w:vAlign w:val="center"/>
          </w:tcPr>
          <w:p w14:paraId="3A712E5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0.20</w:t>
            </w:r>
          </w:p>
        </w:tc>
      </w:tr>
      <w:tr w:rsidR="00D12939" w14:paraId="3C86AA11" w14:textId="77777777">
        <w:trPr>
          <w:trHeight w:val="302"/>
          <w:jc w:val="center"/>
        </w:trPr>
        <w:tc>
          <w:tcPr>
            <w:tcW w:w="853" w:type="dxa"/>
            <w:vAlign w:val="center"/>
          </w:tcPr>
          <w:p w14:paraId="6B89550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100</w:t>
            </w:r>
          </w:p>
        </w:tc>
        <w:tc>
          <w:tcPr>
            <w:tcW w:w="975" w:type="dxa"/>
            <w:vAlign w:val="center"/>
          </w:tcPr>
          <w:p w14:paraId="0E8F471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5.09E-03</w:t>
            </w:r>
          </w:p>
        </w:tc>
        <w:tc>
          <w:tcPr>
            <w:tcW w:w="705" w:type="dxa"/>
            <w:vAlign w:val="center"/>
          </w:tcPr>
          <w:p w14:paraId="29A7A9C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2.54</w:t>
            </w:r>
          </w:p>
        </w:tc>
        <w:tc>
          <w:tcPr>
            <w:tcW w:w="960" w:type="dxa"/>
            <w:vAlign w:val="center"/>
          </w:tcPr>
          <w:p w14:paraId="20282DE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7.07E-05</w:t>
            </w:r>
          </w:p>
        </w:tc>
        <w:tc>
          <w:tcPr>
            <w:tcW w:w="745" w:type="dxa"/>
            <w:vAlign w:val="center"/>
          </w:tcPr>
          <w:p w14:paraId="4074BF4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0.71</w:t>
            </w:r>
          </w:p>
        </w:tc>
        <w:tc>
          <w:tcPr>
            <w:tcW w:w="992" w:type="dxa"/>
            <w:vAlign w:val="center"/>
          </w:tcPr>
          <w:p w14:paraId="59DA8C3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9.75E-03</w:t>
            </w:r>
          </w:p>
        </w:tc>
        <w:tc>
          <w:tcPr>
            <w:tcW w:w="787" w:type="dxa"/>
            <w:vAlign w:val="center"/>
          </w:tcPr>
          <w:p w14:paraId="3040EA4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4.88</w:t>
            </w:r>
          </w:p>
        </w:tc>
        <w:tc>
          <w:tcPr>
            <w:tcW w:w="914" w:type="dxa"/>
            <w:vAlign w:val="center"/>
          </w:tcPr>
          <w:p w14:paraId="45685B4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1.38E-04</w:t>
            </w:r>
          </w:p>
        </w:tc>
        <w:tc>
          <w:tcPr>
            <w:tcW w:w="709" w:type="dxa"/>
            <w:vAlign w:val="center"/>
          </w:tcPr>
          <w:p w14:paraId="4F831A3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1.38</w:t>
            </w:r>
          </w:p>
        </w:tc>
        <w:tc>
          <w:tcPr>
            <w:tcW w:w="992" w:type="dxa"/>
            <w:vAlign w:val="center"/>
          </w:tcPr>
          <w:p w14:paraId="7392C01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1.93E-03</w:t>
            </w:r>
          </w:p>
        </w:tc>
        <w:tc>
          <w:tcPr>
            <w:tcW w:w="755" w:type="dxa"/>
            <w:vAlign w:val="center"/>
          </w:tcPr>
          <w:p w14:paraId="5FE0576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0.21</w:t>
            </w:r>
          </w:p>
        </w:tc>
      </w:tr>
      <w:tr w:rsidR="00D12939" w14:paraId="49060655" w14:textId="77777777">
        <w:trPr>
          <w:trHeight w:val="302"/>
          <w:jc w:val="center"/>
        </w:trPr>
        <w:tc>
          <w:tcPr>
            <w:tcW w:w="853" w:type="dxa"/>
            <w:vAlign w:val="center"/>
          </w:tcPr>
          <w:p w14:paraId="1537343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125</w:t>
            </w:r>
          </w:p>
        </w:tc>
        <w:tc>
          <w:tcPr>
            <w:tcW w:w="975" w:type="dxa"/>
            <w:vAlign w:val="center"/>
          </w:tcPr>
          <w:p w14:paraId="01DB7E0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4.59E-03</w:t>
            </w:r>
          </w:p>
        </w:tc>
        <w:tc>
          <w:tcPr>
            <w:tcW w:w="705" w:type="dxa"/>
            <w:vAlign w:val="center"/>
          </w:tcPr>
          <w:p w14:paraId="5C7F583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2.29</w:t>
            </w:r>
          </w:p>
        </w:tc>
        <w:tc>
          <w:tcPr>
            <w:tcW w:w="960" w:type="dxa"/>
            <w:vAlign w:val="center"/>
          </w:tcPr>
          <w:p w14:paraId="1C6734B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6.37E-05</w:t>
            </w:r>
          </w:p>
        </w:tc>
        <w:tc>
          <w:tcPr>
            <w:tcW w:w="745" w:type="dxa"/>
            <w:vAlign w:val="center"/>
          </w:tcPr>
          <w:p w14:paraId="3E5ECE1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0.64</w:t>
            </w:r>
          </w:p>
        </w:tc>
        <w:tc>
          <w:tcPr>
            <w:tcW w:w="992" w:type="dxa"/>
            <w:vAlign w:val="center"/>
          </w:tcPr>
          <w:p w14:paraId="561602C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8.85E-03</w:t>
            </w:r>
          </w:p>
        </w:tc>
        <w:tc>
          <w:tcPr>
            <w:tcW w:w="787" w:type="dxa"/>
            <w:vAlign w:val="center"/>
          </w:tcPr>
          <w:p w14:paraId="2574864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4.42</w:t>
            </w:r>
          </w:p>
        </w:tc>
        <w:tc>
          <w:tcPr>
            <w:tcW w:w="914" w:type="dxa"/>
            <w:vAlign w:val="center"/>
          </w:tcPr>
          <w:p w14:paraId="024EFA7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1.26E-04</w:t>
            </w:r>
          </w:p>
        </w:tc>
        <w:tc>
          <w:tcPr>
            <w:tcW w:w="709" w:type="dxa"/>
            <w:vAlign w:val="center"/>
          </w:tcPr>
          <w:p w14:paraId="2AEAE64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1.26</w:t>
            </w:r>
          </w:p>
        </w:tc>
        <w:tc>
          <w:tcPr>
            <w:tcW w:w="992" w:type="dxa"/>
            <w:vAlign w:val="center"/>
          </w:tcPr>
          <w:p w14:paraId="1090AC6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2.04E-03</w:t>
            </w:r>
          </w:p>
        </w:tc>
        <w:tc>
          <w:tcPr>
            <w:tcW w:w="755" w:type="dxa"/>
            <w:vAlign w:val="center"/>
          </w:tcPr>
          <w:p w14:paraId="1932B2E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0.23</w:t>
            </w:r>
          </w:p>
        </w:tc>
      </w:tr>
      <w:tr w:rsidR="00D12939" w14:paraId="08070B47" w14:textId="77777777">
        <w:trPr>
          <w:trHeight w:val="291"/>
          <w:jc w:val="center"/>
        </w:trPr>
        <w:tc>
          <w:tcPr>
            <w:tcW w:w="853" w:type="dxa"/>
            <w:vAlign w:val="center"/>
          </w:tcPr>
          <w:p w14:paraId="072DD07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150</w:t>
            </w:r>
          </w:p>
        </w:tc>
        <w:tc>
          <w:tcPr>
            <w:tcW w:w="975" w:type="dxa"/>
            <w:vAlign w:val="center"/>
          </w:tcPr>
          <w:p w14:paraId="03A3E43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4.13E-03</w:t>
            </w:r>
          </w:p>
        </w:tc>
        <w:tc>
          <w:tcPr>
            <w:tcW w:w="705" w:type="dxa"/>
            <w:vAlign w:val="center"/>
          </w:tcPr>
          <w:p w14:paraId="4176CA2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2.06</w:t>
            </w:r>
          </w:p>
        </w:tc>
        <w:tc>
          <w:tcPr>
            <w:tcW w:w="960" w:type="dxa"/>
            <w:vAlign w:val="center"/>
          </w:tcPr>
          <w:p w14:paraId="0537030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5.73E-05</w:t>
            </w:r>
          </w:p>
        </w:tc>
        <w:tc>
          <w:tcPr>
            <w:tcW w:w="745" w:type="dxa"/>
            <w:vAlign w:val="center"/>
          </w:tcPr>
          <w:p w14:paraId="2A7C05D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0.57</w:t>
            </w:r>
          </w:p>
        </w:tc>
        <w:tc>
          <w:tcPr>
            <w:tcW w:w="992" w:type="dxa"/>
            <w:vAlign w:val="center"/>
          </w:tcPr>
          <w:p w14:paraId="72F93BA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7.99E-03</w:t>
            </w:r>
          </w:p>
        </w:tc>
        <w:tc>
          <w:tcPr>
            <w:tcW w:w="787" w:type="dxa"/>
            <w:vAlign w:val="center"/>
          </w:tcPr>
          <w:p w14:paraId="5E72967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4.00</w:t>
            </w:r>
          </w:p>
        </w:tc>
        <w:tc>
          <w:tcPr>
            <w:tcW w:w="914" w:type="dxa"/>
            <w:vAlign w:val="center"/>
          </w:tcPr>
          <w:p w14:paraId="6D03259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1.13E-04</w:t>
            </w:r>
          </w:p>
        </w:tc>
        <w:tc>
          <w:tcPr>
            <w:tcW w:w="709" w:type="dxa"/>
            <w:vAlign w:val="center"/>
          </w:tcPr>
          <w:p w14:paraId="2CC56A2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1.13</w:t>
            </w:r>
          </w:p>
        </w:tc>
        <w:tc>
          <w:tcPr>
            <w:tcW w:w="992" w:type="dxa"/>
            <w:vAlign w:val="center"/>
          </w:tcPr>
          <w:p w14:paraId="2C85DD1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2.15E-03</w:t>
            </w:r>
          </w:p>
        </w:tc>
        <w:tc>
          <w:tcPr>
            <w:tcW w:w="755" w:type="dxa"/>
            <w:vAlign w:val="center"/>
          </w:tcPr>
          <w:p w14:paraId="267F986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0.24</w:t>
            </w:r>
          </w:p>
        </w:tc>
      </w:tr>
      <w:tr w:rsidR="00D12939" w14:paraId="27A4D05E" w14:textId="77777777">
        <w:trPr>
          <w:trHeight w:val="302"/>
          <w:jc w:val="center"/>
        </w:trPr>
        <w:tc>
          <w:tcPr>
            <w:tcW w:w="853" w:type="dxa"/>
            <w:vAlign w:val="center"/>
          </w:tcPr>
          <w:p w14:paraId="1148646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175</w:t>
            </w:r>
          </w:p>
        </w:tc>
        <w:tc>
          <w:tcPr>
            <w:tcW w:w="975" w:type="dxa"/>
            <w:vAlign w:val="center"/>
          </w:tcPr>
          <w:p w14:paraId="2141AE4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3.72E-03</w:t>
            </w:r>
          </w:p>
        </w:tc>
        <w:tc>
          <w:tcPr>
            <w:tcW w:w="705" w:type="dxa"/>
            <w:vAlign w:val="center"/>
          </w:tcPr>
          <w:p w14:paraId="6FC8676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1.86</w:t>
            </w:r>
          </w:p>
        </w:tc>
        <w:tc>
          <w:tcPr>
            <w:tcW w:w="960" w:type="dxa"/>
            <w:vAlign w:val="center"/>
          </w:tcPr>
          <w:p w14:paraId="7633094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5.17E-05</w:t>
            </w:r>
          </w:p>
        </w:tc>
        <w:tc>
          <w:tcPr>
            <w:tcW w:w="745" w:type="dxa"/>
            <w:vAlign w:val="center"/>
          </w:tcPr>
          <w:p w14:paraId="1EF780D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0.52</w:t>
            </w:r>
          </w:p>
        </w:tc>
        <w:tc>
          <w:tcPr>
            <w:tcW w:w="992" w:type="dxa"/>
            <w:vAlign w:val="center"/>
          </w:tcPr>
          <w:p w14:paraId="1816C42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7.23E-03</w:t>
            </w:r>
          </w:p>
        </w:tc>
        <w:tc>
          <w:tcPr>
            <w:tcW w:w="787" w:type="dxa"/>
            <w:vAlign w:val="center"/>
          </w:tcPr>
          <w:p w14:paraId="3C6FABF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3.62</w:t>
            </w:r>
          </w:p>
        </w:tc>
        <w:tc>
          <w:tcPr>
            <w:tcW w:w="914" w:type="dxa"/>
            <w:vAlign w:val="center"/>
          </w:tcPr>
          <w:p w14:paraId="2323F0A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1.03E-04</w:t>
            </w:r>
          </w:p>
        </w:tc>
        <w:tc>
          <w:tcPr>
            <w:tcW w:w="709" w:type="dxa"/>
            <w:vAlign w:val="center"/>
          </w:tcPr>
          <w:p w14:paraId="34D30D2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1.03</w:t>
            </w:r>
          </w:p>
        </w:tc>
        <w:tc>
          <w:tcPr>
            <w:tcW w:w="992" w:type="dxa"/>
            <w:vAlign w:val="center"/>
          </w:tcPr>
          <w:p w14:paraId="1FAD7C7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2.25E-03</w:t>
            </w:r>
          </w:p>
        </w:tc>
        <w:tc>
          <w:tcPr>
            <w:tcW w:w="755" w:type="dxa"/>
            <w:vAlign w:val="center"/>
          </w:tcPr>
          <w:p w14:paraId="5D8DE55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0.25</w:t>
            </w:r>
          </w:p>
        </w:tc>
      </w:tr>
      <w:tr w:rsidR="00D12939" w14:paraId="4F05B045" w14:textId="77777777">
        <w:trPr>
          <w:trHeight w:val="302"/>
          <w:jc w:val="center"/>
        </w:trPr>
        <w:tc>
          <w:tcPr>
            <w:tcW w:w="853" w:type="dxa"/>
            <w:vAlign w:val="center"/>
          </w:tcPr>
          <w:p w14:paraId="78DA66B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200</w:t>
            </w:r>
          </w:p>
        </w:tc>
        <w:tc>
          <w:tcPr>
            <w:tcW w:w="975" w:type="dxa"/>
            <w:vAlign w:val="center"/>
          </w:tcPr>
          <w:p w14:paraId="6DA42A2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3.40E-03</w:t>
            </w:r>
          </w:p>
        </w:tc>
        <w:tc>
          <w:tcPr>
            <w:tcW w:w="705" w:type="dxa"/>
            <w:vAlign w:val="center"/>
          </w:tcPr>
          <w:p w14:paraId="4DF26E7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1.70</w:t>
            </w:r>
          </w:p>
        </w:tc>
        <w:tc>
          <w:tcPr>
            <w:tcW w:w="960" w:type="dxa"/>
            <w:vAlign w:val="center"/>
          </w:tcPr>
          <w:p w14:paraId="6883AF2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4.72E-05</w:t>
            </w:r>
          </w:p>
        </w:tc>
        <w:tc>
          <w:tcPr>
            <w:tcW w:w="745" w:type="dxa"/>
            <w:vAlign w:val="center"/>
          </w:tcPr>
          <w:p w14:paraId="1EE35DA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0.47</w:t>
            </w:r>
          </w:p>
        </w:tc>
        <w:tc>
          <w:tcPr>
            <w:tcW w:w="992" w:type="dxa"/>
            <w:vAlign w:val="center"/>
          </w:tcPr>
          <w:p w14:paraId="138CE4D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6.60E-03</w:t>
            </w:r>
          </w:p>
        </w:tc>
        <w:tc>
          <w:tcPr>
            <w:tcW w:w="787" w:type="dxa"/>
            <w:vAlign w:val="center"/>
          </w:tcPr>
          <w:p w14:paraId="1F344B7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3.30</w:t>
            </w:r>
          </w:p>
        </w:tc>
        <w:tc>
          <w:tcPr>
            <w:tcW w:w="914" w:type="dxa"/>
            <w:vAlign w:val="center"/>
          </w:tcPr>
          <w:p w14:paraId="344037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9.36E-05</w:t>
            </w:r>
          </w:p>
        </w:tc>
        <w:tc>
          <w:tcPr>
            <w:tcW w:w="709" w:type="dxa"/>
            <w:vAlign w:val="center"/>
          </w:tcPr>
          <w:p w14:paraId="1E983BB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0.94</w:t>
            </w:r>
          </w:p>
        </w:tc>
        <w:tc>
          <w:tcPr>
            <w:tcW w:w="992" w:type="dxa"/>
            <w:vAlign w:val="center"/>
          </w:tcPr>
          <w:p w14:paraId="51384C1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2.36E-03</w:t>
            </w:r>
          </w:p>
        </w:tc>
        <w:tc>
          <w:tcPr>
            <w:tcW w:w="755" w:type="dxa"/>
            <w:vAlign w:val="center"/>
          </w:tcPr>
          <w:p w14:paraId="77CB584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0.26</w:t>
            </w:r>
          </w:p>
        </w:tc>
      </w:tr>
      <w:tr w:rsidR="00D12939" w14:paraId="01E26FE5" w14:textId="77777777">
        <w:trPr>
          <w:trHeight w:val="302"/>
          <w:jc w:val="center"/>
        </w:trPr>
        <w:tc>
          <w:tcPr>
            <w:tcW w:w="853" w:type="dxa"/>
            <w:vAlign w:val="center"/>
          </w:tcPr>
          <w:p w14:paraId="28482E3F" w14:textId="77777777" w:rsidR="00D12939" w:rsidRDefault="004F47F5">
            <w:pPr>
              <w:jc w:val="center"/>
              <w:rPr>
                <w:rFonts w:ascii="Times New Roman" w:hAnsi="Times New Roman" w:cs="Times New Roman"/>
                <w:b/>
                <w:sz w:val="18"/>
                <w:szCs w:val="18"/>
              </w:rPr>
            </w:pPr>
            <w:r>
              <w:rPr>
                <w:rFonts w:ascii="Times New Roman" w:hAnsi="Times New Roman" w:cs="Times New Roman" w:hint="eastAsia"/>
                <w:b/>
                <w:sz w:val="18"/>
                <w:szCs w:val="18"/>
              </w:rPr>
              <w:t>2</w:t>
            </w:r>
            <w:r>
              <w:rPr>
                <w:rFonts w:ascii="Times New Roman" w:hAnsi="Times New Roman" w:cs="Times New Roman"/>
                <w:b/>
                <w:sz w:val="18"/>
                <w:szCs w:val="18"/>
              </w:rPr>
              <w:t>20</w:t>
            </w:r>
          </w:p>
        </w:tc>
        <w:tc>
          <w:tcPr>
            <w:tcW w:w="975" w:type="dxa"/>
            <w:vAlign w:val="center"/>
          </w:tcPr>
          <w:p w14:paraId="7422DEEE"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05" w:type="dxa"/>
            <w:vAlign w:val="center"/>
          </w:tcPr>
          <w:p w14:paraId="78CF4B91"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960" w:type="dxa"/>
            <w:vAlign w:val="center"/>
          </w:tcPr>
          <w:p w14:paraId="4392E44D"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45" w:type="dxa"/>
            <w:vAlign w:val="center"/>
          </w:tcPr>
          <w:p w14:paraId="754D23BA"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992" w:type="dxa"/>
            <w:vAlign w:val="center"/>
          </w:tcPr>
          <w:p w14:paraId="2B609AE5"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87" w:type="dxa"/>
            <w:vAlign w:val="center"/>
          </w:tcPr>
          <w:p w14:paraId="342314A4"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914" w:type="dxa"/>
            <w:vAlign w:val="center"/>
          </w:tcPr>
          <w:p w14:paraId="40DB9C10" w14:textId="77777777" w:rsidR="00D12939" w:rsidRDefault="004F47F5">
            <w:pPr>
              <w:jc w:val="center"/>
              <w:rPr>
                <w:rFonts w:ascii="Times New Roman" w:hAnsi="Times New Roman" w:cs="Times New Roman"/>
                <w:b/>
                <w:sz w:val="18"/>
                <w:szCs w:val="18"/>
              </w:rPr>
            </w:pPr>
            <w:r>
              <w:rPr>
                <w:rFonts w:ascii="Times New Roman" w:hAnsi="Times New Roman" w:cs="Times New Roman"/>
                <w:b/>
                <w:sz w:val="18"/>
                <w:szCs w:val="18"/>
              </w:rPr>
              <w:t>/</w:t>
            </w:r>
          </w:p>
        </w:tc>
        <w:tc>
          <w:tcPr>
            <w:tcW w:w="709" w:type="dxa"/>
            <w:vAlign w:val="center"/>
          </w:tcPr>
          <w:p w14:paraId="43FEEC6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w:t>
            </w:r>
          </w:p>
        </w:tc>
        <w:tc>
          <w:tcPr>
            <w:tcW w:w="992" w:type="dxa"/>
            <w:vAlign w:val="center"/>
          </w:tcPr>
          <w:p w14:paraId="25BFF60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2.38E-03</w:t>
            </w:r>
          </w:p>
        </w:tc>
        <w:tc>
          <w:tcPr>
            <w:tcW w:w="755" w:type="dxa"/>
            <w:vAlign w:val="center"/>
          </w:tcPr>
          <w:p w14:paraId="504F00E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0.26</w:t>
            </w:r>
          </w:p>
        </w:tc>
      </w:tr>
      <w:tr w:rsidR="00D12939" w14:paraId="2DA0B861" w14:textId="77777777">
        <w:trPr>
          <w:trHeight w:val="302"/>
          <w:jc w:val="center"/>
        </w:trPr>
        <w:tc>
          <w:tcPr>
            <w:tcW w:w="853" w:type="dxa"/>
            <w:vAlign w:val="center"/>
          </w:tcPr>
          <w:p w14:paraId="66EB4CB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225</w:t>
            </w:r>
          </w:p>
        </w:tc>
        <w:tc>
          <w:tcPr>
            <w:tcW w:w="975" w:type="dxa"/>
            <w:vAlign w:val="center"/>
          </w:tcPr>
          <w:p w14:paraId="6BEB5FA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3.12E-03</w:t>
            </w:r>
          </w:p>
        </w:tc>
        <w:tc>
          <w:tcPr>
            <w:tcW w:w="705" w:type="dxa"/>
            <w:vAlign w:val="center"/>
          </w:tcPr>
          <w:p w14:paraId="3FC2541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1.56</w:t>
            </w:r>
          </w:p>
        </w:tc>
        <w:tc>
          <w:tcPr>
            <w:tcW w:w="960" w:type="dxa"/>
            <w:vAlign w:val="center"/>
          </w:tcPr>
          <w:p w14:paraId="1D2144C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4.33E-05</w:t>
            </w:r>
          </w:p>
        </w:tc>
        <w:tc>
          <w:tcPr>
            <w:tcW w:w="745" w:type="dxa"/>
            <w:vAlign w:val="center"/>
          </w:tcPr>
          <w:p w14:paraId="2058969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0.43</w:t>
            </w:r>
          </w:p>
        </w:tc>
        <w:tc>
          <w:tcPr>
            <w:tcW w:w="992" w:type="dxa"/>
            <w:vAlign w:val="center"/>
          </w:tcPr>
          <w:p w14:paraId="01968C0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6.07E-03</w:t>
            </w:r>
          </w:p>
        </w:tc>
        <w:tc>
          <w:tcPr>
            <w:tcW w:w="787" w:type="dxa"/>
            <w:vAlign w:val="center"/>
          </w:tcPr>
          <w:p w14:paraId="0785D81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3.03</w:t>
            </w:r>
          </w:p>
        </w:tc>
        <w:tc>
          <w:tcPr>
            <w:tcW w:w="914" w:type="dxa"/>
            <w:vAlign w:val="center"/>
          </w:tcPr>
          <w:p w14:paraId="34BF6FA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8.60E-05</w:t>
            </w:r>
          </w:p>
        </w:tc>
        <w:tc>
          <w:tcPr>
            <w:tcW w:w="709" w:type="dxa"/>
            <w:vAlign w:val="center"/>
          </w:tcPr>
          <w:p w14:paraId="2F2C213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0.86</w:t>
            </w:r>
          </w:p>
        </w:tc>
        <w:tc>
          <w:tcPr>
            <w:tcW w:w="992" w:type="dxa"/>
            <w:vAlign w:val="center"/>
          </w:tcPr>
          <w:p w14:paraId="4B03299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2.38E-03</w:t>
            </w:r>
          </w:p>
        </w:tc>
        <w:tc>
          <w:tcPr>
            <w:tcW w:w="755" w:type="dxa"/>
            <w:vAlign w:val="center"/>
          </w:tcPr>
          <w:p w14:paraId="53603A1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0.26</w:t>
            </w:r>
          </w:p>
        </w:tc>
      </w:tr>
      <w:tr w:rsidR="00D12939" w14:paraId="35CDA74F" w14:textId="77777777">
        <w:trPr>
          <w:trHeight w:val="302"/>
          <w:jc w:val="center"/>
        </w:trPr>
        <w:tc>
          <w:tcPr>
            <w:tcW w:w="853" w:type="dxa"/>
            <w:vAlign w:val="center"/>
          </w:tcPr>
          <w:p w14:paraId="09CE340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lastRenderedPageBreak/>
              <w:t>250</w:t>
            </w:r>
          </w:p>
        </w:tc>
        <w:tc>
          <w:tcPr>
            <w:tcW w:w="975" w:type="dxa"/>
            <w:vAlign w:val="center"/>
          </w:tcPr>
          <w:p w14:paraId="46AF0C1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2.87E-03</w:t>
            </w:r>
          </w:p>
        </w:tc>
        <w:tc>
          <w:tcPr>
            <w:tcW w:w="705" w:type="dxa"/>
            <w:vAlign w:val="center"/>
          </w:tcPr>
          <w:p w14:paraId="446FD1D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1.43</w:t>
            </w:r>
          </w:p>
        </w:tc>
        <w:tc>
          <w:tcPr>
            <w:tcW w:w="960" w:type="dxa"/>
            <w:vAlign w:val="center"/>
          </w:tcPr>
          <w:p w14:paraId="10D28FE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3.99E-05</w:t>
            </w:r>
          </w:p>
        </w:tc>
        <w:tc>
          <w:tcPr>
            <w:tcW w:w="745" w:type="dxa"/>
            <w:vAlign w:val="center"/>
          </w:tcPr>
          <w:p w14:paraId="78E8815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0.40</w:t>
            </w:r>
          </w:p>
        </w:tc>
        <w:tc>
          <w:tcPr>
            <w:tcW w:w="992" w:type="dxa"/>
            <w:vAlign w:val="center"/>
          </w:tcPr>
          <w:p w14:paraId="0AB6C55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5.59E-03</w:t>
            </w:r>
          </w:p>
        </w:tc>
        <w:tc>
          <w:tcPr>
            <w:tcW w:w="787" w:type="dxa"/>
            <w:vAlign w:val="center"/>
          </w:tcPr>
          <w:p w14:paraId="20BC7E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2.80</w:t>
            </w:r>
          </w:p>
        </w:tc>
        <w:tc>
          <w:tcPr>
            <w:tcW w:w="914" w:type="dxa"/>
            <w:vAlign w:val="center"/>
          </w:tcPr>
          <w:p w14:paraId="7A54B34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7.93E-05</w:t>
            </w:r>
          </w:p>
        </w:tc>
        <w:tc>
          <w:tcPr>
            <w:tcW w:w="709" w:type="dxa"/>
            <w:vAlign w:val="center"/>
          </w:tcPr>
          <w:p w14:paraId="1E6E6B0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0.79</w:t>
            </w:r>
          </w:p>
        </w:tc>
        <w:tc>
          <w:tcPr>
            <w:tcW w:w="992" w:type="dxa"/>
            <w:vAlign w:val="center"/>
          </w:tcPr>
          <w:p w14:paraId="0D0BF8D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2.32E-03</w:t>
            </w:r>
          </w:p>
        </w:tc>
        <w:tc>
          <w:tcPr>
            <w:tcW w:w="755" w:type="dxa"/>
            <w:vAlign w:val="center"/>
          </w:tcPr>
          <w:p w14:paraId="1F55B35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0.26</w:t>
            </w:r>
          </w:p>
        </w:tc>
      </w:tr>
      <w:tr w:rsidR="00D12939" w14:paraId="5C21F5C8" w14:textId="77777777">
        <w:trPr>
          <w:trHeight w:val="291"/>
          <w:jc w:val="center"/>
        </w:trPr>
        <w:tc>
          <w:tcPr>
            <w:tcW w:w="853" w:type="dxa"/>
            <w:vAlign w:val="center"/>
          </w:tcPr>
          <w:p w14:paraId="2D985CF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275</w:t>
            </w:r>
          </w:p>
        </w:tc>
        <w:tc>
          <w:tcPr>
            <w:tcW w:w="975" w:type="dxa"/>
            <w:vAlign w:val="center"/>
          </w:tcPr>
          <w:p w14:paraId="49332C5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2.66E-03</w:t>
            </w:r>
          </w:p>
        </w:tc>
        <w:tc>
          <w:tcPr>
            <w:tcW w:w="705" w:type="dxa"/>
            <w:vAlign w:val="center"/>
          </w:tcPr>
          <w:p w14:paraId="4B392A2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1.33</w:t>
            </w:r>
          </w:p>
        </w:tc>
        <w:tc>
          <w:tcPr>
            <w:tcW w:w="960" w:type="dxa"/>
            <w:vAlign w:val="center"/>
          </w:tcPr>
          <w:p w14:paraId="6B12C92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3.70E-05</w:t>
            </w:r>
          </w:p>
        </w:tc>
        <w:tc>
          <w:tcPr>
            <w:tcW w:w="745" w:type="dxa"/>
            <w:vAlign w:val="center"/>
          </w:tcPr>
          <w:p w14:paraId="4ABB8C5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0.37</w:t>
            </w:r>
          </w:p>
        </w:tc>
        <w:tc>
          <w:tcPr>
            <w:tcW w:w="992" w:type="dxa"/>
            <w:vAlign w:val="center"/>
          </w:tcPr>
          <w:p w14:paraId="1805032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5.18E-03</w:t>
            </w:r>
          </w:p>
        </w:tc>
        <w:tc>
          <w:tcPr>
            <w:tcW w:w="787" w:type="dxa"/>
            <w:vAlign w:val="center"/>
          </w:tcPr>
          <w:p w14:paraId="13561B6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2.59</w:t>
            </w:r>
          </w:p>
        </w:tc>
        <w:tc>
          <w:tcPr>
            <w:tcW w:w="914" w:type="dxa"/>
            <w:vAlign w:val="center"/>
          </w:tcPr>
          <w:p w14:paraId="6965EF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7.35E-05</w:t>
            </w:r>
          </w:p>
        </w:tc>
        <w:tc>
          <w:tcPr>
            <w:tcW w:w="709" w:type="dxa"/>
            <w:vAlign w:val="center"/>
          </w:tcPr>
          <w:p w14:paraId="069074C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0.74</w:t>
            </w:r>
          </w:p>
        </w:tc>
        <w:tc>
          <w:tcPr>
            <w:tcW w:w="992" w:type="dxa"/>
            <w:vAlign w:val="center"/>
          </w:tcPr>
          <w:p w14:paraId="6EDCD2D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2.22E-03</w:t>
            </w:r>
          </w:p>
        </w:tc>
        <w:tc>
          <w:tcPr>
            <w:tcW w:w="755" w:type="dxa"/>
            <w:vAlign w:val="center"/>
          </w:tcPr>
          <w:p w14:paraId="2890F55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0.25</w:t>
            </w:r>
          </w:p>
        </w:tc>
      </w:tr>
      <w:tr w:rsidR="00D12939" w14:paraId="663B14E0" w14:textId="77777777">
        <w:trPr>
          <w:trHeight w:val="302"/>
          <w:jc w:val="center"/>
        </w:trPr>
        <w:tc>
          <w:tcPr>
            <w:tcW w:w="853" w:type="dxa"/>
            <w:vAlign w:val="center"/>
          </w:tcPr>
          <w:p w14:paraId="1DDEE34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300</w:t>
            </w:r>
          </w:p>
        </w:tc>
        <w:tc>
          <w:tcPr>
            <w:tcW w:w="975" w:type="dxa"/>
            <w:vAlign w:val="center"/>
          </w:tcPr>
          <w:p w14:paraId="0AC3058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2.48E-03</w:t>
            </w:r>
          </w:p>
        </w:tc>
        <w:tc>
          <w:tcPr>
            <w:tcW w:w="705" w:type="dxa"/>
            <w:vAlign w:val="center"/>
          </w:tcPr>
          <w:p w14:paraId="76B7A58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1.24</w:t>
            </w:r>
          </w:p>
        </w:tc>
        <w:tc>
          <w:tcPr>
            <w:tcW w:w="960" w:type="dxa"/>
            <w:vAlign w:val="center"/>
          </w:tcPr>
          <w:p w14:paraId="7E55AFD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3.44E-05</w:t>
            </w:r>
          </w:p>
        </w:tc>
        <w:tc>
          <w:tcPr>
            <w:tcW w:w="745" w:type="dxa"/>
            <w:vAlign w:val="center"/>
          </w:tcPr>
          <w:p w14:paraId="3848955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0.34</w:t>
            </w:r>
          </w:p>
        </w:tc>
        <w:tc>
          <w:tcPr>
            <w:tcW w:w="992" w:type="dxa"/>
            <w:vAlign w:val="center"/>
          </w:tcPr>
          <w:p w14:paraId="53950AC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4.82E-03</w:t>
            </w:r>
          </w:p>
        </w:tc>
        <w:tc>
          <w:tcPr>
            <w:tcW w:w="787" w:type="dxa"/>
            <w:vAlign w:val="center"/>
          </w:tcPr>
          <w:p w14:paraId="17CB8A0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2.41</w:t>
            </w:r>
          </w:p>
        </w:tc>
        <w:tc>
          <w:tcPr>
            <w:tcW w:w="914" w:type="dxa"/>
            <w:vAlign w:val="center"/>
          </w:tcPr>
          <w:p w14:paraId="7679F8B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6.84E-05</w:t>
            </w:r>
          </w:p>
        </w:tc>
        <w:tc>
          <w:tcPr>
            <w:tcW w:w="709" w:type="dxa"/>
            <w:vAlign w:val="center"/>
          </w:tcPr>
          <w:p w14:paraId="40467E3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0.68</w:t>
            </w:r>
          </w:p>
        </w:tc>
        <w:tc>
          <w:tcPr>
            <w:tcW w:w="992" w:type="dxa"/>
            <w:vAlign w:val="center"/>
          </w:tcPr>
          <w:p w14:paraId="6B64A44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2.09E-03</w:t>
            </w:r>
          </w:p>
        </w:tc>
        <w:tc>
          <w:tcPr>
            <w:tcW w:w="755" w:type="dxa"/>
            <w:vAlign w:val="center"/>
          </w:tcPr>
          <w:p w14:paraId="0EFEF64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0.23</w:t>
            </w:r>
          </w:p>
        </w:tc>
      </w:tr>
      <w:tr w:rsidR="00D12939" w14:paraId="0F14C901" w14:textId="77777777">
        <w:trPr>
          <w:trHeight w:val="302"/>
          <w:jc w:val="center"/>
        </w:trPr>
        <w:tc>
          <w:tcPr>
            <w:tcW w:w="853" w:type="dxa"/>
            <w:vAlign w:val="center"/>
          </w:tcPr>
          <w:p w14:paraId="039CC4B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325</w:t>
            </w:r>
          </w:p>
        </w:tc>
        <w:tc>
          <w:tcPr>
            <w:tcW w:w="975" w:type="dxa"/>
            <w:vAlign w:val="center"/>
          </w:tcPr>
          <w:p w14:paraId="30339D8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2.31E-03</w:t>
            </w:r>
          </w:p>
        </w:tc>
        <w:tc>
          <w:tcPr>
            <w:tcW w:w="705" w:type="dxa"/>
            <w:vAlign w:val="center"/>
          </w:tcPr>
          <w:p w14:paraId="472F70A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1.15</w:t>
            </w:r>
          </w:p>
        </w:tc>
        <w:tc>
          <w:tcPr>
            <w:tcW w:w="960" w:type="dxa"/>
            <w:vAlign w:val="center"/>
          </w:tcPr>
          <w:p w14:paraId="020289D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3.21E-05</w:t>
            </w:r>
          </w:p>
        </w:tc>
        <w:tc>
          <w:tcPr>
            <w:tcW w:w="745" w:type="dxa"/>
            <w:vAlign w:val="center"/>
          </w:tcPr>
          <w:p w14:paraId="366FEE8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0.32</w:t>
            </w:r>
          </w:p>
        </w:tc>
        <w:tc>
          <w:tcPr>
            <w:tcW w:w="992" w:type="dxa"/>
            <w:vAlign w:val="center"/>
          </w:tcPr>
          <w:p w14:paraId="7F1D911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4.50E-03</w:t>
            </w:r>
          </w:p>
        </w:tc>
        <w:tc>
          <w:tcPr>
            <w:tcW w:w="787" w:type="dxa"/>
            <w:vAlign w:val="center"/>
          </w:tcPr>
          <w:p w14:paraId="2C5357F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2.25</w:t>
            </w:r>
          </w:p>
        </w:tc>
        <w:tc>
          <w:tcPr>
            <w:tcW w:w="914" w:type="dxa"/>
            <w:vAlign w:val="center"/>
          </w:tcPr>
          <w:p w14:paraId="1461DB3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6.39E-05</w:t>
            </w:r>
          </w:p>
        </w:tc>
        <w:tc>
          <w:tcPr>
            <w:tcW w:w="709" w:type="dxa"/>
            <w:vAlign w:val="center"/>
          </w:tcPr>
          <w:p w14:paraId="0923DA4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0.64</w:t>
            </w:r>
          </w:p>
        </w:tc>
        <w:tc>
          <w:tcPr>
            <w:tcW w:w="992" w:type="dxa"/>
            <w:vAlign w:val="center"/>
          </w:tcPr>
          <w:p w14:paraId="3F7A5F1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1.99E-03</w:t>
            </w:r>
          </w:p>
        </w:tc>
        <w:tc>
          <w:tcPr>
            <w:tcW w:w="755" w:type="dxa"/>
            <w:vAlign w:val="center"/>
          </w:tcPr>
          <w:p w14:paraId="549FBCA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0.22</w:t>
            </w:r>
          </w:p>
        </w:tc>
      </w:tr>
      <w:tr w:rsidR="00D12939" w14:paraId="1DFB1610" w14:textId="77777777">
        <w:trPr>
          <w:trHeight w:val="302"/>
          <w:jc w:val="center"/>
        </w:trPr>
        <w:tc>
          <w:tcPr>
            <w:tcW w:w="853" w:type="dxa"/>
            <w:vAlign w:val="center"/>
          </w:tcPr>
          <w:p w14:paraId="2B6FF4A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350</w:t>
            </w:r>
          </w:p>
        </w:tc>
        <w:tc>
          <w:tcPr>
            <w:tcW w:w="975" w:type="dxa"/>
            <w:vAlign w:val="center"/>
          </w:tcPr>
          <w:p w14:paraId="01092A2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2.16E-03</w:t>
            </w:r>
          </w:p>
        </w:tc>
        <w:tc>
          <w:tcPr>
            <w:tcW w:w="705" w:type="dxa"/>
            <w:vAlign w:val="center"/>
          </w:tcPr>
          <w:p w14:paraId="57A29CD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1.08</w:t>
            </w:r>
          </w:p>
        </w:tc>
        <w:tc>
          <w:tcPr>
            <w:tcW w:w="960" w:type="dxa"/>
            <w:vAlign w:val="center"/>
          </w:tcPr>
          <w:p w14:paraId="1468B8C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3.00E-05</w:t>
            </w:r>
          </w:p>
        </w:tc>
        <w:tc>
          <w:tcPr>
            <w:tcW w:w="745" w:type="dxa"/>
            <w:vAlign w:val="center"/>
          </w:tcPr>
          <w:p w14:paraId="1086991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0.30</w:t>
            </w:r>
          </w:p>
        </w:tc>
        <w:tc>
          <w:tcPr>
            <w:tcW w:w="992" w:type="dxa"/>
            <w:vAlign w:val="center"/>
          </w:tcPr>
          <w:p w14:paraId="16AB000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4.22E-03</w:t>
            </w:r>
          </w:p>
        </w:tc>
        <w:tc>
          <w:tcPr>
            <w:tcW w:w="787" w:type="dxa"/>
            <w:vAlign w:val="center"/>
          </w:tcPr>
          <w:p w14:paraId="392D317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2.11</w:t>
            </w:r>
          </w:p>
        </w:tc>
        <w:tc>
          <w:tcPr>
            <w:tcW w:w="914" w:type="dxa"/>
            <w:vAlign w:val="center"/>
          </w:tcPr>
          <w:p w14:paraId="15CF4DB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5.98E-05</w:t>
            </w:r>
          </w:p>
        </w:tc>
        <w:tc>
          <w:tcPr>
            <w:tcW w:w="709" w:type="dxa"/>
            <w:vAlign w:val="center"/>
          </w:tcPr>
          <w:p w14:paraId="4CE4404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0.60</w:t>
            </w:r>
          </w:p>
        </w:tc>
        <w:tc>
          <w:tcPr>
            <w:tcW w:w="992" w:type="dxa"/>
            <w:vAlign w:val="center"/>
          </w:tcPr>
          <w:p w14:paraId="6B8236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1.91E-03</w:t>
            </w:r>
          </w:p>
        </w:tc>
        <w:tc>
          <w:tcPr>
            <w:tcW w:w="755" w:type="dxa"/>
            <w:vAlign w:val="center"/>
          </w:tcPr>
          <w:p w14:paraId="7D78CA7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0.21</w:t>
            </w:r>
          </w:p>
        </w:tc>
      </w:tr>
      <w:tr w:rsidR="00D12939" w14:paraId="00B34287" w14:textId="77777777">
        <w:trPr>
          <w:trHeight w:val="302"/>
          <w:jc w:val="center"/>
        </w:trPr>
        <w:tc>
          <w:tcPr>
            <w:tcW w:w="853" w:type="dxa"/>
            <w:vAlign w:val="center"/>
          </w:tcPr>
          <w:p w14:paraId="448A228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375</w:t>
            </w:r>
          </w:p>
        </w:tc>
        <w:tc>
          <w:tcPr>
            <w:tcW w:w="975" w:type="dxa"/>
            <w:vAlign w:val="center"/>
          </w:tcPr>
          <w:p w14:paraId="025B70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2.03E-03</w:t>
            </w:r>
          </w:p>
        </w:tc>
        <w:tc>
          <w:tcPr>
            <w:tcW w:w="705" w:type="dxa"/>
            <w:vAlign w:val="center"/>
          </w:tcPr>
          <w:p w14:paraId="08EA839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1.01</w:t>
            </w:r>
          </w:p>
        </w:tc>
        <w:tc>
          <w:tcPr>
            <w:tcW w:w="960" w:type="dxa"/>
            <w:vAlign w:val="center"/>
          </w:tcPr>
          <w:p w14:paraId="27C67E7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2.82E-05</w:t>
            </w:r>
          </w:p>
        </w:tc>
        <w:tc>
          <w:tcPr>
            <w:tcW w:w="745" w:type="dxa"/>
            <w:vAlign w:val="center"/>
          </w:tcPr>
          <w:p w14:paraId="04EE607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0.28</w:t>
            </w:r>
          </w:p>
        </w:tc>
        <w:tc>
          <w:tcPr>
            <w:tcW w:w="992" w:type="dxa"/>
            <w:vAlign w:val="center"/>
          </w:tcPr>
          <w:p w14:paraId="47F72CC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3.96E-03</w:t>
            </w:r>
          </w:p>
        </w:tc>
        <w:tc>
          <w:tcPr>
            <w:tcW w:w="787" w:type="dxa"/>
            <w:vAlign w:val="center"/>
          </w:tcPr>
          <w:p w14:paraId="707E90D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1.98</w:t>
            </w:r>
          </w:p>
        </w:tc>
        <w:tc>
          <w:tcPr>
            <w:tcW w:w="914" w:type="dxa"/>
            <w:vAlign w:val="center"/>
          </w:tcPr>
          <w:p w14:paraId="4286B07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5.61E-05</w:t>
            </w:r>
          </w:p>
        </w:tc>
        <w:tc>
          <w:tcPr>
            <w:tcW w:w="709" w:type="dxa"/>
            <w:vAlign w:val="center"/>
          </w:tcPr>
          <w:p w14:paraId="442BA51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0.56</w:t>
            </w:r>
          </w:p>
        </w:tc>
        <w:tc>
          <w:tcPr>
            <w:tcW w:w="992" w:type="dxa"/>
            <w:vAlign w:val="center"/>
          </w:tcPr>
          <w:p w14:paraId="5969F6A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1.83E-03</w:t>
            </w:r>
          </w:p>
        </w:tc>
        <w:tc>
          <w:tcPr>
            <w:tcW w:w="755" w:type="dxa"/>
            <w:vAlign w:val="center"/>
          </w:tcPr>
          <w:p w14:paraId="5127D8C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0.20</w:t>
            </w:r>
          </w:p>
        </w:tc>
      </w:tr>
      <w:tr w:rsidR="00D12939" w14:paraId="1D4BCB52" w14:textId="77777777">
        <w:trPr>
          <w:trHeight w:val="302"/>
          <w:jc w:val="center"/>
        </w:trPr>
        <w:tc>
          <w:tcPr>
            <w:tcW w:w="853" w:type="dxa"/>
            <w:vAlign w:val="center"/>
          </w:tcPr>
          <w:p w14:paraId="780BE36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400</w:t>
            </w:r>
          </w:p>
        </w:tc>
        <w:tc>
          <w:tcPr>
            <w:tcW w:w="975" w:type="dxa"/>
            <w:vAlign w:val="center"/>
          </w:tcPr>
          <w:p w14:paraId="7B2090C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1.93E-03</w:t>
            </w:r>
          </w:p>
        </w:tc>
        <w:tc>
          <w:tcPr>
            <w:tcW w:w="705" w:type="dxa"/>
            <w:vAlign w:val="center"/>
          </w:tcPr>
          <w:p w14:paraId="2B5F394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0.97</w:t>
            </w:r>
          </w:p>
        </w:tc>
        <w:tc>
          <w:tcPr>
            <w:tcW w:w="960" w:type="dxa"/>
            <w:vAlign w:val="center"/>
          </w:tcPr>
          <w:p w14:paraId="7F250C9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2.68E-05</w:t>
            </w:r>
          </w:p>
        </w:tc>
        <w:tc>
          <w:tcPr>
            <w:tcW w:w="745" w:type="dxa"/>
            <w:vAlign w:val="center"/>
          </w:tcPr>
          <w:p w14:paraId="4B60043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0.27</w:t>
            </w:r>
          </w:p>
        </w:tc>
        <w:tc>
          <w:tcPr>
            <w:tcW w:w="992" w:type="dxa"/>
            <w:vAlign w:val="center"/>
          </w:tcPr>
          <w:p w14:paraId="3D8EC7C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3.76E-03</w:t>
            </w:r>
          </w:p>
        </w:tc>
        <w:tc>
          <w:tcPr>
            <w:tcW w:w="787" w:type="dxa"/>
            <w:vAlign w:val="center"/>
          </w:tcPr>
          <w:p w14:paraId="2992618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1.88</w:t>
            </w:r>
          </w:p>
        </w:tc>
        <w:tc>
          <w:tcPr>
            <w:tcW w:w="914" w:type="dxa"/>
            <w:vAlign w:val="center"/>
          </w:tcPr>
          <w:p w14:paraId="6FB3474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5.34E-05</w:t>
            </w:r>
          </w:p>
        </w:tc>
        <w:tc>
          <w:tcPr>
            <w:tcW w:w="709" w:type="dxa"/>
            <w:vAlign w:val="center"/>
          </w:tcPr>
          <w:p w14:paraId="4BC2A8E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0.53</w:t>
            </w:r>
          </w:p>
        </w:tc>
        <w:tc>
          <w:tcPr>
            <w:tcW w:w="992" w:type="dxa"/>
            <w:vAlign w:val="center"/>
          </w:tcPr>
          <w:p w14:paraId="05D6FA5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1.77E-03</w:t>
            </w:r>
          </w:p>
        </w:tc>
        <w:tc>
          <w:tcPr>
            <w:tcW w:w="755" w:type="dxa"/>
            <w:vAlign w:val="center"/>
          </w:tcPr>
          <w:p w14:paraId="234EB39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0.20</w:t>
            </w:r>
          </w:p>
        </w:tc>
      </w:tr>
      <w:tr w:rsidR="00D12939" w14:paraId="0BB6781E" w14:textId="77777777">
        <w:trPr>
          <w:trHeight w:val="291"/>
          <w:jc w:val="center"/>
        </w:trPr>
        <w:tc>
          <w:tcPr>
            <w:tcW w:w="853" w:type="dxa"/>
            <w:vAlign w:val="center"/>
          </w:tcPr>
          <w:p w14:paraId="7FC3D61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425</w:t>
            </w:r>
          </w:p>
        </w:tc>
        <w:tc>
          <w:tcPr>
            <w:tcW w:w="975" w:type="dxa"/>
            <w:vAlign w:val="center"/>
          </w:tcPr>
          <w:p w14:paraId="16FA01C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1.85E-03</w:t>
            </w:r>
          </w:p>
        </w:tc>
        <w:tc>
          <w:tcPr>
            <w:tcW w:w="705" w:type="dxa"/>
            <w:vAlign w:val="center"/>
          </w:tcPr>
          <w:p w14:paraId="1022469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0.93</w:t>
            </w:r>
          </w:p>
        </w:tc>
        <w:tc>
          <w:tcPr>
            <w:tcW w:w="960" w:type="dxa"/>
            <w:vAlign w:val="center"/>
          </w:tcPr>
          <w:p w14:paraId="0DFBFEC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2.58E-05</w:t>
            </w:r>
          </w:p>
        </w:tc>
        <w:tc>
          <w:tcPr>
            <w:tcW w:w="745" w:type="dxa"/>
            <w:vAlign w:val="center"/>
          </w:tcPr>
          <w:p w14:paraId="1769066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0.26</w:t>
            </w:r>
          </w:p>
        </w:tc>
        <w:tc>
          <w:tcPr>
            <w:tcW w:w="992" w:type="dxa"/>
            <w:vAlign w:val="center"/>
          </w:tcPr>
          <w:p w14:paraId="3327AAE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3.62E-03</w:t>
            </w:r>
          </w:p>
        </w:tc>
        <w:tc>
          <w:tcPr>
            <w:tcW w:w="787" w:type="dxa"/>
            <w:vAlign w:val="center"/>
          </w:tcPr>
          <w:p w14:paraId="13D3778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1.81</w:t>
            </w:r>
          </w:p>
        </w:tc>
        <w:tc>
          <w:tcPr>
            <w:tcW w:w="914" w:type="dxa"/>
            <w:vAlign w:val="center"/>
          </w:tcPr>
          <w:p w14:paraId="329DE85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5.13E-05</w:t>
            </w:r>
          </w:p>
        </w:tc>
        <w:tc>
          <w:tcPr>
            <w:tcW w:w="709" w:type="dxa"/>
            <w:vAlign w:val="center"/>
          </w:tcPr>
          <w:p w14:paraId="6EE7FB9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0.51</w:t>
            </w:r>
          </w:p>
        </w:tc>
        <w:tc>
          <w:tcPr>
            <w:tcW w:w="992" w:type="dxa"/>
            <w:vAlign w:val="center"/>
          </w:tcPr>
          <w:p w14:paraId="54ABDED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1.70E-03</w:t>
            </w:r>
          </w:p>
        </w:tc>
        <w:tc>
          <w:tcPr>
            <w:tcW w:w="755" w:type="dxa"/>
            <w:vAlign w:val="center"/>
          </w:tcPr>
          <w:p w14:paraId="608FE7A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0.19</w:t>
            </w:r>
          </w:p>
        </w:tc>
      </w:tr>
      <w:tr w:rsidR="00D12939" w14:paraId="2C0D6754" w14:textId="77777777">
        <w:trPr>
          <w:trHeight w:val="302"/>
          <w:jc w:val="center"/>
        </w:trPr>
        <w:tc>
          <w:tcPr>
            <w:tcW w:w="853" w:type="dxa"/>
            <w:vAlign w:val="center"/>
          </w:tcPr>
          <w:p w14:paraId="722ABBD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450</w:t>
            </w:r>
          </w:p>
        </w:tc>
        <w:tc>
          <w:tcPr>
            <w:tcW w:w="975" w:type="dxa"/>
            <w:vAlign w:val="center"/>
          </w:tcPr>
          <w:p w14:paraId="6C74EFA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1.78E-03</w:t>
            </w:r>
          </w:p>
        </w:tc>
        <w:tc>
          <w:tcPr>
            <w:tcW w:w="705" w:type="dxa"/>
            <w:vAlign w:val="center"/>
          </w:tcPr>
          <w:p w14:paraId="5D1A137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0.89</w:t>
            </w:r>
          </w:p>
        </w:tc>
        <w:tc>
          <w:tcPr>
            <w:tcW w:w="960" w:type="dxa"/>
            <w:vAlign w:val="center"/>
          </w:tcPr>
          <w:p w14:paraId="4C69683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2.48E-05</w:t>
            </w:r>
          </w:p>
        </w:tc>
        <w:tc>
          <w:tcPr>
            <w:tcW w:w="745" w:type="dxa"/>
            <w:vAlign w:val="center"/>
          </w:tcPr>
          <w:p w14:paraId="02CFD15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0.25</w:t>
            </w:r>
          </w:p>
        </w:tc>
        <w:tc>
          <w:tcPr>
            <w:tcW w:w="992" w:type="dxa"/>
            <w:vAlign w:val="center"/>
          </w:tcPr>
          <w:p w14:paraId="799F85E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3.48E-03</w:t>
            </w:r>
          </w:p>
        </w:tc>
        <w:tc>
          <w:tcPr>
            <w:tcW w:w="787" w:type="dxa"/>
            <w:vAlign w:val="center"/>
          </w:tcPr>
          <w:p w14:paraId="77E17DD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1.74</w:t>
            </w:r>
          </w:p>
        </w:tc>
        <w:tc>
          <w:tcPr>
            <w:tcW w:w="914" w:type="dxa"/>
            <w:vAlign w:val="center"/>
          </w:tcPr>
          <w:p w14:paraId="20A64AA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4.94E-05</w:t>
            </w:r>
          </w:p>
        </w:tc>
        <w:tc>
          <w:tcPr>
            <w:tcW w:w="709" w:type="dxa"/>
            <w:vAlign w:val="center"/>
          </w:tcPr>
          <w:p w14:paraId="268A812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0.49</w:t>
            </w:r>
          </w:p>
        </w:tc>
        <w:tc>
          <w:tcPr>
            <w:tcW w:w="992" w:type="dxa"/>
            <w:vAlign w:val="center"/>
          </w:tcPr>
          <w:p w14:paraId="2A8A37A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1.64E-03</w:t>
            </w:r>
          </w:p>
        </w:tc>
        <w:tc>
          <w:tcPr>
            <w:tcW w:w="755" w:type="dxa"/>
            <w:vAlign w:val="center"/>
          </w:tcPr>
          <w:p w14:paraId="13868E4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0.18</w:t>
            </w:r>
          </w:p>
        </w:tc>
      </w:tr>
      <w:tr w:rsidR="00D12939" w14:paraId="3B8757D7" w14:textId="77777777">
        <w:trPr>
          <w:trHeight w:val="302"/>
          <w:jc w:val="center"/>
        </w:trPr>
        <w:tc>
          <w:tcPr>
            <w:tcW w:w="853" w:type="dxa"/>
            <w:vAlign w:val="center"/>
          </w:tcPr>
          <w:p w14:paraId="1941CF1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475</w:t>
            </w:r>
          </w:p>
        </w:tc>
        <w:tc>
          <w:tcPr>
            <w:tcW w:w="975" w:type="dxa"/>
            <w:vAlign w:val="center"/>
          </w:tcPr>
          <w:p w14:paraId="0CB198F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1.72E-03</w:t>
            </w:r>
          </w:p>
        </w:tc>
        <w:tc>
          <w:tcPr>
            <w:tcW w:w="705" w:type="dxa"/>
            <w:vAlign w:val="center"/>
          </w:tcPr>
          <w:p w14:paraId="1445204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0.86</w:t>
            </w:r>
          </w:p>
        </w:tc>
        <w:tc>
          <w:tcPr>
            <w:tcW w:w="960" w:type="dxa"/>
            <w:vAlign w:val="center"/>
          </w:tcPr>
          <w:p w14:paraId="3AF33B2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2.38E-05</w:t>
            </w:r>
          </w:p>
        </w:tc>
        <w:tc>
          <w:tcPr>
            <w:tcW w:w="745" w:type="dxa"/>
            <w:vAlign w:val="center"/>
          </w:tcPr>
          <w:p w14:paraId="2030087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0.24</w:t>
            </w:r>
          </w:p>
        </w:tc>
        <w:tc>
          <w:tcPr>
            <w:tcW w:w="992" w:type="dxa"/>
            <w:vAlign w:val="center"/>
          </w:tcPr>
          <w:p w14:paraId="6DC1FF9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3.35E-03</w:t>
            </w:r>
          </w:p>
        </w:tc>
        <w:tc>
          <w:tcPr>
            <w:tcW w:w="787" w:type="dxa"/>
            <w:vAlign w:val="center"/>
          </w:tcPr>
          <w:p w14:paraId="46774AC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1.68</w:t>
            </w:r>
          </w:p>
        </w:tc>
        <w:tc>
          <w:tcPr>
            <w:tcW w:w="914" w:type="dxa"/>
            <w:vAlign w:val="center"/>
          </w:tcPr>
          <w:p w14:paraId="697D798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4.75E-05</w:t>
            </w:r>
          </w:p>
        </w:tc>
        <w:tc>
          <w:tcPr>
            <w:tcW w:w="709" w:type="dxa"/>
            <w:vAlign w:val="center"/>
          </w:tcPr>
          <w:p w14:paraId="0DAD29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0.48</w:t>
            </w:r>
          </w:p>
        </w:tc>
        <w:tc>
          <w:tcPr>
            <w:tcW w:w="992" w:type="dxa"/>
            <w:vAlign w:val="center"/>
          </w:tcPr>
          <w:p w14:paraId="4724E40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1.59E-03</w:t>
            </w:r>
          </w:p>
        </w:tc>
        <w:tc>
          <w:tcPr>
            <w:tcW w:w="755" w:type="dxa"/>
            <w:vAlign w:val="center"/>
          </w:tcPr>
          <w:p w14:paraId="6D4CEF5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0.18</w:t>
            </w:r>
          </w:p>
        </w:tc>
      </w:tr>
      <w:tr w:rsidR="00D12939" w14:paraId="26EFB965" w14:textId="77777777">
        <w:trPr>
          <w:trHeight w:val="302"/>
          <w:jc w:val="center"/>
        </w:trPr>
        <w:tc>
          <w:tcPr>
            <w:tcW w:w="853" w:type="dxa"/>
            <w:vAlign w:val="center"/>
          </w:tcPr>
          <w:p w14:paraId="5241AE9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500</w:t>
            </w:r>
          </w:p>
        </w:tc>
        <w:tc>
          <w:tcPr>
            <w:tcW w:w="975" w:type="dxa"/>
            <w:vAlign w:val="center"/>
          </w:tcPr>
          <w:p w14:paraId="3CD3CEB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1.65E-03</w:t>
            </w:r>
          </w:p>
        </w:tc>
        <w:tc>
          <w:tcPr>
            <w:tcW w:w="705" w:type="dxa"/>
            <w:vAlign w:val="center"/>
          </w:tcPr>
          <w:p w14:paraId="24AF1A7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0.83</w:t>
            </w:r>
          </w:p>
        </w:tc>
        <w:tc>
          <w:tcPr>
            <w:tcW w:w="960" w:type="dxa"/>
            <w:vAlign w:val="center"/>
          </w:tcPr>
          <w:p w14:paraId="6C9790C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2.30E-05</w:t>
            </w:r>
          </w:p>
        </w:tc>
        <w:tc>
          <w:tcPr>
            <w:tcW w:w="745" w:type="dxa"/>
            <w:vAlign w:val="center"/>
          </w:tcPr>
          <w:p w14:paraId="0D9A606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0.23</w:t>
            </w:r>
          </w:p>
        </w:tc>
        <w:tc>
          <w:tcPr>
            <w:tcW w:w="992" w:type="dxa"/>
            <w:vAlign w:val="center"/>
          </w:tcPr>
          <w:p w14:paraId="7670890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3.23E-03</w:t>
            </w:r>
          </w:p>
        </w:tc>
        <w:tc>
          <w:tcPr>
            <w:tcW w:w="787" w:type="dxa"/>
            <w:vAlign w:val="center"/>
          </w:tcPr>
          <w:p w14:paraId="5646EF2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1.61</w:t>
            </w:r>
          </w:p>
        </w:tc>
        <w:tc>
          <w:tcPr>
            <w:tcW w:w="914" w:type="dxa"/>
            <w:vAlign w:val="center"/>
          </w:tcPr>
          <w:p w14:paraId="7A51517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4.58E-05</w:t>
            </w:r>
          </w:p>
        </w:tc>
        <w:tc>
          <w:tcPr>
            <w:tcW w:w="709" w:type="dxa"/>
            <w:vAlign w:val="center"/>
          </w:tcPr>
          <w:p w14:paraId="1CAEC86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0.46</w:t>
            </w:r>
          </w:p>
        </w:tc>
        <w:tc>
          <w:tcPr>
            <w:tcW w:w="992" w:type="dxa"/>
            <w:vAlign w:val="center"/>
          </w:tcPr>
          <w:p w14:paraId="7849E0D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1.54E-03</w:t>
            </w:r>
          </w:p>
        </w:tc>
        <w:tc>
          <w:tcPr>
            <w:tcW w:w="755" w:type="dxa"/>
            <w:vAlign w:val="center"/>
          </w:tcPr>
          <w:p w14:paraId="454298E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0.17</w:t>
            </w:r>
          </w:p>
        </w:tc>
      </w:tr>
      <w:tr w:rsidR="00D12939" w14:paraId="5A9DDCA2" w14:textId="77777777">
        <w:trPr>
          <w:trHeight w:val="302"/>
          <w:jc w:val="center"/>
        </w:trPr>
        <w:tc>
          <w:tcPr>
            <w:tcW w:w="853" w:type="dxa"/>
            <w:vAlign w:val="center"/>
          </w:tcPr>
          <w:p w14:paraId="55A8205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600</w:t>
            </w:r>
          </w:p>
        </w:tc>
        <w:tc>
          <w:tcPr>
            <w:tcW w:w="975" w:type="dxa"/>
            <w:vAlign w:val="center"/>
          </w:tcPr>
          <w:p w14:paraId="2DEEBDB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1.45E-03</w:t>
            </w:r>
          </w:p>
        </w:tc>
        <w:tc>
          <w:tcPr>
            <w:tcW w:w="705" w:type="dxa"/>
            <w:vAlign w:val="center"/>
          </w:tcPr>
          <w:p w14:paraId="3AF01FB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0.72</w:t>
            </w:r>
          </w:p>
        </w:tc>
        <w:tc>
          <w:tcPr>
            <w:tcW w:w="960" w:type="dxa"/>
            <w:vAlign w:val="center"/>
          </w:tcPr>
          <w:p w14:paraId="28FCB4D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2.01E-05</w:t>
            </w:r>
          </w:p>
        </w:tc>
        <w:tc>
          <w:tcPr>
            <w:tcW w:w="745" w:type="dxa"/>
            <w:vAlign w:val="center"/>
          </w:tcPr>
          <w:p w14:paraId="01B1CF3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0.20</w:t>
            </w:r>
          </w:p>
        </w:tc>
        <w:tc>
          <w:tcPr>
            <w:tcW w:w="992" w:type="dxa"/>
            <w:vAlign w:val="center"/>
          </w:tcPr>
          <w:p w14:paraId="1D67D65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2.80E-03</w:t>
            </w:r>
          </w:p>
        </w:tc>
        <w:tc>
          <w:tcPr>
            <w:tcW w:w="787" w:type="dxa"/>
            <w:vAlign w:val="center"/>
          </w:tcPr>
          <w:p w14:paraId="33967B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1.40</w:t>
            </w:r>
          </w:p>
        </w:tc>
        <w:tc>
          <w:tcPr>
            <w:tcW w:w="914" w:type="dxa"/>
            <w:vAlign w:val="center"/>
          </w:tcPr>
          <w:p w14:paraId="2EFF9D2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3.97E-05</w:t>
            </w:r>
          </w:p>
        </w:tc>
        <w:tc>
          <w:tcPr>
            <w:tcW w:w="709" w:type="dxa"/>
            <w:vAlign w:val="center"/>
          </w:tcPr>
          <w:p w14:paraId="1F3D938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0.40</w:t>
            </w:r>
          </w:p>
        </w:tc>
        <w:tc>
          <w:tcPr>
            <w:tcW w:w="992" w:type="dxa"/>
            <w:vAlign w:val="center"/>
          </w:tcPr>
          <w:p w14:paraId="185257A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1.38E-03</w:t>
            </w:r>
          </w:p>
        </w:tc>
        <w:tc>
          <w:tcPr>
            <w:tcW w:w="755" w:type="dxa"/>
            <w:vAlign w:val="center"/>
          </w:tcPr>
          <w:p w14:paraId="29F9437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0.15</w:t>
            </w:r>
          </w:p>
        </w:tc>
      </w:tr>
      <w:tr w:rsidR="00D12939" w14:paraId="57CB8123" w14:textId="77777777">
        <w:trPr>
          <w:trHeight w:val="291"/>
          <w:jc w:val="center"/>
        </w:trPr>
        <w:tc>
          <w:tcPr>
            <w:tcW w:w="853" w:type="dxa"/>
            <w:vAlign w:val="center"/>
          </w:tcPr>
          <w:p w14:paraId="752619B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700</w:t>
            </w:r>
          </w:p>
        </w:tc>
        <w:tc>
          <w:tcPr>
            <w:tcW w:w="975" w:type="dxa"/>
            <w:vAlign w:val="center"/>
          </w:tcPr>
          <w:p w14:paraId="51B5DD7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1.28E-03</w:t>
            </w:r>
          </w:p>
        </w:tc>
        <w:tc>
          <w:tcPr>
            <w:tcW w:w="705" w:type="dxa"/>
            <w:vAlign w:val="center"/>
          </w:tcPr>
          <w:p w14:paraId="48FE29D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0.64</w:t>
            </w:r>
          </w:p>
        </w:tc>
        <w:tc>
          <w:tcPr>
            <w:tcW w:w="960" w:type="dxa"/>
            <w:vAlign w:val="center"/>
          </w:tcPr>
          <w:p w14:paraId="5997465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1.77E-05</w:t>
            </w:r>
          </w:p>
        </w:tc>
        <w:tc>
          <w:tcPr>
            <w:tcW w:w="745" w:type="dxa"/>
            <w:vAlign w:val="center"/>
          </w:tcPr>
          <w:p w14:paraId="1B72446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0.18</w:t>
            </w:r>
          </w:p>
        </w:tc>
        <w:tc>
          <w:tcPr>
            <w:tcW w:w="992" w:type="dxa"/>
            <w:vAlign w:val="center"/>
          </w:tcPr>
          <w:p w14:paraId="09B72A9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2.50E-03</w:t>
            </w:r>
          </w:p>
        </w:tc>
        <w:tc>
          <w:tcPr>
            <w:tcW w:w="787" w:type="dxa"/>
            <w:vAlign w:val="center"/>
          </w:tcPr>
          <w:p w14:paraId="52E9B06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1.25</w:t>
            </w:r>
          </w:p>
        </w:tc>
        <w:tc>
          <w:tcPr>
            <w:tcW w:w="914" w:type="dxa"/>
            <w:vAlign w:val="center"/>
          </w:tcPr>
          <w:p w14:paraId="6A215F8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3.54E-05</w:t>
            </w:r>
          </w:p>
        </w:tc>
        <w:tc>
          <w:tcPr>
            <w:tcW w:w="709" w:type="dxa"/>
            <w:vAlign w:val="center"/>
          </w:tcPr>
          <w:p w14:paraId="1D5B489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0.35</w:t>
            </w:r>
          </w:p>
        </w:tc>
        <w:tc>
          <w:tcPr>
            <w:tcW w:w="992" w:type="dxa"/>
            <w:vAlign w:val="center"/>
          </w:tcPr>
          <w:p w14:paraId="51FB99D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1.34E-03</w:t>
            </w:r>
          </w:p>
        </w:tc>
        <w:tc>
          <w:tcPr>
            <w:tcW w:w="755" w:type="dxa"/>
            <w:vAlign w:val="center"/>
          </w:tcPr>
          <w:p w14:paraId="3C49018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0.15</w:t>
            </w:r>
          </w:p>
        </w:tc>
      </w:tr>
      <w:tr w:rsidR="00D12939" w14:paraId="1679286F" w14:textId="77777777">
        <w:trPr>
          <w:trHeight w:val="302"/>
          <w:jc w:val="center"/>
        </w:trPr>
        <w:tc>
          <w:tcPr>
            <w:tcW w:w="853" w:type="dxa"/>
            <w:vAlign w:val="center"/>
          </w:tcPr>
          <w:p w14:paraId="3525FC4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800</w:t>
            </w:r>
          </w:p>
        </w:tc>
        <w:tc>
          <w:tcPr>
            <w:tcW w:w="975" w:type="dxa"/>
            <w:vAlign w:val="center"/>
          </w:tcPr>
          <w:p w14:paraId="0D4CCE9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1.14E-03</w:t>
            </w:r>
          </w:p>
        </w:tc>
        <w:tc>
          <w:tcPr>
            <w:tcW w:w="705" w:type="dxa"/>
            <w:vAlign w:val="center"/>
          </w:tcPr>
          <w:p w14:paraId="569F698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0.57</w:t>
            </w:r>
          </w:p>
        </w:tc>
        <w:tc>
          <w:tcPr>
            <w:tcW w:w="960" w:type="dxa"/>
            <w:vAlign w:val="center"/>
          </w:tcPr>
          <w:p w14:paraId="3CA029A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1.59E-05</w:t>
            </w:r>
          </w:p>
        </w:tc>
        <w:tc>
          <w:tcPr>
            <w:tcW w:w="745" w:type="dxa"/>
            <w:vAlign w:val="center"/>
          </w:tcPr>
          <w:p w14:paraId="6769A0D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0.16</w:t>
            </w:r>
          </w:p>
        </w:tc>
        <w:tc>
          <w:tcPr>
            <w:tcW w:w="992" w:type="dxa"/>
            <w:vAlign w:val="center"/>
          </w:tcPr>
          <w:p w14:paraId="5A4C170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2.24E-03</w:t>
            </w:r>
          </w:p>
        </w:tc>
        <w:tc>
          <w:tcPr>
            <w:tcW w:w="787" w:type="dxa"/>
            <w:vAlign w:val="center"/>
          </w:tcPr>
          <w:p w14:paraId="341CF10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1.12</w:t>
            </w:r>
          </w:p>
        </w:tc>
        <w:tc>
          <w:tcPr>
            <w:tcW w:w="914" w:type="dxa"/>
            <w:vAlign w:val="center"/>
          </w:tcPr>
          <w:p w14:paraId="5556EF2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3.18E-05</w:t>
            </w:r>
          </w:p>
        </w:tc>
        <w:tc>
          <w:tcPr>
            <w:tcW w:w="709" w:type="dxa"/>
            <w:vAlign w:val="center"/>
          </w:tcPr>
          <w:p w14:paraId="0320CC8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0.32</w:t>
            </w:r>
          </w:p>
        </w:tc>
        <w:tc>
          <w:tcPr>
            <w:tcW w:w="992" w:type="dxa"/>
            <w:vAlign w:val="center"/>
          </w:tcPr>
          <w:p w14:paraId="1C536DC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1.31E-03</w:t>
            </w:r>
          </w:p>
        </w:tc>
        <w:tc>
          <w:tcPr>
            <w:tcW w:w="755" w:type="dxa"/>
            <w:vAlign w:val="center"/>
          </w:tcPr>
          <w:p w14:paraId="47A816A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0.15</w:t>
            </w:r>
          </w:p>
        </w:tc>
      </w:tr>
      <w:tr w:rsidR="00D12939" w14:paraId="5D7BA705" w14:textId="77777777">
        <w:trPr>
          <w:trHeight w:val="302"/>
          <w:jc w:val="center"/>
        </w:trPr>
        <w:tc>
          <w:tcPr>
            <w:tcW w:w="853" w:type="dxa"/>
            <w:vAlign w:val="center"/>
          </w:tcPr>
          <w:p w14:paraId="4110ED2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900</w:t>
            </w:r>
          </w:p>
        </w:tc>
        <w:tc>
          <w:tcPr>
            <w:tcW w:w="975" w:type="dxa"/>
            <w:vAlign w:val="center"/>
          </w:tcPr>
          <w:p w14:paraId="416718A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1.04E-03</w:t>
            </w:r>
          </w:p>
        </w:tc>
        <w:tc>
          <w:tcPr>
            <w:tcW w:w="705" w:type="dxa"/>
            <w:vAlign w:val="center"/>
          </w:tcPr>
          <w:p w14:paraId="2B28D76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0.52</w:t>
            </w:r>
          </w:p>
        </w:tc>
        <w:tc>
          <w:tcPr>
            <w:tcW w:w="960" w:type="dxa"/>
            <w:vAlign w:val="center"/>
          </w:tcPr>
          <w:p w14:paraId="58DCF22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1.45E-05</w:t>
            </w:r>
          </w:p>
        </w:tc>
        <w:tc>
          <w:tcPr>
            <w:tcW w:w="745" w:type="dxa"/>
            <w:vAlign w:val="center"/>
          </w:tcPr>
          <w:p w14:paraId="2F4354B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0.14</w:t>
            </w:r>
          </w:p>
        </w:tc>
        <w:tc>
          <w:tcPr>
            <w:tcW w:w="992" w:type="dxa"/>
            <w:vAlign w:val="center"/>
          </w:tcPr>
          <w:p w14:paraId="45156B9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2.04E-03</w:t>
            </w:r>
          </w:p>
        </w:tc>
        <w:tc>
          <w:tcPr>
            <w:tcW w:w="787" w:type="dxa"/>
            <w:vAlign w:val="center"/>
          </w:tcPr>
          <w:p w14:paraId="61CE20E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1.02</w:t>
            </w:r>
          </w:p>
        </w:tc>
        <w:tc>
          <w:tcPr>
            <w:tcW w:w="914" w:type="dxa"/>
            <w:vAlign w:val="center"/>
          </w:tcPr>
          <w:p w14:paraId="3BD21B7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2.89E-05</w:t>
            </w:r>
          </w:p>
        </w:tc>
        <w:tc>
          <w:tcPr>
            <w:tcW w:w="709" w:type="dxa"/>
            <w:vAlign w:val="center"/>
          </w:tcPr>
          <w:p w14:paraId="06743EE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0.29</w:t>
            </w:r>
          </w:p>
        </w:tc>
        <w:tc>
          <w:tcPr>
            <w:tcW w:w="992" w:type="dxa"/>
            <w:vAlign w:val="center"/>
          </w:tcPr>
          <w:p w14:paraId="349E173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1.27E-03</w:t>
            </w:r>
          </w:p>
        </w:tc>
        <w:tc>
          <w:tcPr>
            <w:tcW w:w="755" w:type="dxa"/>
            <w:vAlign w:val="center"/>
          </w:tcPr>
          <w:p w14:paraId="2FEE212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0.14</w:t>
            </w:r>
          </w:p>
        </w:tc>
      </w:tr>
      <w:tr w:rsidR="00D12939" w14:paraId="17E37FA0" w14:textId="77777777">
        <w:trPr>
          <w:trHeight w:val="302"/>
          <w:jc w:val="center"/>
        </w:trPr>
        <w:tc>
          <w:tcPr>
            <w:tcW w:w="853" w:type="dxa"/>
            <w:vAlign w:val="center"/>
          </w:tcPr>
          <w:p w14:paraId="6BC3455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1000</w:t>
            </w:r>
          </w:p>
        </w:tc>
        <w:tc>
          <w:tcPr>
            <w:tcW w:w="975" w:type="dxa"/>
            <w:vAlign w:val="center"/>
          </w:tcPr>
          <w:p w14:paraId="3D47918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9.55E-04</w:t>
            </w:r>
          </w:p>
        </w:tc>
        <w:tc>
          <w:tcPr>
            <w:tcW w:w="705" w:type="dxa"/>
            <w:vAlign w:val="center"/>
          </w:tcPr>
          <w:p w14:paraId="7DA735D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0.48</w:t>
            </w:r>
          </w:p>
        </w:tc>
        <w:tc>
          <w:tcPr>
            <w:tcW w:w="960" w:type="dxa"/>
            <w:vAlign w:val="center"/>
          </w:tcPr>
          <w:p w14:paraId="12CA849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1.33E-05</w:t>
            </w:r>
          </w:p>
        </w:tc>
        <w:tc>
          <w:tcPr>
            <w:tcW w:w="745" w:type="dxa"/>
            <w:vAlign w:val="center"/>
          </w:tcPr>
          <w:p w14:paraId="7E4CF03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0.13</w:t>
            </w:r>
          </w:p>
        </w:tc>
        <w:tc>
          <w:tcPr>
            <w:tcW w:w="992" w:type="dxa"/>
            <w:vAlign w:val="center"/>
          </w:tcPr>
          <w:p w14:paraId="68A84EA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1.87E-03</w:t>
            </w:r>
          </w:p>
        </w:tc>
        <w:tc>
          <w:tcPr>
            <w:tcW w:w="787" w:type="dxa"/>
            <w:vAlign w:val="center"/>
          </w:tcPr>
          <w:p w14:paraId="1BDDA95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0.94</w:t>
            </w:r>
          </w:p>
        </w:tc>
        <w:tc>
          <w:tcPr>
            <w:tcW w:w="914" w:type="dxa"/>
            <w:vAlign w:val="center"/>
          </w:tcPr>
          <w:p w14:paraId="21B65E8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2.65E-05</w:t>
            </w:r>
          </w:p>
        </w:tc>
        <w:tc>
          <w:tcPr>
            <w:tcW w:w="709" w:type="dxa"/>
            <w:vAlign w:val="center"/>
          </w:tcPr>
          <w:p w14:paraId="6C5608E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0.27</w:t>
            </w:r>
          </w:p>
        </w:tc>
        <w:tc>
          <w:tcPr>
            <w:tcW w:w="992" w:type="dxa"/>
            <w:vAlign w:val="center"/>
          </w:tcPr>
          <w:p w14:paraId="3BA19E2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1.24E-03</w:t>
            </w:r>
          </w:p>
        </w:tc>
        <w:tc>
          <w:tcPr>
            <w:tcW w:w="755" w:type="dxa"/>
            <w:vAlign w:val="center"/>
          </w:tcPr>
          <w:p w14:paraId="423C21A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0.14</w:t>
            </w:r>
          </w:p>
        </w:tc>
      </w:tr>
      <w:tr w:rsidR="00D12939" w14:paraId="529428DB" w14:textId="77777777">
        <w:trPr>
          <w:trHeight w:val="302"/>
          <w:jc w:val="center"/>
        </w:trPr>
        <w:tc>
          <w:tcPr>
            <w:tcW w:w="853" w:type="dxa"/>
            <w:vAlign w:val="center"/>
          </w:tcPr>
          <w:p w14:paraId="0DA3D7F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1200</w:t>
            </w:r>
          </w:p>
        </w:tc>
        <w:tc>
          <w:tcPr>
            <w:tcW w:w="975" w:type="dxa"/>
            <w:vAlign w:val="center"/>
          </w:tcPr>
          <w:p w14:paraId="61A028F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8.14E-04</w:t>
            </w:r>
          </w:p>
        </w:tc>
        <w:tc>
          <w:tcPr>
            <w:tcW w:w="705" w:type="dxa"/>
            <w:vAlign w:val="center"/>
          </w:tcPr>
          <w:p w14:paraId="584F911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0.41</w:t>
            </w:r>
          </w:p>
        </w:tc>
        <w:tc>
          <w:tcPr>
            <w:tcW w:w="960" w:type="dxa"/>
            <w:vAlign w:val="center"/>
          </w:tcPr>
          <w:p w14:paraId="7F7D527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1.13E-05</w:t>
            </w:r>
          </w:p>
        </w:tc>
        <w:tc>
          <w:tcPr>
            <w:tcW w:w="745" w:type="dxa"/>
            <w:vAlign w:val="center"/>
          </w:tcPr>
          <w:p w14:paraId="05D2049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0.11</w:t>
            </w:r>
          </w:p>
        </w:tc>
        <w:tc>
          <w:tcPr>
            <w:tcW w:w="992" w:type="dxa"/>
            <w:vAlign w:val="center"/>
          </w:tcPr>
          <w:p w14:paraId="6506C87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1.60E-03</w:t>
            </w:r>
          </w:p>
        </w:tc>
        <w:tc>
          <w:tcPr>
            <w:tcW w:w="787" w:type="dxa"/>
            <w:vAlign w:val="center"/>
          </w:tcPr>
          <w:p w14:paraId="5045F64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0.80</w:t>
            </w:r>
          </w:p>
        </w:tc>
        <w:tc>
          <w:tcPr>
            <w:tcW w:w="914" w:type="dxa"/>
            <w:vAlign w:val="center"/>
          </w:tcPr>
          <w:p w14:paraId="27066C6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2.26E-05</w:t>
            </w:r>
          </w:p>
        </w:tc>
        <w:tc>
          <w:tcPr>
            <w:tcW w:w="709" w:type="dxa"/>
            <w:vAlign w:val="center"/>
          </w:tcPr>
          <w:p w14:paraId="3C792DAB"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0.23</w:t>
            </w:r>
          </w:p>
        </w:tc>
        <w:tc>
          <w:tcPr>
            <w:tcW w:w="992" w:type="dxa"/>
            <w:vAlign w:val="center"/>
          </w:tcPr>
          <w:p w14:paraId="0FD9BDD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1.18E-03</w:t>
            </w:r>
          </w:p>
        </w:tc>
        <w:tc>
          <w:tcPr>
            <w:tcW w:w="755" w:type="dxa"/>
            <w:vAlign w:val="center"/>
          </w:tcPr>
          <w:p w14:paraId="2F545D8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0.13</w:t>
            </w:r>
          </w:p>
        </w:tc>
      </w:tr>
      <w:tr w:rsidR="00D12939" w14:paraId="469EFCE4" w14:textId="77777777">
        <w:trPr>
          <w:trHeight w:val="291"/>
          <w:jc w:val="center"/>
        </w:trPr>
        <w:tc>
          <w:tcPr>
            <w:tcW w:w="853" w:type="dxa"/>
            <w:vAlign w:val="center"/>
          </w:tcPr>
          <w:p w14:paraId="18F0313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1400</w:t>
            </w:r>
          </w:p>
        </w:tc>
        <w:tc>
          <w:tcPr>
            <w:tcW w:w="975" w:type="dxa"/>
            <w:vAlign w:val="center"/>
          </w:tcPr>
          <w:p w14:paraId="519D457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7.05E-04</w:t>
            </w:r>
          </w:p>
        </w:tc>
        <w:tc>
          <w:tcPr>
            <w:tcW w:w="705" w:type="dxa"/>
            <w:vAlign w:val="center"/>
          </w:tcPr>
          <w:p w14:paraId="197F372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0.35</w:t>
            </w:r>
          </w:p>
        </w:tc>
        <w:tc>
          <w:tcPr>
            <w:tcW w:w="960" w:type="dxa"/>
            <w:vAlign w:val="center"/>
          </w:tcPr>
          <w:p w14:paraId="4072D6B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9.79E-06</w:t>
            </w:r>
          </w:p>
        </w:tc>
        <w:tc>
          <w:tcPr>
            <w:tcW w:w="745" w:type="dxa"/>
            <w:vAlign w:val="center"/>
          </w:tcPr>
          <w:p w14:paraId="10A3E94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0.10</w:t>
            </w:r>
          </w:p>
        </w:tc>
        <w:tc>
          <w:tcPr>
            <w:tcW w:w="992" w:type="dxa"/>
            <w:vAlign w:val="center"/>
          </w:tcPr>
          <w:p w14:paraId="7B38DE2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1.38E-03</w:t>
            </w:r>
          </w:p>
        </w:tc>
        <w:tc>
          <w:tcPr>
            <w:tcW w:w="787" w:type="dxa"/>
            <w:vAlign w:val="center"/>
          </w:tcPr>
          <w:p w14:paraId="4FAF28B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0.69</w:t>
            </w:r>
          </w:p>
        </w:tc>
        <w:tc>
          <w:tcPr>
            <w:tcW w:w="914" w:type="dxa"/>
            <w:vAlign w:val="center"/>
          </w:tcPr>
          <w:p w14:paraId="0DBA480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1.96E-05</w:t>
            </w:r>
          </w:p>
        </w:tc>
        <w:tc>
          <w:tcPr>
            <w:tcW w:w="709" w:type="dxa"/>
            <w:vAlign w:val="center"/>
          </w:tcPr>
          <w:p w14:paraId="3E691F7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0.20</w:t>
            </w:r>
          </w:p>
        </w:tc>
        <w:tc>
          <w:tcPr>
            <w:tcW w:w="992" w:type="dxa"/>
            <w:vAlign w:val="center"/>
          </w:tcPr>
          <w:p w14:paraId="61E7D3B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1.12E-03</w:t>
            </w:r>
          </w:p>
        </w:tc>
        <w:tc>
          <w:tcPr>
            <w:tcW w:w="755" w:type="dxa"/>
            <w:vAlign w:val="center"/>
          </w:tcPr>
          <w:p w14:paraId="15B11C7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0.12</w:t>
            </w:r>
          </w:p>
        </w:tc>
      </w:tr>
      <w:tr w:rsidR="00D12939" w14:paraId="40BBFC72" w14:textId="77777777">
        <w:trPr>
          <w:trHeight w:val="302"/>
          <w:jc w:val="center"/>
        </w:trPr>
        <w:tc>
          <w:tcPr>
            <w:tcW w:w="853" w:type="dxa"/>
            <w:vAlign w:val="center"/>
          </w:tcPr>
          <w:p w14:paraId="5C589EF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1600</w:t>
            </w:r>
          </w:p>
        </w:tc>
        <w:tc>
          <w:tcPr>
            <w:tcW w:w="975" w:type="dxa"/>
            <w:vAlign w:val="center"/>
          </w:tcPr>
          <w:p w14:paraId="4ED7C91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6.18E-04</w:t>
            </w:r>
          </w:p>
        </w:tc>
        <w:tc>
          <w:tcPr>
            <w:tcW w:w="705" w:type="dxa"/>
            <w:vAlign w:val="center"/>
          </w:tcPr>
          <w:p w14:paraId="474A634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0.31</w:t>
            </w:r>
          </w:p>
        </w:tc>
        <w:tc>
          <w:tcPr>
            <w:tcW w:w="960" w:type="dxa"/>
            <w:vAlign w:val="center"/>
          </w:tcPr>
          <w:p w14:paraId="0BCE7DA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8.58E-06</w:t>
            </w:r>
          </w:p>
        </w:tc>
        <w:tc>
          <w:tcPr>
            <w:tcW w:w="745" w:type="dxa"/>
            <w:vAlign w:val="center"/>
          </w:tcPr>
          <w:p w14:paraId="0BB7E6C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0.09</w:t>
            </w:r>
          </w:p>
        </w:tc>
        <w:tc>
          <w:tcPr>
            <w:tcW w:w="992" w:type="dxa"/>
            <w:vAlign w:val="center"/>
          </w:tcPr>
          <w:p w14:paraId="291D627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1.21E-03</w:t>
            </w:r>
          </w:p>
        </w:tc>
        <w:tc>
          <w:tcPr>
            <w:tcW w:w="787" w:type="dxa"/>
            <w:vAlign w:val="center"/>
          </w:tcPr>
          <w:p w14:paraId="6756767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0.60</w:t>
            </w:r>
          </w:p>
        </w:tc>
        <w:tc>
          <w:tcPr>
            <w:tcW w:w="914" w:type="dxa"/>
            <w:vAlign w:val="center"/>
          </w:tcPr>
          <w:p w14:paraId="7B0AD4B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1.72E-05</w:t>
            </w:r>
          </w:p>
        </w:tc>
        <w:tc>
          <w:tcPr>
            <w:tcW w:w="709" w:type="dxa"/>
            <w:vAlign w:val="center"/>
          </w:tcPr>
          <w:p w14:paraId="69907B5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0.17</w:t>
            </w:r>
          </w:p>
        </w:tc>
        <w:tc>
          <w:tcPr>
            <w:tcW w:w="992" w:type="dxa"/>
            <w:vAlign w:val="center"/>
          </w:tcPr>
          <w:p w14:paraId="66D90F2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1.07E-03</w:t>
            </w:r>
          </w:p>
        </w:tc>
        <w:tc>
          <w:tcPr>
            <w:tcW w:w="755" w:type="dxa"/>
            <w:vAlign w:val="center"/>
          </w:tcPr>
          <w:p w14:paraId="302619E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0.12</w:t>
            </w:r>
          </w:p>
        </w:tc>
      </w:tr>
      <w:tr w:rsidR="00D12939" w14:paraId="09E92D75" w14:textId="77777777">
        <w:trPr>
          <w:trHeight w:val="302"/>
          <w:jc w:val="center"/>
        </w:trPr>
        <w:tc>
          <w:tcPr>
            <w:tcW w:w="853" w:type="dxa"/>
            <w:vAlign w:val="center"/>
          </w:tcPr>
          <w:p w14:paraId="06D0793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1800</w:t>
            </w:r>
          </w:p>
        </w:tc>
        <w:tc>
          <w:tcPr>
            <w:tcW w:w="975" w:type="dxa"/>
            <w:vAlign w:val="center"/>
          </w:tcPr>
          <w:p w14:paraId="06C7A1C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5.47E-04</w:t>
            </w:r>
          </w:p>
        </w:tc>
        <w:tc>
          <w:tcPr>
            <w:tcW w:w="705" w:type="dxa"/>
            <w:vAlign w:val="center"/>
          </w:tcPr>
          <w:p w14:paraId="339624D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0.27</w:t>
            </w:r>
          </w:p>
        </w:tc>
        <w:tc>
          <w:tcPr>
            <w:tcW w:w="960" w:type="dxa"/>
            <w:vAlign w:val="center"/>
          </w:tcPr>
          <w:p w14:paraId="2210F66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7.60E-06</w:t>
            </w:r>
          </w:p>
        </w:tc>
        <w:tc>
          <w:tcPr>
            <w:tcW w:w="745" w:type="dxa"/>
            <w:vAlign w:val="center"/>
          </w:tcPr>
          <w:p w14:paraId="7FC95EC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0.08</w:t>
            </w:r>
          </w:p>
        </w:tc>
        <w:tc>
          <w:tcPr>
            <w:tcW w:w="992" w:type="dxa"/>
            <w:vAlign w:val="center"/>
          </w:tcPr>
          <w:p w14:paraId="6B46BDB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1.07E-03</w:t>
            </w:r>
          </w:p>
        </w:tc>
        <w:tc>
          <w:tcPr>
            <w:tcW w:w="787" w:type="dxa"/>
            <w:vAlign w:val="center"/>
          </w:tcPr>
          <w:p w14:paraId="13E89D8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0.54</w:t>
            </w:r>
          </w:p>
        </w:tc>
        <w:tc>
          <w:tcPr>
            <w:tcW w:w="914" w:type="dxa"/>
            <w:vAlign w:val="center"/>
          </w:tcPr>
          <w:p w14:paraId="5DEEFBC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1.52E-05</w:t>
            </w:r>
          </w:p>
        </w:tc>
        <w:tc>
          <w:tcPr>
            <w:tcW w:w="709" w:type="dxa"/>
            <w:vAlign w:val="center"/>
          </w:tcPr>
          <w:p w14:paraId="343D2D8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0.15</w:t>
            </w:r>
          </w:p>
        </w:tc>
        <w:tc>
          <w:tcPr>
            <w:tcW w:w="992" w:type="dxa"/>
            <w:vAlign w:val="center"/>
          </w:tcPr>
          <w:p w14:paraId="2A0844A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1.02E-03</w:t>
            </w:r>
          </w:p>
        </w:tc>
        <w:tc>
          <w:tcPr>
            <w:tcW w:w="755" w:type="dxa"/>
            <w:vAlign w:val="center"/>
          </w:tcPr>
          <w:p w14:paraId="1A3F4FE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0.11</w:t>
            </w:r>
          </w:p>
        </w:tc>
      </w:tr>
      <w:tr w:rsidR="00D12939" w14:paraId="4413C589" w14:textId="77777777">
        <w:trPr>
          <w:trHeight w:val="302"/>
          <w:jc w:val="center"/>
        </w:trPr>
        <w:tc>
          <w:tcPr>
            <w:tcW w:w="853" w:type="dxa"/>
            <w:vAlign w:val="center"/>
          </w:tcPr>
          <w:p w14:paraId="5181A17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2000</w:t>
            </w:r>
          </w:p>
        </w:tc>
        <w:tc>
          <w:tcPr>
            <w:tcW w:w="975" w:type="dxa"/>
            <w:vAlign w:val="center"/>
          </w:tcPr>
          <w:p w14:paraId="751D3D4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4.90E-04</w:t>
            </w:r>
          </w:p>
        </w:tc>
        <w:tc>
          <w:tcPr>
            <w:tcW w:w="705" w:type="dxa"/>
            <w:vAlign w:val="center"/>
          </w:tcPr>
          <w:p w14:paraId="7DC3E8A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0.24</w:t>
            </w:r>
          </w:p>
        </w:tc>
        <w:tc>
          <w:tcPr>
            <w:tcW w:w="960" w:type="dxa"/>
            <w:vAlign w:val="center"/>
          </w:tcPr>
          <w:p w14:paraId="5FC28E5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6.80E-06</w:t>
            </w:r>
          </w:p>
        </w:tc>
        <w:tc>
          <w:tcPr>
            <w:tcW w:w="745" w:type="dxa"/>
            <w:vAlign w:val="center"/>
          </w:tcPr>
          <w:p w14:paraId="45DC6B5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0.07</w:t>
            </w:r>
          </w:p>
        </w:tc>
        <w:tc>
          <w:tcPr>
            <w:tcW w:w="992" w:type="dxa"/>
            <w:vAlign w:val="center"/>
          </w:tcPr>
          <w:p w14:paraId="340DBAA0"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9.59E-04</w:t>
            </w:r>
          </w:p>
        </w:tc>
        <w:tc>
          <w:tcPr>
            <w:tcW w:w="787" w:type="dxa"/>
            <w:vAlign w:val="center"/>
          </w:tcPr>
          <w:p w14:paraId="0DBD487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0.48</w:t>
            </w:r>
          </w:p>
        </w:tc>
        <w:tc>
          <w:tcPr>
            <w:tcW w:w="914" w:type="dxa"/>
            <w:vAlign w:val="center"/>
          </w:tcPr>
          <w:p w14:paraId="3190F95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1.36E-05</w:t>
            </w:r>
          </w:p>
        </w:tc>
        <w:tc>
          <w:tcPr>
            <w:tcW w:w="709" w:type="dxa"/>
            <w:vAlign w:val="center"/>
          </w:tcPr>
          <w:p w14:paraId="21BAFDE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0.14</w:t>
            </w:r>
          </w:p>
        </w:tc>
        <w:tc>
          <w:tcPr>
            <w:tcW w:w="992" w:type="dxa"/>
            <w:vAlign w:val="center"/>
          </w:tcPr>
          <w:p w14:paraId="1DAAC18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9.80E-04</w:t>
            </w:r>
          </w:p>
        </w:tc>
        <w:tc>
          <w:tcPr>
            <w:tcW w:w="755" w:type="dxa"/>
            <w:vAlign w:val="center"/>
          </w:tcPr>
          <w:p w14:paraId="3ACF76F7"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0.11</w:t>
            </w:r>
          </w:p>
        </w:tc>
      </w:tr>
      <w:tr w:rsidR="00D12939" w14:paraId="40585EFB" w14:textId="77777777">
        <w:trPr>
          <w:trHeight w:val="302"/>
          <w:jc w:val="center"/>
        </w:trPr>
        <w:tc>
          <w:tcPr>
            <w:tcW w:w="853" w:type="dxa"/>
            <w:vAlign w:val="center"/>
          </w:tcPr>
          <w:p w14:paraId="458DF08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2250</w:t>
            </w:r>
          </w:p>
        </w:tc>
        <w:tc>
          <w:tcPr>
            <w:tcW w:w="975" w:type="dxa"/>
            <w:vAlign w:val="center"/>
          </w:tcPr>
          <w:p w14:paraId="71509FF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4.31E-04</w:t>
            </w:r>
          </w:p>
        </w:tc>
        <w:tc>
          <w:tcPr>
            <w:tcW w:w="705" w:type="dxa"/>
            <w:vAlign w:val="center"/>
          </w:tcPr>
          <w:p w14:paraId="3D15A06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0.22</w:t>
            </w:r>
          </w:p>
        </w:tc>
        <w:tc>
          <w:tcPr>
            <w:tcW w:w="960" w:type="dxa"/>
            <w:vAlign w:val="center"/>
          </w:tcPr>
          <w:p w14:paraId="01B8130C"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5.99E-06</w:t>
            </w:r>
          </w:p>
        </w:tc>
        <w:tc>
          <w:tcPr>
            <w:tcW w:w="745" w:type="dxa"/>
            <w:vAlign w:val="center"/>
          </w:tcPr>
          <w:p w14:paraId="0DBF7599"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0.06</w:t>
            </w:r>
          </w:p>
        </w:tc>
        <w:tc>
          <w:tcPr>
            <w:tcW w:w="992" w:type="dxa"/>
            <w:vAlign w:val="center"/>
          </w:tcPr>
          <w:p w14:paraId="050F37F1"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8.44E-04</w:t>
            </w:r>
          </w:p>
        </w:tc>
        <w:tc>
          <w:tcPr>
            <w:tcW w:w="787" w:type="dxa"/>
            <w:vAlign w:val="center"/>
          </w:tcPr>
          <w:p w14:paraId="33E1DC5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0.42</w:t>
            </w:r>
          </w:p>
        </w:tc>
        <w:tc>
          <w:tcPr>
            <w:tcW w:w="914" w:type="dxa"/>
            <w:vAlign w:val="center"/>
          </w:tcPr>
          <w:p w14:paraId="7ACF9E0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1.20E-05</w:t>
            </w:r>
          </w:p>
        </w:tc>
        <w:tc>
          <w:tcPr>
            <w:tcW w:w="709" w:type="dxa"/>
            <w:vAlign w:val="center"/>
          </w:tcPr>
          <w:p w14:paraId="09EE158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0.12</w:t>
            </w:r>
          </w:p>
        </w:tc>
        <w:tc>
          <w:tcPr>
            <w:tcW w:w="992" w:type="dxa"/>
            <w:vAlign w:val="center"/>
          </w:tcPr>
          <w:p w14:paraId="0DBCFC05"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9.30E-04</w:t>
            </w:r>
          </w:p>
        </w:tc>
        <w:tc>
          <w:tcPr>
            <w:tcW w:w="755" w:type="dxa"/>
            <w:vAlign w:val="center"/>
          </w:tcPr>
          <w:p w14:paraId="261CF7BA"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0.10</w:t>
            </w:r>
          </w:p>
        </w:tc>
      </w:tr>
      <w:tr w:rsidR="00D12939" w14:paraId="47CCFC8E" w14:textId="77777777">
        <w:trPr>
          <w:trHeight w:val="302"/>
          <w:jc w:val="center"/>
        </w:trPr>
        <w:tc>
          <w:tcPr>
            <w:tcW w:w="853" w:type="dxa"/>
            <w:vAlign w:val="center"/>
          </w:tcPr>
          <w:p w14:paraId="194096CE"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2500</w:t>
            </w:r>
          </w:p>
        </w:tc>
        <w:tc>
          <w:tcPr>
            <w:tcW w:w="975" w:type="dxa"/>
            <w:vAlign w:val="center"/>
          </w:tcPr>
          <w:p w14:paraId="5DE62B96"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3.84E-04</w:t>
            </w:r>
          </w:p>
        </w:tc>
        <w:tc>
          <w:tcPr>
            <w:tcW w:w="705" w:type="dxa"/>
            <w:vAlign w:val="center"/>
          </w:tcPr>
          <w:p w14:paraId="6222EFA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0.19</w:t>
            </w:r>
          </w:p>
        </w:tc>
        <w:tc>
          <w:tcPr>
            <w:tcW w:w="960" w:type="dxa"/>
            <w:vAlign w:val="center"/>
          </w:tcPr>
          <w:p w14:paraId="7150FBE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5.33E-06</w:t>
            </w:r>
          </w:p>
        </w:tc>
        <w:tc>
          <w:tcPr>
            <w:tcW w:w="745" w:type="dxa"/>
            <w:vAlign w:val="center"/>
          </w:tcPr>
          <w:p w14:paraId="4ADC16F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0.05</w:t>
            </w:r>
          </w:p>
        </w:tc>
        <w:tc>
          <w:tcPr>
            <w:tcW w:w="992" w:type="dxa"/>
            <w:vAlign w:val="center"/>
          </w:tcPr>
          <w:p w14:paraId="786A0A52"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7.51E-04</w:t>
            </w:r>
          </w:p>
        </w:tc>
        <w:tc>
          <w:tcPr>
            <w:tcW w:w="787" w:type="dxa"/>
            <w:vAlign w:val="center"/>
          </w:tcPr>
          <w:p w14:paraId="171AF104"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0.38</w:t>
            </w:r>
          </w:p>
        </w:tc>
        <w:tc>
          <w:tcPr>
            <w:tcW w:w="914" w:type="dxa"/>
            <w:vAlign w:val="center"/>
          </w:tcPr>
          <w:p w14:paraId="7F9CD86D"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1.07E-05</w:t>
            </w:r>
          </w:p>
        </w:tc>
        <w:tc>
          <w:tcPr>
            <w:tcW w:w="709" w:type="dxa"/>
            <w:vAlign w:val="center"/>
          </w:tcPr>
          <w:p w14:paraId="3F27D3B8"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0.11</w:t>
            </w:r>
          </w:p>
        </w:tc>
        <w:tc>
          <w:tcPr>
            <w:tcW w:w="992" w:type="dxa"/>
            <w:vAlign w:val="center"/>
          </w:tcPr>
          <w:p w14:paraId="75F21913"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8.84E-04</w:t>
            </w:r>
          </w:p>
        </w:tc>
        <w:tc>
          <w:tcPr>
            <w:tcW w:w="755" w:type="dxa"/>
            <w:vAlign w:val="center"/>
          </w:tcPr>
          <w:p w14:paraId="63B8E8EF" w14:textId="77777777" w:rsidR="00D12939" w:rsidRDefault="004F47F5">
            <w:pPr>
              <w:jc w:val="center"/>
              <w:rPr>
                <w:rFonts w:ascii="Times New Roman" w:hAnsi="Times New Roman" w:cs="Times New Roman"/>
                <w:sz w:val="18"/>
                <w:szCs w:val="18"/>
              </w:rPr>
            </w:pPr>
            <w:r>
              <w:rPr>
                <w:rFonts w:ascii="Times New Roman" w:hAnsi="Times New Roman" w:cs="Times New Roman"/>
                <w:sz w:val="18"/>
                <w:szCs w:val="18"/>
              </w:rPr>
              <w:t>0.10</w:t>
            </w:r>
          </w:p>
        </w:tc>
      </w:tr>
    </w:tbl>
    <w:p w14:paraId="1E01A45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由表</w:t>
      </w:r>
      <w:r>
        <w:rPr>
          <w:rFonts w:ascii="Times New Roman" w:eastAsia="宋体" w:hAnsi="Times New Roman" w:cs="Times New Roman"/>
          <w:sz w:val="24"/>
        </w:rPr>
        <w:t>7.1-9</w:t>
      </w:r>
      <w:r>
        <w:rPr>
          <w:rFonts w:ascii="Times New Roman" w:eastAsia="宋体" w:hAnsi="Times New Roman" w:cs="Times New Roman"/>
          <w:sz w:val="24"/>
        </w:rPr>
        <w:t>可知，本项目填埋场</w:t>
      </w:r>
      <w:r>
        <w:rPr>
          <w:rFonts w:ascii="Times New Roman" w:eastAsia="宋体" w:hAnsi="Times New Roman" w:cs="Times New Roman" w:hint="eastAsia"/>
          <w:sz w:val="24"/>
        </w:rPr>
        <w:t>填埋废气在未点燃的状态下，</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1.24E-02</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6.20%</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7.44E-04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7.44%</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248m</w:t>
      </w:r>
      <w:r>
        <w:rPr>
          <w:rFonts w:ascii="Times New Roman" w:eastAsia="宋体" w:hAnsi="Times New Roman" w:cs="Times New Roman"/>
          <w:sz w:val="24"/>
        </w:rPr>
        <w:t>处。填埋场</w:t>
      </w:r>
      <w:r>
        <w:rPr>
          <w:rFonts w:ascii="Times New Roman" w:eastAsia="宋体" w:hAnsi="Times New Roman" w:cs="Times New Roman" w:hint="eastAsia"/>
          <w:sz w:val="24"/>
        </w:rPr>
        <w:t>填埋废气在点燃的状态下，</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2.79E-03</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1.39%</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1.67E-04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1.67%</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220m</w:t>
      </w:r>
      <w:r>
        <w:rPr>
          <w:rFonts w:ascii="Times New Roman" w:eastAsia="宋体" w:hAnsi="Times New Roman" w:cs="Times New Roman"/>
          <w:sz w:val="24"/>
        </w:rPr>
        <w:t>处。</w:t>
      </w:r>
      <w:r>
        <w:rPr>
          <w:rFonts w:ascii="Times New Roman" w:eastAsia="宋体" w:hAnsi="Times New Roman" w:cs="Times New Roman" w:hint="eastAsia"/>
          <w:sz w:val="24"/>
        </w:rPr>
        <w:t>调节池无组织排放的</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7.29E-03</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3.65%</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1.01E-04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1.01%</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16m</w:t>
      </w:r>
      <w:r>
        <w:rPr>
          <w:rFonts w:ascii="Times New Roman" w:eastAsia="宋体" w:hAnsi="Times New Roman" w:cs="Times New Roman"/>
          <w:sz w:val="24"/>
        </w:rPr>
        <w:t>处。</w:t>
      </w:r>
      <w:r>
        <w:rPr>
          <w:rFonts w:ascii="Times New Roman" w:eastAsia="宋体" w:hAnsi="Times New Roman" w:cs="Times New Roman" w:hint="eastAsia"/>
          <w:sz w:val="24"/>
        </w:rPr>
        <w:t>渗滤液处理站无组织排放的</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1.12E-02</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5.44%</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1.58E-04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1.58%</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21m</w:t>
      </w:r>
      <w:r>
        <w:rPr>
          <w:rFonts w:ascii="Times New Roman" w:eastAsia="宋体" w:hAnsi="Times New Roman" w:cs="Times New Roman"/>
          <w:sz w:val="24"/>
        </w:rPr>
        <w:t>处。</w:t>
      </w:r>
      <w:r>
        <w:rPr>
          <w:rFonts w:ascii="Times New Roman" w:eastAsia="宋体" w:hAnsi="Times New Roman" w:cs="Times New Roman" w:hint="eastAsia"/>
          <w:sz w:val="24"/>
        </w:rPr>
        <w:t>填埋区</w:t>
      </w:r>
      <w:r>
        <w:rPr>
          <w:rFonts w:ascii="Times New Roman" w:eastAsia="宋体" w:hAnsi="Times New Roman" w:cs="Times New Roman"/>
          <w:sz w:val="24"/>
        </w:rPr>
        <w:t>无组织粉尘最大落地浓度为</w:t>
      </w:r>
      <w:r>
        <w:rPr>
          <w:rFonts w:ascii="Times New Roman" w:eastAsia="宋体" w:hAnsi="Times New Roman" w:cs="Times New Roman"/>
          <w:sz w:val="24"/>
        </w:rPr>
        <w:t>2.38E-03</w:t>
      </w:r>
      <w:r>
        <w:rPr>
          <w:rFonts w:ascii="Times New Roman" w:eastAsia="宋体" w:hAnsi="Times New Roman" w:cs="Times New Roman" w:hint="eastAsia"/>
          <w:sz w:val="24"/>
        </w:rPr>
        <w:t>m</w:t>
      </w:r>
      <w:r>
        <w:rPr>
          <w:rFonts w:ascii="Times New Roman" w:eastAsia="宋体" w:hAnsi="Times New Roman" w:cs="Times New Roman"/>
          <w:sz w:val="24"/>
        </w:rPr>
        <w:t>g/m</w:t>
      </w:r>
      <w:r>
        <w:rPr>
          <w:rFonts w:ascii="Times New Roman" w:eastAsia="宋体" w:hAnsi="Times New Roman" w:cs="Times New Roman"/>
          <w:sz w:val="24"/>
          <w:vertAlign w:val="superscript"/>
        </w:rPr>
        <w:t>3</w:t>
      </w:r>
      <w:r>
        <w:rPr>
          <w:rFonts w:ascii="Times New Roman" w:eastAsia="宋体" w:hAnsi="Times New Roman" w:cs="Times New Roman"/>
          <w:sz w:val="24"/>
        </w:rPr>
        <w:t>，占标率为</w:t>
      </w:r>
      <w:r>
        <w:rPr>
          <w:rFonts w:ascii="Times New Roman" w:eastAsia="宋体" w:hAnsi="Times New Roman" w:cs="Times New Roman"/>
          <w:sz w:val="24"/>
        </w:rPr>
        <w:t>0.26%</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220m</w:t>
      </w:r>
      <w:r>
        <w:rPr>
          <w:rFonts w:ascii="Times New Roman" w:eastAsia="宋体" w:hAnsi="Times New Roman" w:cs="Times New Roman"/>
          <w:sz w:val="24"/>
        </w:rPr>
        <w:t>处。</w:t>
      </w:r>
    </w:p>
    <w:p w14:paraId="400B2FE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本项目无组织排放中各污染源的各污染物预测最大落地浓度均满足</w:t>
      </w:r>
      <w:r>
        <w:rPr>
          <w:rFonts w:ascii="Times New Roman" w:eastAsia="宋体" w:hAnsi="Times New Roman" w:cs="Times New Roman"/>
          <w:sz w:val="24"/>
        </w:rPr>
        <w:t>《环境影响评价技术导则</w:t>
      </w:r>
      <w:r>
        <w:rPr>
          <w:rFonts w:ascii="Times New Roman" w:eastAsia="宋体" w:hAnsi="Times New Roman" w:cs="Times New Roman"/>
          <w:sz w:val="24"/>
        </w:rPr>
        <w:t>·</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）附录</w:t>
      </w:r>
      <w:r>
        <w:rPr>
          <w:rFonts w:ascii="Times New Roman" w:eastAsia="宋体" w:hAnsi="Times New Roman" w:cs="Times New Roman"/>
          <w:sz w:val="24"/>
        </w:rPr>
        <w:t>D</w:t>
      </w:r>
      <w:r>
        <w:rPr>
          <w:rFonts w:ascii="Times New Roman" w:eastAsia="宋体" w:hAnsi="Times New Roman" w:cs="Times New Roman" w:hint="eastAsia"/>
          <w:sz w:val="24"/>
        </w:rPr>
        <w:t>，其中</w:t>
      </w:r>
      <w:r>
        <w:rPr>
          <w:rFonts w:ascii="Times New Roman" w:eastAsia="宋体" w:hAnsi="Times New Roman" w:cs="Times New Roman"/>
          <w:sz w:val="24"/>
        </w:rPr>
        <w:t>TSP</w:t>
      </w:r>
      <w:r>
        <w:rPr>
          <w:rFonts w:ascii="Times New Roman" w:eastAsia="宋体" w:hAnsi="Times New Roman" w:cs="Times New Roman" w:hint="eastAsia"/>
          <w:sz w:val="24"/>
        </w:rPr>
        <w:t>预测最大落地</w:t>
      </w:r>
      <w:r>
        <w:rPr>
          <w:rFonts w:ascii="Times New Roman" w:eastAsia="宋体" w:hAnsi="Times New Roman" w:cs="Times New Roman"/>
          <w:sz w:val="24"/>
        </w:rPr>
        <w:t>浓度值满足环境空气质量标准》（</w:t>
      </w:r>
      <w:r>
        <w:rPr>
          <w:rFonts w:ascii="Times New Roman" w:eastAsia="宋体" w:hAnsi="Times New Roman" w:cs="Times New Roman"/>
          <w:sz w:val="24"/>
        </w:rPr>
        <w:t>GB3095-2012</w:t>
      </w:r>
      <w:r>
        <w:rPr>
          <w:rFonts w:ascii="Times New Roman" w:eastAsia="宋体" w:hAnsi="Times New Roman" w:cs="Times New Roman"/>
          <w:sz w:val="24"/>
        </w:rPr>
        <w:t>）中相关标准，因此</w:t>
      </w:r>
      <w:r>
        <w:rPr>
          <w:rFonts w:ascii="Times New Roman" w:eastAsia="宋体" w:hAnsi="Times New Roman" w:cs="Times New Roman" w:hint="eastAsia"/>
          <w:sz w:val="24"/>
        </w:rPr>
        <w:t>本项目废气</w:t>
      </w:r>
      <w:r>
        <w:rPr>
          <w:rFonts w:ascii="Times New Roman" w:eastAsia="宋体" w:hAnsi="Times New Roman" w:cs="Times New Roman"/>
          <w:sz w:val="24"/>
        </w:rPr>
        <w:t>对周围环境的影响较小。</w:t>
      </w:r>
    </w:p>
    <w:p w14:paraId="083A23B0" w14:textId="77777777" w:rsidR="00D12939" w:rsidRDefault="004F47F5">
      <w:pPr>
        <w:adjustRightInd w:val="0"/>
        <w:snapToGrid w:val="0"/>
        <w:spacing w:line="360" w:lineRule="auto"/>
        <w:rPr>
          <w:rFonts w:ascii="Times New Roman" w:eastAsia="宋体" w:hAnsi="Times New Roman"/>
          <w:kern w:val="0"/>
          <w:sz w:val="24"/>
        </w:rPr>
      </w:pPr>
      <w:r>
        <w:rPr>
          <w:rFonts w:ascii="Times New Roman" w:eastAsia="宋体" w:hAnsi="Times New Roman" w:hint="eastAsia"/>
          <w:kern w:val="0"/>
          <w:sz w:val="24"/>
        </w:rPr>
        <w:lastRenderedPageBreak/>
        <w:t>（</w:t>
      </w:r>
      <w:r>
        <w:rPr>
          <w:rFonts w:ascii="Times New Roman" w:eastAsia="宋体" w:hAnsi="Times New Roman"/>
          <w:kern w:val="0"/>
          <w:sz w:val="24"/>
        </w:rPr>
        <w:t>7</w:t>
      </w:r>
      <w:r>
        <w:rPr>
          <w:rFonts w:ascii="Times New Roman" w:eastAsia="宋体" w:hAnsi="Times New Roman" w:hint="eastAsia"/>
          <w:kern w:val="0"/>
          <w:sz w:val="24"/>
        </w:rPr>
        <w:t>）评价等级及评价范围</w:t>
      </w:r>
    </w:p>
    <w:p w14:paraId="3977DE3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通过以上计算</w:t>
      </w:r>
      <w:r>
        <w:rPr>
          <w:rFonts w:ascii="Times New Roman" w:eastAsia="宋体" w:hAnsi="Times New Roman" w:cs="Times New Roman"/>
          <w:sz w:val="24"/>
        </w:rPr>
        <w:t>Pmax=PH</w:t>
      </w:r>
      <w:r>
        <w:rPr>
          <w:rFonts w:ascii="Times New Roman" w:eastAsia="宋体" w:hAnsi="Times New Roman" w:cs="Times New Roman"/>
          <w:sz w:val="24"/>
          <w:vertAlign w:val="subscript"/>
        </w:rPr>
        <w:t>2</w:t>
      </w:r>
      <w:r>
        <w:rPr>
          <w:rFonts w:ascii="Times New Roman" w:eastAsia="宋体" w:hAnsi="Times New Roman" w:cs="Times New Roman"/>
          <w:sz w:val="24"/>
        </w:rPr>
        <w:t>S=7.44%</w:t>
      </w: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sz w:val="24"/>
        </w:rPr>
        <w:t>0</w:t>
      </w:r>
      <w:r>
        <w:rPr>
          <w:rFonts w:ascii="Times New Roman" w:eastAsia="宋体" w:hAnsi="Times New Roman" w:cs="Times New Roman" w:hint="eastAsia"/>
          <w:sz w:val="24"/>
        </w:rPr>
        <w:t>%</w:t>
      </w:r>
      <w:r>
        <w:rPr>
          <w:rFonts w:ascii="Times New Roman" w:eastAsia="宋体" w:hAnsi="Times New Roman" w:cs="Times New Roman"/>
          <w:sz w:val="24"/>
        </w:rPr>
        <w:t>&gt;</w:t>
      </w:r>
      <w:r>
        <w:rPr>
          <w:rFonts w:ascii="Times New Roman" w:eastAsia="宋体" w:hAnsi="Times New Roman" w:cs="Times New Roman" w:hint="eastAsia"/>
          <w:sz w:val="24"/>
        </w:rPr>
        <w:t>Pmax</w:t>
      </w:r>
      <w:r>
        <w:rPr>
          <w:rFonts w:ascii="Times New Roman" w:eastAsia="宋体" w:hAnsi="Times New Roman" w:cs="Times New Roman"/>
          <w:sz w:val="24"/>
        </w:rPr>
        <w:t>&gt;1%</w:t>
      </w:r>
      <w:r>
        <w:rPr>
          <w:rFonts w:ascii="Times New Roman" w:eastAsia="宋体" w:hAnsi="Times New Roman" w:cs="Times New Roman"/>
          <w:sz w:val="24"/>
        </w:rPr>
        <w:t>，根据导则评判标准，本项目大气环境评价工作等级应为</w:t>
      </w:r>
      <w:r>
        <w:rPr>
          <w:rFonts w:ascii="Times New Roman" w:eastAsia="宋体" w:hAnsi="Times New Roman" w:cs="Times New Roman" w:hint="eastAsia"/>
          <w:sz w:val="24"/>
        </w:rPr>
        <w:t>二级</w:t>
      </w:r>
      <w:r>
        <w:rPr>
          <w:rFonts w:ascii="Times New Roman" w:eastAsia="宋体" w:hAnsi="Times New Roman" w:cs="Times New Roman"/>
          <w:sz w:val="24"/>
        </w:rPr>
        <w:t>。</w:t>
      </w:r>
      <w:r>
        <w:rPr>
          <w:rFonts w:ascii="Times New Roman" w:eastAsia="宋体" w:hAnsi="Times New Roman" w:cs="Times New Roman" w:hint="eastAsia"/>
          <w:sz w:val="24"/>
        </w:rPr>
        <w:t>评价范围以厂址为中心区域，自厂界外延</w:t>
      </w:r>
      <w:r>
        <w:rPr>
          <w:rFonts w:ascii="Times New Roman" w:eastAsia="宋体" w:hAnsi="Times New Roman" w:cs="Times New Roman" w:hint="eastAsia"/>
          <w:sz w:val="24"/>
        </w:rPr>
        <w:t>2</w:t>
      </w:r>
      <w:r>
        <w:rPr>
          <w:rFonts w:ascii="Times New Roman" w:eastAsia="宋体" w:hAnsi="Times New Roman" w:cs="Times New Roman"/>
          <w:sz w:val="24"/>
        </w:rPr>
        <w:t>.5</w:t>
      </w:r>
      <w:r>
        <w:rPr>
          <w:rFonts w:ascii="Times New Roman" w:eastAsia="宋体" w:hAnsi="Times New Roman" w:cs="Times New Roman" w:hint="eastAsia"/>
          <w:sz w:val="24"/>
        </w:rPr>
        <w:t>km</w:t>
      </w:r>
      <w:r>
        <w:rPr>
          <w:rFonts w:ascii="Times New Roman" w:eastAsia="宋体" w:hAnsi="Times New Roman" w:cs="Times New Roman" w:hint="eastAsia"/>
          <w:sz w:val="24"/>
        </w:rPr>
        <w:t>的矩形区域。</w:t>
      </w:r>
    </w:p>
    <w:p w14:paraId="3505EF3D"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81" w:name="_Toc121411768"/>
      <w:r>
        <w:rPr>
          <w:rFonts w:ascii="Times New Roman" w:eastAsia="黑体" w:hAnsi="Times New Roman" w:cs="Times New Roman"/>
          <w:b w:val="0"/>
          <w:sz w:val="24"/>
        </w:rPr>
        <w:t>7.1.2</w:t>
      </w:r>
      <w:r>
        <w:rPr>
          <w:rFonts w:ascii="Times New Roman" w:eastAsia="黑体" w:hAnsi="Times New Roman" w:cs="Times New Roman" w:hint="eastAsia"/>
          <w:b w:val="0"/>
          <w:sz w:val="24"/>
        </w:rPr>
        <w:t>防护距离</w:t>
      </w:r>
      <w:bookmarkEnd w:id="481"/>
    </w:p>
    <w:p w14:paraId="3FB7B53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1</w:t>
      </w:r>
      <w:r>
        <w:rPr>
          <w:rFonts w:ascii="Times New Roman" w:eastAsia="宋体" w:hAnsi="Times New Roman" w:cs="Times New Roman" w:hint="eastAsia"/>
          <w:sz w:val="24"/>
        </w:rPr>
        <w:t>、大气防护距离</w:t>
      </w:r>
    </w:p>
    <w:p w14:paraId="05AF4EA8" w14:textId="77777777" w:rsidR="00D12939" w:rsidRDefault="004F47F5">
      <w:pPr>
        <w:widowControl/>
        <w:adjustRightInd w:val="0"/>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根据《环境影响评价技术导则大气环境》（</w:t>
      </w:r>
      <w:r>
        <w:rPr>
          <w:rFonts w:ascii="Times New Roman" w:eastAsia="宋体" w:hAnsi="Times New Roman" w:cs="Times New Roman"/>
          <w:sz w:val="24"/>
        </w:rPr>
        <w:t>HJ 2.2-2018</w:t>
      </w:r>
      <w:r>
        <w:rPr>
          <w:rFonts w:ascii="Times New Roman" w:eastAsia="宋体" w:hAnsi="Times New Roman" w:cs="Times New Roman"/>
          <w:sz w:val="24"/>
        </w:rPr>
        <w:t>），对于项目厂界浓度满足大气污染物厂界浓度限值，厂界外大气短期贡献浓度满足环境质量浓度限值，所以本项目不设大气环境防护距离。</w:t>
      </w:r>
    </w:p>
    <w:p w14:paraId="31693070" w14:textId="77777777" w:rsidR="00D12939" w:rsidRDefault="004F47F5">
      <w:pPr>
        <w:widowControl/>
        <w:adjustRightInd w:val="0"/>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2</w:t>
      </w:r>
      <w:r>
        <w:rPr>
          <w:rFonts w:ascii="Times New Roman" w:eastAsia="宋体" w:hAnsi="Times New Roman" w:cs="Times New Roman" w:hint="eastAsia"/>
          <w:sz w:val="24"/>
        </w:rPr>
        <w:t>、卫生防护距离</w:t>
      </w:r>
    </w:p>
    <w:p w14:paraId="2B741560" w14:textId="77777777" w:rsidR="00D12939" w:rsidRDefault="004F47F5">
      <w:pPr>
        <w:widowControl/>
        <w:adjustRightInd w:val="0"/>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根据《生活垃圾卫生填埋处理技术规范》（</w:t>
      </w:r>
      <w:r>
        <w:rPr>
          <w:rFonts w:ascii="Times New Roman" w:eastAsia="宋体" w:hAnsi="Times New Roman" w:cs="Times New Roman"/>
          <w:sz w:val="24"/>
        </w:rPr>
        <w:t>GB50869-2013</w:t>
      </w:r>
      <w:r>
        <w:rPr>
          <w:rFonts w:ascii="Times New Roman" w:eastAsia="宋体" w:hAnsi="Times New Roman" w:cs="Times New Roman"/>
          <w:sz w:val="24"/>
        </w:rPr>
        <w:t>）要求，填埋场不应设在填埋库区与敞开式渗沥液处理区边界距居民居住区或人畜供水点的卫生防护距离在</w:t>
      </w:r>
      <w:r>
        <w:rPr>
          <w:rFonts w:ascii="Times New Roman" w:eastAsia="宋体" w:hAnsi="Times New Roman" w:cs="Times New Roman"/>
          <w:sz w:val="24"/>
        </w:rPr>
        <w:t>500m</w:t>
      </w:r>
      <w:r>
        <w:rPr>
          <w:rFonts w:ascii="Times New Roman" w:eastAsia="宋体" w:hAnsi="Times New Roman" w:cs="Times New Roman"/>
          <w:sz w:val="24"/>
        </w:rPr>
        <w:t>以内的地区。</w:t>
      </w:r>
      <w:r>
        <w:rPr>
          <w:rFonts w:ascii="Times New Roman" w:eastAsia="宋体" w:hAnsi="Times New Roman" w:cs="Times New Roman" w:hint="eastAsia"/>
          <w:sz w:val="24"/>
        </w:rPr>
        <w:t>根据现场勘查，项目东侧直线距离</w:t>
      </w:r>
      <w:r>
        <w:rPr>
          <w:rFonts w:ascii="Times New Roman" w:eastAsia="宋体" w:hAnsi="Times New Roman" w:cs="Times New Roman"/>
          <w:sz w:val="24"/>
        </w:rPr>
        <w:t>455</w:t>
      </w:r>
      <w:r>
        <w:rPr>
          <w:rFonts w:ascii="Times New Roman" w:eastAsia="宋体" w:hAnsi="Times New Roman" w:cs="Times New Roman" w:hint="eastAsia"/>
          <w:sz w:val="24"/>
        </w:rPr>
        <w:t>m</w:t>
      </w:r>
      <w:r>
        <w:rPr>
          <w:rFonts w:ascii="Times New Roman" w:eastAsia="宋体" w:hAnsi="Times New Roman" w:cs="Times New Roman" w:hint="eastAsia"/>
          <w:sz w:val="24"/>
        </w:rPr>
        <w:t>为松林</w:t>
      </w:r>
      <w:r>
        <w:rPr>
          <w:rFonts w:ascii="Times New Roman" w:eastAsia="宋体" w:hAnsi="Times New Roman" w:cs="Times New Roman"/>
          <w:sz w:val="24"/>
        </w:rPr>
        <w:t>村</w:t>
      </w:r>
      <w:r>
        <w:rPr>
          <w:rFonts w:ascii="Times New Roman" w:eastAsia="宋体" w:hAnsi="Times New Roman" w:cs="Times New Roman" w:hint="eastAsia"/>
          <w:sz w:val="24"/>
        </w:rPr>
        <w:t>，但本项目位于沟谷内，松林村和填埋场通过一道天然屏障（山梁）相隔。因此本项目卫生防护距离符合</w:t>
      </w:r>
      <w:r>
        <w:rPr>
          <w:rFonts w:ascii="Times New Roman" w:eastAsia="宋体" w:hAnsi="Times New Roman" w:cs="Times New Roman"/>
          <w:sz w:val="24"/>
        </w:rPr>
        <w:t>《生活垃圾卫生填埋处理技术规范》（</w:t>
      </w:r>
      <w:r>
        <w:rPr>
          <w:rFonts w:ascii="Times New Roman" w:eastAsia="宋体" w:hAnsi="Times New Roman" w:cs="Times New Roman"/>
          <w:sz w:val="24"/>
        </w:rPr>
        <w:t>GB50869-2013</w:t>
      </w:r>
      <w:r>
        <w:rPr>
          <w:rFonts w:ascii="Times New Roman" w:eastAsia="宋体" w:hAnsi="Times New Roman" w:cs="Times New Roman"/>
          <w:sz w:val="24"/>
        </w:rPr>
        <w:t>）要求</w:t>
      </w:r>
      <w:r>
        <w:rPr>
          <w:rFonts w:ascii="Times New Roman" w:eastAsia="宋体" w:hAnsi="Times New Roman" w:cs="Times New Roman" w:hint="eastAsia"/>
          <w:sz w:val="24"/>
        </w:rPr>
        <w:t>。</w:t>
      </w:r>
    </w:p>
    <w:p w14:paraId="79D17BB6"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82" w:name="_Toc121411769"/>
      <w:r>
        <w:rPr>
          <w:rFonts w:ascii="Times New Roman" w:eastAsia="黑体" w:hAnsi="Times New Roman" w:cs="Times New Roman"/>
          <w:b w:val="0"/>
          <w:sz w:val="24"/>
        </w:rPr>
        <w:t>7.1.3</w:t>
      </w:r>
      <w:r>
        <w:rPr>
          <w:rFonts w:ascii="Times New Roman" w:eastAsia="黑体" w:hAnsi="Times New Roman" w:cs="Times New Roman" w:hint="eastAsia"/>
          <w:b w:val="0"/>
          <w:sz w:val="24"/>
        </w:rPr>
        <w:t>污染物排放量核算</w:t>
      </w:r>
      <w:bookmarkEnd w:id="482"/>
    </w:p>
    <w:p w14:paraId="7483F7F0"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根据</w:t>
      </w:r>
      <w:r>
        <w:rPr>
          <w:rFonts w:ascii="Times New Roman" w:eastAsia="宋体" w:hAnsi="Times New Roman" w:cs="Times New Roman"/>
          <w:sz w:val="24"/>
        </w:rPr>
        <w:t>《环境影响评价技术导则</w:t>
      </w:r>
      <w:r>
        <w:rPr>
          <w:rFonts w:ascii="Times New Roman" w:eastAsia="宋体" w:hAnsi="Times New Roman" w:cs="Times New Roman" w:hint="eastAsia"/>
          <w:sz w:val="24"/>
        </w:rPr>
        <w:t>-</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）中，本项目大气环境影响评价确定为二级，二级评价不进行进一步预测与评价，只对污染物排放量进行核算。</w:t>
      </w:r>
    </w:p>
    <w:p w14:paraId="05CBB817"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有组织排放量核算</w:t>
      </w:r>
    </w:p>
    <w:p w14:paraId="7361EE3E" w14:textId="77777777" w:rsidR="00D12939" w:rsidRDefault="004F47F5">
      <w:pPr>
        <w:spacing w:line="360" w:lineRule="auto"/>
        <w:jc w:val="center"/>
        <w:rPr>
          <w:rFonts w:ascii="黑体" w:eastAsia="黑体" w:hAnsi="黑体"/>
          <w:bCs/>
          <w:sz w:val="24"/>
        </w:rPr>
      </w:pPr>
      <w:r>
        <w:rPr>
          <w:rFonts w:ascii="黑体" w:eastAsia="黑体" w:hAnsi="黑体" w:hint="eastAsia"/>
          <w:bCs/>
          <w:sz w:val="24"/>
        </w:rPr>
        <w:t>表</w:t>
      </w:r>
      <w:r>
        <w:rPr>
          <w:rFonts w:ascii="黑体" w:eastAsia="黑体" w:hAnsi="黑体"/>
          <w:bCs/>
          <w:sz w:val="24"/>
        </w:rPr>
        <w:t>7.1-10</w:t>
      </w:r>
      <w:r>
        <w:rPr>
          <w:rFonts w:ascii="黑体" w:eastAsia="黑体" w:hAnsi="黑体" w:hint="eastAsia"/>
          <w:bCs/>
          <w:sz w:val="24"/>
        </w:rPr>
        <w:t xml:space="preserve"> 大气污染物有组织排放量核算表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92"/>
        <w:gridCol w:w="1372"/>
        <w:gridCol w:w="1291"/>
        <w:gridCol w:w="2186"/>
        <w:gridCol w:w="2042"/>
        <w:gridCol w:w="1879"/>
      </w:tblGrid>
      <w:tr w:rsidR="00D12939" w14:paraId="6195C99C" w14:textId="77777777">
        <w:trPr>
          <w:trHeight w:val="13"/>
          <w:jc w:val="center"/>
        </w:trPr>
        <w:tc>
          <w:tcPr>
            <w:tcW w:w="592" w:type="dxa"/>
            <w:tcBorders>
              <w:tl2br w:val="nil"/>
              <w:tr2bl w:val="nil"/>
            </w:tcBorders>
            <w:vAlign w:val="center"/>
          </w:tcPr>
          <w:p w14:paraId="0EFDC0F4" w14:textId="77777777" w:rsidR="00D12939" w:rsidRDefault="004F47F5">
            <w:pPr>
              <w:widowControl/>
              <w:jc w:val="center"/>
              <w:rPr>
                <w:rFonts w:ascii="Times New Roman" w:eastAsia="宋体" w:hAnsi="Times New Roman" w:cs="Times New Roman"/>
                <w:b/>
                <w:bCs/>
                <w:szCs w:val="21"/>
              </w:rPr>
            </w:pPr>
            <w:r>
              <w:rPr>
                <w:rFonts w:ascii="Times New Roman" w:eastAsia="宋体" w:hAnsi="Times New Roman" w:cs="Times New Roman"/>
                <w:b/>
                <w:bCs/>
                <w:szCs w:val="21"/>
              </w:rPr>
              <w:t>序号</w:t>
            </w:r>
          </w:p>
        </w:tc>
        <w:tc>
          <w:tcPr>
            <w:tcW w:w="1372" w:type="dxa"/>
            <w:tcBorders>
              <w:tl2br w:val="nil"/>
              <w:tr2bl w:val="nil"/>
            </w:tcBorders>
            <w:vAlign w:val="center"/>
          </w:tcPr>
          <w:p w14:paraId="37E01101" w14:textId="77777777" w:rsidR="00D12939" w:rsidRDefault="004F47F5">
            <w:pPr>
              <w:widowControl/>
              <w:jc w:val="center"/>
              <w:rPr>
                <w:rFonts w:ascii="Times New Roman" w:eastAsia="宋体" w:hAnsi="Times New Roman" w:cs="Times New Roman"/>
                <w:b/>
                <w:bCs/>
                <w:szCs w:val="21"/>
              </w:rPr>
            </w:pPr>
            <w:r>
              <w:rPr>
                <w:rFonts w:ascii="Times New Roman" w:eastAsia="宋体" w:hAnsi="Times New Roman" w:cs="Times New Roman"/>
                <w:b/>
                <w:bCs/>
                <w:szCs w:val="21"/>
              </w:rPr>
              <w:t>排放口编号</w:t>
            </w:r>
          </w:p>
        </w:tc>
        <w:tc>
          <w:tcPr>
            <w:tcW w:w="1291" w:type="dxa"/>
            <w:tcBorders>
              <w:tl2br w:val="nil"/>
              <w:tr2bl w:val="nil"/>
            </w:tcBorders>
            <w:vAlign w:val="center"/>
          </w:tcPr>
          <w:p w14:paraId="5773139F" w14:textId="77777777" w:rsidR="00D12939" w:rsidRDefault="004F47F5">
            <w:pPr>
              <w:widowControl/>
              <w:jc w:val="center"/>
              <w:rPr>
                <w:rFonts w:ascii="Times New Roman" w:eastAsia="宋体" w:hAnsi="Times New Roman" w:cs="Times New Roman"/>
                <w:b/>
                <w:bCs/>
                <w:szCs w:val="21"/>
              </w:rPr>
            </w:pPr>
            <w:r>
              <w:rPr>
                <w:rFonts w:ascii="Times New Roman" w:eastAsia="宋体" w:hAnsi="Times New Roman" w:cs="Times New Roman"/>
                <w:b/>
                <w:bCs/>
                <w:szCs w:val="21"/>
              </w:rPr>
              <w:t>污染物</w:t>
            </w:r>
          </w:p>
        </w:tc>
        <w:tc>
          <w:tcPr>
            <w:tcW w:w="2186" w:type="dxa"/>
            <w:tcBorders>
              <w:tl2br w:val="nil"/>
              <w:tr2bl w:val="nil"/>
            </w:tcBorders>
            <w:vAlign w:val="center"/>
          </w:tcPr>
          <w:p w14:paraId="74C4A30F" w14:textId="77777777" w:rsidR="00D12939" w:rsidRDefault="004F47F5">
            <w:pPr>
              <w:widowControl/>
              <w:jc w:val="center"/>
              <w:rPr>
                <w:rFonts w:ascii="Times New Roman" w:eastAsia="宋体" w:hAnsi="Times New Roman" w:cs="Times New Roman"/>
                <w:b/>
                <w:bCs/>
                <w:szCs w:val="21"/>
              </w:rPr>
            </w:pPr>
            <w:r>
              <w:rPr>
                <w:rFonts w:ascii="Times New Roman" w:eastAsia="宋体" w:hAnsi="Times New Roman" w:cs="Times New Roman"/>
                <w:b/>
                <w:bCs/>
                <w:szCs w:val="21"/>
              </w:rPr>
              <w:t>核算排放浓度</w:t>
            </w:r>
            <w:r>
              <w:rPr>
                <w:rFonts w:ascii="Times New Roman" w:eastAsia="宋体" w:hAnsi="Times New Roman" w:cs="Times New Roman"/>
                <w:b/>
                <w:bCs/>
                <w:szCs w:val="21"/>
              </w:rPr>
              <w:t>/</w:t>
            </w:r>
            <w:r>
              <w:rPr>
                <w:rFonts w:ascii="Times New Roman" w:eastAsia="宋体" w:hAnsi="Times New Roman" w:cs="Times New Roman"/>
                <w:b/>
                <w:bCs/>
                <w:szCs w:val="21"/>
              </w:rPr>
              <w:t>（</w:t>
            </w:r>
            <w:r>
              <w:rPr>
                <w:rFonts w:ascii="Times New Roman" w:eastAsia="宋体" w:hAnsi="Times New Roman" w:cs="Times New Roman"/>
                <w:b/>
                <w:bCs/>
                <w:szCs w:val="21"/>
              </w:rPr>
              <w:t>µg/m</w:t>
            </w:r>
            <w:r>
              <w:rPr>
                <w:rFonts w:ascii="Times New Roman" w:eastAsia="宋体" w:hAnsi="Times New Roman" w:cs="Times New Roman"/>
                <w:b/>
                <w:bCs/>
                <w:szCs w:val="21"/>
                <w:vertAlign w:val="superscript"/>
              </w:rPr>
              <w:t>3</w:t>
            </w:r>
            <w:r>
              <w:rPr>
                <w:rFonts w:ascii="Times New Roman" w:eastAsia="宋体" w:hAnsi="Times New Roman" w:cs="Times New Roman"/>
                <w:b/>
                <w:bCs/>
                <w:szCs w:val="21"/>
              </w:rPr>
              <w:t>）</w:t>
            </w:r>
          </w:p>
        </w:tc>
        <w:tc>
          <w:tcPr>
            <w:tcW w:w="2042" w:type="dxa"/>
            <w:tcBorders>
              <w:tl2br w:val="nil"/>
              <w:tr2bl w:val="nil"/>
            </w:tcBorders>
            <w:vAlign w:val="center"/>
          </w:tcPr>
          <w:p w14:paraId="36B070A8" w14:textId="77777777" w:rsidR="00D12939" w:rsidRDefault="004F47F5">
            <w:pPr>
              <w:widowControl/>
              <w:jc w:val="center"/>
              <w:rPr>
                <w:rFonts w:ascii="Times New Roman" w:eastAsia="宋体" w:hAnsi="Times New Roman" w:cs="Times New Roman"/>
                <w:b/>
                <w:bCs/>
                <w:szCs w:val="21"/>
              </w:rPr>
            </w:pPr>
            <w:r>
              <w:rPr>
                <w:rFonts w:ascii="Times New Roman" w:eastAsia="宋体" w:hAnsi="Times New Roman" w:cs="Times New Roman"/>
                <w:b/>
                <w:bCs/>
                <w:szCs w:val="21"/>
              </w:rPr>
              <w:t>核算排放速率</w:t>
            </w:r>
            <w:r>
              <w:rPr>
                <w:rFonts w:ascii="Times New Roman" w:eastAsia="宋体" w:hAnsi="Times New Roman" w:cs="Times New Roman"/>
                <w:b/>
                <w:bCs/>
                <w:szCs w:val="21"/>
              </w:rPr>
              <w:t>/</w:t>
            </w:r>
            <w:r>
              <w:rPr>
                <w:rFonts w:ascii="Times New Roman" w:eastAsia="宋体" w:hAnsi="Times New Roman" w:cs="Times New Roman"/>
                <w:b/>
                <w:bCs/>
                <w:szCs w:val="21"/>
              </w:rPr>
              <w:t>（</w:t>
            </w:r>
            <w:r>
              <w:rPr>
                <w:rFonts w:ascii="Times New Roman" w:eastAsia="宋体" w:hAnsi="Times New Roman" w:cs="Times New Roman"/>
                <w:b/>
                <w:bCs/>
                <w:szCs w:val="21"/>
              </w:rPr>
              <w:t>kg/h</w:t>
            </w:r>
            <w:r>
              <w:rPr>
                <w:rFonts w:ascii="Times New Roman" w:eastAsia="宋体" w:hAnsi="Times New Roman" w:cs="Times New Roman"/>
                <w:b/>
                <w:bCs/>
                <w:szCs w:val="21"/>
              </w:rPr>
              <w:t>）</w:t>
            </w:r>
          </w:p>
        </w:tc>
        <w:tc>
          <w:tcPr>
            <w:tcW w:w="1879" w:type="dxa"/>
            <w:tcBorders>
              <w:tl2br w:val="nil"/>
              <w:tr2bl w:val="nil"/>
            </w:tcBorders>
            <w:vAlign w:val="center"/>
          </w:tcPr>
          <w:p w14:paraId="29DEC0C3" w14:textId="77777777" w:rsidR="00D12939" w:rsidRDefault="004F47F5">
            <w:pPr>
              <w:widowControl/>
              <w:jc w:val="center"/>
              <w:rPr>
                <w:rFonts w:ascii="Times New Roman" w:eastAsia="宋体" w:hAnsi="Times New Roman" w:cs="Times New Roman"/>
                <w:b/>
                <w:bCs/>
                <w:szCs w:val="21"/>
              </w:rPr>
            </w:pPr>
            <w:r>
              <w:rPr>
                <w:rFonts w:ascii="Times New Roman" w:eastAsia="宋体" w:hAnsi="Times New Roman" w:cs="Times New Roman"/>
                <w:b/>
                <w:bCs/>
                <w:szCs w:val="21"/>
              </w:rPr>
              <w:t>核算年排放量</w:t>
            </w:r>
            <w:r>
              <w:rPr>
                <w:rFonts w:ascii="Times New Roman" w:eastAsia="宋体" w:hAnsi="Times New Roman" w:cs="Times New Roman"/>
                <w:b/>
                <w:bCs/>
                <w:szCs w:val="21"/>
              </w:rPr>
              <w:t>/</w:t>
            </w:r>
            <w:r>
              <w:rPr>
                <w:rFonts w:ascii="Times New Roman" w:eastAsia="宋体" w:hAnsi="Times New Roman" w:cs="Times New Roman"/>
                <w:b/>
                <w:bCs/>
                <w:szCs w:val="21"/>
              </w:rPr>
              <w:t>（</w:t>
            </w:r>
            <w:r>
              <w:rPr>
                <w:rFonts w:ascii="Times New Roman" w:eastAsia="宋体" w:hAnsi="Times New Roman" w:cs="Times New Roman"/>
                <w:b/>
                <w:bCs/>
                <w:szCs w:val="21"/>
              </w:rPr>
              <w:t>t/a</w:t>
            </w:r>
            <w:r>
              <w:rPr>
                <w:rFonts w:ascii="Times New Roman" w:eastAsia="宋体" w:hAnsi="Times New Roman" w:cs="Times New Roman"/>
                <w:b/>
                <w:bCs/>
                <w:szCs w:val="21"/>
              </w:rPr>
              <w:t>）</w:t>
            </w:r>
          </w:p>
        </w:tc>
      </w:tr>
      <w:tr w:rsidR="00D12939" w14:paraId="078B60B9" w14:textId="77777777">
        <w:trPr>
          <w:trHeight w:val="13"/>
          <w:jc w:val="center"/>
        </w:trPr>
        <w:tc>
          <w:tcPr>
            <w:tcW w:w="9362" w:type="dxa"/>
            <w:gridSpan w:val="6"/>
            <w:tcBorders>
              <w:tl2br w:val="nil"/>
              <w:tr2bl w:val="nil"/>
            </w:tcBorders>
            <w:vAlign w:val="center"/>
          </w:tcPr>
          <w:p w14:paraId="4A645E88"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hint="eastAsia"/>
                <w:szCs w:val="21"/>
              </w:rPr>
              <w:t>一般</w:t>
            </w:r>
            <w:r>
              <w:rPr>
                <w:rFonts w:ascii="Times New Roman" w:eastAsia="宋体" w:hAnsi="Times New Roman" w:cs="Times New Roman"/>
                <w:szCs w:val="21"/>
              </w:rPr>
              <w:t>排放口</w:t>
            </w:r>
          </w:p>
        </w:tc>
      </w:tr>
      <w:tr w:rsidR="00D12939" w14:paraId="27C02E51" w14:textId="77777777">
        <w:trPr>
          <w:trHeight w:val="13"/>
          <w:jc w:val="center"/>
        </w:trPr>
        <w:tc>
          <w:tcPr>
            <w:tcW w:w="592" w:type="dxa"/>
            <w:vMerge w:val="restart"/>
            <w:tcBorders>
              <w:tl2br w:val="nil"/>
              <w:tr2bl w:val="nil"/>
            </w:tcBorders>
            <w:vAlign w:val="center"/>
          </w:tcPr>
          <w:p w14:paraId="090A6078"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1</w:t>
            </w:r>
          </w:p>
        </w:tc>
        <w:tc>
          <w:tcPr>
            <w:tcW w:w="1372" w:type="dxa"/>
            <w:vMerge w:val="restart"/>
            <w:tcBorders>
              <w:tl2br w:val="nil"/>
              <w:tr2bl w:val="nil"/>
            </w:tcBorders>
            <w:vAlign w:val="center"/>
          </w:tcPr>
          <w:p w14:paraId="61089486"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hint="eastAsia"/>
                <w:szCs w:val="21"/>
              </w:rPr>
              <w:t>D</w:t>
            </w:r>
            <w:r>
              <w:rPr>
                <w:rFonts w:ascii="Times New Roman" w:eastAsia="宋体" w:hAnsi="Times New Roman" w:cs="Times New Roman"/>
                <w:szCs w:val="21"/>
              </w:rPr>
              <w:t>A001</w:t>
            </w:r>
          </w:p>
          <w:p w14:paraId="6E23851A" w14:textId="04D1FCBA" w:rsidR="000C34D0" w:rsidRPr="000C34D0" w:rsidRDefault="000C34D0" w:rsidP="000C34D0">
            <w:pPr>
              <w:widowControl/>
              <w:jc w:val="center"/>
            </w:pPr>
            <w:r w:rsidRPr="000C34D0">
              <w:rPr>
                <w:rFonts w:ascii="Times New Roman" w:eastAsia="宋体" w:hAnsi="Times New Roman" w:cs="Times New Roman" w:hint="eastAsia"/>
                <w:szCs w:val="21"/>
              </w:rPr>
              <w:t>燃烧火炬</w:t>
            </w:r>
          </w:p>
        </w:tc>
        <w:tc>
          <w:tcPr>
            <w:tcW w:w="1291" w:type="dxa"/>
            <w:tcBorders>
              <w:tl2br w:val="nil"/>
              <w:tr2bl w:val="nil"/>
            </w:tcBorders>
            <w:vAlign w:val="center"/>
          </w:tcPr>
          <w:p w14:paraId="63B62869"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szCs w:val="21"/>
              </w:rPr>
              <w:t>SO</w:t>
            </w:r>
            <w:r>
              <w:rPr>
                <w:rFonts w:ascii="Times New Roman" w:eastAsia="宋体" w:hAnsi="Times New Roman"/>
                <w:szCs w:val="21"/>
                <w:vertAlign w:val="subscript"/>
              </w:rPr>
              <w:t>2</w:t>
            </w:r>
          </w:p>
        </w:tc>
        <w:tc>
          <w:tcPr>
            <w:tcW w:w="2186" w:type="dxa"/>
            <w:tcBorders>
              <w:tl2br w:val="nil"/>
              <w:tr2bl w:val="nil"/>
            </w:tcBorders>
            <w:vAlign w:val="center"/>
          </w:tcPr>
          <w:p w14:paraId="5E39289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5480</w:t>
            </w:r>
          </w:p>
        </w:tc>
        <w:tc>
          <w:tcPr>
            <w:tcW w:w="2042" w:type="dxa"/>
            <w:tcBorders>
              <w:tl2br w:val="nil"/>
              <w:tr2bl w:val="nil"/>
            </w:tcBorders>
            <w:vAlign w:val="center"/>
          </w:tcPr>
          <w:p w14:paraId="51D84BD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.009</w:t>
            </w:r>
          </w:p>
        </w:tc>
        <w:tc>
          <w:tcPr>
            <w:tcW w:w="1879" w:type="dxa"/>
            <w:tcBorders>
              <w:tl2br w:val="nil"/>
              <w:tr2bl w:val="nil"/>
            </w:tcBorders>
            <w:vAlign w:val="center"/>
          </w:tcPr>
          <w:p w14:paraId="71E2E03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.079</w:t>
            </w:r>
          </w:p>
        </w:tc>
      </w:tr>
      <w:tr w:rsidR="00D12939" w14:paraId="5FCBAA60" w14:textId="77777777">
        <w:trPr>
          <w:trHeight w:val="13"/>
          <w:jc w:val="center"/>
        </w:trPr>
        <w:tc>
          <w:tcPr>
            <w:tcW w:w="592" w:type="dxa"/>
            <w:vMerge/>
            <w:tcBorders>
              <w:tl2br w:val="nil"/>
              <w:tr2bl w:val="nil"/>
            </w:tcBorders>
            <w:vAlign w:val="center"/>
          </w:tcPr>
          <w:p w14:paraId="12BDA3FC" w14:textId="77777777" w:rsidR="00D12939" w:rsidRDefault="00D12939">
            <w:pPr>
              <w:widowControl/>
              <w:jc w:val="center"/>
              <w:rPr>
                <w:rFonts w:ascii="Times New Roman" w:eastAsia="宋体" w:hAnsi="Times New Roman" w:cs="Times New Roman"/>
                <w:szCs w:val="21"/>
              </w:rPr>
            </w:pPr>
          </w:p>
        </w:tc>
        <w:tc>
          <w:tcPr>
            <w:tcW w:w="1372" w:type="dxa"/>
            <w:vMerge/>
            <w:tcBorders>
              <w:tl2br w:val="nil"/>
              <w:tr2bl w:val="nil"/>
            </w:tcBorders>
            <w:vAlign w:val="center"/>
          </w:tcPr>
          <w:p w14:paraId="1048A3C3" w14:textId="77777777" w:rsidR="00D12939" w:rsidRDefault="00D12939">
            <w:pPr>
              <w:widowControl/>
              <w:jc w:val="center"/>
              <w:rPr>
                <w:rFonts w:ascii="Times New Roman" w:eastAsia="宋体" w:hAnsi="Times New Roman" w:cs="Times New Roman"/>
                <w:szCs w:val="21"/>
              </w:rPr>
            </w:pPr>
          </w:p>
        </w:tc>
        <w:tc>
          <w:tcPr>
            <w:tcW w:w="1291" w:type="dxa"/>
            <w:tcBorders>
              <w:tl2br w:val="nil"/>
              <w:tr2bl w:val="nil"/>
            </w:tcBorders>
            <w:vAlign w:val="center"/>
          </w:tcPr>
          <w:p w14:paraId="4DBF1F92"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hint="eastAsia"/>
                <w:szCs w:val="21"/>
              </w:rPr>
              <w:t>N</w:t>
            </w:r>
            <w:r>
              <w:rPr>
                <w:rFonts w:ascii="Times New Roman" w:eastAsia="宋体" w:hAnsi="Times New Roman"/>
                <w:szCs w:val="21"/>
              </w:rPr>
              <w:t>O</w:t>
            </w:r>
            <w:r>
              <w:rPr>
                <w:rFonts w:ascii="Times New Roman" w:eastAsia="宋体" w:hAnsi="Times New Roman"/>
                <w:szCs w:val="21"/>
                <w:vertAlign w:val="subscript"/>
              </w:rPr>
              <w:t>X</w:t>
            </w:r>
          </w:p>
        </w:tc>
        <w:tc>
          <w:tcPr>
            <w:tcW w:w="2186" w:type="dxa"/>
            <w:tcBorders>
              <w:tl2br w:val="nil"/>
              <w:tr2bl w:val="nil"/>
            </w:tcBorders>
            <w:vAlign w:val="center"/>
          </w:tcPr>
          <w:p w14:paraId="382AF29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37000</w:t>
            </w:r>
          </w:p>
        </w:tc>
        <w:tc>
          <w:tcPr>
            <w:tcW w:w="2042" w:type="dxa"/>
            <w:tcBorders>
              <w:tl2br w:val="nil"/>
              <w:tr2bl w:val="nil"/>
            </w:tcBorders>
            <w:vAlign w:val="center"/>
          </w:tcPr>
          <w:p w14:paraId="62A865F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.048</w:t>
            </w:r>
          </w:p>
        </w:tc>
        <w:tc>
          <w:tcPr>
            <w:tcW w:w="1879" w:type="dxa"/>
            <w:tcBorders>
              <w:tl2br w:val="nil"/>
              <w:tr2bl w:val="nil"/>
            </w:tcBorders>
            <w:vAlign w:val="center"/>
          </w:tcPr>
          <w:p w14:paraId="715B8A0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.42</w:t>
            </w:r>
          </w:p>
        </w:tc>
      </w:tr>
      <w:tr w:rsidR="00D12939" w14:paraId="28F74F4B" w14:textId="77777777">
        <w:trPr>
          <w:trHeight w:val="13"/>
          <w:jc w:val="center"/>
        </w:trPr>
        <w:tc>
          <w:tcPr>
            <w:tcW w:w="592" w:type="dxa"/>
            <w:vMerge/>
            <w:tcBorders>
              <w:tl2br w:val="nil"/>
              <w:tr2bl w:val="nil"/>
            </w:tcBorders>
            <w:vAlign w:val="center"/>
          </w:tcPr>
          <w:p w14:paraId="235411BF" w14:textId="77777777" w:rsidR="00D12939" w:rsidRDefault="00D12939">
            <w:pPr>
              <w:widowControl/>
              <w:jc w:val="center"/>
              <w:rPr>
                <w:rFonts w:ascii="Times New Roman" w:eastAsia="宋体" w:hAnsi="Times New Roman" w:cs="Times New Roman"/>
                <w:szCs w:val="21"/>
              </w:rPr>
            </w:pPr>
          </w:p>
        </w:tc>
        <w:tc>
          <w:tcPr>
            <w:tcW w:w="1372" w:type="dxa"/>
            <w:vMerge/>
            <w:tcBorders>
              <w:tl2br w:val="nil"/>
              <w:tr2bl w:val="nil"/>
            </w:tcBorders>
            <w:vAlign w:val="center"/>
          </w:tcPr>
          <w:p w14:paraId="6B39A34D" w14:textId="77777777" w:rsidR="00D12939" w:rsidRDefault="00D12939">
            <w:pPr>
              <w:widowControl/>
              <w:jc w:val="center"/>
              <w:rPr>
                <w:rFonts w:ascii="Times New Roman" w:eastAsia="宋体" w:hAnsi="Times New Roman" w:cs="Times New Roman"/>
                <w:szCs w:val="21"/>
              </w:rPr>
            </w:pPr>
          </w:p>
        </w:tc>
        <w:tc>
          <w:tcPr>
            <w:tcW w:w="1291" w:type="dxa"/>
            <w:tcBorders>
              <w:tl2br w:val="nil"/>
              <w:tr2bl w:val="nil"/>
            </w:tcBorders>
            <w:vAlign w:val="center"/>
          </w:tcPr>
          <w:p w14:paraId="1D3AB5CA"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szCs w:val="21"/>
              </w:rPr>
              <w:t>NH</w:t>
            </w:r>
            <w:r>
              <w:rPr>
                <w:rFonts w:ascii="Times New Roman" w:eastAsia="宋体" w:hAnsi="Times New Roman"/>
                <w:szCs w:val="21"/>
                <w:vertAlign w:val="subscript"/>
              </w:rPr>
              <w:t>3</w:t>
            </w:r>
          </w:p>
        </w:tc>
        <w:tc>
          <w:tcPr>
            <w:tcW w:w="2186" w:type="dxa"/>
            <w:tcBorders>
              <w:tl2br w:val="nil"/>
              <w:tr2bl w:val="nil"/>
            </w:tcBorders>
            <w:vAlign w:val="center"/>
          </w:tcPr>
          <w:p w14:paraId="705CC0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26500</w:t>
            </w:r>
          </w:p>
        </w:tc>
        <w:tc>
          <w:tcPr>
            <w:tcW w:w="2042" w:type="dxa"/>
            <w:tcBorders>
              <w:tl2br w:val="nil"/>
              <w:tr2bl w:val="nil"/>
            </w:tcBorders>
            <w:vAlign w:val="center"/>
          </w:tcPr>
          <w:p w14:paraId="315B72B2"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.08</w:t>
            </w:r>
          </w:p>
        </w:tc>
        <w:tc>
          <w:tcPr>
            <w:tcW w:w="1879" w:type="dxa"/>
            <w:tcBorders>
              <w:tl2br w:val="nil"/>
              <w:tr2bl w:val="nil"/>
            </w:tcBorders>
            <w:vAlign w:val="center"/>
          </w:tcPr>
          <w:p w14:paraId="1C4BF4B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.704</w:t>
            </w:r>
          </w:p>
        </w:tc>
      </w:tr>
      <w:tr w:rsidR="00D12939" w14:paraId="5CE5223B" w14:textId="77777777">
        <w:trPr>
          <w:trHeight w:val="13"/>
          <w:jc w:val="center"/>
        </w:trPr>
        <w:tc>
          <w:tcPr>
            <w:tcW w:w="592" w:type="dxa"/>
            <w:vMerge w:val="restart"/>
            <w:tcBorders>
              <w:tl2br w:val="nil"/>
              <w:tr2bl w:val="nil"/>
            </w:tcBorders>
            <w:vAlign w:val="center"/>
          </w:tcPr>
          <w:p w14:paraId="32A9C90A"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hint="eastAsia"/>
                <w:szCs w:val="21"/>
              </w:rPr>
              <w:t>2</w:t>
            </w:r>
          </w:p>
        </w:tc>
        <w:tc>
          <w:tcPr>
            <w:tcW w:w="1372" w:type="dxa"/>
            <w:vMerge w:val="restart"/>
            <w:tcBorders>
              <w:tl2br w:val="nil"/>
              <w:tr2bl w:val="nil"/>
            </w:tcBorders>
            <w:vAlign w:val="center"/>
          </w:tcPr>
          <w:p w14:paraId="3692417A" w14:textId="1196DD5C" w:rsidR="00D12939" w:rsidRDefault="004F47F5" w:rsidP="000C34D0">
            <w:pPr>
              <w:widowControl/>
              <w:jc w:val="center"/>
              <w:rPr>
                <w:rFonts w:ascii="Times New Roman" w:eastAsia="宋体" w:hAnsi="Times New Roman" w:cs="Times New Roman"/>
                <w:szCs w:val="21"/>
              </w:rPr>
            </w:pPr>
            <w:r>
              <w:rPr>
                <w:rFonts w:ascii="Times New Roman" w:eastAsia="宋体" w:hAnsi="Times New Roman" w:cs="Times New Roman" w:hint="eastAsia"/>
                <w:szCs w:val="21"/>
              </w:rPr>
              <w:t>D</w:t>
            </w:r>
            <w:r>
              <w:rPr>
                <w:rFonts w:ascii="Times New Roman" w:eastAsia="宋体" w:hAnsi="Times New Roman" w:cs="Times New Roman"/>
                <w:szCs w:val="21"/>
              </w:rPr>
              <w:t>A002</w:t>
            </w:r>
            <w:r w:rsidR="000C34D0">
              <w:rPr>
                <w:rFonts w:ascii="Times New Roman" w:eastAsia="宋体" w:hAnsi="Times New Roman" w:cs="Times New Roman" w:hint="eastAsia"/>
                <w:szCs w:val="21"/>
              </w:rPr>
              <w:t>除臭系统排气筒</w:t>
            </w:r>
            <w:r w:rsidR="000C34D0">
              <w:rPr>
                <w:rFonts w:ascii="Times New Roman" w:eastAsia="宋体" w:hAnsi="Times New Roman" w:cs="Times New Roman" w:hint="eastAsia"/>
                <w:szCs w:val="21"/>
              </w:rPr>
              <w:t xml:space="preserve"> </w:t>
            </w:r>
          </w:p>
        </w:tc>
        <w:tc>
          <w:tcPr>
            <w:tcW w:w="1291" w:type="dxa"/>
            <w:tcBorders>
              <w:tl2br w:val="nil"/>
              <w:tr2bl w:val="nil"/>
            </w:tcBorders>
            <w:vAlign w:val="center"/>
          </w:tcPr>
          <w:p w14:paraId="23E6ABAE"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szCs w:val="21"/>
              </w:rPr>
              <w:t>NH</w:t>
            </w:r>
            <w:r>
              <w:rPr>
                <w:rFonts w:ascii="Times New Roman" w:eastAsia="宋体" w:hAnsi="Times New Roman"/>
                <w:szCs w:val="21"/>
                <w:vertAlign w:val="subscript"/>
              </w:rPr>
              <w:t>3</w:t>
            </w:r>
          </w:p>
        </w:tc>
        <w:tc>
          <w:tcPr>
            <w:tcW w:w="2186" w:type="dxa"/>
            <w:tcBorders>
              <w:tl2br w:val="nil"/>
              <w:tr2bl w:val="nil"/>
            </w:tcBorders>
            <w:vAlign w:val="center"/>
          </w:tcPr>
          <w:p w14:paraId="6354FB30" w14:textId="3D819B4B" w:rsidR="00D12939" w:rsidRDefault="000C34D0">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024</w:t>
            </w:r>
          </w:p>
        </w:tc>
        <w:tc>
          <w:tcPr>
            <w:tcW w:w="2042" w:type="dxa"/>
            <w:tcBorders>
              <w:tl2br w:val="nil"/>
              <w:tr2bl w:val="nil"/>
            </w:tcBorders>
            <w:vAlign w:val="center"/>
          </w:tcPr>
          <w:p w14:paraId="4E355D7E" w14:textId="22877148" w:rsidR="00D12939" w:rsidRDefault="000C34D0">
            <w:pPr>
              <w:jc w:val="center"/>
              <w:rPr>
                <w:rFonts w:ascii="Times New Roman" w:eastAsia="宋体" w:hAnsi="Times New Roman" w:cs="Times New Roman"/>
              </w:rPr>
            </w:pPr>
            <w:r>
              <w:rPr>
                <w:rFonts w:ascii="Times New Roman" w:eastAsia="宋体" w:hAnsi="Times New Roman" w:cs="Times New Roman" w:hint="eastAsia"/>
              </w:rPr>
              <w:t>0</w:t>
            </w:r>
            <w:r>
              <w:rPr>
                <w:rFonts w:ascii="Times New Roman" w:eastAsia="宋体" w:hAnsi="Times New Roman" w:cs="Times New Roman"/>
              </w:rPr>
              <w:t>.020</w:t>
            </w:r>
          </w:p>
        </w:tc>
        <w:tc>
          <w:tcPr>
            <w:tcW w:w="1879" w:type="dxa"/>
            <w:tcBorders>
              <w:tl2br w:val="nil"/>
              <w:tr2bl w:val="nil"/>
            </w:tcBorders>
            <w:vAlign w:val="center"/>
          </w:tcPr>
          <w:p w14:paraId="70508AAE" w14:textId="2698A42A" w:rsidR="00D12939" w:rsidRDefault="000C34D0">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.177</w:t>
            </w:r>
          </w:p>
        </w:tc>
      </w:tr>
      <w:tr w:rsidR="00D12939" w14:paraId="4EA118F1" w14:textId="77777777">
        <w:trPr>
          <w:trHeight w:val="13"/>
          <w:jc w:val="center"/>
        </w:trPr>
        <w:tc>
          <w:tcPr>
            <w:tcW w:w="592" w:type="dxa"/>
            <w:vMerge/>
            <w:tcBorders>
              <w:tl2br w:val="nil"/>
              <w:tr2bl w:val="nil"/>
            </w:tcBorders>
            <w:vAlign w:val="center"/>
          </w:tcPr>
          <w:p w14:paraId="5D5F165C" w14:textId="77777777" w:rsidR="00D12939" w:rsidRDefault="00D12939">
            <w:pPr>
              <w:widowControl/>
              <w:jc w:val="center"/>
              <w:rPr>
                <w:rFonts w:ascii="Times New Roman" w:eastAsia="宋体" w:hAnsi="Times New Roman" w:cs="Times New Roman"/>
                <w:szCs w:val="21"/>
              </w:rPr>
            </w:pPr>
          </w:p>
        </w:tc>
        <w:tc>
          <w:tcPr>
            <w:tcW w:w="1372" w:type="dxa"/>
            <w:vMerge/>
            <w:tcBorders>
              <w:tl2br w:val="nil"/>
              <w:tr2bl w:val="nil"/>
            </w:tcBorders>
            <w:vAlign w:val="center"/>
          </w:tcPr>
          <w:p w14:paraId="23E9BAF7" w14:textId="77777777" w:rsidR="00D12939" w:rsidRDefault="00D12939">
            <w:pPr>
              <w:widowControl/>
              <w:jc w:val="center"/>
              <w:rPr>
                <w:rFonts w:ascii="Times New Roman" w:eastAsia="宋体" w:hAnsi="Times New Roman" w:cs="Times New Roman"/>
                <w:szCs w:val="21"/>
              </w:rPr>
            </w:pPr>
          </w:p>
        </w:tc>
        <w:tc>
          <w:tcPr>
            <w:tcW w:w="1291" w:type="dxa"/>
            <w:tcBorders>
              <w:tl2br w:val="nil"/>
              <w:tr2bl w:val="nil"/>
            </w:tcBorders>
            <w:vAlign w:val="center"/>
          </w:tcPr>
          <w:p w14:paraId="58B64CA7"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szCs w:val="21"/>
              </w:rPr>
              <w:t>H</w:t>
            </w:r>
            <w:r>
              <w:rPr>
                <w:rFonts w:ascii="Times New Roman" w:eastAsia="宋体" w:hAnsi="Times New Roman"/>
                <w:szCs w:val="21"/>
                <w:vertAlign w:val="subscript"/>
              </w:rPr>
              <w:t>2</w:t>
            </w:r>
            <w:r>
              <w:rPr>
                <w:rFonts w:ascii="Times New Roman" w:eastAsia="宋体" w:hAnsi="Times New Roman"/>
                <w:szCs w:val="21"/>
              </w:rPr>
              <w:t>S</w:t>
            </w:r>
          </w:p>
        </w:tc>
        <w:tc>
          <w:tcPr>
            <w:tcW w:w="2186" w:type="dxa"/>
            <w:tcBorders>
              <w:tl2br w:val="nil"/>
              <w:tr2bl w:val="nil"/>
            </w:tcBorders>
            <w:vAlign w:val="center"/>
          </w:tcPr>
          <w:p w14:paraId="64A781FA" w14:textId="67187F30" w:rsidR="00D12939" w:rsidRDefault="000C34D0">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8</w:t>
            </w:r>
          </w:p>
        </w:tc>
        <w:tc>
          <w:tcPr>
            <w:tcW w:w="2042" w:type="dxa"/>
            <w:tcBorders>
              <w:tl2br w:val="nil"/>
              <w:tr2bl w:val="nil"/>
            </w:tcBorders>
            <w:vAlign w:val="center"/>
          </w:tcPr>
          <w:p w14:paraId="09322F76" w14:textId="10117667" w:rsidR="00D12939" w:rsidRDefault="000C34D0">
            <w:pPr>
              <w:jc w:val="center"/>
              <w:rPr>
                <w:rFonts w:ascii="Times New Roman" w:eastAsia="宋体" w:hAnsi="Times New Roman" w:cs="Times New Roman"/>
              </w:rPr>
            </w:pPr>
            <w:r>
              <w:rPr>
                <w:rFonts w:ascii="Times New Roman" w:eastAsia="宋体" w:hAnsi="Times New Roman" w:cs="Times New Roman"/>
              </w:rPr>
              <w:t>0.3</w:t>
            </w:r>
          </w:p>
        </w:tc>
        <w:tc>
          <w:tcPr>
            <w:tcW w:w="1879" w:type="dxa"/>
            <w:tcBorders>
              <w:tl2br w:val="nil"/>
              <w:tr2bl w:val="nil"/>
            </w:tcBorders>
            <w:vAlign w:val="center"/>
          </w:tcPr>
          <w:p w14:paraId="65537AF6" w14:textId="1928E6C5" w:rsidR="00D12939" w:rsidRDefault="000C34D0">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.002</w:t>
            </w:r>
          </w:p>
        </w:tc>
      </w:tr>
      <w:tr w:rsidR="00D12939" w14:paraId="4591D175" w14:textId="77777777">
        <w:trPr>
          <w:trHeight w:val="13"/>
          <w:jc w:val="center"/>
        </w:trPr>
        <w:tc>
          <w:tcPr>
            <w:tcW w:w="1964" w:type="dxa"/>
            <w:gridSpan w:val="2"/>
            <w:vMerge w:val="restart"/>
            <w:tcBorders>
              <w:tl2br w:val="nil"/>
              <w:tr2bl w:val="nil"/>
            </w:tcBorders>
            <w:vAlign w:val="center"/>
          </w:tcPr>
          <w:p w14:paraId="1546ACC5"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hint="eastAsia"/>
                <w:szCs w:val="21"/>
              </w:rPr>
              <w:t>一般</w:t>
            </w:r>
            <w:r>
              <w:rPr>
                <w:rFonts w:ascii="Times New Roman" w:eastAsia="宋体" w:hAnsi="Times New Roman" w:cs="Times New Roman"/>
                <w:szCs w:val="21"/>
              </w:rPr>
              <w:t>排放口合计</w:t>
            </w:r>
          </w:p>
        </w:tc>
        <w:tc>
          <w:tcPr>
            <w:tcW w:w="5519" w:type="dxa"/>
            <w:gridSpan w:val="3"/>
            <w:tcBorders>
              <w:tl2br w:val="nil"/>
              <w:tr2bl w:val="nil"/>
            </w:tcBorders>
            <w:vAlign w:val="center"/>
          </w:tcPr>
          <w:p w14:paraId="535EC587"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szCs w:val="21"/>
              </w:rPr>
              <w:t>SO</w:t>
            </w:r>
            <w:r>
              <w:rPr>
                <w:rFonts w:ascii="Times New Roman" w:eastAsia="宋体" w:hAnsi="Times New Roman"/>
                <w:szCs w:val="21"/>
                <w:vertAlign w:val="subscript"/>
              </w:rPr>
              <w:t>2</w:t>
            </w:r>
          </w:p>
        </w:tc>
        <w:tc>
          <w:tcPr>
            <w:tcW w:w="1879" w:type="dxa"/>
            <w:tcBorders>
              <w:tl2br w:val="nil"/>
              <w:tr2bl w:val="nil"/>
            </w:tcBorders>
            <w:vAlign w:val="center"/>
          </w:tcPr>
          <w:p w14:paraId="75CC9C3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.079</w:t>
            </w:r>
          </w:p>
        </w:tc>
      </w:tr>
      <w:tr w:rsidR="00D12939" w14:paraId="5F041880" w14:textId="77777777">
        <w:trPr>
          <w:trHeight w:val="13"/>
          <w:jc w:val="center"/>
        </w:trPr>
        <w:tc>
          <w:tcPr>
            <w:tcW w:w="1964" w:type="dxa"/>
            <w:gridSpan w:val="2"/>
            <w:vMerge/>
            <w:tcBorders>
              <w:tl2br w:val="nil"/>
              <w:tr2bl w:val="nil"/>
            </w:tcBorders>
            <w:vAlign w:val="center"/>
          </w:tcPr>
          <w:p w14:paraId="061D4981" w14:textId="77777777" w:rsidR="00D12939" w:rsidRDefault="00D12939">
            <w:pPr>
              <w:widowControl/>
              <w:jc w:val="center"/>
              <w:rPr>
                <w:rFonts w:ascii="Times New Roman" w:eastAsia="宋体" w:hAnsi="Times New Roman" w:cs="Times New Roman"/>
                <w:szCs w:val="21"/>
              </w:rPr>
            </w:pPr>
          </w:p>
        </w:tc>
        <w:tc>
          <w:tcPr>
            <w:tcW w:w="5519" w:type="dxa"/>
            <w:gridSpan w:val="3"/>
            <w:tcBorders>
              <w:tl2br w:val="nil"/>
              <w:tr2bl w:val="nil"/>
            </w:tcBorders>
            <w:vAlign w:val="center"/>
          </w:tcPr>
          <w:p w14:paraId="2C997EBB"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hint="eastAsia"/>
                <w:szCs w:val="21"/>
              </w:rPr>
              <w:t>N</w:t>
            </w:r>
            <w:r>
              <w:rPr>
                <w:rFonts w:ascii="Times New Roman" w:eastAsia="宋体" w:hAnsi="Times New Roman"/>
                <w:szCs w:val="21"/>
              </w:rPr>
              <w:t>O</w:t>
            </w:r>
            <w:r>
              <w:rPr>
                <w:rFonts w:ascii="Times New Roman" w:eastAsia="宋体" w:hAnsi="Times New Roman"/>
                <w:szCs w:val="21"/>
                <w:vertAlign w:val="subscript"/>
              </w:rPr>
              <w:t>X</w:t>
            </w:r>
          </w:p>
        </w:tc>
        <w:tc>
          <w:tcPr>
            <w:tcW w:w="1879" w:type="dxa"/>
            <w:tcBorders>
              <w:tl2br w:val="nil"/>
              <w:tr2bl w:val="nil"/>
            </w:tcBorders>
            <w:vAlign w:val="center"/>
          </w:tcPr>
          <w:p w14:paraId="179F8D8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.42</w:t>
            </w:r>
          </w:p>
        </w:tc>
      </w:tr>
      <w:tr w:rsidR="000C34D0" w14:paraId="4B0D279F" w14:textId="77777777">
        <w:trPr>
          <w:trHeight w:val="13"/>
          <w:jc w:val="center"/>
        </w:trPr>
        <w:tc>
          <w:tcPr>
            <w:tcW w:w="1964" w:type="dxa"/>
            <w:gridSpan w:val="2"/>
            <w:vMerge/>
            <w:tcBorders>
              <w:tl2br w:val="nil"/>
              <w:tr2bl w:val="nil"/>
            </w:tcBorders>
            <w:vAlign w:val="center"/>
          </w:tcPr>
          <w:p w14:paraId="3B2CDEC3" w14:textId="77777777" w:rsidR="000C34D0" w:rsidRDefault="000C34D0" w:rsidP="000C34D0">
            <w:pPr>
              <w:widowControl/>
              <w:jc w:val="center"/>
              <w:rPr>
                <w:rFonts w:ascii="Times New Roman" w:eastAsia="宋体" w:hAnsi="Times New Roman" w:cs="Times New Roman"/>
                <w:szCs w:val="21"/>
              </w:rPr>
            </w:pPr>
          </w:p>
        </w:tc>
        <w:tc>
          <w:tcPr>
            <w:tcW w:w="5519" w:type="dxa"/>
            <w:gridSpan w:val="3"/>
            <w:tcBorders>
              <w:tl2br w:val="nil"/>
              <w:tr2bl w:val="nil"/>
            </w:tcBorders>
            <w:vAlign w:val="center"/>
          </w:tcPr>
          <w:p w14:paraId="436AA6C5" w14:textId="77777777" w:rsidR="000C34D0" w:rsidRDefault="000C34D0" w:rsidP="000C34D0">
            <w:pPr>
              <w:adjustRightInd w:val="0"/>
              <w:snapToGrid w:val="0"/>
              <w:jc w:val="center"/>
              <w:rPr>
                <w:rFonts w:ascii="Times New Roman" w:eastAsia="宋体" w:hAnsi="Times New Roman"/>
                <w:szCs w:val="21"/>
              </w:rPr>
            </w:pPr>
            <w:r>
              <w:rPr>
                <w:rFonts w:ascii="Times New Roman" w:eastAsia="宋体" w:hAnsi="Times New Roman"/>
                <w:szCs w:val="21"/>
              </w:rPr>
              <w:t>NH</w:t>
            </w:r>
            <w:r>
              <w:rPr>
                <w:rFonts w:ascii="Times New Roman" w:eastAsia="宋体" w:hAnsi="Times New Roman"/>
                <w:szCs w:val="21"/>
                <w:vertAlign w:val="subscript"/>
              </w:rPr>
              <w:t>3</w:t>
            </w:r>
          </w:p>
        </w:tc>
        <w:tc>
          <w:tcPr>
            <w:tcW w:w="1879" w:type="dxa"/>
            <w:tcBorders>
              <w:tl2br w:val="nil"/>
              <w:tr2bl w:val="nil"/>
            </w:tcBorders>
            <w:vAlign w:val="center"/>
          </w:tcPr>
          <w:p w14:paraId="6D8CBBCA" w14:textId="41518E7F" w:rsidR="000C34D0" w:rsidRDefault="000C34D0" w:rsidP="000C34D0">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.177</w:t>
            </w:r>
          </w:p>
        </w:tc>
      </w:tr>
      <w:tr w:rsidR="000C34D0" w14:paraId="2FEBACBB" w14:textId="77777777">
        <w:trPr>
          <w:trHeight w:val="13"/>
          <w:jc w:val="center"/>
        </w:trPr>
        <w:tc>
          <w:tcPr>
            <w:tcW w:w="1964" w:type="dxa"/>
            <w:gridSpan w:val="2"/>
            <w:vMerge/>
            <w:tcBorders>
              <w:tl2br w:val="nil"/>
              <w:tr2bl w:val="nil"/>
            </w:tcBorders>
            <w:vAlign w:val="center"/>
          </w:tcPr>
          <w:p w14:paraId="52B5E6B0" w14:textId="77777777" w:rsidR="000C34D0" w:rsidRDefault="000C34D0" w:rsidP="000C34D0">
            <w:pPr>
              <w:widowControl/>
              <w:jc w:val="center"/>
              <w:rPr>
                <w:rFonts w:ascii="Times New Roman" w:eastAsia="宋体" w:hAnsi="Times New Roman" w:cs="Times New Roman"/>
                <w:szCs w:val="21"/>
              </w:rPr>
            </w:pPr>
          </w:p>
        </w:tc>
        <w:tc>
          <w:tcPr>
            <w:tcW w:w="5519" w:type="dxa"/>
            <w:gridSpan w:val="3"/>
            <w:tcBorders>
              <w:tl2br w:val="nil"/>
              <w:tr2bl w:val="nil"/>
            </w:tcBorders>
            <w:vAlign w:val="center"/>
          </w:tcPr>
          <w:p w14:paraId="275FC54E" w14:textId="77777777" w:rsidR="000C34D0" w:rsidRDefault="000C34D0" w:rsidP="000C34D0">
            <w:pPr>
              <w:adjustRightInd w:val="0"/>
              <w:snapToGrid w:val="0"/>
              <w:jc w:val="center"/>
              <w:rPr>
                <w:rFonts w:ascii="Times New Roman" w:eastAsia="宋体" w:hAnsi="Times New Roman"/>
                <w:szCs w:val="21"/>
              </w:rPr>
            </w:pPr>
            <w:r>
              <w:rPr>
                <w:rFonts w:ascii="Times New Roman" w:eastAsia="宋体" w:hAnsi="Times New Roman"/>
                <w:szCs w:val="21"/>
              </w:rPr>
              <w:t>H</w:t>
            </w:r>
            <w:r>
              <w:rPr>
                <w:rFonts w:ascii="Times New Roman" w:eastAsia="宋体" w:hAnsi="Times New Roman"/>
                <w:szCs w:val="21"/>
                <w:vertAlign w:val="subscript"/>
              </w:rPr>
              <w:t>2</w:t>
            </w:r>
            <w:r>
              <w:rPr>
                <w:rFonts w:ascii="Times New Roman" w:eastAsia="宋体" w:hAnsi="Times New Roman"/>
                <w:szCs w:val="21"/>
              </w:rPr>
              <w:t>S</w:t>
            </w:r>
          </w:p>
        </w:tc>
        <w:tc>
          <w:tcPr>
            <w:tcW w:w="1879" w:type="dxa"/>
            <w:tcBorders>
              <w:tl2br w:val="nil"/>
              <w:tr2bl w:val="nil"/>
            </w:tcBorders>
            <w:vAlign w:val="center"/>
          </w:tcPr>
          <w:p w14:paraId="2021133C" w14:textId="21B26781" w:rsidR="000C34D0" w:rsidRDefault="000C34D0" w:rsidP="000C34D0">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.002</w:t>
            </w:r>
          </w:p>
        </w:tc>
      </w:tr>
      <w:tr w:rsidR="00D12939" w14:paraId="788BB5FC" w14:textId="77777777">
        <w:trPr>
          <w:trHeight w:val="13"/>
          <w:jc w:val="center"/>
        </w:trPr>
        <w:tc>
          <w:tcPr>
            <w:tcW w:w="9362" w:type="dxa"/>
            <w:gridSpan w:val="6"/>
            <w:tcBorders>
              <w:tl2br w:val="nil"/>
              <w:tr2bl w:val="nil"/>
            </w:tcBorders>
            <w:vAlign w:val="center"/>
          </w:tcPr>
          <w:p w14:paraId="7F4E43CB"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有组织排放总计</w:t>
            </w:r>
          </w:p>
        </w:tc>
      </w:tr>
      <w:tr w:rsidR="00D12939" w14:paraId="5FEBBB8B" w14:textId="77777777">
        <w:trPr>
          <w:trHeight w:val="13"/>
          <w:jc w:val="center"/>
        </w:trPr>
        <w:tc>
          <w:tcPr>
            <w:tcW w:w="1964" w:type="dxa"/>
            <w:gridSpan w:val="2"/>
            <w:vMerge w:val="restart"/>
            <w:tcBorders>
              <w:tl2br w:val="nil"/>
              <w:tr2bl w:val="nil"/>
            </w:tcBorders>
            <w:vAlign w:val="center"/>
          </w:tcPr>
          <w:p w14:paraId="22D16C79"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有组织排放总计</w:t>
            </w:r>
          </w:p>
        </w:tc>
        <w:tc>
          <w:tcPr>
            <w:tcW w:w="5519" w:type="dxa"/>
            <w:gridSpan w:val="3"/>
            <w:tcBorders>
              <w:tl2br w:val="nil"/>
              <w:tr2bl w:val="nil"/>
            </w:tcBorders>
            <w:vAlign w:val="center"/>
          </w:tcPr>
          <w:p w14:paraId="573B3566"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szCs w:val="21"/>
              </w:rPr>
              <w:t>SO</w:t>
            </w:r>
            <w:r>
              <w:rPr>
                <w:rFonts w:ascii="Times New Roman" w:eastAsia="宋体" w:hAnsi="Times New Roman"/>
                <w:szCs w:val="21"/>
                <w:vertAlign w:val="subscript"/>
              </w:rPr>
              <w:t>2</w:t>
            </w:r>
          </w:p>
        </w:tc>
        <w:tc>
          <w:tcPr>
            <w:tcW w:w="1879" w:type="dxa"/>
            <w:tcBorders>
              <w:tl2br w:val="nil"/>
              <w:tr2bl w:val="nil"/>
            </w:tcBorders>
            <w:vAlign w:val="center"/>
          </w:tcPr>
          <w:p w14:paraId="157C62E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.079</w:t>
            </w:r>
          </w:p>
        </w:tc>
      </w:tr>
      <w:tr w:rsidR="00D12939" w14:paraId="78581618" w14:textId="77777777">
        <w:trPr>
          <w:trHeight w:val="13"/>
          <w:jc w:val="center"/>
        </w:trPr>
        <w:tc>
          <w:tcPr>
            <w:tcW w:w="1964" w:type="dxa"/>
            <w:gridSpan w:val="2"/>
            <w:vMerge/>
            <w:tcBorders>
              <w:tl2br w:val="nil"/>
              <w:tr2bl w:val="nil"/>
            </w:tcBorders>
            <w:vAlign w:val="center"/>
          </w:tcPr>
          <w:p w14:paraId="7186AC18" w14:textId="77777777" w:rsidR="00D12939" w:rsidRDefault="00D12939">
            <w:pPr>
              <w:widowControl/>
              <w:jc w:val="center"/>
              <w:rPr>
                <w:rFonts w:ascii="Times New Roman" w:eastAsia="宋体" w:hAnsi="Times New Roman" w:cs="Times New Roman"/>
                <w:szCs w:val="21"/>
              </w:rPr>
            </w:pPr>
          </w:p>
        </w:tc>
        <w:tc>
          <w:tcPr>
            <w:tcW w:w="5519" w:type="dxa"/>
            <w:gridSpan w:val="3"/>
            <w:tcBorders>
              <w:tl2br w:val="nil"/>
              <w:tr2bl w:val="nil"/>
            </w:tcBorders>
            <w:vAlign w:val="center"/>
          </w:tcPr>
          <w:p w14:paraId="56850470"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hint="eastAsia"/>
                <w:szCs w:val="21"/>
              </w:rPr>
              <w:t>N</w:t>
            </w:r>
            <w:r>
              <w:rPr>
                <w:rFonts w:ascii="Times New Roman" w:eastAsia="宋体" w:hAnsi="Times New Roman"/>
                <w:szCs w:val="21"/>
              </w:rPr>
              <w:t>O</w:t>
            </w:r>
            <w:r>
              <w:rPr>
                <w:rFonts w:ascii="Times New Roman" w:eastAsia="宋体" w:hAnsi="Times New Roman"/>
                <w:szCs w:val="21"/>
                <w:vertAlign w:val="subscript"/>
              </w:rPr>
              <w:t>X</w:t>
            </w:r>
          </w:p>
        </w:tc>
        <w:tc>
          <w:tcPr>
            <w:tcW w:w="1879" w:type="dxa"/>
            <w:tcBorders>
              <w:tl2br w:val="nil"/>
              <w:tr2bl w:val="nil"/>
            </w:tcBorders>
            <w:vAlign w:val="center"/>
          </w:tcPr>
          <w:p w14:paraId="48080FE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.42</w:t>
            </w:r>
          </w:p>
        </w:tc>
      </w:tr>
      <w:tr w:rsidR="000C34D0" w14:paraId="1F455E1C" w14:textId="77777777">
        <w:trPr>
          <w:trHeight w:val="13"/>
          <w:jc w:val="center"/>
        </w:trPr>
        <w:tc>
          <w:tcPr>
            <w:tcW w:w="1964" w:type="dxa"/>
            <w:gridSpan w:val="2"/>
            <w:vMerge/>
            <w:tcBorders>
              <w:tl2br w:val="nil"/>
              <w:tr2bl w:val="nil"/>
            </w:tcBorders>
            <w:vAlign w:val="center"/>
          </w:tcPr>
          <w:p w14:paraId="6654817D" w14:textId="77777777" w:rsidR="000C34D0" w:rsidRDefault="000C34D0" w:rsidP="000C34D0">
            <w:pPr>
              <w:widowControl/>
              <w:jc w:val="center"/>
              <w:rPr>
                <w:rFonts w:ascii="Times New Roman" w:eastAsia="宋体" w:hAnsi="Times New Roman" w:cs="Times New Roman"/>
                <w:szCs w:val="21"/>
              </w:rPr>
            </w:pPr>
          </w:p>
        </w:tc>
        <w:tc>
          <w:tcPr>
            <w:tcW w:w="5519" w:type="dxa"/>
            <w:gridSpan w:val="3"/>
            <w:tcBorders>
              <w:tl2br w:val="nil"/>
              <w:tr2bl w:val="nil"/>
            </w:tcBorders>
            <w:vAlign w:val="center"/>
          </w:tcPr>
          <w:p w14:paraId="52F89278" w14:textId="77777777" w:rsidR="000C34D0" w:rsidRDefault="000C34D0" w:rsidP="000C34D0">
            <w:pPr>
              <w:adjustRightInd w:val="0"/>
              <w:snapToGrid w:val="0"/>
              <w:jc w:val="center"/>
              <w:rPr>
                <w:rFonts w:ascii="Times New Roman" w:eastAsia="宋体" w:hAnsi="Times New Roman"/>
                <w:szCs w:val="21"/>
              </w:rPr>
            </w:pPr>
            <w:r>
              <w:rPr>
                <w:rFonts w:ascii="Times New Roman" w:eastAsia="宋体" w:hAnsi="Times New Roman"/>
                <w:szCs w:val="21"/>
              </w:rPr>
              <w:t>NH</w:t>
            </w:r>
            <w:r>
              <w:rPr>
                <w:rFonts w:ascii="Times New Roman" w:eastAsia="宋体" w:hAnsi="Times New Roman"/>
                <w:szCs w:val="21"/>
                <w:vertAlign w:val="subscript"/>
              </w:rPr>
              <w:t>3</w:t>
            </w:r>
          </w:p>
        </w:tc>
        <w:tc>
          <w:tcPr>
            <w:tcW w:w="1879" w:type="dxa"/>
            <w:tcBorders>
              <w:tl2br w:val="nil"/>
              <w:tr2bl w:val="nil"/>
            </w:tcBorders>
            <w:vAlign w:val="center"/>
          </w:tcPr>
          <w:p w14:paraId="2517DB50" w14:textId="7DF1884B" w:rsidR="000C34D0" w:rsidRDefault="000C34D0" w:rsidP="000C34D0">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.177</w:t>
            </w:r>
          </w:p>
        </w:tc>
      </w:tr>
      <w:tr w:rsidR="000C34D0" w14:paraId="3B04F2EA" w14:textId="77777777">
        <w:trPr>
          <w:trHeight w:val="13"/>
          <w:jc w:val="center"/>
        </w:trPr>
        <w:tc>
          <w:tcPr>
            <w:tcW w:w="1964" w:type="dxa"/>
            <w:gridSpan w:val="2"/>
            <w:vMerge/>
            <w:tcBorders>
              <w:tl2br w:val="nil"/>
              <w:tr2bl w:val="nil"/>
            </w:tcBorders>
            <w:vAlign w:val="center"/>
          </w:tcPr>
          <w:p w14:paraId="43382E0A" w14:textId="77777777" w:rsidR="000C34D0" w:rsidRDefault="000C34D0" w:rsidP="000C34D0">
            <w:pPr>
              <w:widowControl/>
              <w:jc w:val="center"/>
              <w:rPr>
                <w:rFonts w:ascii="Times New Roman" w:eastAsia="宋体" w:hAnsi="Times New Roman" w:cs="Times New Roman"/>
                <w:szCs w:val="21"/>
              </w:rPr>
            </w:pPr>
          </w:p>
        </w:tc>
        <w:tc>
          <w:tcPr>
            <w:tcW w:w="5519" w:type="dxa"/>
            <w:gridSpan w:val="3"/>
            <w:tcBorders>
              <w:tl2br w:val="nil"/>
              <w:tr2bl w:val="nil"/>
            </w:tcBorders>
            <w:vAlign w:val="center"/>
          </w:tcPr>
          <w:p w14:paraId="5D4B159D" w14:textId="77777777" w:rsidR="000C34D0" w:rsidRDefault="000C34D0" w:rsidP="000C34D0">
            <w:pPr>
              <w:adjustRightInd w:val="0"/>
              <w:snapToGrid w:val="0"/>
              <w:jc w:val="center"/>
              <w:rPr>
                <w:rFonts w:ascii="Times New Roman" w:eastAsia="宋体" w:hAnsi="Times New Roman"/>
                <w:szCs w:val="21"/>
              </w:rPr>
            </w:pPr>
            <w:r>
              <w:rPr>
                <w:rFonts w:ascii="Times New Roman" w:eastAsia="宋体" w:hAnsi="Times New Roman"/>
                <w:szCs w:val="21"/>
              </w:rPr>
              <w:t>H</w:t>
            </w:r>
            <w:r>
              <w:rPr>
                <w:rFonts w:ascii="Times New Roman" w:eastAsia="宋体" w:hAnsi="Times New Roman"/>
                <w:szCs w:val="21"/>
                <w:vertAlign w:val="subscript"/>
              </w:rPr>
              <w:t>2</w:t>
            </w:r>
            <w:r>
              <w:rPr>
                <w:rFonts w:ascii="Times New Roman" w:eastAsia="宋体" w:hAnsi="Times New Roman"/>
                <w:szCs w:val="21"/>
              </w:rPr>
              <w:t>S</w:t>
            </w:r>
          </w:p>
        </w:tc>
        <w:tc>
          <w:tcPr>
            <w:tcW w:w="1879" w:type="dxa"/>
            <w:tcBorders>
              <w:tl2br w:val="nil"/>
              <w:tr2bl w:val="nil"/>
            </w:tcBorders>
            <w:vAlign w:val="center"/>
          </w:tcPr>
          <w:p w14:paraId="24891C07" w14:textId="3A19C686" w:rsidR="000C34D0" w:rsidRDefault="000C34D0" w:rsidP="000C34D0">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.002</w:t>
            </w:r>
          </w:p>
        </w:tc>
      </w:tr>
    </w:tbl>
    <w:p w14:paraId="47E7C197"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无组织排放量核算</w:t>
      </w:r>
    </w:p>
    <w:p w14:paraId="20FA9BBE" w14:textId="77777777" w:rsidR="00D12939" w:rsidRDefault="004F47F5">
      <w:pPr>
        <w:spacing w:line="360" w:lineRule="auto"/>
        <w:jc w:val="center"/>
        <w:rPr>
          <w:rFonts w:ascii="黑体" w:eastAsia="黑体" w:hAnsi="黑体"/>
          <w:bCs/>
          <w:sz w:val="24"/>
        </w:rPr>
      </w:pPr>
      <w:r>
        <w:rPr>
          <w:rFonts w:ascii="黑体" w:eastAsia="黑体" w:hAnsi="黑体" w:hint="eastAsia"/>
          <w:bCs/>
          <w:sz w:val="24"/>
        </w:rPr>
        <w:t>表</w:t>
      </w:r>
      <w:r>
        <w:rPr>
          <w:rFonts w:ascii="黑体" w:eastAsia="黑体" w:hAnsi="黑体"/>
          <w:bCs/>
          <w:sz w:val="24"/>
        </w:rPr>
        <w:t>7.1-11</w:t>
      </w:r>
      <w:r>
        <w:rPr>
          <w:rFonts w:ascii="黑体" w:eastAsia="黑体" w:hAnsi="黑体" w:hint="eastAsia"/>
          <w:bCs/>
          <w:sz w:val="24"/>
        </w:rPr>
        <w:t xml:space="preserve"> </w:t>
      </w:r>
      <w:r>
        <w:rPr>
          <w:rFonts w:ascii="黑体" w:eastAsia="黑体" w:hAnsi="黑体"/>
          <w:bCs/>
          <w:sz w:val="24"/>
        </w:rPr>
        <w:t xml:space="preserve"> </w:t>
      </w:r>
      <w:r>
        <w:rPr>
          <w:rFonts w:ascii="黑体" w:eastAsia="黑体" w:hAnsi="黑体" w:hint="eastAsia"/>
          <w:bCs/>
          <w:sz w:val="24"/>
        </w:rPr>
        <w:t>大气污染物无组织排放量核算表</w:t>
      </w:r>
    </w:p>
    <w:tbl>
      <w:tblPr>
        <w:tblW w:w="94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99"/>
        <w:gridCol w:w="804"/>
        <w:gridCol w:w="1140"/>
        <w:gridCol w:w="962"/>
        <w:gridCol w:w="1120"/>
        <w:gridCol w:w="2401"/>
        <w:gridCol w:w="1280"/>
        <w:gridCol w:w="1176"/>
      </w:tblGrid>
      <w:tr w:rsidR="00D12939" w14:paraId="0A1FB454" w14:textId="77777777">
        <w:trPr>
          <w:trHeight w:val="231"/>
          <w:jc w:val="center"/>
        </w:trPr>
        <w:tc>
          <w:tcPr>
            <w:tcW w:w="599" w:type="dxa"/>
            <w:vMerge w:val="restart"/>
            <w:tcBorders>
              <w:tl2br w:val="nil"/>
              <w:tr2bl w:val="nil"/>
            </w:tcBorders>
            <w:vAlign w:val="center"/>
          </w:tcPr>
          <w:p w14:paraId="4935925A"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序号</w:t>
            </w:r>
          </w:p>
        </w:tc>
        <w:tc>
          <w:tcPr>
            <w:tcW w:w="804" w:type="dxa"/>
            <w:vMerge w:val="restart"/>
            <w:tcBorders>
              <w:tl2br w:val="nil"/>
              <w:tr2bl w:val="nil"/>
            </w:tcBorders>
            <w:vAlign w:val="center"/>
          </w:tcPr>
          <w:p w14:paraId="273C67BB"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排放口编号</w:t>
            </w:r>
          </w:p>
        </w:tc>
        <w:tc>
          <w:tcPr>
            <w:tcW w:w="1140" w:type="dxa"/>
            <w:vMerge w:val="restart"/>
            <w:tcBorders>
              <w:tl2br w:val="nil"/>
              <w:tr2bl w:val="nil"/>
            </w:tcBorders>
            <w:vAlign w:val="center"/>
          </w:tcPr>
          <w:p w14:paraId="53642D06"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产污环节</w:t>
            </w:r>
          </w:p>
        </w:tc>
        <w:tc>
          <w:tcPr>
            <w:tcW w:w="962" w:type="dxa"/>
            <w:vMerge w:val="restart"/>
            <w:tcBorders>
              <w:tl2br w:val="nil"/>
              <w:tr2bl w:val="nil"/>
            </w:tcBorders>
            <w:vAlign w:val="center"/>
          </w:tcPr>
          <w:p w14:paraId="452032F2"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污染物</w:t>
            </w:r>
          </w:p>
        </w:tc>
        <w:tc>
          <w:tcPr>
            <w:tcW w:w="1120" w:type="dxa"/>
            <w:vMerge w:val="restart"/>
            <w:tcBorders>
              <w:tl2br w:val="nil"/>
              <w:tr2bl w:val="nil"/>
            </w:tcBorders>
            <w:vAlign w:val="center"/>
          </w:tcPr>
          <w:p w14:paraId="7F4F39BD"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主要污染防治措施</w:t>
            </w:r>
          </w:p>
        </w:tc>
        <w:tc>
          <w:tcPr>
            <w:tcW w:w="3681" w:type="dxa"/>
            <w:gridSpan w:val="2"/>
            <w:tcBorders>
              <w:tl2br w:val="nil"/>
              <w:tr2bl w:val="nil"/>
            </w:tcBorders>
            <w:vAlign w:val="center"/>
          </w:tcPr>
          <w:p w14:paraId="1D6700F9"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国家或地方污染物排放标准</w:t>
            </w:r>
          </w:p>
        </w:tc>
        <w:tc>
          <w:tcPr>
            <w:tcW w:w="1176" w:type="dxa"/>
            <w:vMerge w:val="restart"/>
            <w:tcBorders>
              <w:tl2br w:val="nil"/>
              <w:tr2bl w:val="nil"/>
            </w:tcBorders>
            <w:vAlign w:val="center"/>
          </w:tcPr>
          <w:p w14:paraId="139D06EF"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年排放量</w:t>
            </w:r>
            <w:r>
              <w:rPr>
                <w:rFonts w:ascii="Times New Roman" w:eastAsia="宋体" w:hAnsi="Times New Roman" w:cs="Times New Roman"/>
                <w:b/>
                <w:bCs/>
                <w:sz w:val="18"/>
                <w:szCs w:val="18"/>
              </w:rPr>
              <w:t>/</w:t>
            </w:r>
            <w:r>
              <w:rPr>
                <w:rFonts w:ascii="Times New Roman" w:eastAsia="宋体" w:hAnsi="Times New Roman" w:cs="Times New Roman"/>
                <w:b/>
                <w:bCs/>
                <w:sz w:val="18"/>
                <w:szCs w:val="18"/>
              </w:rPr>
              <w:t>（</w:t>
            </w:r>
            <w:r>
              <w:rPr>
                <w:rFonts w:ascii="Times New Roman" w:eastAsia="宋体" w:hAnsi="Times New Roman" w:cs="Times New Roman"/>
                <w:b/>
                <w:bCs/>
                <w:sz w:val="18"/>
                <w:szCs w:val="18"/>
              </w:rPr>
              <w:t>t/a</w:t>
            </w:r>
            <w:r>
              <w:rPr>
                <w:rFonts w:ascii="Times New Roman" w:eastAsia="宋体" w:hAnsi="Times New Roman" w:cs="Times New Roman"/>
                <w:b/>
                <w:bCs/>
                <w:sz w:val="18"/>
                <w:szCs w:val="18"/>
              </w:rPr>
              <w:t>）</w:t>
            </w:r>
          </w:p>
        </w:tc>
      </w:tr>
      <w:tr w:rsidR="00D12939" w14:paraId="27C2F536" w14:textId="77777777">
        <w:trPr>
          <w:trHeight w:val="317"/>
          <w:jc w:val="center"/>
        </w:trPr>
        <w:tc>
          <w:tcPr>
            <w:tcW w:w="599" w:type="dxa"/>
            <w:vMerge/>
            <w:tcBorders>
              <w:tl2br w:val="nil"/>
              <w:tr2bl w:val="nil"/>
            </w:tcBorders>
            <w:vAlign w:val="center"/>
          </w:tcPr>
          <w:p w14:paraId="7D55A226" w14:textId="77777777" w:rsidR="00D12939" w:rsidRDefault="00D12939">
            <w:pPr>
              <w:widowControl/>
              <w:jc w:val="center"/>
              <w:rPr>
                <w:rFonts w:ascii="Times New Roman" w:eastAsia="宋体" w:hAnsi="Times New Roman" w:cs="Times New Roman"/>
                <w:sz w:val="18"/>
                <w:szCs w:val="18"/>
              </w:rPr>
            </w:pPr>
          </w:p>
        </w:tc>
        <w:tc>
          <w:tcPr>
            <w:tcW w:w="804" w:type="dxa"/>
            <w:vMerge/>
            <w:tcBorders>
              <w:tl2br w:val="nil"/>
              <w:tr2bl w:val="nil"/>
            </w:tcBorders>
            <w:vAlign w:val="center"/>
          </w:tcPr>
          <w:p w14:paraId="593A8F61" w14:textId="77777777" w:rsidR="00D12939" w:rsidRDefault="00D12939">
            <w:pPr>
              <w:widowControl/>
              <w:jc w:val="center"/>
              <w:rPr>
                <w:rFonts w:ascii="Times New Roman" w:eastAsia="宋体" w:hAnsi="Times New Roman" w:cs="Times New Roman"/>
                <w:sz w:val="18"/>
                <w:szCs w:val="18"/>
              </w:rPr>
            </w:pPr>
          </w:p>
        </w:tc>
        <w:tc>
          <w:tcPr>
            <w:tcW w:w="1140" w:type="dxa"/>
            <w:vMerge/>
            <w:tcBorders>
              <w:tl2br w:val="nil"/>
              <w:tr2bl w:val="nil"/>
            </w:tcBorders>
            <w:vAlign w:val="center"/>
          </w:tcPr>
          <w:p w14:paraId="369B5494" w14:textId="77777777" w:rsidR="00D12939" w:rsidRDefault="00D12939">
            <w:pPr>
              <w:widowControl/>
              <w:jc w:val="center"/>
              <w:rPr>
                <w:rFonts w:ascii="Times New Roman" w:eastAsia="宋体" w:hAnsi="Times New Roman" w:cs="Times New Roman"/>
                <w:sz w:val="18"/>
                <w:szCs w:val="18"/>
              </w:rPr>
            </w:pPr>
          </w:p>
        </w:tc>
        <w:tc>
          <w:tcPr>
            <w:tcW w:w="962" w:type="dxa"/>
            <w:vMerge/>
            <w:tcBorders>
              <w:tl2br w:val="nil"/>
              <w:tr2bl w:val="nil"/>
            </w:tcBorders>
            <w:vAlign w:val="center"/>
          </w:tcPr>
          <w:p w14:paraId="00089187" w14:textId="77777777" w:rsidR="00D12939" w:rsidRDefault="00D12939">
            <w:pPr>
              <w:widowControl/>
              <w:jc w:val="center"/>
              <w:rPr>
                <w:rFonts w:ascii="Times New Roman" w:eastAsia="宋体" w:hAnsi="Times New Roman" w:cs="Times New Roman"/>
                <w:sz w:val="18"/>
                <w:szCs w:val="18"/>
              </w:rPr>
            </w:pPr>
          </w:p>
        </w:tc>
        <w:tc>
          <w:tcPr>
            <w:tcW w:w="1120" w:type="dxa"/>
            <w:vMerge/>
            <w:tcBorders>
              <w:tl2br w:val="nil"/>
              <w:tr2bl w:val="nil"/>
            </w:tcBorders>
            <w:vAlign w:val="center"/>
          </w:tcPr>
          <w:p w14:paraId="63C3A0C3" w14:textId="77777777" w:rsidR="00D12939" w:rsidRDefault="00D12939">
            <w:pPr>
              <w:widowControl/>
              <w:jc w:val="center"/>
              <w:rPr>
                <w:rFonts w:ascii="Times New Roman" w:eastAsia="宋体" w:hAnsi="Times New Roman" w:cs="Times New Roman"/>
                <w:sz w:val="18"/>
                <w:szCs w:val="18"/>
              </w:rPr>
            </w:pPr>
          </w:p>
        </w:tc>
        <w:tc>
          <w:tcPr>
            <w:tcW w:w="2401" w:type="dxa"/>
            <w:tcBorders>
              <w:tl2br w:val="nil"/>
              <w:tr2bl w:val="nil"/>
            </w:tcBorders>
            <w:vAlign w:val="center"/>
          </w:tcPr>
          <w:p w14:paraId="62FB45EF"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标准名称</w:t>
            </w:r>
          </w:p>
        </w:tc>
        <w:tc>
          <w:tcPr>
            <w:tcW w:w="1280" w:type="dxa"/>
            <w:tcBorders>
              <w:tl2br w:val="nil"/>
              <w:tr2bl w:val="nil"/>
            </w:tcBorders>
            <w:vAlign w:val="center"/>
          </w:tcPr>
          <w:p w14:paraId="5CB6DB48" w14:textId="77777777" w:rsidR="00D12939" w:rsidRDefault="004F47F5">
            <w:pPr>
              <w:widowControl/>
              <w:jc w:val="center"/>
              <w:rPr>
                <w:rFonts w:ascii="Times New Roman" w:eastAsia="宋体" w:hAnsi="Times New Roman" w:cs="Times New Roman"/>
                <w:b/>
                <w:bCs/>
                <w:sz w:val="18"/>
                <w:szCs w:val="18"/>
              </w:rPr>
            </w:pPr>
            <w:r>
              <w:rPr>
                <w:rFonts w:ascii="Times New Roman" w:eastAsia="宋体" w:hAnsi="Times New Roman" w:cs="Times New Roman"/>
                <w:b/>
                <w:bCs/>
                <w:sz w:val="18"/>
                <w:szCs w:val="18"/>
              </w:rPr>
              <w:t>浓度限</w:t>
            </w:r>
            <w:r>
              <w:rPr>
                <w:rFonts w:ascii="Times New Roman" w:eastAsia="宋体" w:hAnsi="Times New Roman" w:cs="Times New Roman"/>
                <w:b/>
                <w:bCs/>
                <w:sz w:val="18"/>
                <w:szCs w:val="18"/>
              </w:rPr>
              <w:t>/</w:t>
            </w:r>
            <w:r>
              <w:rPr>
                <w:rFonts w:ascii="Times New Roman" w:eastAsia="宋体" w:hAnsi="Times New Roman" w:cs="Times New Roman"/>
                <w:b/>
                <w:bCs/>
                <w:sz w:val="18"/>
                <w:szCs w:val="18"/>
              </w:rPr>
              <w:t>（</w:t>
            </w:r>
            <w:r>
              <w:rPr>
                <w:rFonts w:ascii="Times New Roman" w:eastAsia="宋体" w:hAnsi="Times New Roman" w:cs="Times New Roman"/>
                <w:b/>
                <w:bCs/>
                <w:sz w:val="18"/>
                <w:szCs w:val="18"/>
              </w:rPr>
              <w:t>µg/m</w:t>
            </w:r>
            <w:r>
              <w:rPr>
                <w:rFonts w:ascii="Times New Roman" w:eastAsia="宋体" w:hAnsi="Times New Roman" w:cs="Times New Roman"/>
                <w:b/>
                <w:bCs/>
                <w:sz w:val="18"/>
                <w:szCs w:val="18"/>
                <w:vertAlign w:val="superscript"/>
              </w:rPr>
              <w:t>3</w:t>
            </w:r>
            <w:r>
              <w:rPr>
                <w:rFonts w:ascii="Times New Roman" w:eastAsia="宋体" w:hAnsi="Times New Roman" w:cs="Times New Roman"/>
                <w:b/>
                <w:bCs/>
                <w:sz w:val="18"/>
                <w:szCs w:val="18"/>
              </w:rPr>
              <w:t>）</w:t>
            </w:r>
          </w:p>
        </w:tc>
        <w:tc>
          <w:tcPr>
            <w:tcW w:w="1176" w:type="dxa"/>
            <w:vMerge/>
            <w:tcBorders>
              <w:tl2br w:val="nil"/>
              <w:tr2bl w:val="nil"/>
            </w:tcBorders>
            <w:vAlign w:val="center"/>
          </w:tcPr>
          <w:p w14:paraId="6E0743DA" w14:textId="77777777" w:rsidR="00D12939" w:rsidRDefault="00D12939">
            <w:pPr>
              <w:widowControl/>
              <w:jc w:val="center"/>
              <w:rPr>
                <w:rFonts w:ascii="Times New Roman" w:eastAsia="宋体" w:hAnsi="Times New Roman" w:cs="Times New Roman"/>
                <w:b/>
                <w:bCs/>
                <w:sz w:val="18"/>
                <w:szCs w:val="18"/>
              </w:rPr>
            </w:pPr>
          </w:p>
        </w:tc>
      </w:tr>
      <w:tr w:rsidR="00D12939" w14:paraId="2E7525D3" w14:textId="77777777">
        <w:trPr>
          <w:trHeight w:val="343"/>
          <w:jc w:val="center"/>
        </w:trPr>
        <w:tc>
          <w:tcPr>
            <w:tcW w:w="599" w:type="dxa"/>
            <w:vMerge w:val="restart"/>
            <w:tcBorders>
              <w:tl2br w:val="nil"/>
              <w:tr2bl w:val="nil"/>
            </w:tcBorders>
            <w:vAlign w:val="center"/>
          </w:tcPr>
          <w:p w14:paraId="7D45EB8F"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1</w:t>
            </w:r>
          </w:p>
        </w:tc>
        <w:tc>
          <w:tcPr>
            <w:tcW w:w="804" w:type="dxa"/>
            <w:vMerge w:val="restart"/>
            <w:tcBorders>
              <w:tl2br w:val="nil"/>
              <w:tr2bl w:val="nil"/>
            </w:tcBorders>
            <w:vAlign w:val="center"/>
          </w:tcPr>
          <w:p w14:paraId="7E6AD012"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无组织</w:t>
            </w:r>
          </w:p>
        </w:tc>
        <w:tc>
          <w:tcPr>
            <w:tcW w:w="1140" w:type="dxa"/>
            <w:vMerge w:val="restart"/>
            <w:tcBorders>
              <w:tl2br w:val="nil"/>
              <w:tr2bl w:val="nil"/>
            </w:tcBorders>
            <w:vAlign w:val="center"/>
          </w:tcPr>
          <w:p w14:paraId="62BD3DF2" w14:textId="77777777" w:rsidR="00D12939" w:rsidRDefault="004F47F5">
            <w:pPr>
              <w:adjustRightInd w:val="0"/>
              <w:snapToGrid w:val="0"/>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填埋场（非点燃状态）</w:t>
            </w:r>
          </w:p>
        </w:tc>
        <w:tc>
          <w:tcPr>
            <w:tcW w:w="962" w:type="dxa"/>
            <w:tcBorders>
              <w:tl2br w:val="nil"/>
              <w:tr2bl w:val="nil"/>
            </w:tcBorders>
            <w:vAlign w:val="center"/>
          </w:tcPr>
          <w:p w14:paraId="10FE4D0D"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NH</w:t>
            </w:r>
            <w:r>
              <w:rPr>
                <w:rFonts w:ascii="Times New Roman" w:eastAsia="宋体" w:hAnsi="Times New Roman"/>
                <w:sz w:val="18"/>
                <w:szCs w:val="18"/>
                <w:vertAlign w:val="subscript"/>
              </w:rPr>
              <w:t>3</w:t>
            </w:r>
          </w:p>
        </w:tc>
        <w:tc>
          <w:tcPr>
            <w:tcW w:w="1120" w:type="dxa"/>
            <w:vMerge w:val="restart"/>
            <w:tcBorders>
              <w:tl2br w:val="nil"/>
              <w:tr2bl w:val="nil"/>
            </w:tcBorders>
            <w:vAlign w:val="center"/>
          </w:tcPr>
          <w:p w14:paraId="06DEA0ED"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喷洒除臭剂</w:t>
            </w:r>
          </w:p>
        </w:tc>
        <w:tc>
          <w:tcPr>
            <w:tcW w:w="2401" w:type="dxa"/>
            <w:vMerge w:val="restart"/>
            <w:tcBorders>
              <w:tl2br w:val="nil"/>
              <w:tr2bl w:val="nil"/>
            </w:tcBorders>
            <w:vAlign w:val="center"/>
          </w:tcPr>
          <w:p w14:paraId="25D0563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hint="eastAsia"/>
                <w:kern w:val="0"/>
                <w:sz w:val="18"/>
                <w:szCs w:val="18"/>
              </w:rPr>
              <w:t>《恶臭污染物排放标准》（</w:t>
            </w:r>
            <w:r>
              <w:rPr>
                <w:rFonts w:ascii="Times New Roman" w:eastAsia="宋体" w:hAnsi="Times New Roman"/>
                <w:kern w:val="0"/>
                <w:sz w:val="18"/>
                <w:szCs w:val="18"/>
              </w:rPr>
              <w:t>GB14554-93</w:t>
            </w:r>
            <w:r>
              <w:rPr>
                <w:rFonts w:ascii="Times New Roman" w:eastAsia="宋体" w:hAnsi="Times New Roman"/>
                <w:kern w:val="0"/>
                <w:sz w:val="18"/>
                <w:szCs w:val="18"/>
              </w:rPr>
              <w:t>）表</w:t>
            </w:r>
            <w:r>
              <w:rPr>
                <w:rFonts w:ascii="Times New Roman" w:eastAsia="宋体" w:hAnsi="Times New Roman"/>
                <w:kern w:val="0"/>
                <w:sz w:val="18"/>
                <w:szCs w:val="18"/>
              </w:rPr>
              <w:t>1</w:t>
            </w:r>
            <w:r>
              <w:rPr>
                <w:rFonts w:ascii="Times New Roman" w:eastAsia="宋体" w:hAnsi="Times New Roman"/>
                <w:kern w:val="0"/>
                <w:sz w:val="18"/>
                <w:szCs w:val="18"/>
              </w:rPr>
              <w:t>中二级新扩改建厂界标准</w:t>
            </w:r>
          </w:p>
        </w:tc>
        <w:tc>
          <w:tcPr>
            <w:tcW w:w="1280" w:type="dxa"/>
            <w:tcBorders>
              <w:tl2br w:val="nil"/>
              <w:tr2bl w:val="nil"/>
            </w:tcBorders>
            <w:vAlign w:val="center"/>
          </w:tcPr>
          <w:p w14:paraId="4488B667" w14:textId="77777777" w:rsidR="00D12939" w:rsidRDefault="004F47F5">
            <w:pPr>
              <w:adjustRightInd w:val="0"/>
              <w:snapToGrid w:val="0"/>
              <w:jc w:val="center"/>
              <w:rPr>
                <w:rFonts w:ascii="Times New Roman" w:hAnsi="Times New Roman" w:cs="Times New Roman"/>
                <w:bCs/>
                <w:sz w:val="18"/>
                <w:szCs w:val="18"/>
              </w:rPr>
            </w:pPr>
            <w:r>
              <w:rPr>
                <w:rFonts w:ascii="Times New Roman" w:hAnsi="Times New Roman" w:cs="Times New Roman"/>
                <w:bCs/>
                <w:sz w:val="18"/>
                <w:szCs w:val="18"/>
              </w:rPr>
              <w:t>1500</w:t>
            </w:r>
          </w:p>
        </w:tc>
        <w:tc>
          <w:tcPr>
            <w:tcW w:w="1176" w:type="dxa"/>
            <w:tcBorders>
              <w:tl2br w:val="nil"/>
              <w:tr2bl w:val="nil"/>
            </w:tcBorders>
            <w:vAlign w:val="center"/>
          </w:tcPr>
          <w:p w14:paraId="4BCA6442"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0</w:t>
            </w:r>
            <w:r>
              <w:rPr>
                <w:rFonts w:ascii="Times New Roman" w:eastAsia="宋体" w:hAnsi="Times New Roman" w:cs="Times New Roman"/>
                <w:sz w:val="18"/>
                <w:szCs w:val="18"/>
              </w:rPr>
              <w:t>.053</w:t>
            </w:r>
          </w:p>
        </w:tc>
      </w:tr>
      <w:tr w:rsidR="00D12939" w14:paraId="6FD8429B" w14:textId="77777777">
        <w:trPr>
          <w:trHeight w:val="14"/>
          <w:jc w:val="center"/>
        </w:trPr>
        <w:tc>
          <w:tcPr>
            <w:tcW w:w="599" w:type="dxa"/>
            <w:vMerge/>
            <w:tcBorders>
              <w:tl2br w:val="nil"/>
              <w:tr2bl w:val="nil"/>
            </w:tcBorders>
            <w:vAlign w:val="center"/>
          </w:tcPr>
          <w:p w14:paraId="5F38CE11" w14:textId="77777777" w:rsidR="00D12939" w:rsidRDefault="00D12939">
            <w:pPr>
              <w:widowControl/>
              <w:jc w:val="center"/>
              <w:rPr>
                <w:rFonts w:ascii="Times New Roman" w:eastAsia="宋体" w:hAnsi="Times New Roman" w:cs="Times New Roman"/>
                <w:sz w:val="18"/>
                <w:szCs w:val="18"/>
              </w:rPr>
            </w:pPr>
          </w:p>
        </w:tc>
        <w:tc>
          <w:tcPr>
            <w:tcW w:w="804" w:type="dxa"/>
            <w:vMerge/>
            <w:tcBorders>
              <w:tl2br w:val="nil"/>
              <w:tr2bl w:val="nil"/>
            </w:tcBorders>
            <w:vAlign w:val="center"/>
          </w:tcPr>
          <w:p w14:paraId="214647C8" w14:textId="77777777" w:rsidR="00D12939" w:rsidRDefault="00D12939">
            <w:pPr>
              <w:widowControl/>
              <w:jc w:val="center"/>
              <w:rPr>
                <w:rFonts w:ascii="Times New Roman" w:eastAsia="宋体" w:hAnsi="Times New Roman" w:cs="Times New Roman"/>
                <w:sz w:val="18"/>
                <w:szCs w:val="18"/>
              </w:rPr>
            </w:pPr>
          </w:p>
        </w:tc>
        <w:tc>
          <w:tcPr>
            <w:tcW w:w="1140" w:type="dxa"/>
            <w:vMerge/>
            <w:tcBorders>
              <w:tl2br w:val="nil"/>
              <w:tr2bl w:val="nil"/>
            </w:tcBorders>
            <w:vAlign w:val="center"/>
          </w:tcPr>
          <w:p w14:paraId="203C82D3" w14:textId="77777777" w:rsidR="00D12939" w:rsidRDefault="00D12939">
            <w:pPr>
              <w:adjustRightInd w:val="0"/>
              <w:snapToGrid w:val="0"/>
              <w:jc w:val="center"/>
              <w:rPr>
                <w:rFonts w:ascii="Times New Roman" w:eastAsia="宋体" w:hAnsi="Times New Roman" w:cs="Times New Roman"/>
                <w:sz w:val="18"/>
                <w:szCs w:val="18"/>
              </w:rPr>
            </w:pPr>
          </w:p>
        </w:tc>
        <w:tc>
          <w:tcPr>
            <w:tcW w:w="962" w:type="dxa"/>
            <w:tcBorders>
              <w:tl2br w:val="nil"/>
              <w:tr2bl w:val="nil"/>
            </w:tcBorders>
            <w:vAlign w:val="center"/>
          </w:tcPr>
          <w:p w14:paraId="4C7390D9"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H</w:t>
            </w:r>
            <w:r>
              <w:rPr>
                <w:rFonts w:ascii="Times New Roman" w:eastAsia="宋体" w:hAnsi="Times New Roman"/>
                <w:sz w:val="18"/>
                <w:szCs w:val="18"/>
                <w:vertAlign w:val="subscript"/>
              </w:rPr>
              <w:t>2</w:t>
            </w:r>
            <w:r>
              <w:rPr>
                <w:rFonts w:ascii="Times New Roman" w:eastAsia="宋体" w:hAnsi="Times New Roman"/>
                <w:sz w:val="18"/>
                <w:szCs w:val="18"/>
              </w:rPr>
              <w:t>S</w:t>
            </w:r>
          </w:p>
        </w:tc>
        <w:tc>
          <w:tcPr>
            <w:tcW w:w="1120" w:type="dxa"/>
            <w:vMerge/>
            <w:tcBorders>
              <w:tl2br w:val="nil"/>
              <w:tr2bl w:val="nil"/>
            </w:tcBorders>
            <w:vAlign w:val="center"/>
          </w:tcPr>
          <w:p w14:paraId="0888B784" w14:textId="77777777" w:rsidR="00D12939" w:rsidRDefault="00D12939">
            <w:pPr>
              <w:jc w:val="center"/>
              <w:rPr>
                <w:rFonts w:ascii="Times New Roman" w:eastAsia="宋体" w:hAnsi="Times New Roman" w:cs="Times New Roman"/>
                <w:sz w:val="18"/>
                <w:szCs w:val="18"/>
              </w:rPr>
            </w:pPr>
          </w:p>
        </w:tc>
        <w:tc>
          <w:tcPr>
            <w:tcW w:w="2401" w:type="dxa"/>
            <w:vMerge/>
            <w:tcBorders>
              <w:tl2br w:val="nil"/>
              <w:tr2bl w:val="nil"/>
            </w:tcBorders>
            <w:vAlign w:val="center"/>
          </w:tcPr>
          <w:p w14:paraId="7FF4FEE4" w14:textId="77777777" w:rsidR="00D12939" w:rsidRDefault="00D12939">
            <w:pPr>
              <w:jc w:val="center"/>
              <w:rPr>
                <w:rFonts w:ascii="Times New Roman" w:eastAsia="宋体" w:hAnsi="Times New Roman" w:cs="Times New Roman"/>
                <w:sz w:val="18"/>
                <w:szCs w:val="18"/>
              </w:rPr>
            </w:pPr>
          </w:p>
        </w:tc>
        <w:tc>
          <w:tcPr>
            <w:tcW w:w="1280" w:type="dxa"/>
            <w:tcBorders>
              <w:tl2br w:val="nil"/>
              <w:tr2bl w:val="nil"/>
            </w:tcBorders>
            <w:vAlign w:val="center"/>
          </w:tcPr>
          <w:p w14:paraId="74E37D04" w14:textId="77777777" w:rsidR="00D12939" w:rsidRDefault="004F47F5">
            <w:pPr>
              <w:adjustRightInd w:val="0"/>
              <w:snapToGrid w:val="0"/>
              <w:jc w:val="center"/>
              <w:rPr>
                <w:rFonts w:ascii="Times New Roman" w:hAnsi="Times New Roman" w:cs="Times New Roman"/>
                <w:bCs/>
                <w:sz w:val="18"/>
                <w:szCs w:val="18"/>
              </w:rPr>
            </w:pPr>
            <w:r>
              <w:rPr>
                <w:rFonts w:ascii="Times New Roman" w:hAnsi="Times New Roman" w:cs="Times New Roman"/>
                <w:bCs/>
                <w:sz w:val="18"/>
                <w:szCs w:val="18"/>
              </w:rPr>
              <w:t>60</w:t>
            </w:r>
          </w:p>
        </w:tc>
        <w:tc>
          <w:tcPr>
            <w:tcW w:w="1176" w:type="dxa"/>
            <w:tcBorders>
              <w:tl2br w:val="nil"/>
              <w:tr2bl w:val="nil"/>
            </w:tcBorders>
            <w:vAlign w:val="center"/>
          </w:tcPr>
          <w:p w14:paraId="563FFCF6"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0</w:t>
            </w:r>
            <w:r>
              <w:rPr>
                <w:rFonts w:ascii="Times New Roman" w:eastAsia="宋体" w:hAnsi="Times New Roman" w:cs="Times New Roman"/>
                <w:sz w:val="18"/>
                <w:szCs w:val="18"/>
              </w:rPr>
              <w:t>.88</w:t>
            </w:r>
          </w:p>
        </w:tc>
      </w:tr>
      <w:tr w:rsidR="00D12939" w14:paraId="41E69399" w14:textId="77777777">
        <w:trPr>
          <w:trHeight w:val="14"/>
          <w:jc w:val="center"/>
        </w:trPr>
        <w:tc>
          <w:tcPr>
            <w:tcW w:w="599" w:type="dxa"/>
            <w:vMerge w:val="restart"/>
            <w:tcBorders>
              <w:tl2br w:val="nil"/>
              <w:tr2bl w:val="nil"/>
            </w:tcBorders>
            <w:vAlign w:val="center"/>
          </w:tcPr>
          <w:p w14:paraId="56801AF6"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2</w:t>
            </w:r>
          </w:p>
        </w:tc>
        <w:tc>
          <w:tcPr>
            <w:tcW w:w="804" w:type="dxa"/>
            <w:vMerge/>
            <w:tcBorders>
              <w:tl2br w:val="nil"/>
              <w:tr2bl w:val="nil"/>
            </w:tcBorders>
            <w:vAlign w:val="center"/>
          </w:tcPr>
          <w:p w14:paraId="0B972384" w14:textId="77777777" w:rsidR="00D12939" w:rsidRDefault="00D12939">
            <w:pPr>
              <w:widowControl/>
              <w:jc w:val="center"/>
              <w:rPr>
                <w:rFonts w:ascii="Times New Roman" w:eastAsia="宋体" w:hAnsi="Times New Roman" w:cs="Times New Roman"/>
                <w:sz w:val="18"/>
                <w:szCs w:val="18"/>
              </w:rPr>
            </w:pPr>
          </w:p>
        </w:tc>
        <w:tc>
          <w:tcPr>
            <w:tcW w:w="1140" w:type="dxa"/>
            <w:vMerge w:val="restart"/>
            <w:tcBorders>
              <w:tl2br w:val="nil"/>
              <w:tr2bl w:val="nil"/>
            </w:tcBorders>
            <w:vAlign w:val="center"/>
          </w:tcPr>
          <w:p w14:paraId="403A31C1" w14:textId="77777777" w:rsidR="00D12939" w:rsidRDefault="004F47F5">
            <w:pPr>
              <w:adjustRightInd w:val="0"/>
              <w:snapToGrid w:val="0"/>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填埋场（点燃状态）</w:t>
            </w:r>
          </w:p>
        </w:tc>
        <w:tc>
          <w:tcPr>
            <w:tcW w:w="962" w:type="dxa"/>
            <w:tcBorders>
              <w:tl2br w:val="nil"/>
              <w:tr2bl w:val="nil"/>
            </w:tcBorders>
            <w:vAlign w:val="center"/>
          </w:tcPr>
          <w:p w14:paraId="139398CD"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NH</w:t>
            </w:r>
            <w:r>
              <w:rPr>
                <w:rFonts w:ascii="Times New Roman" w:eastAsia="宋体" w:hAnsi="Times New Roman"/>
                <w:sz w:val="18"/>
                <w:szCs w:val="18"/>
                <w:vertAlign w:val="subscript"/>
              </w:rPr>
              <w:t>3</w:t>
            </w:r>
          </w:p>
        </w:tc>
        <w:tc>
          <w:tcPr>
            <w:tcW w:w="1120" w:type="dxa"/>
            <w:vMerge w:val="restart"/>
            <w:tcBorders>
              <w:tl2br w:val="nil"/>
              <w:tr2bl w:val="nil"/>
            </w:tcBorders>
            <w:vAlign w:val="center"/>
          </w:tcPr>
          <w:p w14:paraId="2059A23A"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喷洒除臭剂</w:t>
            </w:r>
          </w:p>
        </w:tc>
        <w:tc>
          <w:tcPr>
            <w:tcW w:w="2401" w:type="dxa"/>
            <w:vMerge/>
            <w:tcBorders>
              <w:tl2br w:val="nil"/>
              <w:tr2bl w:val="nil"/>
            </w:tcBorders>
            <w:vAlign w:val="center"/>
          </w:tcPr>
          <w:p w14:paraId="29B155ED" w14:textId="77777777" w:rsidR="00D12939" w:rsidRDefault="00D12939">
            <w:pPr>
              <w:jc w:val="center"/>
              <w:rPr>
                <w:rFonts w:ascii="Times New Roman" w:eastAsia="宋体" w:hAnsi="Times New Roman" w:cs="Times New Roman"/>
                <w:sz w:val="18"/>
                <w:szCs w:val="18"/>
              </w:rPr>
            </w:pPr>
          </w:p>
        </w:tc>
        <w:tc>
          <w:tcPr>
            <w:tcW w:w="1280" w:type="dxa"/>
            <w:tcBorders>
              <w:tl2br w:val="nil"/>
              <w:tr2bl w:val="nil"/>
            </w:tcBorders>
            <w:vAlign w:val="center"/>
          </w:tcPr>
          <w:p w14:paraId="133A2A2F" w14:textId="77777777" w:rsidR="00D12939" w:rsidRDefault="004F47F5">
            <w:pPr>
              <w:adjustRightInd w:val="0"/>
              <w:snapToGrid w:val="0"/>
              <w:jc w:val="center"/>
              <w:rPr>
                <w:rFonts w:ascii="Times New Roman" w:hAnsi="Times New Roman" w:cs="Times New Roman"/>
                <w:bCs/>
                <w:sz w:val="18"/>
                <w:szCs w:val="18"/>
              </w:rPr>
            </w:pPr>
            <w:r>
              <w:rPr>
                <w:rFonts w:ascii="Times New Roman" w:hAnsi="Times New Roman" w:cs="Times New Roman"/>
                <w:bCs/>
                <w:sz w:val="18"/>
                <w:szCs w:val="18"/>
              </w:rPr>
              <w:t>1500</w:t>
            </w:r>
          </w:p>
        </w:tc>
        <w:tc>
          <w:tcPr>
            <w:tcW w:w="1176" w:type="dxa"/>
            <w:tcBorders>
              <w:tl2br w:val="nil"/>
              <w:tr2bl w:val="nil"/>
            </w:tcBorders>
            <w:vAlign w:val="center"/>
          </w:tcPr>
          <w:p w14:paraId="397112AF"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0.176</w:t>
            </w:r>
          </w:p>
        </w:tc>
      </w:tr>
      <w:tr w:rsidR="00D12939" w14:paraId="252AC210" w14:textId="77777777">
        <w:trPr>
          <w:trHeight w:val="14"/>
          <w:jc w:val="center"/>
        </w:trPr>
        <w:tc>
          <w:tcPr>
            <w:tcW w:w="599" w:type="dxa"/>
            <w:vMerge/>
            <w:tcBorders>
              <w:tl2br w:val="nil"/>
              <w:tr2bl w:val="nil"/>
            </w:tcBorders>
            <w:vAlign w:val="center"/>
          </w:tcPr>
          <w:p w14:paraId="45B92E1F" w14:textId="77777777" w:rsidR="00D12939" w:rsidRDefault="00D12939">
            <w:pPr>
              <w:widowControl/>
              <w:jc w:val="center"/>
              <w:rPr>
                <w:rFonts w:ascii="Times New Roman" w:eastAsia="宋体" w:hAnsi="Times New Roman" w:cs="Times New Roman"/>
                <w:sz w:val="18"/>
                <w:szCs w:val="18"/>
              </w:rPr>
            </w:pPr>
          </w:p>
        </w:tc>
        <w:tc>
          <w:tcPr>
            <w:tcW w:w="804" w:type="dxa"/>
            <w:vMerge/>
            <w:tcBorders>
              <w:tl2br w:val="nil"/>
              <w:tr2bl w:val="nil"/>
            </w:tcBorders>
            <w:vAlign w:val="center"/>
          </w:tcPr>
          <w:p w14:paraId="6C2B376C" w14:textId="77777777" w:rsidR="00D12939" w:rsidRDefault="00D12939">
            <w:pPr>
              <w:widowControl/>
              <w:jc w:val="center"/>
              <w:rPr>
                <w:rFonts w:ascii="Times New Roman" w:eastAsia="宋体" w:hAnsi="Times New Roman" w:cs="Times New Roman"/>
                <w:sz w:val="18"/>
                <w:szCs w:val="18"/>
              </w:rPr>
            </w:pPr>
          </w:p>
        </w:tc>
        <w:tc>
          <w:tcPr>
            <w:tcW w:w="1140" w:type="dxa"/>
            <w:vMerge/>
            <w:tcBorders>
              <w:tl2br w:val="nil"/>
              <w:tr2bl w:val="nil"/>
            </w:tcBorders>
            <w:vAlign w:val="center"/>
          </w:tcPr>
          <w:p w14:paraId="50FA141B" w14:textId="77777777" w:rsidR="00D12939" w:rsidRDefault="00D12939">
            <w:pPr>
              <w:adjustRightInd w:val="0"/>
              <w:snapToGrid w:val="0"/>
              <w:jc w:val="center"/>
              <w:rPr>
                <w:rFonts w:ascii="Times New Roman" w:eastAsia="宋体" w:hAnsi="Times New Roman" w:cs="Times New Roman"/>
                <w:sz w:val="18"/>
                <w:szCs w:val="18"/>
              </w:rPr>
            </w:pPr>
          </w:p>
        </w:tc>
        <w:tc>
          <w:tcPr>
            <w:tcW w:w="962" w:type="dxa"/>
            <w:tcBorders>
              <w:tl2br w:val="nil"/>
              <w:tr2bl w:val="nil"/>
            </w:tcBorders>
            <w:vAlign w:val="center"/>
          </w:tcPr>
          <w:p w14:paraId="24E242FA"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H</w:t>
            </w:r>
            <w:r>
              <w:rPr>
                <w:rFonts w:ascii="Times New Roman" w:eastAsia="宋体" w:hAnsi="Times New Roman"/>
                <w:sz w:val="18"/>
                <w:szCs w:val="18"/>
                <w:vertAlign w:val="subscript"/>
              </w:rPr>
              <w:t>2</w:t>
            </w:r>
            <w:r>
              <w:rPr>
                <w:rFonts w:ascii="Times New Roman" w:eastAsia="宋体" w:hAnsi="Times New Roman"/>
                <w:sz w:val="18"/>
                <w:szCs w:val="18"/>
              </w:rPr>
              <w:t>S</w:t>
            </w:r>
          </w:p>
        </w:tc>
        <w:tc>
          <w:tcPr>
            <w:tcW w:w="1120" w:type="dxa"/>
            <w:vMerge/>
            <w:tcBorders>
              <w:tl2br w:val="nil"/>
              <w:tr2bl w:val="nil"/>
            </w:tcBorders>
            <w:vAlign w:val="center"/>
          </w:tcPr>
          <w:p w14:paraId="17302B44" w14:textId="77777777" w:rsidR="00D12939" w:rsidRDefault="00D12939">
            <w:pPr>
              <w:jc w:val="center"/>
              <w:rPr>
                <w:rFonts w:ascii="Times New Roman" w:eastAsia="宋体" w:hAnsi="Times New Roman" w:cs="Times New Roman"/>
                <w:sz w:val="18"/>
                <w:szCs w:val="18"/>
              </w:rPr>
            </w:pPr>
          </w:p>
        </w:tc>
        <w:tc>
          <w:tcPr>
            <w:tcW w:w="2401" w:type="dxa"/>
            <w:vMerge/>
            <w:tcBorders>
              <w:tl2br w:val="nil"/>
              <w:tr2bl w:val="nil"/>
            </w:tcBorders>
            <w:vAlign w:val="center"/>
          </w:tcPr>
          <w:p w14:paraId="2DF89D41" w14:textId="77777777" w:rsidR="00D12939" w:rsidRDefault="00D12939">
            <w:pPr>
              <w:jc w:val="center"/>
              <w:rPr>
                <w:rFonts w:ascii="Times New Roman" w:eastAsia="宋体" w:hAnsi="Times New Roman" w:cs="Times New Roman"/>
                <w:sz w:val="18"/>
                <w:szCs w:val="18"/>
              </w:rPr>
            </w:pPr>
          </w:p>
        </w:tc>
        <w:tc>
          <w:tcPr>
            <w:tcW w:w="1280" w:type="dxa"/>
            <w:tcBorders>
              <w:tl2br w:val="nil"/>
              <w:tr2bl w:val="nil"/>
            </w:tcBorders>
            <w:vAlign w:val="center"/>
          </w:tcPr>
          <w:p w14:paraId="35B5A061" w14:textId="77777777" w:rsidR="00D12939" w:rsidRDefault="004F47F5">
            <w:pPr>
              <w:adjustRightInd w:val="0"/>
              <w:snapToGrid w:val="0"/>
              <w:jc w:val="center"/>
              <w:rPr>
                <w:rFonts w:ascii="Times New Roman" w:hAnsi="Times New Roman" w:cs="Times New Roman"/>
                <w:bCs/>
                <w:sz w:val="18"/>
                <w:szCs w:val="18"/>
              </w:rPr>
            </w:pPr>
            <w:r>
              <w:rPr>
                <w:rFonts w:ascii="Times New Roman" w:hAnsi="Times New Roman" w:cs="Times New Roman"/>
                <w:bCs/>
                <w:sz w:val="18"/>
                <w:szCs w:val="18"/>
              </w:rPr>
              <w:t>60</w:t>
            </w:r>
          </w:p>
        </w:tc>
        <w:tc>
          <w:tcPr>
            <w:tcW w:w="1176" w:type="dxa"/>
            <w:tcBorders>
              <w:tl2br w:val="nil"/>
              <w:tr2bl w:val="nil"/>
            </w:tcBorders>
            <w:vAlign w:val="center"/>
          </w:tcPr>
          <w:p w14:paraId="13D673F2"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0</w:t>
            </w:r>
            <w:r>
              <w:rPr>
                <w:rFonts w:ascii="Times New Roman" w:eastAsia="宋体" w:hAnsi="Times New Roman" w:cs="Times New Roman"/>
                <w:sz w:val="18"/>
                <w:szCs w:val="18"/>
              </w:rPr>
              <w:t>.011</w:t>
            </w:r>
          </w:p>
        </w:tc>
      </w:tr>
      <w:tr w:rsidR="00D12939" w14:paraId="45904F1C" w14:textId="77777777">
        <w:trPr>
          <w:trHeight w:val="14"/>
          <w:jc w:val="center"/>
        </w:trPr>
        <w:tc>
          <w:tcPr>
            <w:tcW w:w="599" w:type="dxa"/>
            <w:vMerge w:val="restart"/>
            <w:tcBorders>
              <w:tl2br w:val="nil"/>
              <w:tr2bl w:val="nil"/>
            </w:tcBorders>
            <w:vAlign w:val="center"/>
          </w:tcPr>
          <w:p w14:paraId="7463ADA9"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3</w:t>
            </w:r>
          </w:p>
        </w:tc>
        <w:tc>
          <w:tcPr>
            <w:tcW w:w="804" w:type="dxa"/>
            <w:vMerge/>
            <w:tcBorders>
              <w:tl2br w:val="nil"/>
              <w:tr2bl w:val="nil"/>
            </w:tcBorders>
            <w:vAlign w:val="center"/>
          </w:tcPr>
          <w:p w14:paraId="2F0A2209" w14:textId="77777777" w:rsidR="00D12939" w:rsidRDefault="00D12939">
            <w:pPr>
              <w:widowControl/>
              <w:jc w:val="center"/>
              <w:rPr>
                <w:rFonts w:ascii="Times New Roman" w:eastAsia="宋体" w:hAnsi="Times New Roman" w:cs="Times New Roman"/>
                <w:sz w:val="18"/>
                <w:szCs w:val="18"/>
              </w:rPr>
            </w:pPr>
          </w:p>
        </w:tc>
        <w:tc>
          <w:tcPr>
            <w:tcW w:w="1140" w:type="dxa"/>
            <w:vMerge w:val="restart"/>
            <w:tcBorders>
              <w:tl2br w:val="nil"/>
              <w:tr2bl w:val="nil"/>
            </w:tcBorders>
            <w:vAlign w:val="center"/>
          </w:tcPr>
          <w:p w14:paraId="32C86DA4" w14:textId="77777777" w:rsidR="00D12939" w:rsidRDefault="004F47F5">
            <w:pPr>
              <w:adjustRightInd w:val="0"/>
              <w:snapToGrid w:val="0"/>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调节池</w:t>
            </w:r>
          </w:p>
        </w:tc>
        <w:tc>
          <w:tcPr>
            <w:tcW w:w="962" w:type="dxa"/>
            <w:tcBorders>
              <w:tl2br w:val="nil"/>
              <w:tr2bl w:val="nil"/>
            </w:tcBorders>
            <w:vAlign w:val="center"/>
          </w:tcPr>
          <w:p w14:paraId="4E22F329"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NH</w:t>
            </w:r>
            <w:r>
              <w:rPr>
                <w:rFonts w:ascii="Times New Roman" w:eastAsia="宋体" w:hAnsi="Times New Roman"/>
                <w:sz w:val="18"/>
                <w:szCs w:val="18"/>
                <w:vertAlign w:val="subscript"/>
              </w:rPr>
              <w:t>3</w:t>
            </w:r>
          </w:p>
        </w:tc>
        <w:tc>
          <w:tcPr>
            <w:tcW w:w="1120" w:type="dxa"/>
            <w:vMerge w:val="restart"/>
            <w:tcBorders>
              <w:tl2br w:val="nil"/>
              <w:tr2bl w:val="nil"/>
            </w:tcBorders>
            <w:vAlign w:val="center"/>
          </w:tcPr>
          <w:p w14:paraId="2DD749C8"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加盖密闭</w:t>
            </w:r>
          </w:p>
        </w:tc>
        <w:tc>
          <w:tcPr>
            <w:tcW w:w="2401" w:type="dxa"/>
            <w:vMerge/>
            <w:tcBorders>
              <w:tl2br w:val="nil"/>
              <w:tr2bl w:val="nil"/>
            </w:tcBorders>
            <w:vAlign w:val="center"/>
          </w:tcPr>
          <w:p w14:paraId="373647FC" w14:textId="77777777" w:rsidR="00D12939" w:rsidRDefault="00D12939">
            <w:pPr>
              <w:jc w:val="center"/>
              <w:rPr>
                <w:rFonts w:ascii="Times New Roman" w:eastAsia="宋体" w:hAnsi="Times New Roman" w:cs="Times New Roman"/>
                <w:sz w:val="18"/>
                <w:szCs w:val="18"/>
              </w:rPr>
            </w:pPr>
          </w:p>
        </w:tc>
        <w:tc>
          <w:tcPr>
            <w:tcW w:w="1280" w:type="dxa"/>
            <w:tcBorders>
              <w:tl2br w:val="nil"/>
              <w:tr2bl w:val="nil"/>
            </w:tcBorders>
            <w:vAlign w:val="center"/>
          </w:tcPr>
          <w:p w14:paraId="38746F94" w14:textId="77777777" w:rsidR="00D12939" w:rsidRDefault="004F47F5">
            <w:pPr>
              <w:adjustRightInd w:val="0"/>
              <w:snapToGrid w:val="0"/>
              <w:jc w:val="center"/>
              <w:rPr>
                <w:rFonts w:ascii="Times New Roman" w:hAnsi="Times New Roman" w:cs="Times New Roman"/>
                <w:bCs/>
                <w:sz w:val="18"/>
                <w:szCs w:val="18"/>
              </w:rPr>
            </w:pPr>
            <w:r>
              <w:rPr>
                <w:rFonts w:ascii="Times New Roman" w:hAnsi="Times New Roman" w:cs="Times New Roman"/>
                <w:bCs/>
                <w:sz w:val="18"/>
                <w:szCs w:val="18"/>
              </w:rPr>
              <w:t>1500</w:t>
            </w:r>
          </w:p>
        </w:tc>
        <w:tc>
          <w:tcPr>
            <w:tcW w:w="1176" w:type="dxa"/>
            <w:tcBorders>
              <w:tl2br w:val="nil"/>
              <w:tr2bl w:val="nil"/>
            </w:tcBorders>
            <w:vAlign w:val="center"/>
          </w:tcPr>
          <w:p w14:paraId="65E96338" w14:textId="3452C972" w:rsidR="00D12939" w:rsidRDefault="0066242E" w:rsidP="0066242E">
            <w:pPr>
              <w:widowControl/>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.0631</w:t>
            </w:r>
          </w:p>
        </w:tc>
      </w:tr>
      <w:tr w:rsidR="00D12939" w14:paraId="5F73911E" w14:textId="77777777">
        <w:trPr>
          <w:trHeight w:val="14"/>
          <w:jc w:val="center"/>
        </w:trPr>
        <w:tc>
          <w:tcPr>
            <w:tcW w:w="599" w:type="dxa"/>
            <w:vMerge/>
            <w:tcBorders>
              <w:tl2br w:val="nil"/>
              <w:tr2bl w:val="nil"/>
            </w:tcBorders>
            <w:vAlign w:val="center"/>
          </w:tcPr>
          <w:p w14:paraId="4C37B100" w14:textId="77777777" w:rsidR="00D12939" w:rsidRDefault="00D12939">
            <w:pPr>
              <w:widowControl/>
              <w:jc w:val="center"/>
              <w:rPr>
                <w:rFonts w:ascii="Times New Roman" w:eastAsia="宋体" w:hAnsi="Times New Roman" w:cs="Times New Roman"/>
                <w:sz w:val="18"/>
                <w:szCs w:val="18"/>
              </w:rPr>
            </w:pPr>
          </w:p>
        </w:tc>
        <w:tc>
          <w:tcPr>
            <w:tcW w:w="804" w:type="dxa"/>
            <w:vMerge/>
            <w:tcBorders>
              <w:tl2br w:val="nil"/>
              <w:tr2bl w:val="nil"/>
            </w:tcBorders>
            <w:vAlign w:val="center"/>
          </w:tcPr>
          <w:p w14:paraId="0F8E1FF3" w14:textId="77777777" w:rsidR="00D12939" w:rsidRDefault="00D12939">
            <w:pPr>
              <w:widowControl/>
              <w:jc w:val="center"/>
              <w:rPr>
                <w:rFonts w:ascii="Times New Roman" w:eastAsia="宋体" w:hAnsi="Times New Roman" w:cs="Times New Roman"/>
                <w:sz w:val="18"/>
                <w:szCs w:val="18"/>
              </w:rPr>
            </w:pPr>
          </w:p>
        </w:tc>
        <w:tc>
          <w:tcPr>
            <w:tcW w:w="1140" w:type="dxa"/>
            <w:vMerge/>
            <w:tcBorders>
              <w:tl2br w:val="nil"/>
              <w:tr2bl w:val="nil"/>
            </w:tcBorders>
            <w:vAlign w:val="center"/>
          </w:tcPr>
          <w:p w14:paraId="5A6C63AD" w14:textId="77777777" w:rsidR="00D12939" w:rsidRDefault="00D12939">
            <w:pPr>
              <w:adjustRightInd w:val="0"/>
              <w:snapToGrid w:val="0"/>
              <w:jc w:val="center"/>
              <w:rPr>
                <w:rFonts w:ascii="Times New Roman" w:eastAsia="宋体" w:hAnsi="Times New Roman" w:cs="Times New Roman"/>
                <w:sz w:val="18"/>
                <w:szCs w:val="18"/>
              </w:rPr>
            </w:pPr>
          </w:p>
        </w:tc>
        <w:tc>
          <w:tcPr>
            <w:tcW w:w="962" w:type="dxa"/>
            <w:tcBorders>
              <w:tl2br w:val="nil"/>
              <w:tr2bl w:val="nil"/>
            </w:tcBorders>
            <w:vAlign w:val="center"/>
          </w:tcPr>
          <w:p w14:paraId="0B38B8BF"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H</w:t>
            </w:r>
            <w:r>
              <w:rPr>
                <w:rFonts w:ascii="Times New Roman" w:eastAsia="宋体" w:hAnsi="Times New Roman"/>
                <w:sz w:val="18"/>
                <w:szCs w:val="18"/>
                <w:vertAlign w:val="subscript"/>
              </w:rPr>
              <w:t>2</w:t>
            </w:r>
            <w:r>
              <w:rPr>
                <w:rFonts w:ascii="Times New Roman" w:eastAsia="宋体" w:hAnsi="Times New Roman"/>
                <w:sz w:val="18"/>
                <w:szCs w:val="18"/>
              </w:rPr>
              <w:t>S</w:t>
            </w:r>
          </w:p>
        </w:tc>
        <w:tc>
          <w:tcPr>
            <w:tcW w:w="1120" w:type="dxa"/>
            <w:vMerge/>
            <w:tcBorders>
              <w:tl2br w:val="nil"/>
              <w:tr2bl w:val="nil"/>
            </w:tcBorders>
            <w:vAlign w:val="center"/>
          </w:tcPr>
          <w:p w14:paraId="1A142326" w14:textId="77777777" w:rsidR="00D12939" w:rsidRDefault="00D12939">
            <w:pPr>
              <w:jc w:val="center"/>
              <w:rPr>
                <w:rFonts w:ascii="Times New Roman" w:eastAsia="宋体" w:hAnsi="Times New Roman" w:cs="Times New Roman"/>
                <w:sz w:val="18"/>
                <w:szCs w:val="18"/>
              </w:rPr>
            </w:pPr>
          </w:p>
        </w:tc>
        <w:tc>
          <w:tcPr>
            <w:tcW w:w="2401" w:type="dxa"/>
            <w:vMerge/>
            <w:tcBorders>
              <w:tl2br w:val="nil"/>
              <w:tr2bl w:val="nil"/>
            </w:tcBorders>
            <w:vAlign w:val="center"/>
          </w:tcPr>
          <w:p w14:paraId="11951F48" w14:textId="77777777" w:rsidR="00D12939" w:rsidRDefault="00D12939">
            <w:pPr>
              <w:jc w:val="center"/>
              <w:rPr>
                <w:rFonts w:ascii="Times New Roman" w:eastAsia="宋体" w:hAnsi="Times New Roman" w:cs="Times New Roman"/>
                <w:sz w:val="18"/>
                <w:szCs w:val="18"/>
              </w:rPr>
            </w:pPr>
          </w:p>
        </w:tc>
        <w:tc>
          <w:tcPr>
            <w:tcW w:w="1280" w:type="dxa"/>
            <w:tcBorders>
              <w:tl2br w:val="nil"/>
              <w:tr2bl w:val="nil"/>
            </w:tcBorders>
            <w:vAlign w:val="center"/>
          </w:tcPr>
          <w:p w14:paraId="20DDC2A8" w14:textId="77777777" w:rsidR="00D12939" w:rsidRDefault="004F47F5">
            <w:pPr>
              <w:adjustRightInd w:val="0"/>
              <w:snapToGrid w:val="0"/>
              <w:jc w:val="center"/>
              <w:rPr>
                <w:rFonts w:ascii="Times New Roman" w:hAnsi="Times New Roman" w:cs="Times New Roman"/>
                <w:bCs/>
                <w:sz w:val="18"/>
                <w:szCs w:val="18"/>
              </w:rPr>
            </w:pPr>
            <w:r>
              <w:rPr>
                <w:rFonts w:ascii="Times New Roman" w:hAnsi="Times New Roman" w:cs="Times New Roman"/>
                <w:bCs/>
                <w:sz w:val="18"/>
                <w:szCs w:val="18"/>
              </w:rPr>
              <w:t>60</w:t>
            </w:r>
          </w:p>
        </w:tc>
        <w:tc>
          <w:tcPr>
            <w:tcW w:w="1176" w:type="dxa"/>
            <w:tcBorders>
              <w:tl2br w:val="nil"/>
              <w:tr2bl w:val="nil"/>
            </w:tcBorders>
            <w:vAlign w:val="center"/>
          </w:tcPr>
          <w:p w14:paraId="76817507" w14:textId="5EA2A870" w:rsidR="00D12939" w:rsidRDefault="0066242E" w:rsidP="0066242E">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.0009</w:t>
            </w:r>
          </w:p>
        </w:tc>
      </w:tr>
      <w:tr w:rsidR="00D12939" w14:paraId="5F5BA78B" w14:textId="77777777">
        <w:trPr>
          <w:trHeight w:val="14"/>
          <w:jc w:val="center"/>
        </w:trPr>
        <w:tc>
          <w:tcPr>
            <w:tcW w:w="599" w:type="dxa"/>
            <w:vMerge w:val="restart"/>
            <w:tcBorders>
              <w:tl2br w:val="nil"/>
              <w:tr2bl w:val="nil"/>
            </w:tcBorders>
            <w:vAlign w:val="center"/>
          </w:tcPr>
          <w:p w14:paraId="6F93043C"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4</w:t>
            </w:r>
          </w:p>
        </w:tc>
        <w:tc>
          <w:tcPr>
            <w:tcW w:w="804" w:type="dxa"/>
            <w:vMerge/>
            <w:tcBorders>
              <w:tl2br w:val="nil"/>
              <w:tr2bl w:val="nil"/>
            </w:tcBorders>
            <w:vAlign w:val="center"/>
          </w:tcPr>
          <w:p w14:paraId="761677EA" w14:textId="77777777" w:rsidR="00D12939" w:rsidRDefault="00D12939">
            <w:pPr>
              <w:widowControl/>
              <w:jc w:val="center"/>
              <w:rPr>
                <w:rFonts w:ascii="Times New Roman" w:eastAsia="宋体" w:hAnsi="Times New Roman" w:cs="Times New Roman"/>
                <w:sz w:val="18"/>
                <w:szCs w:val="18"/>
              </w:rPr>
            </w:pPr>
          </w:p>
        </w:tc>
        <w:tc>
          <w:tcPr>
            <w:tcW w:w="1140" w:type="dxa"/>
            <w:vMerge w:val="restart"/>
            <w:tcBorders>
              <w:tl2br w:val="nil"/>
              <w:tr2bl w:val="nil"/>
            </w:tcBorders>
            <w:vAlign w:val="center"/>
          </w:tcPr>
          <w:p w14:paraId="5703519B" w14:textId="77777777" w:rsidR="00D12939" w:rsidRDefault="004F47F5">
            <w:pPr>
              <w:adjustRightInd w:val="0"/>
              <w:snapToGrid w:val="0"/>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渗滤液处理站</w:t>
            </w:r>
          </w:p>
        </w:tc>
        <w:tc>
          <w:tcPr>
            <w:tcW w:w="962" w:type="dxa"/>
            <w:tcBorders>
              <w:tl2br w:val="nil"/>
              <w:tr2bl w:val="nil"/>
            </w:tcBorders>
            <w:vAlign w:val="center"/>
          </w:tcPr>
          <w:p w14:paraId="355E7C0E"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NH</w:t>
            </w:r>
            <w:r>
              <w:rPr>
                <w:rFonts w:ascii="Times New Roman" w:eastAsia="宋体" w:hAnsi="Times New Roman"/>
                <w:sz w:val="18"/>
                <w:szCs w:val="18"/>
                <w:vertAlign w:val="subscript"/>
              </w:rPr>
              <w:t>3</w:t>
            </w:r>
          </w:p>
        </w:tc>
        <w:tc>
          <w:tcPr>
            <w:tcW w:w="1120" w:type="dxa"/>
            <w:vMerge w:val="restart"/>
            <w:tcBorders>
              <w:tl2br w:val="nil"/>
              <w:tr2bl w:val="nil"/>
            </w:tcBorders>
            <w:vAlign w:val="center"/>
          </w:tcPr>
          <w:p w14:paraId="04C9E946"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加盖密闭</w:t>
            </w:r>
          </w:p>
        </w:tc>
        <w:tc>
          <w:tcPr>
            <w:tcW w:w="2401" w:type="dxa"/>
            <w:vMerge/>
            <w:tcBorders>
              <w:tl2br w:val="nil"/>
              <w:tr2bl w:val="nil"/>
            </w:tcBorders>
            <w:vAlign w:val="center"/>
          </w:tcPr>
          <w:p w14:paraId="5106E125" w14:textId="77777777" w:rsidR="00D12939" w:rsidRDefault="00D12939">
            <w:pPr>
              <w:jc w:val="center"/>
              <w:rPr>
                <w:rFonts w:ascii="Times New Roman" w:eastAsia="宋体" w:hAnsi="Times New Roman" w:cs="Times New Roman"/>
                <w:sz w:val="18"/>
                <w:szCs w:val="18"/>
              </w:rPr>
            </w:pPr>
          </w:p>
        </w:tc>
        <w:tc>
          <w:tcPr>
            <w:tcW w:w="1280" w:type="dxa"/>
            <w:tcBorders>
              <w:tl2br w:val="nil"/>
              <w:tr2bl w:val="nil"/>
            </w:tcBorders>
            <w:vAlign w:val="center"/>
          </w:tcPr>
          <w:p w14:paraId="0FF8238F" w14:textId="77777777" w:rsidR="00D12939" w:rsidRDefault="004F47F5">
            <w:pPr>
              <w:adjustRightInd w:val="0"/>
              <w:snapToGrid w:val="0"/>
              <w:jc w:val="center"/>
              <w:rPr>
                <w:rFonts w:ascii="Times New Roman" w:hAnsi="Times New Roman" w:cs="Times New Roman"/>
                <w:bCs/>
                <w:sz w:val="18"/>
                <w:szCs w:val="18"/>
              </w:rPr>
            </w:pPr>
            <w:r>
              <w:rPr>
                <w:rFonts w:ascii="Times New Roman" w:hAnsi="Times New Roman" w:cs="Times New Roman"/>
                <w:bCs/>
                <w:sz w:val="18"/>
                <w:szCs w:val="18"/>
              </w:rPr>
              <w:t>1500</w:t>
            </w:r>
          </w:p>
        </w:tc>
        <w:tc>
          <w:tcPr>
            <w:tcW w:w="1176" w:type="dxa"/>
            <w:tcBorders>
              <w:tl2br w:val="nil"/>
              <w:tr2bl w:val="nil"/>
            </w:tcBorders>
            <w:vAlign w:val="center"/>
          </w:tcPr>
          <w:p w14:paraId="3D78D3A1" w14:textId="5B315163" w:rsidR="00D12939" w:rsidRDefault="0066242E" w:rsidP="0066242E">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.1235</w:t>
            </w:r>
          </w:p>
        </w:tc>
      </w:tr>
      <w:tr w:rsidR="00D12939" w14:paraId="67854626" w14:textId="77777777">
        <w:trPr>
          <w:trHeight w:val="14"/>
          <w:jc w:val="center"/>
        </w:trPr>
        <w:tc>
          <w:tcPr>
            <w:tcW w:w="599" w:type="dxa"/>
            <w:vMerge/>
            <w:tcBorders>
              <w:tl2br w:val="nil"/>
              <w:tr2bl w:val="nil"/>
            </w:tcBorders>
            <w:vAlign w:val="center"/>
          </w:tcPr>
          <w:p w14:paraId="5A377A74" w14:textId="77777777" w:rsidR="00D12939" w:rsidRDefault="00D12939">
            <w:pPr>
              <w:widowControl/>
              <w:jc w:val="center"/>
              <w:rPr>
                <w:rFonts w:ascii="Times New Roman" w:eastAsia="宋体" w:hAnsi="Times New Roman" w:cs="Times New Roman"/>
                <w:sz w:val="18"/>
                <w:szCs w:val="18"/>
              </w:rPr>
            </w:pPr>
          </w:p>
        </w:tc>
        <w:tc>
          <w:tcPr>
            <w:tcW w:w="804" w:type="dxa"/>
            <w:vMerge/>
            <w:tcBorders>
              <w:tl2br w:val="nil"/>
              <w:tr2bl w:val="nil"/>
            </w:tcBorders>
            <w:vAlign w:val="center"/>
          </w:tcPr>
          <w:p w14:paraId="1D6190C1" w14:textId="77777777" w:rsidR="00D12939" w:rsidRDefault="00D12939">
            <w:pPr>
              <w:widowControl/>
              <w:jc w:val="center"/>
              <w:rPr>
                <w:rFonts w:ascii="Times New Roman" w:eastAsia="宋体" w:hAnsi="Times New Roman" w:cs="Times New Roman"/>
                <w:sz w:val="18"/>
                <w:szCs w:val="18"/>
              </w:rPr>
            </w:pPr>
          </w:p>
        </w:tc>
        <w:tc>
          <w:tcPr>
            <w:tcW w:w="1140" w:type="dxa"/>
            <w:vMerge/>
            <w:tcBorders>
              <w:tl2br w:val="nil"/>
              <w:tr2bl w:val="nil"/>
            </w:tcBorders>
            <w:vAlign w:val="center"/>
          </w:tcPr>
          <w:p w14:paraId="42FB0312" w14:textId="77777777" w:rsidR="00D12939" w:rsidRDefault="00D12939">
            <w:pPr>
              <w:adjustRightInd w:val="0"/>
              <w:snapToGrid w:val="0"/>
              <w:jc w:val="center"/>
              <w:rPr>
                <w:rFonts w:ascii="Times New Roman" w:eastAsia="宋体" w:hAnsi="Times New Roman" w:cs="Times New Roman"/>
                <w:sz w:val="18"/>
                <w:szCs w:val="18"/>
              </w:rPr>
            </w:pPr>
          </w:p>
        </w:tc>
        <w:tc>
          <w:tcPr>
            <w:tcW w:w="962" w:type="dxa"/>
            <w:tcBorders>
              <w:tl2br w:val="nil"/>
              <w:tr2bl w:val="nil"/>
            </w:tcBorders>
            <w:vAlign w:val="center"/>
          </w:tcPr>
          <w:p w14:paraId="32B1A3E7"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H</w:t>
            </w:r>
            <w:r>
              <w:rPr>
                <w:rFonts w:ascii="Times New Roman" w:eastAsia="宋体" w:hAnsi="Times New Roman"/>
                <w:sz w:val="18"/>
                <w:szCs w:val="18"/>
                <w:vertAlign w:val="subscript"/>
              </w:rPr>
              <w:t>2</w:t>
            </w:r>
            <w:r>
              <w:rPr>
                <w:rFonts w:ascii="Times New Roman" w:eastAsia="宋体" w:hAnsi="Times New Roman"/>
                <w:sz w:val="18"/>
                <w:szCs w:val="18"/>
              </w:rPr>
              <w:t>S</w:t>
            </w:r>
          </w:p>
        </w:tc>
        <w:tc>
          <w:tcPr>
            <w:tcW w:w="1120" w:type="dxa"/>
            <w:vMerge/>
            <w:tcBorders>
              <w:tl2br w:val="nil"/>
              <w:tr2bl w:val="nil"/>
            </w:tcBorders>
            <w:vAlign w:val="center"/>
          </w:tcPr>
          <w:p w14:paraId="63E9B101" w14:textId="77777777" w:rsidR="00D12939" w:rsidRDefault="00D12939">
            <w:pPr>
              <w:jc w:val="center"/>
              <w:rPr>
                <w:rFonts w:ascii="Times New Roman" w:eastAsia="宋体" w:hAnsi="Times New Roman" w:cs="Times New Roman"/>
                <w:sz w:val="18"/>
                <w:szCs w:val="18"/>
              </w:rPr>
            </w:pPr>
          </w:p>
        </w:tc>
        <w:tc>
          <w:tcPr>
            <w:tcW w:w="2401" w:type="dxa"/>
            <w:vMerge/>
            <w:tcBorders>
              <w:tl2br w:val="nil"/>
              <w:tr2bl w:val="nil"/>
            </w:tcBorders>
            <w:vAlign w:val="center"/>
          </w:tcPr>
          <w:p w14:paraId="17385645" w14:textId="77777777" w:rsidR="00D12939" w:rsidRDefault="00D12939">
            <w:pPr>
              <w:jc w:val="center"/>
              <w:rPr>
                <w:rFonts w:ascii="Times New Roman" w:eastAsia="宋体" w:hAnsi="Times New Roman" w:cs="Times New Roman"/>
                <w:sz w:val="18"/>
                <w:szCs w:val="18"/>
              </w:rPr>
            </w:pPr>
          </w:p>
        </w:tc>
        <w:tc>
          <w:tcPr>
            <w:tcW w:w="1280" w:type="dxa"/>
            <w:tcBorders>
              <w:tl2br w:val="nil"/>
              <w:tr2bl w:val="nil"/>
            </w:tcBorders>
            <w:vAlign w:val="center"/>
          </w:tcPr>
          <w:p w14:paraId="675265E9" w14:textId="77777777" w:rsidR="00D12939" w:rsidRDefault="004F47F5">
            <w:pPr>
              <w:adjustRightInd w:val="0"/>
              <w:snapToGrid w:val="0"/>
              <w:jc w:val="center"/>
              <w:rPr>
                <w:rFonts w:ascii="Times New Roman" w:hAnsi="Times New Roman" w:cs="Times New Roman"/>
                <w:bCs/>
                <w:sz w:val="18"/>
                <w:szCs w:val="18"/>
              </w:rPr>
            </w:pPr>
            <w:r>
              <w:rPr>
                <w:rFonts w:ascii="Times New Roman" w:hAnsi="Times New Roman" w:cs="Times New Roman"/>
                <w:bCs/>
                <w:sz w:val="18"/>
                <w:szCs w:val="18"/>
              </w:rPr>
              <w:t>60</w:t>
            </w:r>
          </w:p>
        </w:tc>
        <w:tc>
          <w:tcPr>
            <w:tcW w:w="1176" w:type="dxa"/>
            <w:tcBorders>
              <w:tl2br w:val="nil"/>
              <w:tr2bl w:val="nil"/>
            </w:tcBorders>
            <w:vAlign w:val="center"/>
          </w:tcPr>
          <w:p w14:paraId="5F1C9B78" w14:textId="1E5959CE" w:rsidR="00D12939" w:rsidRDefault="0066242E">
            <w:pPr>
              <w:jc w:val="center"/>
              <w:rPr>
                <w:rFonts w:ascii="Times New Roman" w:hAnsi="Times New Roman" w:cs="Times New Roman"/>
                <w:sz w:val="18"/>
                <w:szCs w:val="18"/>
              </w:rPr>
            </w:pPr>
            <w:r>
              <w:rPr>
                <w:rFonts w:ascii="Times New Roman" w:hAnsi="Times New Roman" w:cs="Times New Roman" w:hint="eastAsia"/>
                <w:sz w:val="18"/>
                <w:szCs w:val="18"/>
              </w:rPr>
              <w:t>0</w:t>
            </w:r>
            <w:r>
              <w:rPr>
                <w:rFonts w:ascii="Times New Roman" w:hAnsi="Times New Roman" w:cs="Times New Roman"/>
                <w:sz w:val="18"/>
                <w:szCs w:val="18"/>
              </w:rPr>
              <w:t>.0017</w:t>
            </w:r>
          </w:p>
        </w:tc>
      </w:tr>
      <w:tr w:rsidR="00D12939" w14:paraId="663A34F6" w14:textId="77777777">
        <w:trPr>
          <w:trHeight w:val="14"/>
          <w:jc w:val="center"/>
        </w:trPr>
        <w:tc>
          <w:tcPr>
            <w:tcW w:w="599" w:type="dxa"/>
            <w:tcBorders>
              <w:tl2br w:val="nil"/>
              <w:tr2bl w:val="nil"/>
            </w:tcBorders>
            <w:vAlign w:val="center"/>
          </w:tcPr>
          <w:p w14:paraId="7EE10DCC"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5</w:t>
            </w:r>
          </w:p>
        </w:tc>
        <w:tc>
          <w:tcPr>
            <w:tcW w:w="804" w:type="dxa"/>
            <w:vMerge/>
            <w:tcBorders>
              <w:tl2br w:val="nil"/>
              <w:tr2bl w:val="nil"/>
            </w:tcBorders>
            <w:vAlign w:val="center"/>
          </w:tcPr>
          <w:p w14:paraId="1ADB3DD4" w14:textId="77777777" w:rsidR="00D12939" w:rsidRDefault="00D12939">
            <w:pPr>
              <w:widowControl/>
              <w:jc w:val="center"/>
              <w:rPr>
                <w:rFonts w:ascii="Times New Roman" w:eastAsia="宋体" w:hAnsi="Times New Roman" w:cs="Times New Roman"/>
                <w:sz w:val="18"/>
                <w:szCs w:val="18"/>
              </w:rPr>
            </w:pPr>
          </w:p>
        </w:tc>
        <w:tc>
          <w:tcPr>
            <w:tcW w:w="1140" w:type="dxa"/>
            <w:tcBorders>
              <w:tl2br w:val="nil"/>
              <w:tr2bl w:val="nil"/>
            </w:tcBorders>
            <w:vAlign w:val="center"/>
          </w:tcPr>
          <w:p w14:paraId="67DFA516" w14:textId="77777777" w:rsidR="00D12939" w:rsidRDefault="004F47F5">
            <w:pPr>
              <w:adjustRightInd w:val="0"/>
              <w:snapToGrid w:val="0"/>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填埋区</w:t>
            </w:r>
          </w:p>
        </w:tc>
        <w:tc>
          <w:tcPr>
            <w:tcW w:w="962" w:type="dxa"/>
            <w:tcBorders>
              <w:tl2br w:val="nil"/>
              <w:tr2bl w:val="nil"/>
            </w:tcBorders>
            <w:vAlign w:val="center"/>
          </w:tcPr>
          <w:p w14:paraId="09CD2A3E"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TSP</w:t>
            </w:r>
          </w:p>
        </w:tc>
        <w:tc>
          <w:tcPr>
            <w:tcW w:w="1120" w:type="dxa"/>
            <w:tcBorders>
              <w:tl2br w:val="nil"/>
              <w:tr2bl w:val="nil"/>
            </w:tcBorders>
            <w:vAlign w:val="center"/>
          </w:tcPr>
          <w:p w14:paraId="1EDA398F"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洒水抑尘</w:t>
            </w:r>
          </w:p>
        </w:tc>
        <w:tc>
          <w:tcPr>
            <w:tcW w:w="2401" w:type="dxa"/>
            <w:tcBorders>
              <w:tl2br w:val="nil"/>
              <w:tr2bl w:val="nil"/>
            </w:tcBorders>
            <w:vAlign w:val="center"/>
          </w:tcPr>
          <w:p w14:paraId="34DEDCCB"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《大气污染物综合排放标准》中二级标准无组织排放监控浓度限值</w:t>
            </w:r>
          </w:p>
        </w:tc>
        <w:tc>
          <w:tcPr>
            <w:tcW w:w="1280" w:type="dxa"/>
            <w:tcBorders>
              <w:tl2br w:val="nil"/>
              <w:tr2bl w:val="nil"/>
            </w:tcBorders>
            <w:vAlign w:val="center"/>
          </w:tcPr>
          <w:p w14:paraId="64C93A46" w14:textId="77777777" w:rsidR="00D12939" w:rsidRDefault="004F47F5">
            <w:pPr>
              <w:jc w:val="center"/>
              <w:rPr>
                <w:rFonts w:ascii="Times New Roman" w:eastAsia="宋体" w:hAnsi="Times New Roman" w:cs="Times New Roman"/>
                <w:sz w:val="18"/>
                <w:szCs w:val="18"/>
              </w:rPr>
            </w:pPr>
            <w:r>
              <w:rPr>
                <w:rFonts w:ascii="Times New Roman" w:eastAsia="宋体" w:hAnsi="Times New Roman" w:cs="Times New Roman"/>
                <w:sz w:val="18"/>
                <w:szCs w:val="18"/>
              </w:rPr>
              <w:t>1000</w:t>
            </w:r>
          </w:p>
        </w:tc>
        <w:tc>
          <w:tcPr>
            <w:tcW w:w="1176" w:type="dxa"/>
            <w:tcBorders>
              <w:tl2br w:val="nil"/>
              <w:tr2bl w:val="nil"/>
            </w:tcBorders>
            <w:vAlign w:val="center"/>
          </w:tcPr>
          <w:p w14:paraId="16CD8A2A"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0.0999</w:t>
            </w:r>
          </w:p>
        </w:tc>
      </w:tr>
      <w:tr w:rsidR="00D12939" w14:paraId="6A2ABAF6" w14:textId="77777777">
        <w:trPr>
          <w:trHeight w:val="14"/>
          <w:jc w:val="center"/>
        </w:trPr>
        <w:tc>
          <w:tcPr>
            <w:tcW w:w="9482" w:type="dxa"/>
            <w:gridSpan w:val="8"/>
            <w:tcBorders>
              <w:tl2br w:val="nil"/>
              <w:tr2bl w:val="nil"/>
            </w:tcBorders>
            <w:vAlign w:val="center"/>
          </w:tcPr>
          <w:p w14:paraId="620EBB0D"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无组织排放总计</w:t>
            </w:r>
          </w:p>
        </w:tc>
      </w:tr>
      <w:tr w:rsidR="0066242E" w14:paraId="03A7A450" w14:textId="77777777" w:rsidTr="008830BB">
        <w:trPr>
          <w:trHeight w:val="14"/>
          <w:jc w:val="center"/>
        </w:trPr>
        <w:tc>
          <w:tcPr>
            <w:tcW w:w="3505" w:type="dxa"/>
            <w:gridSpan w:val="4"/>
            <w:vMerge w:val="restart"/>
            <w:tcBorders>
              <w:tl2br w:val="nil"/>
              <w:tr2bl w:val="nil"/>
            </w:tcBorders>
            <w:vAlign w:val="center"/>
          </w:tcPr>
          <w:p w14:paraId="04535606" w14:textId="77777777" w:rsidR="0066242E" w:rsidRDefault="0066242E" w:rsidP="0066242E">
            <w:pPr>
              <w:adjustRightInd w:val="0"/>
              <w:snapToGrid w:val="0"/>
              <w:jc w:val="center"/>
              <w:rPr>
                <w:rFonts w:ascii="Times New Roman" w:eastAsia="宋体" w:hAnsi="Times New Roman" w:cs="Times New Roman"/>
                <w:sz w:val="18"/>
                <w:szCs w:val="18"/>
              </w:rPr>
            </w:pPr>
            <w:r>
              <w:rPr>
                <w:rFonts w:ascii="Times New Roman" w:eastAsia="宋体" w:hAnsi="Times New Roman" w:cs="Times New Roman"/>
                <w:sz w:val="18"/>
                <w:szCs w:val="18"/>
              </w:rPr>
              <w:t>无组织排放总计</w:t>
            </w:r>
          </w:p>
        </w:tc>
        <w:tc>
          <w:tcPr>
            <w:tcW w:w="3521" w:type="dxa"/>
            <w:gridSpan w:val="2"/>
            <w:tcBorders>
              <w:tl2br w:val="nil"/>
              <w:tr2bl w:val="nil"/>
            </w:tcBorders>
            <w:vAlign w:val="center"/>
          </w:tcPr>
          <w:p w14:paraId="0C17D1D1" w14:textId="77777777" w:rsidR="0066242E" w:rsidRDefault="0066242E" w:rsidP="0066242E">
            <w:pPr>
              <w:adjustRightInd w:val="0"/>
              <w:snapToGrid w:val="0"/>
              <w:jc w:val="center"/>
              <w:rPr>
                <w:rFonts w:ascii="Times New Roman" w:eastAsia="宋体" w:hAnsi="Times New Roman"/>
                <w:sz w:val="18"/>
                <w:szCs w:val="18"/>
              </w:rPr>
            </w:pPr>
            <w:r>
              <w:rPr>
                <w:rFonts w:ascii="Times New Roman" w:eastAsia="宋体" w:hAnsi="Times New Roman"/>
                <w:sz w:val="18"/>
                <w:szCs w:val="18"/>
              </w:rPr>
              <w:t>NH</w:t>
            </w:r>
            <w:r>
              <w:rPr>
                <w:rFonts w:ascii="Times New Roman" w:eastAsia="宋体" w:hAnsi="Times New Roman"/>
                <w:sz w:val="18"/>
                <w:szCs w:val="18"/>
                <w:vertAlign w:val="subscript"/>
              </w:rPr>
              <w:t>3</w:t>
            </w:r>
          </w:p>
        </w:tc>
        <w:tc>
          <w:tcPr>
            <w:tcW w:w="2456" w:type="dxa"/>
            <w:gridSpan w:val="2"/>
            <w:tcBorders>
              <w:tl2br w:val="nil"/>
              <w:tr2bl w:val="nil"/>
            </w:tcBorders>
            <w:vAlign w:val="bottom"/>
          </w:tcPr>
          <w:p w14:paraId="08D8E3CB" w14:textId="351CAB28" w:rsidR="0066242E" w:rsidRPr="0066242E" w:rsidRDefault="0066242E" w:rsidP="0066242E">
            <w:pPr>
              <w:widowControl/>
              <w:jc w:val="center"/>
              <w:rPr>
                <w:rFonts w:ascii="Times New Roman" w:eastAsia="宋体" w:hAnsi="Times New Roman" w:cs="Times New Roman"/>
                <w:sz w:val="18"/>
                <w:szCs w:val="18"/>
              </w:rPr>
            </w:pPr>
            <w:r w:rsidRPr="0066242E">
              <w:rPr>
                <w:rFonts w:ascii="Times New Roman" w:eastAsia="宋体" w:hAnsi="Times New Roman" w:cs="Times New Roman" w:hint="eastAsia"/>
                <w:sz w:val="18"/>
                <w:szCs w:val="18"/>
              </w:rPr>
              <w:t>0.415</w:t>
            </w:r>
            <w:r>
              <w:rPr>
                <w:rFonts w:ascii="Times New Roman" w:eastAsia="宋体" w:hAnsi="Times New Roman" w:cs="Times New Roman"/>
                <w:sz w:val="18"/>
                <w:szCs w:val="18"/>
              </w:rPr>
              <w:t>6</w:t>
            </w:r>
          </w:p>
        </w:tc>
      </w:tr>
      <w:tr w:rsidR="0066242E" w14:paraId="23550B9B" w14:textId="77777777" w:rsidTr="008830BB">
        <w:trPr>
          <w:trHeight w:val="14"/>
          <w:jc w:val="center"/>
        </w:trPr>
        <w:tc>
          <w:tcPr>
            <w:tcW w:w="3505" w:type="dxa"/>
            <w:gridSpan w:val="4"/>
            <w:vMerge/>
            <w:tcBorders>
              <w:tl2br w:val="nil"/>
              <w:tr2bl w:val="nil"/>
            </w:tcBorders>
            <w:vAlign w:val="center"/>
          </w:tcPr>
          <w:p w14:paraId="51574211" w14:textId="77777777" w:rsidR="0066242E" w:rsidRDefault="0066242E" w:rsidP="0066242E">
            <w:pPr>
              <w:adjustRightInd w:val="0"/>
              <w:snapToGrid w:val="0"/>
              <w:jc w:val="center"/>
              <w:rPr>
                <w:rFonts w:ascii="Times New Roman" w:eastAsia="宋体" w:hAnsi="Times New Roman" w:cs="Times New Roman"/>
                <w:sz w:val="18"/>
                <w:szCs w:val="18"/>
              </w:rPr>
            </w:pPr>
          </w:p>
        </w:tc>
        <w:tc>
          <w:tcPr>
            <w:tcW w:w="3521" w:type="dxa"/>
            <w:gridSpan w:val="2"/>
            <w:tcBorders>
              <w:tl2br w:val="nil"/>
              <w:tr2bl w:val="nil"/>
            </w:tcBorders>
            <w:vAlign w:val="center"/>
          </w:tcPr>
          <w:p w14:paraId="1B8E5813" w14:textId="77777777" w:rsidR="0066242E" w:rsidRDefault="0066242E" w:rsidP="0066242E">
            <w:pPr>
              <w:adjustRightInd w:val="0"/>
              <w:snapToGrid w:val="0"/>
              <w:jc w:val="center"/>
              <w:rPr>
                <w:rFonts w:ascii="Times New Roman" w:eastAsia="宋体" w:hAnsi="Times New Roman"/>
                <w:sz w:val="18"/>
                <w:szCs w:val="18"/>
              </w:rPr>
            </w:pPr>
            <w:r>
              <w:rPr>
                <w:rFonts w:ascii="Times New Roman" w:eastAsia="宋体" w:hAnsi="Times New Roman"/>
                <w:sz w:val="18"/>
                <w:szCs w:val="18"/>
              </w:rPr>
              <w:t>H</w:t>
            </w:r>
            <w:r>
              <w:rPr>
                <w:rFonts w:ascii="Times New Roman" w:eastAsia="宋体" w:hAnsi="Times New Roman"/>
                <w:sz w:val="18"/>
                <w:szCs w:val="18"/>
                <w:vertAlign w:val="subscript"/>
              </w:rPr>
              <w:t>2</w:t>
            </w:r>
            <w:r>
              <w:rPr>
                <w:rFonts w:ascii="Times New Roman" w:eastAsia="宋体" w:hAnsi="Times New Roman"/>
                <w:sz w:val="18"/>
                <w:szCs w:val="18"/>
              </w:rPr>
              <w:t>S</w:t>
            </w:r>
          </w:p>
        </w:tc>
        <w:tc>
          <w:tcPr>
            <w:tcW w:w="2456" w:type="dxa"/>
            <w:gridSpan w:val="2"/>
            <w:tcBorders>
              <w:tl2br w:val="nil"/>
              <w:tr2bl w:val="nil"/>
            </w:tcBorders>
            <w:vAlign w:val="bottom"/>
          </w:tcPr>
          <w:p w14:paraId="3ED598D5" w14:textId="43DB9D8F" w:rsidR="0066242E" w:rsidRPr="0066242E" w:rsidRDefault="0066242E" w:rsidP="0066242E">
            <w:pPr>
              <w:widowControl/>
              <w:jc w:val="center"/>
              <w:rPr>
                <w:rFonts w:ascii="Times New Roman" w:eastAsia="宋体" w:hAnsi="Times New Roman" w:cs="Times New Roman"/>
                <w:sz w:val="18"/>
                <w:szCs w:val="18"/>
              </w:rPr>
            </w:pPr>
            <w:r w:rsidRPr="0066242E">
              <w:rPr>
                <w:rFonts w:ascii="Times New Roman" w:eastAsia="宋体" w:hAnsi="Times New Roman" w:cs="Times New Roman" w:hint="eastAsia"/>
                <w:sz w:val="18"/>
                <w:szCs w:val="18"/>
              </w:rPr>
              <w:t>0.893</w:t>
            </w:r>
            <w:r>
              <w:rPr>
                <w:rFonts w:ascii="Times New Roman" w:eastAsia="宋体" w:hAnsi="Times New Roman" w:cs="Times New Roman"/>
                <w:sz w:val="18"/>
                <w:szCs w:val="18"/>
              </w:rPr>
              <w:t>6</w:t>
            </w:r>
          </w:p>
        </w:tc>
      </w:tr>
      <w:tr w:rsidR="00D12939" w14:paraId="263A1844" w14:textId="77777777">
        <w:trPr>
          <w:trHeight w:val="14"/>
          <w:jc w:val="center"/>
        </w:trPr>
        <w:tc>
          <w:tcPr>
            <w:tcW w:w="3505" w:type="dxa"/>
            <w:gridSpan w:val="4"/>
            <w:vMerge/>
            <w:tcBorders>
              <w:tl2br w:val="nil"/>
              <w:tr2bl w:val="nil"/>
            </w:tcBorders>
            <w:vAlign w:val="center"/>
          </w:tcPr>
          <w:p w14:paraId="10AB0630" w14:textId="77777777" w:rsidR="00D12939" w:rsidRDefault="00D12939">
            <w:pPr>
              <w:adjustRightInd w:val="0"/>
              <w:snapToGrid w:val="0"/>
              <w:jc w:val="center"/>
              <w:rPr>
                <w:rFonts w:ascii="Times New Roman" w:eastAsia="宋体" w:hAnsi="Times New Roman" w:cs="Times New Roman"/>
                <w:sz w:val="18"/>
                <w:szCs w:val="18"/>
              </w:rPr>
            </w:pPr>
          </w:p>
        </w:tc>
        <w:tc>
          <w:tcPr>
            <w:tcW w:w="3521" w:type="dxa"/>
            <w:gridSpan w:val="2"/>
            <w:tcBorders>
              <w:tl2br w:val="nil"/>
              <w:tr2bl w:val="nil"/>
            </w:tcBorders>
            <w:vAlign w:val="center"/>
          </w:tcPr>
          <w:p w14:paraId="0C1920DA" w14:textId="77777777" w:rsidR="00D12939" w:rsidRDefault="004F47F5">
            <w:pPr>
              <w:adjustRightInd w:val="0"/>
              <w:snapToGrid w:val="0"/>
              <w:jc w:val="center"/>
              <w:rPr>
                <w:rFonts w:ascii="Times New Roman" w:eastAsia="宋体" w:hAnsi="Times New Roman"/>
                <w:sz w:val="18"/>
                <w:szCs w:val="18"/>
              </w:rPr>
            </w:pPr>
            <w:r>
              <w:rPr>
                <w:rFonts w:ascii="Times New Roman" w:eastAsia="宋体" w:hAnsi="Times New Roman"/>
                <w:sz w:val="18"/>
                <w:szCs w:val="18"/>
              </w:rPr>
              <w:t>TSP</w:t>
            </w:r>
          </w:p>
        </w:tc>
        <w:tc>
          <w:tcPr>
            <w:tcW w:w="2456" w:type="dxa"/>
            <w:gridSpan w:val="2"/>
            <w:tcBorders>
              <w:tl2br w:val="nil"/>
              <w:tr2bl w:val="nil"/>
            </w:tcBorders>
            <w:vAlign w:val="center"/>
          </w:tcPr>
          <w:p w14:paraId="3B0E14A0"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0.0999</w:t>
            </w:r>
          </w:p>
        </w:tc>
      </w:tr>
    </w:tbl>
    <w:p w14:paraId="1DC1AFE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项目大气污染物年排放量核算</w:t>
      </w:r>
    </w:p>
    <w:p w14:paraId="2A85605F" w14:textId="77777777" w:rsidR="00D12939" w:rsidRDefault="004F47F5">
      <w:pPr>
        <w:spacing w:line="360" w:lineRule="auto"/>
        <w:jc w:val="center"/>
        <w:rPr>
          <w:rFonts w:ascii="黑体" w:eastAsia="黑体" w:hAnsi="黑体"/>
          <w:bCs/>
          <w:sz w:val="24"/>
        </w:rPr>
      </w:pPr>
      <w:r>
        <w:rPr>
          <w:rFonts w:ascii="黑体" w:eastAsia="黑体" w:hAnsi="黑体" w:hint="eastAsia"/>
          <w:bCs/>
          <w:sz w:val="24"/>
        </w:rPr>
        <w:t>表</w:t>
      </w:r>
      <w:r>
        <w:rPr>
          <w:rFonts w:ascii="黑体" w:eastAsia="黑体" w:hAnsi="黑体"/>
          <w:bCs/>
          <w:sz w:val="24"/>
        </w:rPr>
        <w:t xml:space="preserve">7.1-12  </w:t>
      </w:r>
      <w:r>
        <w:rPr>
          <w:rFonts w:ascii="黑体" w:eastAsia="黑体" w:hAnsi="黑体" w:hint="eastAsia"/>
          <w:bCs/>
          <w:sz w:val="24"/>
        </w:rPr>
        <w:t>大气污染物年排放量核算表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38"/>
        <w:gridCol w:w="3571"/>
        <w:gridCol w:w="4223"/>
      </w:tblGrid>
      <w:tr w:rsidR="00D12939" w14:paraId="4E9E1022" w14:textId="77777777">
        <w:trPr>
          <w:trHeight w:val="13"/>
          <w:jc w:val="center"/>
        </w:trPr>
        <w:tc>
          <w:tcPr>
            <w:tcW w:w="1538" w:type="dxa"/>
            <w:tcBorders>
              <w:tl2br w:val="nil"/>
              <w:tr2bl w:val="nil"/>
            </w:tcBorders>
            <w:vAlign w:val="center"/>
          </w:tcPr>
          <w:p w14:paraId="59CEEC3C"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序号</w:t>
            </w:r>
          </w:p>
        </w:tc>
        <w:tc>
          <w:tcPr>
            <w:tcW w:w="3571" w:type="dxa"/>
            <w:tcBorders>
              <w:tl2br w:val="nil"/>
              <w:tr2bl w:val="nil"/>
            </w:tcBorders>
            <w:vAlign w:val="center"/>
          </w:tcPr>
          <w:p w14:paraId="72499DD3"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污染物</w:t>
            </w:r>
          </w:p>
        </w:tc>
        <w:tc>
          <w:tcPr>
            <w:tcW w:w="4223" w:type="dxa"/>
            <w:tcBorders>
              <w:tl2br w:val="nil"/>
              <w:tr2bl w:val="nil"/>
            </w:tcBorders>
            <w:vAlign w:val="center"/>
          </w:tcPr>
          <w:p w14:paraId="0D38944D"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年排放量（</w:t>
            </w:r>
            <w:r>
              <w:rPr>
                <w:rFonts w:ascii="Times New Roman" w:eastAsia="宋体" w:hAnsi="Times New Roman" w:cs="Times New Roman"/>
                <w:sz w:val="18"/>
                <w:szCs w:val="18"/>
              </w:rPr>
              <w:t>t/a</w:t>
            </w:r>
            <w:r>
              <w:rPr>
                <w:rFonts w:ascii="Times New Roman" w:eastAsia="宋体" w:hAnsi="Times New Roman" w:cs="Times New Roman"/>
                <w:sz w:val="18"/>
                <w:szCs w:val="18"/>
              </w:rPr>
              <w:t>）</w:t>
            </w:r>
          </w:p>
        </w:tc>
      </w:tr>
      <w:tr w:rsidR="00D12939" w14:paraId="24EDA6E9" w14:textId="77777777">
        <w:trPr>
          <w:trHeight w:val="13"/>
          <w:jc w:val="center"/>
        </w:trPr>
        <w:tc>
          <w:tcPr>
            <w:tcW w:w="1538" w:type="dxa"/>
            <w:tcBorders>
              <w:tl2br w:val="nil"/>
              <w:tr2bl w:val="nil"/>
            </w:tcBorders>
            <w:vAlign w:val="center"/>
          </w:tcPr>
          <w:p w14:paraId="20DDD11B"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1</w:t>
            </w:r>
          </w:p>
        </w:tc>
        <w:tc>
          <w:tcPr>
            <w:tcW w:w="3571" w:type="dxa"/>
            <w:tcBorders>
              <w:tl2br w:val="nil"/>
              <w:tr2bl w:val="nil"/>
            </w:tcBorders>
            <w:vAlign w:val="center"/>
          </w:tcPr>
          <w:p w14:paraId="78ABA9BC"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szCs w:val="21"/>
              </w:rPr>
              <w:t>SO</w:t>
            </w:r>
            <w:r>
              <w:rPr>
                <w:rFonts w:ascii="Times New Roman" w:eastAsia="宋体" w:hAnsi="Times New Roman"/>
                <w:szCs w:val="21"/>
                <w:vertAlign w:val="subscript"/>
              </w:rPr>
              <w:t>2</w:t>
            </w:r>
          </w:p>
        </w:tc>
        <w:tc>
          <w:tcPr>
            <w:tcW w:w="4223" w:type="dxa"/>
            <w:tcBorders>
              <w:tl2br w:val="nil"/>
              <w:tr2bl w:val="nil"/>
            </w:tcBorders>
            <w:vAlign w:val="center"/>
          </w:tcPr>
          <w:p w14:paraId="6C9B829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.079</w:t>
            </w:r>
          </w:p>
        </w:tc>
      </w:tr>
      <w:tr w:rsidR="00D12939" w14:paraId="4909F653" w14:textId="77777777">
        <w:trPr>
          <w:trHeight w:val="13"/>
          <w:jc w:val="center"/>
        </w:trPr>
        <w:tc>
          <w:tcPr>
            <w:tcW w:w="1538" w:type="dxa"/>
            <w:tcBorders>
              <w:tl2br w:val="nil"/>
              <w:tr2bl w:val="nil"/>
            </w:tcBorders>
            <w:vAlign w:val="center"/>
          </w:tcPr>
          <w:p w14:paraId="4C28FA35"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sz w:val="18"/>
                <w:szCs w:val="18"/>
              </w:rPr>
              <w:t>2</w:t>
            </w:r>
          </w:p>
        </w:tc>
        <w:tc>
          <w:tcPr>
            <w:tcW w:w="3571" w:type="dxa"/>
            <w:tcBorders>
              <w:tl2br w:val="nil"/>
              <w:tr2bl w:val="nil"/>
            </w:tcBorders>
            <w:vAlign w:val="center"/>
          </w:tcPr>
          <w:p w14:paraId="5B139A9E"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hint="eastAsia"/>
                <w:szCs w:val="21"/>
              </w:rPr>
              <w:t>N</w:t>
            </w:r>
            <w:r>
              <w:rPr>
                <w:rFonts w:ascii="Times New Roman" w:eastAsia="宋体" w:hAnsi="Times New Roman"/>
                <w:szCs w:val="21"/>
              </w:rPr>
              <w:t>O</w:t>
            </w:r>
            <w:r>
              <w:rPr>
                <w:rFonts w:ascii="Times New Roman" w:eastAsia="宋体" w:hAnsi="Times New Roman"/>
                <w:szCs w:val="21"/>
                <w:vertAlign w:val="subscript"/>
              </w:rPr>
              <w:t>X</w:t>
            </w:r>
          </w:p>
        </w:tc>
        <w:tc>
          <w:tcPr>
            <w:tcW w:w="4223" w:type="dxa"/>
            <w:tcBorders>
              <w:tl2br w:val="nil"/>
              <w:tr2bl w:val="nil"/>
            </w:tcBorders>
            <w:vAlign w:val="center"/>
          </w:tcPr>
          <w:p w14:paraId="1A1F97A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r>
              <w:rPr>
                <w:rFonts w:ascii="Times New Roman" w:eastAsia="宋体" w:hAnsi="Times New Roman" w:cs="Times New Roman"/>
                <w:szCs w:val="21"/>
              </w:rPr>
              <w:t>.42</w:t>
            </w:r>
          </w:p>
        </w:tc>
      </w:tr>
      <w:tr w:rsidR="0066242E" w14:paraId="602C1A91" w14:textId="77777777" w:rsidTr="008830BB">
        <w:trPr>
          <w:trHeight w:val="13"/>
          <w:jc w:val="center"/>
        </w:trPr>
        <w:tc>
          <w:tcPr>
            <w:tcW w:w="1538" w:type="dxa"/>
            <w:tcBorders>
              <w:tl2br w:val="nil"/>
              <w:tr2bl w:val="nil"/>
            </w:tcBorders>
            <w:vAlign w:val="center"/>
          </w:tcPr>
          <w:p w14:paraId="1E3BB661" w14:textId="77777777" w:rsidR="0066242E" w:rsidRDefault="0066242E" w:rsidP="0066242E">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3</w:t>
            </w:r>
          </w:p>
        </w:tc>
        <w:tc>
          <w:tcPr>
            <w:tcW w:w="3571" w:type="dxa"/>
            <w:tcBorders>
              <w:tl2br w:val="nil"/>
              <w:tr2bl w:val="nil"/>
            </w:tcBorders>
            <w:vAlign w:val="center"/>
          </w:tcPr>
          <w:p w14:paraId="73D0741D" w14:textId="77777777" w:rsidR="0066242E" w:rsidRDefault="0066242E" w:rsidP="0066242E">
            <w:pPr>
              <w:adjustRightInd w:val="0"/>
              <w:snapToGrid w:val="0"/>
              <w:jc w:val="center"/>
              <w:rPr>
                <w:rFonts w:ascii="Times New Roman" w:eastAsia="宋体" w:hAnsi="Times New Roman"/>
                <w:szCs w:val="21"/>
              </w:rPr>
            </w:pPr>
            <w:r>
              <w:rPr>
                <w:rFonts w:ascii="Times New Roman" w:eastAsia="宋体" w:hAnsi="Times New Roman"/>
                <w:szCs w:val="21"/>
              </w:rPr>
              <w:t>NH</w:t>
            </w:r>
            <w:r>
              <w:rPr>
                <w:rFonts w:ascii="Times New Roman" w:eastAsia="宋体" w:hAnsi="Times New Roman"/>
                <w:szCs w:val="21"/>
                <w:vertAlign w:val="subscript"/>
              </w:rPr>
              <w:t>3</w:t>
            </w:r>
          </w:p>
        </w:tc>
        <w:tc>
          <w:tcPr>
            <w:tcW w:w="4223" w:type="dxa"/>
            <w:tcBorders>
              <w:tl2br w:val="nil"/>
              <w:tr2bl w:val="nil"/>
            </w:tcBorders>
            <w:vAlign w:val="bottom"/>
          </w:tcPr>
          <w:p w14:paraId="1F036450" w14:textId="2264D9B5" w:rsidR="0066242E" w:rsidRPr="0066242E" w:rsidRDefault="0066242E" w:rsidP="0066242E">
            <w:pPr>
              <w:jc w:val="center"/>
              <w:rPr>
                <w:rFonts w:ascii="Times New Roman" w:eastAsia="宋体" w:hAnsi="Times New Roman" w:cs="Times New Roman"/>
                <w:szCs w:val="21"/>
              </w:rPr>
            </w:pPr>
            <w:r w:rsidRPr="0066242E">
              <w:rPr>
                <w:rFonts w:ascii="Times New Roman" w:eastAsia="宋体" w:hAnsi="Times New Roman" w:cs="Times New Roman" w:hint="eastAsia"/>
                <w:szCs w:val="21"/>
              </w:rPr>
              <w:t>0.592</w:t>
            </w:r>
            <w:r w:rsidRPr="0066242E">
              <w:rPr>
                <w:rFonts w:ascii="Times New Roman" w:eastAsia="宋体" w:hAnsi="Times New Roman" w:cs="Times New Roman"/>
                <w:szCs w:val="21"/>
              </w:rPr>
              <w:t>6</w:t>
            </w:r>
          </w:p>
        </w:tc>
      </w:tr>
      <w:tr w:rsidR="0066242E" w14:paraId="3D0EDFD9" w14:textId="77777777" w:rsidTr="008830BB">
        <w:trPr>
          <w:trHeight w:val="13"/>
          <w:jc w:val="center"/>
        </w:trPr>
        <w:tc>
          <w:tcPr>
            <w:tcW w:w="1538" w:type="dxa"/>
            <w:tcBorders>
              <w:tl2br w:val="nil"/>
              <w:tr2bl w:val="nil"/>
            </w:tcBorders>
            <w:vAlign w:val="center"/>
          </w:tcPr>
          <w:p w14:paraId="17040DC9" w14:textId="77777777" w:rsidR="0066242E" w:rsidRDefault="0066242E" w:rsidP="0066242E">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4</w:t>
            </w:r>
          </w:p>
        </w:tc>
        <w:tc>
          <w:tcPr>
            <w:tcW w:w="3571" w:type="dxa"/>
            <w:tcBorders>
              <w:tl2br w:val="nil"/>
              <w:tr2bl w:val="nil"/>
            </w:tcBorders>
            <w:vAlign w:val="center"/>
          </w:tcPr>
          <w:p w14:paraId="11919B15" w14:textId="77777777" w:rsidR="0066242E" w:rsidRDefault="0066242E" w:rsidP="0066242E">
            <w:pPr>
              <w:adjustRightInd w:val="0"/>
              <w:snapToGrid w:val="0"/>
              <w:jc w:val="center"/>
              <w:rPr>
                <w:rFonts w:ascii="Times New Roman" w:eastAsia="宋体" w:hAnsi="Times New Roman"/>
                <w:szCs w:val="21"/>
              </w:rPr>
            </w:pPr>
            <w:r>
              <w:rPr>
                <w:rFonts w:ascii="Times New Roman" w:eastAsia="宋体" w:hAnsi="Times New Roman"/>
                <w:szCs w:val="21"/>
              </w:rPr>
              <w:t>H</w:t>
            </w:r>
            <w:r>
              <w:rPr>
                <w:rFonts w:ascii="Times New Roman" w:eastAsia="宋体" w:hAnsi="Times New Roman"/>
                <w:szCs w:val="21"/>
                <w:vertAlign w:val="subscript"/>
              </w:rPr>
              <w:t>2</w:t>
            </w:r>
            <w:r>
              <w:rPr>
                <w:rFonts w:ascii="Times New Roman" w:eastAsia="宋体" w:hAnsi="Times New Roman"/>
                <w:szCs w:val="21"/>
              </w:rPr>
              <w:t>S</w:t>
            </w:r>
          </w:p>
        </w:tc>
        <w:tc>
          <w:tcPr>
            <w:tcW w:w="4223" w:type="dxa"/>
            <w:tcBorders>
              <w:tl2br w:val="nil"/>
              <w:tr2bl w:val="nil"/>
            </w:tcBorders>
            <w:vAlign w:val="bottom"/>
          </w:tcPr>
          <w:p w14:paraId="19F73DE9" w14:textId="0C79973B" w:rsidR="0066242E" w:rsidRPr="0066242E" w:rsidRDefault="0066242E" w:rsidP="0066242E">
            <w:pPr>
              <w:jc w:val="center"/>
              <w:rPr>
                <w:rFonts w:ascii="Times New Roman" w:eastAsia="宋体" w:hAnsi="Times New Roman" w:cs="Times New Roman"/>
                <w:szCs w:val="21"/>
              </w:rPr>
            </w:pPr>
            <w:r w:rsidRPr="0066242E">
              <w:rPr>
                <w:rFonts w:ascii="Times New Roman" w:eastAsia="宋体" w:hAnsi="Times New Roman" w:cs="Times New Roman" w:hint="eastAsia"/>
                <w:szCs w:val="21"/>
              </w:rPr>
              <w:t>0.895</w:t>
            </w:r>
            <w:r w:rsidRPr="0066242E">
              <w:rPr>
                <w:rFonts w:ascii="Times New Roman" w:eastAsia="宋体" w:hAnsi="Times New Roman" w:cs="Times New Roman"/>
                <w:szCs w:val="21"/>
              </w:rPr>
              <w:t>6</w:t>
            </w:r>
          </w:p>
        </w:tc>
      </w:tr>
      <w:tr w:rsidR="00D12939" w14:paraId="523AD7A5" w14:textId="77777777">
        <w:trPr>
          <w:trHeight w:val="13"/>
          <w:jc w:val="center"/>
        </w:trPr>
        <w:tc>
          <w:tcPr>
            <w:tcW w:w="1538" w:type="dxa"/>
            <w:tcBorders>
              <w:tl2br w:val="nil"/>
              <w:tr2bl w:val="nil"/>
            </w:tcBorders>
            <w:vAlign w:val="center"/>
          </w:tcPr>
          <w:p w14:paraId="7EAE5741" w14:textId="77777777" w:rsidR="00D12939" w:rsidRDefault="004F47F5">
            <w:pPr>
              <w:widowControl/>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5</w:t>
            </w:r>
          </w:p>
        </w:tc>
        <w:tc>
          <w:tcPr>
            <w:tcW w:w="3571" w:type="dxa"/>
            <w:tcBorders>
              <w:tl2br w:val="nil"/>
              <w:tr2bl w:val="nil"/>
            </w:tcBorders>
            <w:vAlign w:val="center"/>
          </w:tcPr>
          <w:p w14:paraId="01564723" w14:textId="77777777" w:rsidR="00D12939" w:rsidRDefault="004F47F5">
            <w:pPr>
              <w:adjustRightInd w:val="0"/>
              <w:snapToGrid w:val="0"/>
              <w:jc w:val="center"/>
              <w:rPr>
                <w:rFonts w:ascii="Times New Roman" w:eastAsia="宋体" w:hAnsi="Times New Roman"/>
                <w:szCs w:val="21"/>
              </w:rPr>
            </w:pPr>
            <w:r>
              <w:rPr>
                <w:rFonts w:ascii="Times New Roman" w:eastAsia="宋体" w:hAnsi="Times New Roman"/>
                <w:szCs w:val="21"/>
              </w:rPr>
              <w:t>TSP</w:t>
            </w:r>
          </w:p>
        </w:tc>
        <w:tc>
          <w:tcPr>
            <w:tcW w:w="4223" w:type="dxa"/>
            <w:tcBorders>
              <w:tl2br w:val="nil"/>
              <w:tr2bl w:val="nil"/>
            </w:tcBorders>
            <w:vAlign w:val="center"/>
          </w:tcPr>
          <w:p w14:paraId="65F3BA31"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0.0999</w:t>
            </w:r>
          </w:p>
        </w:tc>
      </w:tr>
    </w:tbl>
    <w:p w14:paraId="366FC52F"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83" w:name="_Toc121411770"/>
      <w:r>
        <w:rPr>
          <w:rFonts w:ascii="Times New Roman" w:eastAsia="黑体" w:hAnsi="Times New Roman" w:cs="Times New Roman"/>
          <w:b w:val="0"/>
          <w:sz w:val="24"/>
        </w:rPr>
        <w:t>7.1.4</w:t>
      </w:r>
      <w:r>
        <w:rPr>
          <w:rFonts w:ascii="Times New Roman" w:eastAsia="黑体" w:hAnsi="Times New Roman" w:cs="Times New Roman"/>
          <w:b w:val="0"/>
          <w:sz w:val="24"/>
        </w:rPr>
        <w:t>大气环境影响评价自查表</w:t>
      </w:r>
      <w:bookmarkEnd w:id="483"/>
    </w:p>
    <w:p w14:paraId="78EC79A8"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本项目大气环境影响评价自查表见表</w:t>
      </w:r>
      <w:r>
        <w:rPr>
          <w:rFonts w:ascii="Times New Roman" w:eastAsia="宋体" w:hAnsi="Times New Roman" w:cs="Times New Roman" w:hint="eastAsia"/>
          <w:sz w:val="24"/>
        </w:rPr>
        <w:t>7.1-1</w:t>
      </w:r>
      <w:r>
        <w:rPr>
          <w:rFonts w:ascii="Times New Roman" w:eastAsia="宋体" w:hAnsi="Times New Roman" w:cs="Times New Roman"/>
          <w:sz w:val="24"/>
        </w:rPr>
        <w:t>3</w:t>
      </w:r>
      <w:r>
        <w:rPr>
          <w:rFonts w:ascii="Times New Roman" w:eastAsia="宋体" w:hAnsi="Times New Roman" w:cs="Times New Roman" w:hint="eastAsia"/>
          <w:sz w:val="24"/>
        </w:rPr>
        <w:t>。</w:t>
      </w:r>
    </w:p>
    <w:p w14:paraId="23041D37" w14:textId="77777777" w:rsidR="00D12939" w:rsidRDefault="004F47F5">
      <w:pPr>
        <w:spacing w:line="360" w:lineRule="auto"/>
        <w:ind w:firstLineChars="200" w:firstLine="480"/>
        <w:jc w:val="center"/>
        <w:rPr>
          <w:rFonts w:ascii="黑体" w:eastAsia="黑体" w:hAnsi="黑体"/>
          <w:sz w:val="24"/>
          <w:szCs w:val="24"/>
        </w:rPr>
      </w:pPr>
      <w:r>
        <w:rPr>
          <w:rFonts w:ascii="黑体" w:eastAsia="黑体" w:hAnsi="黑体" w:hint="eastAsia"/>
          <w:sz w:val="24"/>
          <w:szCs w:val="24"/>
        </w:rPr>
        <w:t>表</w:t>
      </w:r>
      <w:r>
        <w:rPr>
          <w:rFonts w:ascii="黑体" w:eastAsia="黑体" w:hAnsi="黑体"/>
          <w:sz w:val="24"/>
          <w:szCs w:val="24"/>
        </w:rPr>
        <w:t xml:space="preserve">7.1-13  </w:t>
      </w:r>
      <w:r>
        <w:rPr>
          <w:rFonts w:ascii="黑体" w:eastAsia="黑体" w:hAnsi="黑体" w:hint="eastAsia"/>
          <w:sz w:val="24"/>
          <w:szCs w:val="24"/>
        </w:rPr>
        <w:t>建设项目大气环境影响评价自查表</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
        <w:gridCol w:w="373"/>
        <w:gridCol w:w="1349"/>
        <w:gridCol w:w="485"/>
        <w:gridCol w:w="224"/>
        <w:gridCol w:w="198"/>
        <w:gridCol w:w="796"/>
        <w:gridCol w:w="817"/>
        <w:gridCol w:w="354"/>
        <w:gridCol w:w="317"/>
        <w:gridCol w:w="189"/>
        <w:gridCol w:w="270"/>
        <w:gridCol w:w="411"/>
        <w:gridCol w:w="738"/>
        <w:gridCol w:w="47"/>
        <w:gridCol w:w="162"/>
        <w:gridCol w:w="724"/>
        <w:gridCol w:w="146"/>
        <w:gridCol w:w="220"/>
        <w:gridCol w:w="247"/>
        <w:gridCol w:w="306"/>
        <w:gridCol w:w="348"/>
        <w:gridCol w:w="465"/>
      </w:tblGrid>
      <w:tr w:rsidR="00D12939" w14:paraId="6A7BC956" w14:textId="77777777">
        <w:tc>
          <w:tcPr>
            <w:tcW w:w="1165" w:type="pct"/>
            <w:gridSpan w:val="3"/>
            <w:vAlign w:val="center"/>
          </w:tcPr>
          <w:p w14:paraId="6FE19222" w14:textId="77777777" w:rsidR="00D12939" w:rsidRDefault="004F47F5">
            <w:pPr>
              <w:adjustRightInd w:val="0"/>
              <w:snapToGrid w:val="0"/>
              <w:jc w:val="center"/>
              <w:rPr>
                <w:rFonts w:ascii="Times New Roman" w:eastAsia="宋体" w:hAnsi="Times New Roman" w:cs="Times New Roman"/>
                <w:bCs/>
                <w:szCs w:val="21"/>
              </w:rPr>
            </w:pPr>
            <w:r>
              <w:rPr>
                <w:rFonts w:ascii="Times New Roman" w:eastAsia="宋体" w:hAnsi="Times New Roman" w:cs="Times New Roman"/>
                <w:bCs/>
                <w:szCs w:val="21"/>
              </w:rPr>
              <w:t>工作内容</w:t>
            </w:r>
          </w:p>
        </w:tc>
        <w:tc>
          <w:tcPr>
            <w:tcW w:w="3835" w:type="pct"/>
            <w:gridSpan w:val="20"/>
            <w:vAlign w:val="center"/>
          </w:tcPr>
          <w:p w14:paraId="3BB0034F" w14:textId="77777777" w:rsidR="00D12939" w:rsidRDefault="004F47F5">
            <w:pPr>
              <w:adjustRightInd w:val="0"/>
              <w:snapToGrid w:val="0"/>
              <w:jc w:val="center"/>
              <w:rPr>
                <w:rFonts w:ascii="Times New Roman" w:eastAsia="宋体" w:hAnsi="Times New Roman" w:cs="Times New Roman"/>
                <w:bCs/>
                <w:szCs w:val="21"/>
              </w:rPr>
            </w:pPr>
            <w:r>
              <w:rPr>
                <w:rFonts w:ascii="Times New Roman" w:eastAsia="宋体" w:hAnsi="Times New Roman" w:cs="Times New Roman"/>
                <w:bCs/>
                <w:szCs w:val="21"/>
              </w:rPr>
              <w:t>自查项目</w:t>
            </w:r>
          </w:p>
        </w:tc>
      </w:tr>
      <w:tr w:rsidR="00D12939" w14:paraId="50ADA86E" w14:textId="77777777">
        <w:tc>
          <w:tcPr>
            <w:tcW w:w="472" w:type="pct"/>
            <w:gridSpan w:val="2"/>
            <w:vMerge w:val="restart"/>
            <w:vAlign w:val="center"/>
          </w:tcPr>
          <w:p w14:paraId="29E7C7B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评价等级与范围</w:t>
            </w:r>
          </w:p>
        </w:tc>
        <w:tc>
          <w:tcPr>
            <w:tcW w:w="692" w:type="pct"/>
            <w:vAlign w:val="center"/>
          </w:tcPr>
          <w:p w14:paraId="3BE5079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评价等级</w:t>
            </w:r>
          </w:p>
        </w:tc>
        <w:tc>
          <w:tcPr>
            <w:tcW w:w="875" w:type="pct"/>
            <w:gridSpan w:val="4"/>
            <w:vAlign w:val="center"/>
          </w:tcPr>
          <w:p w14:paraId="5C61762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一级</w:t>
            </w:r>
            <w:r>
              <w:rPr>
                <w:rFonts w:ascii="Times New Roman" w:eastAsia="宋体" w:hAnsi="Times New Roman" w:cs="Times New Roman"/>
                <w:szCs w:val="21"/>
              </w:rPr>
              <w:t>□</w:t>
            </w:r>
          </w:p>
        </w:tc>
        <w:tc>
          <w:tcPr>
            <w:tcW w:w="1591" w:type="pct"/>
            <w:gridSpan w:val="7"/>
            <w:vAlign w:val="center"/>
          </w:tcPr>
          <w:p w14:paraId="21FEED3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二级</w:t>
            </w:r>
            <w:r>
              <w:rPr>
                <w:rFonts w:ascii="Times New Roman" w:eastAsia="宋体" w:hAnsi="Times New Roman" w:cs="Times New Roman"/>
                <w:szCs w:val="21"/>
              </w:rPr>
              <w:sym w:font="Wingdings 2" w:char="0052"/>
            </w:r>
          </w:p>
        </w:tc>
        <w:tc>
          <w:tcPr>
            <w:tcW w:w="1370" w:type="pct"/>
            <w:gridSpan w:val="9"/>
            <w:vAlign w:val="center"/>
          </w:tcPr>
          <w:p w14:paraId="4BDF4D8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三级</w:t>
            </w:r>
            <w:r>
              <w:rPr>
                <w:rFonts w:ascii="Times New Roman" w:eastAsia="宋体" w:hAnsi="Times New Roman" w:cs="Times New Roman"/>
                <w:szCs w:val="21"/>
              </w:rPr>
              <w:sym w:font="Wingdings" w:char="00A8"/>
            </w:r>
          </w:p>
        </w:tc>
      </w:tr>
      <w:tr w:rsidR="00D12939" w14:paraId="4AC6920D" w14:textId="77777777">
        <w:tc>
          <w:tcPr>
            <w:tcW w:w="472" w:type="pct"/>
            <w:gridSpan w:val="2"/>
            <w:vMerge/>
            <w:vAlign w:val="center"/>
          </w:tcPr>
          <w:p w14:paraId="312357E2" w14:textId="77777777" w:rsidR="00D12939" w:rsidRDefault="00D12939">
            <w:pPr>
              <w:adjustRightInd w:val="0"/>
              <w:snapToGrid w:val="0"/>
              <w:jc w:val="center"/>
              <w:rPr>
                <w:rFonts w:ascii="Times New Roman" w:eastAsia="宋体" w:hAnsi="Times New Roman" w:cs="Times New Roman"/>
                <w:szCs w:val="21"/>
              </w:rPr>
            </w:pPr>
          </w:p>
        </w:tc>
        <w:tc>
          <w:tcPr>
            <w:tcW w:w="692" w:type="pct"/>
            <w:vAlign w:val="center"/>
          </w:tcPr>
          <w:p w14:paraId="33EF3D5D"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评价范围</w:t>
            </w:r>
          </w:p>
        </w:tc>
        <w:tc>
          <w:tcPr>
            <w:tcW w:w="875" w:type="pct"/>
            <w:gridSpan w:val="4"/>
            <w:vAlign w:val="center"/>
          </w:tcPr>
          <w:p w14:paraId="7C11DE7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=50km□</w:t>
            </w:r>
          </w:p>
        </w:tc>
        <w:tc>
          <w:tcPr>
            <w:tcW w:w="1591" w:type="pct"/>
            <w:gridSpan w:val="7"/>
            <w:vAlign w:val="center"/>
          </w:tcPr>
          <w:p w14:paraId="5490789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5~50km□</w:t>
            </w:r>
          </w:p>
        </w:tc>
        <w:tc>
          <w:tcPr>
            <w:tcW w:w="1370" w:type="pct"/>
            <w:gridSpan w:val="9"/>
            <w:vAlign w:val="center"/>
          </w:tcPr>
          <w:p w14:paraId="456EE7F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=5km</w:t>
            </w:r>
            <w:r>
              <w:rPr>
                <w:rFonts w:ascii="Times New Roman" w:eastAsia="宋体" w:hAnsi="Times New Roman" w:cs="Times New Roman"/>
                <w:szCs w:val="21"/>
              </w:rPr>
              <w:sym w:font="Wingdings 2" w:char="0052"/>
            </w:r>
          </w:p>
        </w:tc>
      </w:tr>
      <w:tr w:rsidR="00D12939" w14:paraId="0CEA9DD8" w14:textId="77777777">
        <w:tc>
          <w:tcPr>
            <w:tcW w:w="472" w:type="pct"/>
            <w:gridSpan w:val="2"/>
            <w:vMerge w:val="restart"/>
            <w:vAlign w:val="center"/>
          </w:tcPr>
          <w:p w14:paraId="3EDDDEF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评价因子</w:t>
            </w:r>
          </w:p>
        </w:tc>
        <w:tc>
          <w:tcPr>
            <w:tcW w:w="692" w:type="pct"/>
            <w:vAlign w:val="center"/>
          </w:tcPr>
          <w:p w14:paraId="60BF158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r>
              <w:rPr>
                <w:rFonts w:ascii="Times New Roman" w:eastAsia="宋体" w:hAnsi="Times New Roman" w:cs="Times New Roman"/>
                <w:szCs w:val="21"/>
              </w:rPr>
              <w:t>+NO</w:t>
            </w:r>
            <w:r>
              <w:rPr>
                <w:rFonts w:ascii="Times New Roman" w:eastAsia="宋体" w:hAnsi="Times New Roman" w:cs="Times New Roman"/>
                <w:szCs w:val="21"/>
                <w:vertAlign w:val="subscript"/>
              </w:rPr>
              <w:t>x</w:t>
            </w:r>
            <w:r>
              <w:rPr>
                <w:rFonts w:ascii="Times New Roman" w:eastAsia="宋体" w:hAnsi="Times New Roman" w:cs="Times New Roman"/>
                <w:szCs w:val="21"/>
              </w:rPr>
              <w:t>排放量</w:t>
            </w:r>
          </w:p>
        </w:tc>
        <w:tc>
          <w:tcPr>
            <w:tcW w:w="875" w:type="pct"/>
            <w:gridSpan w:val="4"/>
            <w:vAlign w:val="center"/>
          </w:tcPr>
          <w:p w14:paraId="1DA8A7B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≥2000t/a□</w:t>
            </w:r>
          </w:p>
        </w:tc>
        <w:tc>
          <w:tcPr>
            <w:tcW w:w="1591" w:type="pct"/>
            <w:gridSpan w:val="7"/>
            <w:vAlign w:val="center"/>
          </w:tcPr>
          <w:p w14:paraId="6A36031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500~2000t/a□</w:t>
            </w:r>
          </w:p>
        </w:tc>
        <w:tc>
          <w:tcPr>
            <w:tcW w:w="1370" w:type="pct"/>
            <w:gridSpan w:val="9"/>
            <w:vAlign w:val="center"/>
          </w:tcPr>
          <w:p w14:paraId="3522A39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500t/a</w:t>
            </w:r>
            <w:r>
              <w:rPr>
                <w:rFonts w:ascii="Times New Roman" w:eastAsia="宋体" w:hAnsi="Times New Roman" w:cs="Times New Roman"/>
                <w:szCs w:val="21"/>
              </w:rPr>
              <w:sym w:font="Wingdings 2" w:char="0052"/>
            </w:r>
          </w:p>
        </w:tc>
      </w:tr>
      <w:tr w:rsidR="00D12939" w14:paraId="7DCF8E41" w14:textId="77777777">
        <w:tc>
          <w:tcPr>
            <w:tcW w:w="472" w:type="pct"/>
            <w:gridSpan w:val="2"/>
            <w:vMerge/>
            <w:vAlign w:val="center"/>
          </w:tcPr>
          <w:p w14:paraId="1FB60D9C" w14:textId="77777777" w:rsidR="00D12939" w:rsidRDefault="00D12939">
            <w:pPr>
              <w:adjustRightInd w:val="0"/>
              <w:snapToGrid w:val="0"/>
              <w:jc w:val="center"/>
              <w:rPr>
                <w:rFonts w:ascii="Times New Roman" w:eastAsia="宋体" w:hAnsi="Times New Roman" w:cs="Times New Roman"/>
                <w:szCs w:val="21"/>
              </w:rPr>
            </w:pPr>
          </w:p>
        </w:tc>
        <w:tc>
          <w:tcPr>
            <w:tcW w:w="692" w:type="pct"/>
            <w:vAlign w:val="center"/>
          </w:tcPr>
          <w:p w14:paraId="2634DE9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评价因子</w:t>
            </w:r>
          </w:p>
        </w:tc>
        <w:tc>
          <w:tcPr>
            <w:tcW w:w="2466" w:type="pct"/>
            <w:gridSpan w:val="11"/>
            <w:vAlign w:val="center"/>
          </w:tcPr>
          <w:p w14:paraId="554CBE5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基本污染物（</w:t>
            </w:r>
            <w:r>
              <w:rPr>
                <w:rFonts w:ascii="Times New Roman" w:eastAsia="宋体" w:hAnsi="Times New Roman" w:cs="Times New Roman"/>
                <w:szCs w:val="21"/>
              </w:rPr>
              <w:t>PM</w:t>
            </w:r>
            <w:r>
              <w:rPr>
                <w:rFonts w:ascii="Times New Roman" w:eastAsia="宋体" w:hAnsi="Times New Roman" w:cs="Times New Roman"/>
                <w:szCs w:val="21"/>
                <w:vertAlign w:val="subscript"/>
              </w:rPr>
              <w:t>2.5</w:t>
            </w:r>
            <w:r>
              <w:rPr>
                <w:rFonts w:ascii="Times New Roman" w:eastAsia="宋体" w:hAnsi="Times New Roman" w:cs="Times New Roman"/>
                <w:szCs w:val="21"/>
              </w:rPr>
              <w:t>、</w:t>
            </w:r>
            <w:r>
              <w:rPr>
                <w:rFonts w:ascii="Times New Roman" w:eastAsia="宋体" w:hAnsi="Times New Roman" w:cs="Times New Roman"/>
                <w:szCs w:val="21"/>
              </w:rPr>
              <w:t>PM</w:t>
            </w:r>
            <w:r>
              <w:rPr>
                <w:rFonts w:ascii="Times New Roman" w:eastAsia="宋体" w:hAnsi="Times New Roman" w:cs="Times New Roman"/>
                <w:szCs w:val="21"/>
                <w:vertAlign w:val="subscript"/>
              </w:rPr>
              <w:t>10</w:t>
            </w:r>
            <w:r>
              <w:rPr>
                <w:rFonts w:ascii="Times New Roman" w:eastAsia="宋体" w:hAnsi="Times New Roman" w:cs="Times New Roman"/>
                <w:szCs w:val="21"/>
              </w:rPr>
              <w:t>、</w:t>
            </w:r>
            <w:r>
              <w:rPr>
                <w:rFonts w:ascii="Times New Roman" w:eastAsia="宋体" w:hAnsi="Times New Roman" w:cs="Times New Roman"/>
                <w:szCs w:val="21"/>
              </w:rPr>
              <w:t>SO</w:t>
            </w:r>
            <w:r>
              <w:rPr>
                <w:rFonts w:ascii="Times New Roman" w:eastAsia="宋体" w:hAnsi="Times New Roman" w:cs="Times New Roman"/>
                <w:szCs w:val="21"/>
                <w:vertAlign w:val="subscript"/>
              </w:rPr>
              <w:t>2</w:t>
            </w:r>
            <w:r>
              <w:rPr>
                <w:rFonts w:ascii="Times New Roman" w:eastAsia="宋体" w:hAnsi="Times New Roman" w:cs="Times New Roman"/>
                <w:szCs w:val="21"/>
              </w:rPr>
              <w:t>、</w:t>
            </w:r>
            <w:r>
              <w:rPr>
                <w:rFonts w:ascii="Times New Roman" w:eastAsia="宋体" w:hAnsi="Times New Roman" w:cs="Times New Roman"/>
                <w:szCs w:val="21"/>
              </w:rPr>
              <w:t>NO</w:t>
            </w:r>
            <w:r>
              <w:rPr>
                <w:rFonts w:ascii="Times New Roman" w:eastAsia="宋体" w:hAnsi="Times New Roman" w:cs="Times New Roman"/>
                <w:szCs w:val="21"/>
                <w:vertAlign w:val="subscript"/>
              </w:rPr>
              <w:t>2</w:t>
            </w:r>
            <w:r>
              <w:rPr>
                <w:rFonts w:ascii="Times New Roman" w:eastAsia="宋体" w:hAnsi="Times New Roman" w:cs="Times New Roman"/>
                <w:szCs w:val="21"/>
              </w:rPr>
              <w:t>、</w:t>
            </w:r>
            <w:r>
              <w:rPr>
                <w:rFonts w:ascii="Times New Roman" w:eastAsia="宋体" w:hAnsi="Times New Roman" w:cs="Times New Roman"/>
                <w:szCs w:val="21"/>
              </w:rPr>
              <w:t>CO</w:t>
            </w:r>
            <w:r>
              <w:rPr>
                <w:rFonts w:ascii="Times New Roman" w:eastAsia="宋体" w:hAnsi="Times New Roman" w:cs="Times New Roman"/>
                <w:szCs w:val="21"/>
              </w:rPr>
              <w:t>、</w:t>
            </w:r>
            <w:r>
              <w:rPr>
                <w:rFonts w:ascii="Times New Roman" w:eastAsia="宋体" w:hAnsi="Times New Roman" w:cs="Times New Roman"/>
                <w:szCs w:val="21"/>
              </w:rPr>
              <w:lastRenderedPageBreak/>
              <w:t>O</w:t>
            </w:r>
            <w:r>
              <w:rPr>
                <w:rFonts w:ascii="Times New Roman" w:eastAsia="宋体" w:hAnsi="Times New Roman" w:cs="Times New Roman"/>
                <w:szCs w:val="21"/>
                <w:vertAlign w:val="subscript"/>
              </w:rPr>
              <w:t>3</w:t>
            </w:r>
            <w:r>
              <w:rPr>
                <w:rFonts w:ascii="Times New Roman" w:eastAsia="宋体" w:hAnsi="Times New Roman" w:cs="Times New Roman"/>
                <w:szCs w:val="21"/>
              </w:rPr>
              <w:t>）</w:t>
            </w:r>
          </w:p>
          <w:p w14:paraId="7C2F0E3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其他污染物（</w:t>
            </w:r>
            <w:r>
              <w:rPr>
                <w:rFonts w:ascii="Times New Roman" w:eastAsia="宋体" w:hAnsi="Times New Roman" w:cs="Times New Roman"/>
                <w:szCs w:val="21"/>
              </w:rPr>
              <w:t>TSP</w:t>
            </w:r>
            <w:r>
              <w:rPr>
                <w:rFonts w:ascii="Times New Roman" w:eastAsia="宋体" w:hAnsi="Times New Roman" w:cs="Times New Roman"/>
                <w:szCs w:val="21"/>
              </w:rPr>
              <w:t>、</w:t>
            </w: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w:t>
            </w:r>
            <w:r>
              <w:rPr>
                <w:rFonts w:ascii="Times New Roman" w:eastAsia="宋体" w:hAnsi="Times New Roman" w:cs="Times New Roman"/>
                <w:szCs w:val="21"/>
              </w:rPr>
              <w:t>、</w:t>
            </w:r>
            <w:r>
              <w:rPr>
                <w:rFonts w:ascii="Times New Roman" w:eastAsia="宋体" w:hAnsi="Times New Roman" w:cs="Times New Roman"/>
                <w:szCs w:val="21"/>
              </w:rPr>
              <w:t>NH</w:t>
            </w:r>
            <w:r>
              <w:rPr>
                <w:rFonts w:ascii="Times New Roman" w:eastAsia="宋体" w:hAnsi="Times New Roman" w:cs="Times New Roman"/>
                <w:szCs w:val="21"/>
                <w:vertAlign w:val="subscript"/>
              </w:rPr>
              <w:t>3</w:t>
            </w:r>
            <w:r>
              <w:rPr>
                <w:rFonts w:ascii="Times New Roman" w:eastAsia="宋体" w:hAnsi="Times New Roman" w:cs="Times New Roman"/>
                <w:szCs w:val="21"/>
              </w:rPr>
              <w:t>）</w:t>
            </w:r>
          </w:p>
        </w:tc>
        <w:tc>
          <w:tcPr>
            <w:tcW w:w="1370" w:type="pct"/>
            <w:gridSpan w:val="9"/>
            <w:vAlign w:val="center"/>
          </w:tcPr>
          <w:p w14:paraId="3441EC9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lastRenderedPageBreak/>
              <w:t>包括二次</w:t>
            </w:r>
            <w:r>
              <w:rPr>
                <w:rFonts w:ascii="Times New Roman" w:eastAsia="宋体" w:hAnsi="Times New Roman" w:cs="Times New Roman"/>
                <w:szCs w:val="21"/>
              </w:rPr>
              <w:t>PM2.5</w:t>
            </w:r>
            <w:r>
              <w:rPr>
                <w:rFonts w:ascii="Times New Roman" w:eastAsia="宋体" w:hAnsi="Times New Roman" w:cs="Times New Roman"/>
                <w:szCs w:val="21"/>
              </w:rPr>
              <w:sym w:font="Wingdings 2" w:char="00A3"/>
            </w:r>
          </w:p>
          <w:p w14:paraId="601E19C5"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lastRenderedPageBreak/>
              <w:t>不包括二次</w:t>
            </w:r>
            <w:r>
              <w:rPr>
                <w:rFonts w:ascii="Times New Roman" w:eastAsia="宋体" w:hAnsi="Times New Roman" w:cs="Times New Roman"/>
                <w:szCs w:val="21"/>
              </w:rPr>
              <w:t>PM2.5</w:t>
            </w:r>
            <w:r>
              <w:rPr>
                <w:rFonts w:ascii="Times New Roman" w:eastAsia="宋体" w:hAnsi="Times New Roman" w:cs="Times New Roman"/>
                <w:szCs w:val="21"/>
              </w:rPr>
              <w:sym w:font="Wingdings 2" w:char="0052"/>
            </w:r>
          </w:p>
        </w:tc>
      </w:tr>
      <w:tr w:rsidR="00D12939" w14:paraId="7D671F50" w14:textId="77777777">
        <w:tc>
          <w:tcPr>
            <w:tcW w:w="472" w:type="pct"/>
            <w:gridSpan w:val="2"/>
            <w:vAlign w:val="center"/>
          </w:tcPr>
          <w:p w14:paraId="1E913ED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lastRenderedPageBreak/>
              <w:t>评价标准</w:t>
            </w:r>
          </w:p>
        </w:tc>
        <w:tc>
          <w:tcPr>
            <w:tcW w:w="692" w:type="pct"/>
            <w:vAlign w:val="center"/>
          </w:tcPr>
          <w:p w14:paraId="45246EE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评价标准</w:t>
            </w:r>
          </w:p>
        </w:tc>
        <w:tc>
          <w:tcPr>
            <w:tcW w:w="466" w:type="pct"/>
            <w:gridSpan w:val="3"/>
            <w:vAlign w:val="center"/>
          </w:tcPr>
          <w:p w14:paraId="21BEB775"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国家标准</w:t>
            </w:r>
            <w:r>
              <w:rPr>
                <w:rFonts w:ascii="Times New Roman" w:eastAsia="宋体" w:hAnsi="Times New Roman" w:cs="Times New Roman"/>
                <w:szCs w:val="21"/>
              </w:rPr>
              <w:sym w:font="Wingdings" w:char="00FE"/>
            </w:r>
          </w:p>
        </w:tc>
        <w:tc>
          <w:tcPr>
            <w:tcW w:w="1011" w:type="pct"/>
            <w:gridSpan w:val="3"/>
            <w:vAlign w:val="center"/>
          </w:tcPr>
          <w:p w14:paraId="2C90D7CD"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地方标准</w:t>
            </w:r>
            <w:r>
              <w:rPr>
                <w:rFonts w:ascii="Times New Roman" w:eastAsia="宋体" w:hAnsi="Times New Roman" w:cs="Times New Roman"/>
                <w:szCs w:val="21"/>
              </w:rPr>
              <w:t>□</w:t>
            </w:r>
          </w:p>
        </w:tc>
        <w:tc>
          <w:tcPr>
            <w:tcW w:w="1468" w:type="pct"/>
            <w:gridSpan w:val="8"/>
            <w:vAlign w:val="center"/>
          </w:tcPr>
          <w:p w14:paraId="4BB3943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附录</w:t>
            </w:r>
            <w:r>
              <w:rPr>
                <w:rFonts w:ascii="Times New Roman" w:eastAsia="宋体" w:hAnsi="Times New Roman" w:cs="Times New Roman"/>
                <w:szCs w:val="21"/>
              </w:rPr>
              <w:t>D</w:t>
            </w:r>
            <w:r>
              <w:rPr>
                <w:rFonts w:ascii="Times New Roman" w:eastAsia="宋体" w:hAnsi="Times New Roman" w:cs="Times New Roman"/>
                <w:szCs w:val="21"/>
              </w:rPr>
              <w:sym w:font="Wingdings 2" w:char="0052"/>
            </w:r>
          </w:p>
        </w:tc>
        <w:tc>
          <w:tcPr>
            <w:tcW w:w="890" w:type="pct"/>
            <w:gridSpan w:val="6"/>
            <w:vAlign w:val="center"/>
          </w:tcPr>
          <w:p w14:paraId="4349B30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其他标准</w:t>
            </w:r>
            <w:r>
              <w:rPr>
                <w:rFonts w:ascii="Times New Roman" w:eastAsia="宋体" w:hAnsi="Times New Roman" w:cs="Times New Roman"/>
                <w:szCs w:val="21"/>
              </w:rPr>
              <w:t>□</w:t>
            </w:r>
          </w:p>
        </w:tc>
      </w:tr>
      <w:tr w:rsidR="00D12939" w14:paraId="3D72B509" w14:textId="77777777">
        <w:tc>
          <w:tcPr>
            <w:tcW w:w="472" w:type="pct"/>
            <w:gridSpan w:val="2"/>
            <w:vMerge w:val="restart"/>
            <w:vAlign w:val="center"/>
          </w:tcPr>
          <w:p w14:paraId="78292A3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现状评价</w:t>
            </w:r>
          </w:p>
        </w:tc>
        <w:tc>
          <w:tcPr>
            <w:tcW w:w="692" w:type="pct"/>
            <w:vAlign w:val="center"/>
          </w:tcPr>
          <w:p w14:paraId="5E46287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环境功能区</w:t>
            </w:r>
          </w:p>
        </w:tc>
        <w:tc>
          <w:tcPr>
            <w:tcW w:w="875" w:type="pct"/>
            <w:gridSpan w:val="4"/>
            <w:vAlign w:val="center"/>
          </w:tcPr>
          <w:p w14:paraId="448B7A5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一类区</w:t>
            </w:r>
            <w:r>
              <w:rPr>
                <w:rFonts w:ascii="Times New Roman" w:eastAsia="宋体" w:hAnsi="Times New Roman" w:cs="Times New Roman"/>
                <w:szCs w:val="21"/>
              </w:rPr>
              <w:t>□</w:t>
            </w:r>
          </w:p>
        </w:tc>
        <w:tc>
          <w:tcPr>
            <w:tcW w:w="1615" w:type="pct"/>
            <w:gridSpan w:val="8"/>
            <w:vAlign w:val="center"/>
          </w:tcPr>
          <w:p w14:paraId="35E1CB1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二类区</w:t>
            </w:r>
            <w:r>
              <w:rPr>
                <w:rFonts w:ascii="Times New Roman" w:eastAsia="宋体" w:hAnsi="Times New Roman" w:cs="Times New Roman"/>
                <w:szCs w:val="21"/>
              </w:rPr>
              <w:sym w:font="Wingdings" w:char="00FE"/>
            </w:r>
          </w:p>
        </w:tc>
        <w:tc>
          <w:tcPr>
            <w:tcW w:w="1345" w:type="pct"/>
            <w:gridSpan w:val="8"/>
            <w:vAlign w:val="center"/>
          </w:tcPr>
          <w:p w14:paraId="323885D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一类区和二类区</w:t>
            </w:r>
            <w:r>
              <w:rPr>
                <w:rFonts w:ascii="Times New Roman" w:eastAsia="宋体" w:hAnsi="Times New Roman" w:cs="Times New Roman"/>
                <w:szCs w:val="21"/>
              </w:rPr>
              <w:t>□</w:t>
            </w:r>
          </w:p>
        </w:tc>
      </w:tr>
      <w:tr w:rsidR="00D12939" w14:paraId="2756D4D5" w14:textId="77777777">
        <w:tc>
          <w:tcPr>
            <w:tcW w:w="472" w:type="pct"/>
            <w:gridSpan w:val="2"/>
            <w:vMerge/>
            <w:vAlign w:val="center"/>
          </w:tcPr>
          <w:p w14:paraId="7497FBC0" w14:textId="77777777" w:rsidR="00D12939" w:rsidRDefault="00D12939">
            <w:pPr>
              <w:adjustRightInd w:val="0"/>
              <w:snapToGrid w:val="0"/>
              <w:jc w:val="center"/>
              <w:rPr>
                <w:rFonts w:ascii="Times New Roman" w:eastAsia="宋体" w:hAnsi="Times New Roman" w:cs="Times New Roman"/>
                <w:szCs w:val="21"/>
              </w:rPr>
            </w:pPr>
          </w:p>
        </w:tc>
        <w:tc>
          <w:tcPr>
            <w:tcW w:w="692" w:type="pct"/>
            <w:vAlign w:val="center"/>
          </w:tcPr>
          <w:p w14:paraId="05A1DAA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评价基准年</w:t>
            </w:r>
          </w:p>
        </w:tc>
        <w:tc>
          <w:tcPr>
            <w:tcW w:w="3835" w:type="pct"/>
            <w:gridSpan w:val="20"/>
            <w:vAlign w:val="center"/>
          </w:tcPr>
          <w:p w14:paraId="2D4E13B5"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2021</w:t>
            </w:r>
            <w:r>
              <w:rPr>
                <w:rFonts w:ascii="Times New Roman" w:eastAsia="宋体" w:hAnsi="Times New Roman" w:cs="Times New Roman"/>
                <w:szCs w:val="21"/>
              </w:rPr>
              <w:t>）年</w:t>
            </w:r>
          </w:p>
        </w:tc>
      </w:tr>
      <w:tr w:rsidR="00D12939" w14:paraId="6D089ED6" w14:textId="77777777">
        <w:tc>
          <w:tcPr>
            <w:tcW w:w="472" w:type="pct"/>
            <w:gridSpan w:val="2"/>
            <w:vMerge/>
            <w:vAlign w:val="center"/>
          </w:tcPr>
          <w:p w14:paraId="492FAD32" w14:textId="77777777" w:rsidR="00D12939" w:rsidRDefault="00D12939">
            <w:pPr>
              <w:adjustRightInd w:val="0"/>
              <w:snapToGrid w:val="0"/>
              <w:jc w:val="center"/>
              <w:rPr>
                <w:rFonts w:ascii="Times New Roman" w:eastAsia="宋体" w:hAnsi="Times New Roman" w:cs="Times New Roman"/>
                <w:szCs w:val="21"/>
              </w:rPr>
            </w:pPr>
          </w:p>
        </w:tc>
        <w:tc>
          <w:tcPr>
            <w:tcW w:w="692" w:type="pct"/>
            <w:vAlign w:val="center"/>
          </w:tcPr>
          <w:p w14:paraId="45142B6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环境空气质量现状调查数据来源</w:t>
            </w:r>
          </w:p>
        </w:tc>
        <w:tc>
          <w:tcPr>
            <w:tcW w:w="875" w:type="pct"/>
            <w:gridSpan w:val="4"/>
            <w:vAlign w:val="center"/>
          </w:tcPr>
          <w:p w14:paraId="31D12EB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长期例行监测数据</w:t>
            </w:r>
            <w:r>
              <w:rPr>
                <w:rFonts w:ascii="Times New Roman" w:eastAsia="宋体" w:hAnsi="Times New Roman" w:cs="Times New Roman"/>
                <w:szCs w:val="21"/>
              </w:rPr>
              <w:t>□</w:t>
            </w:r>
          </w:p>
        </w:tc>
        <w:tc>
          <w:tcPr>
            <w:tcW w:w="1615" w:type="pct"/>
            <w:gridSpan w:val="8"/>
            <w:vAlign w:val="center"/>
          </w:tcPr>
          <w:p w14:paraId="40FABDD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主管部门发布的数据</w:t>
            </w:r>
            <w:r>
              <w:rPr>
                <w:rFonts w:ascii="Times New Roman" w:eastAsia="宋体" w:hAnsi="Times New Roman" w:cs="Times New Roman"/>
                <w:szCs w:val="21"/>
              </w:rPr>
              <w:sym w:font="Wingdings 2" w:char="0052"/>
            </w:r>
          </w:p>
        </w:tc>
        <w:tc>
          <w:tcPr>
            <w:tcW w:w="1345" w:type="pct"/>
            <w:gridSpan w:val="8"/>
            <w:vAlign w:val="center"/>
          </w:tcPr>
          <w:p w14:paraId="6E52796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现状补充监测</w:t>
            </w:r>
            <w:r>
              <w:rPr>
                <w:rFonts w:ascii="Times New Roman" w:eastAsia="宋体" w:hAnsi="Times New Roman" w:cs="Times New Roman"/>
                <w:szCs w:val="21"/>
              </w:rPr>
              <w:sym w:font="Wingdings" w:char="00FE"/>
            </w:r>
          </w:p>
        </w:tc>
      </w:tr>
      <w:tr w:rsidR="00D12939" w14:paraId="6B0BACC0" w14:textId="77777777">
        <w:tc>
          <w:tcPr>
            <w:tcW w:w="472" w:type="pct"/>
            <w:gridSpan w:val="2"/>
            <w:vMerge/>
            <w:vAlign w:val="center"/>
          </w:tcPr>
          <w:p w14:paraId="7EC274F2" w14:textId="77777777" w:rsidR="00D12939" w:rsidRDefault="00D12939">
            <w:pPr>
              <w:adjustRightInd w:val="0"/>
              <w:snapToGrid w:val="0"/>
              <w:jc w:val="center"/>
              <w:rPr>
                <w:rFonts w:ascii="Times New Roman" w:eastAsia="宋体" w:hAnsi="Times New Roman" w:cs="Times New Roman"/>
                <w:szCs w:val="21"/>
              </w:rPr>
            </w:pPr>
          </w:p>
        </w:tc>
        <w:tc>
          <w:tcPr>
            <w:tcW w:w="692" w:type="pct"/>
            <w:vAlign w:val="center"/>
          </w:tcPr>
          <w:p w14:paraId="050D55D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现状评价</w:t>
            </w:r>
          </w:p>
        </w:tc>
        <w:tc>
          <w:tcPr>
            <w:tcW w:w="2490" w:type="pct"/>
            <w:gridSpan w:val="12"/>
            <w:vAlign w:val="center"/>
          </w:tcPr>
          <w:p w14:paraId="6BA2B83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达标区</w:t>
            </w:r>
            <w:r>
              <w:rPr>
                <w:rFonts w:ascii="Times New Roman" w:eastAsia="宋体" w:hAnsi="Times New Roman" w:cs="Times New Roman"/>
                <w:szCs w:val="21"/>
              </w:rPr>
              <w:sym w:font="Wingdings" w:char="00FE"/>
            </w:r>
          </w:p>
        </w:tc>
        <w:tc>
          <w:tcPr>
            <w:tcW w:w="1345" w:type="pct"/>
            <w:gridSpan w:val="8"/>
            <w:vAlign w:val="center"/>
          </w:tcPr>
          <w:p w14:paraId="5C8164F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不达标区</w:t>
            </w:r>
            <w:r>
              <w:rPr>
                <w:rFonts w:ascii="Times New Roman" w:eastAsia="宋体" w:hAnsi="Times New Roman" w:cs="Times New Roman"/>
                <w:szCs w:val="21"/>
              </w:rPr>
              <w:t>□</w:t>
            </w:r>
          </w:p>
        </w:tc>
      </w:tr>
      <w:tr w:rsidR="00D12939" w14:paraId="63CA81FE" w14:textId="77777777">
        <w:tc>
          <w:tcPr>
            <w:tcW w:w="472" w:type="pct"/>
            <w:gridSpan w:val="2"/>
            <w:vAlign w:val="center"/>
          </w:tcPr>
          <w:p w14:paraId="39EF2B1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污染源</w:t>
            </w:r>
          </w:p>
          <w:p w14:paraId="275546E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调查</w:t>
            </w:r>
          </w:p>
        </w:tc>
        <w:tc>
          <w:tcPr>
            <w:tcW w:w="692" w:type="pct"/>
            <w:vAlign w:val="center"/>
          </w:tcPr>
          <w:p w14:paraId="0D8E108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调查内容</w:t>
            </w:r>
          </w:p>
        </w:tc>
        <w:tc>
          <w:tcPr>
            <w:tcW w:w="1295" w:type="pct"/>
            <w:gridSpan w:val="5"/>
            <w:vAlign w:val="center"/>
          </w:tcPr>
          <w:p w14:paraId="1E1D6B4E"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本项目正常排放源</w:t>
            </w:r>
            <w:r>
              <w:rPr>
                <w:rFonts w:ascii="Times New Roman" w:eastAsia="宋体" w:hAnsi="Times New Roman" w:cs="Times New Roman"/>
                <w:szCs w:val="21"/>
              </w:rPr>
              <w:sym w:font="Wingdings 2" w:char="0052"/>
            </w:r>
          </w:p>
          <w:p w14:paraId="69AA5BC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本项目非正常排放源</w:t>
            </w:r>
            <w:r>
              <w:rPr>
                <w:rFonts w:ascii="Times New Roman" w:eastAsia="宋体" w:hAnsi="Times New Roman" w:cs="Times New Roman"/>
                <w:szCs w:val="21"/>
              </w:rPr>
              <w:sym w:font="Wingdings 2" w:char="0052"/>
            </w:r>
          </w:p>
          <w:p w14:paraId="478F2C2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现有污染源</w:t>
            </w:r>
            <w:r>
              <w:rPr>
                <w:rFonts w:ascii="Times New Roman" w:eastAsia="宋体" w:hAnsi="Times New Roman" w:cs="Times New Roman"/>
                <w:szCs w:val="21"/>
              </w:rPr>
              <w:t>□</w:t>
            </w:r>
          </w:p>
        </w:tc>
        <w:tc>
          <w:tcPr>
            <w:tcW w:w="792" w:type="pct"/>
            <w:gridSpan w:val="5"/>
            <w:vAlign w:val="center"/>
          </w:tcPr>
          <w:p w14:paraId="5A9E4FC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拟替代的污染源</w:t>
            </w:r>
            <w:r>
              <w:rPr>
                <w:rFonts w:ascii="Times New Roman" w:eastAsia="宋体" w:hAnsi="Times New Roman" w:cs="Times New Roman"/>
                <w:szCs w:val="21"/>
              </w:rPr>
              <w:t>□</w:t>
            </w:r>
          </w:p>
        </w:tc>
        <w:tc>
          <w:tcPr>
            <w:tcW w:w="1330" w:type="pct"/>
            <w:gridSpan w:val="8"/>
            <w:vAlign w:val="center"/>
          </w:tcPr>
          <w:p w14:paraId="06675D3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其他在建、拟建项目</w:t>
            </w:r>
          </w:p>
          <w:p w14:paraId="466EB06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污染源</w:t>
            </w:r>
            <w:r>
              <w:rPr>
                <w:rFonts w:ascii="Times New Roman" w:eastAsia="宋体" w:hAnsi="Times New Roman" w:cs="Times New Roman"/>
                <w:szCs w:val="21"/>
              </w:rPr>
              <w:t>□</w:t>
            </w:r>
          </w:p>
        </w:tc>
        <w:tc>
          <w:tcPr>
            <w:tcW w:w="418" w:type="pct"/>
            <w:gridSpan w:val="2"/>
            <w:vAlign w:val="center"/>
          </w:tcPr>
          <w:p w14:paraId="1F71976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区域污染源</w:t>
            </w:r>
            <w:r>
              <w:rPr>
                <w:rFonts w:ascii="Times New Roman" w:eastAsia="宋体" w:hAnsi="Times New Roman" w:cs="Times New Roman"/>
                <w:szCs w:val="21"/>
              </w:rPr>
              <w:t>□</w:t>
            </w:r>
          </w:p>
        </w:tc>
      </w:tr>
      <w:tr w:rsidR="00D12939" w14:paraId="70188254" w14:textId="77777777">
        <w:tc>
          <w:tcPr>
            <w:tcW w:w="472" w:type="pct"/>
            <w:gridSpan w:val="2"/>
            <w:vMerge w:val="restart"/>
            <w:vAlign w:val="center"/>
          </w:tcPr>
          <w:p w14:paraId="6AE9C7D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大气环境影响预测与评价</w:t>
            </w:r>
          </w:p>
        </w:tc>
        <w:tc>
          <w:tcPr>
            <w:tcW w:w="692" w:type="pct"/>
            <w:vAlign w:val="center"/>
          </w:tcPr>
          <w:p w14:paraId="25A533E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预测模型</w:t>
            </w:r>
          </w:p>
        </w:tc>
        <w:tc>
          <w:tcPr>
            <w:tcW w:w="364" w:type="pct"/>
            <w:gridSpan w:val="2"/>
            <w:vAlign w:val="center"/>
          </w:tcPr>
          <w:p w14:paraId="4DC56E8D"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AERMOD□</w:t>
            </w:r>
          </w:p>
        </w:tc>
        <w:tc>
          <w:tcPr>
            <w:tcW w:w="511" w:type="pct"/>
            <w:gridSpan w:val="2"/>
            <w:vAlign w:val="center"/>
          </w:tcPr>
          <w:p w14:paraId="2A2EE93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ADMS□</w:t>
            </w:r>
          </w:p>
        </w:tc>
        <w:tc>
          <w:tcPr>
            <w:tcW w:w="862" w:type="pct"/>
            <w:gridSpan w:val="4"/>
            <w:vAlign w:val="center"/>
          </w:tcPr>
          <w:p w14:paraId="64B4F21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AUSTAL2000□</w:t>
            </w:r>
          </w:p>
        </w:tc>
        <w:tc>
          <w:tcPr>
            <w:tcW w:w="836" w:type="pct"/>
            <w:gridSpan w:val="5"/>
            <w:vAlign w:val="center"/>
          </w:tcPr>
          <w:p w14:paraId="0CB733E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EDMS/AEDT□</w:t>
            </w:r>
          </w:p>
        </w:tc>
        <w:tc>
          <w:tcPr>
            <w:tcW w:w="687" w:type="pct"/>
            <w:gridSpan w:val="4"/>
            <w:vAlign w:val="center"/>
          </w:tcPr>
          <w:p w14:paraId="6B4F8B9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CALPUFF□</w:t>
            </w:r>
          </w:p>
        </w:tc>
        <w:tc>
          <w:tcPr>
            <w:tcW w:w="336" w:type="pct"/>
            <w:gridSpan w:val="2"/>
            <w:vAlign w:val="center"/>
          </w:tcPr>
          <w:p w14:paraId="65AC370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网格模型</w:t>
            </w:r>
            <w:r>
              <w:rPr>
                <w:rFonts w:ascii="Times New Roman" w:eastAsia="宋体" w:hAnsi="Times New Roman" w:cs="Times New Roman"/>
                <w:szCs w:val="21"/>
              </w:rPr>
              <w:t>□</w:t>
            </w:r>
          </w:p>
        </w:tc>
        <w:tc>
          <w:tcPr>
            <w:tcW w:w="239" w:type="pct"/>
            <w:vAlign w:val="center"/>
          </w:tcPr>
          <w:p w14:paraId="1AC76FC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其他</w:t>
            </w:r>
            <w:r>
              <w:rPr>
                <w:rFonts w:ascii="Times New Roman" w:eastAsia="宋体" w:hAnsi="Times New Roman" w:cs="Times New Roman"/>
                <w:szCs w:val="21"/>
              </w:rPr>
              <w:t>□</w:t>
            </w:r>
          </w:p>
        </w:tc>
      </w:tr>
      <w:tr w:rsidR="00D12939" w14:paraId="26FC0898" w14:textId="77777777">
        <w:tc>
          <w:tcPr>
            <w:tcW w:w="472" w:type="pct"/>
            <w:gridSpan w:val="2"/>
            <w:vMerge/>
            <w:vAlign w:val="center"/>
          </w:tcPr>
          <w:p w14:paraId="774CCA92" w14:textId="77777777" w:rsidR="00D12939" w:rsidRDefault="00D12939">
            <w:pPr>
              <w:adjustRightInd w:val="0"/>
              <w:snapToGrid w:val="0"/>
              <w:jc w:val="center"/>
              <w:rPr>
                <w:rFonts w:ascii="Times New Roman" w:eastAsia="宋体" w:hAnsi="Times New Roman" w:cs="Times New Roman"/>
                <w:szCs w:val="21"/>
              </w:rPr>
            </w:pPr>
          </w:p>
        </w:tc>
        <w:tc>
          <w:tcPr>
            <w:tcW w:w="692" w:type="pct"/>
            <w:vAlign w:val="center"/>
          </w:tcPr>
          <w:p w14:paraId="58043F3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预测范围</w:t>
            </w:r>
          </w:p>
        </w:tc>
        <w:tc>
          <w:tcPr>
            <w:tcW w:w="875" w:type="pct"/>
            <w:gridSpan w:val="4"/>
            <w:vAlign w:val="center"/>
          </w:tcPr>
          <w:p w14:paraId="35F93A4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≥50km□</w:t>
            </w:r>
          </w:p>
        </w:tc>
        <w:tc>
          <w:tcPr>
            <w:tcW w:w="1615" w:type="pct"/>
            <w:gridSpan w:val="8"/>
            <w:vAlign w:val="center"/>
          </w:tcPr>
          <w:p w14:paraId="353CA85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5~50km□</w:t>
            </w:r>
          </w:p>
        </w:tc>
        <w:tc>
          <w:tcPr>
            <w:tcW w:w="1345" w:type="pct"/>
            <w:gridSpan w:val="8"/>
            <w:vAlign w:val="center"/>
          </w:tcPr>
          <w:p w14:paraId="73127AC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边长</w:t>
            </w:r>
            <w:r>
              <w:rPr>
                <w:rFonts w:ascii="Times New Roman" w:eastAsia="宋体" w:hAnsi="Times New Roman" w:cs="Times New Roman"/>
                <w:szCs w:val="21"/>
              </w:rPr>
              <w:t>=5km□</w:t>
            </w:r>
          </w:p>
        </w:tc>
      </w:tr>
      <w:tr w:rsidR="00D12939" w14:paraId="30DA454D" w14:textId="77777777">
        <w:tc>
          <w:tcPr>
            <w:tcW w:w="472" w:type="pct"/>
            <w:gridSpan w:val="2"/>
            <w:vMerge/>
            <w:vAlign w:val="center"/>
          </w:tcPr>
          <w:p w14:paraId="2DE277FA" w14:textId="77777777" w:rsidR="00D12939" w:rsidRDefault="00D12939">
            <w:pPr>
              <w:adjustRightInd w:val="0"/>
              <w:snapToGrid w:val="0"/>
              <w:jc w:val="center"/>
              <w:rPr>
                <w:rFonts w:ascii="Times New Roman" w:eastAsia="宋体" w:hAnsi="Times New Roman" w:cs="Times New Roman"/>
                <w:szCs w:val="21"/>
              </w:rPr>
            </w:pPr>
          </w:p>
        </w:tc>
        <w:tc>
          <w:tcPr>
            <w:tcW w:w="692" w:type="pct"/>
            <w:vAlign w:val="center"/>
          </w:tcPr>
          <w:p w14:paraId="6421739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预测因子</w:t>
            </w:r>
          </w:p>
        </w:tc>
        <w:tc>
          <w:tcPr>
            <w:tcW w:w="2490" w:type="pct"/>
            <w:gridSpan w:val="12"/>
            <w:vAlign w:val="center"/>
          </w:tcPr>
          <w:p w14:paraId="725CED9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预测因子（</w:t>
            </w:r>
            <w:r>
              <w:rPr>
                <w:rFonts w:ascii="Times New Roman" w:eastAsia="宋体" w:hAnsi="Times New Roman" w:cs="Times New Roman"/>
                <w:szCs w:val="21"/>
              </w:rPr>
              <w:t xml:space="preserve"> </w:t>
            </w:r>
            <w:r>
              <w:rPr>
                <w:rFonts w:ascii="Times New Roman" w:eastAsia="宋体" w:hAnsi="Times New Roman" w:cs="Times New Roman"/>
                <w:szCs w:val="21"/>
              </w:rPr>
              <w:t>）</w:t>
            </w:r>
          </w:p>
        </w:tc>
        <w:tc>
          <w:tcPr>
            <w:tcW w:w="1345" w:type="pct"/>
            <w:gridSpan w:val="8"/>
            <w:vAlign w:val="center"/>
          </w:tcPr>
          <w:p w14:paraId="721332A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包括二次</w:t>
            </w:r>
            <w:r>
              <w:rPr>
                <w:rFonts w:ascii="Times New Roman" w:eastAsia="宋体" w:hAnsi="Times New Roman" w:cs="Times New Roman"/>
                <w:szCs w:val="21"/>
              </w:rPr>
              <w:t>PM2.5□</w:t>
            </w:r>
          </w:p>
          <w:p w14:paraId="658B6CD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不包括二次</w:t>
            </w:r>
            <w:r>
              <w:rPr>
                <w:rFonts w:ascii="Times New Roman" w:eastAsia="宋体" w:hAnsi="Times New Roman" w:cs="Times New Roman"/>
                <w:szCs w:val="21"/>
              </w:rPr>
              <w:t>PM2.5□</w:t>
            </w:r>
          </w:p>
        </w:tc>
      </w:tr>
      <w:tr w:rsidR="00D12939" w14:paraId="2F39BC7F" w14:textId="77777777">
        <w:tc>
          <w:tcPr>
            <w:tcW w:w="472" w:type="pct"/>
            <w:gridSpan w:val="2"/>
            <w:vMerge/>
            <w:vAlign w:val="center"/>
          </w:tcPr>
          <w:p w14:paraId="40A1575D" w14:textId="77777777" w:rsidR="00D12939" w:rsidRDefault="00D12939">
            <w:pPr>
              <w:adjustRightInd w:val="0"/>
              <w:snapToGrid w:val="0"/>
              <w:jc w:val="center"/>
              <w:rPr>
                <w:rFonts w:ascii="Times New Roman" w:eastAsia="宋体" w:hAnsi="Times New Roman" w:cs="Times New Roman"/>
                <w:szCs w:val="21"/>
              </w:rPr>
            </w:pPr>
          </w:p>
        </w:tc>
        <w:tc>
          <w:tcPr>
            <w:tcW w:w="692" w:type="pct"/>
            <w:vAlign w:val="center"/>
          </w:tcPr>
          <w:p w14:paraId="08A1741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正常排放短期浓度贡献值</w:t>
            </w:r>
          </w:p>
        </w:tc>
        <w:tc>
          <w:tcPr>
            <w:tcW w:w="2490" w:type="pct"/>
            <w:gridSpan w:val="12"/>
            <w:vAlign w:val="center"/>
          </w:tcPr>
          <w:p w14:paraId="34EE452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本项目</w:t>
            </w:r>
            <w:r>
              <w:rPr>
                <w:rFonts w:ascii="Times New Roman" w:eastAsia="宋体" w:hAnsi="Times New Roman" w:cs="Times New Roman"/>
                <w:szCs w:val="21"/>
              </w:rPr>
              <w:t>最大占标率</w:t>
            </w:r>
            <w:r>
              <w:rPr>
                <w:rFonts w:ascii="Times New Roman" w:eastAsia="宋体" w:hAnsi="Times New Roman" w:cs="Times New Roman"/>
                <w:szCs w:val="21"/>
              </w:rPr>
              <w:t>≤100%□</w:t>
            </w:r>
          </w:p>
        </w:tc>
        <w:tc>
          <w:tcPr>
            <w:tcW w:w="1345" w:type="pct"/>
            <w:gridSpan w:val="8"/>
            <w:vAlign w:val="center"/>
          </w:tcPr>
          <w:p w14:paraId="33DFE3F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本项目</w:t>
            </w:r>
            <w:r>
              <w:rPr>
                <w:rFonts w:ascii="Times New Roman" w:eastAsia="宋体" w:hAnsi="Times New Roman" w:cs="Times New Roman"/>
                <w:szCs w:val="21"/>
              </w:rPr>
              <w:t>最大占标率＞</w:t>
            </w:r>
            <w:r>
              <w:rPr>
                <w:rFonts w:ascii="Times New Roman" w:eastAsia="宋体" w:hAnsi="Times New Roman" w:cs="Times New Roman"/>
                <w:szCs w:val="21"/>
              </w:rPr>
              <w:t>100%□</w:t>
            </w:r>
          </w:p>
        </w:tc>
      </w:tr>
      <w:tr w:rsidR="00D12939" w14:paraId="7E6FC079" w14:textId="77777777">
        <w:tc>
          <w:tcPr>
            <w:tcW w:w="280" w:type="pct"/>
            <w:vMerge w:val="restart"/>
            <w:vAlign w:val="center"/>
          </w:tcPr>
          <w:p w14:paraId="55012356" w14:textId="77777777" w:rsidR="00D12939" w:rsidRDefault="00D12939">
            <w:pPr>
              <w:adjustRightInd w:val="0"/>
              <w:snapToGrid w:val="0"/>
              <w:jc w:val="center"/>
              <w:rPr>
                <w:rFonts w:ascii="Times New Roman" w:eastAsia="宋体" w:hAnsi="Times New Roman" w:cs="Times New Roman"/>
                <w:szCs w:val="21"/>
              </w:rPr>
            </w:pPr>
          </w:p>
        </w:tc>
        <w:tc>
          <w:tcPr>
            <w:tcW w:w="884" w:type="pct"/>
            <w:gridSpan w:val="2"/>
            <w:vMerge w:val="restart"/>
            <w:vAlign w:val="center"/>
          </w:tcPr>
          <w:p w14:paraId="27B573D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正常排放年均浓度贡献值</w:t>
            </w:r>
          </w:p>
        </w:tc>
        <w:tc>
          <w:tcPr>
            <w:tcW w:w="249" w:type="pct"/>
            <w:vAlign w:val="center"/>
          </w:tcPr>
          <w:p w14:paraId="772A7BB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一类区</w:t>
            </w:r>
          </w:p>
        </w:tc>
        <w:tc>
          <w:tcPr>
            <w:tcW w:w="2241" w:type="pct"/>
            <w:gridSpan w:val="11"/>
            <w:vAlign w:val="center"/>
          </w:tcPr>
          <w:p w14:paraId="33D7F4B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本项目</w:t>
            </w:r>
            <w:r>
              <w:rPr>
                <w:rFonts w:ascii="Times New Roman" w:eastAsia="宋体" w:hAnsi="Times New Roman" w:cs="Times New Roman"/>
                <w:szCs w:val="21"/>
              </w:rPr>
              <w:t>最大占标率</w:t>
            </w:r>
            <w:r>
              <w:rPr>
                <w:rFonts w:ascii="Times New Roman" w:eastAsia="宋体" w:hAnsi="Times New Roman" w:cs="Times New Roman"/>
                <w:szCs w:val="21"/>
              </w:rPr>
              <w:t>≤10%□</w:t>
            </w:r>
          </w:p>
        </w:tc>
        <w:tc>
          <w:tcPr>
            <w:tcW w:w="1345" w:type="pct"/>
            <w:gridSpan w:val="8"/>
            <w:vAlign w:val="center"/>
          </w:tcPr>
          <w:p w14:paraId="7ED2F78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本项目</w:t>
            </w:r>
            <w:r>
              <w:rPr>
                <w:rFonts w:ascii="Times New Roman" w:eastAsia="宋体" w:hAnsi="Times New Roman" w:cs="Times New Roman"/>
                <w:szCs w:val="21"/>
              </w:rPr>
              <w:t>最大占标率＞</w:t>
            </w:r>
            <w:r>
              <w:rPr>
                <w:rFonts w:ascii="Times New Roman" w:eastAsia="宋体" w:hAnsi="Times New Roman" w:cs="Times New Roman"/>
                <w:szCs w:val="21"/>
              </w:rPr>
              <w:t>10%□</w:t>
            </w:r>
          </w:p>
        </w:tc>
      </w:tr>
      <w:tr w:rsidR="00D12939" w14:paraId="0AAA8277" w14:textId="77777777">
        <w:tc>
          <w:tcPr>
            <w:tcW w:w="280" w:type="pct"/>
            <w:vMerge/>
            <w:vAlign w:val="center"/>
          </w:tcPr>
          <w:p w14:paraId="2037E3A9" w14:textId="77777777" w:rsidR="00D12939" w:rsidRDefault="00D12939">
            <w:pPr>
              <w:adjustRightInd w:val="0"/>
              <w:snapToGrid w:val="0"/>
              <w:jc w:val="center"/>
              <w:rPr>
                <w:rFonts w:ascii="Times New Roman" w:eastAsia="宋体" w:hAnsi="Times New Roman" w:cs="Times New Roman"/>
                <w:szCs w:val="21"/>
              </w:rPr>
            </w:pPr>
          </w:p>
        </w:tc>
        <w:tc>
          <w:tcPr>
            <w:tcW w:w="884" w:type="pct"/>
            <w:gridSpan w:val="2"/>
            <w:vMerge/>
            <w:vAlign w:val="center"/>
          </w:tcPr>
          <w:p w14:paraId="1B258E0F" w14:textId="77777777" w:rsidR="00D12939" w:rsidRDefault="00D12939">
            <w:pPr>
              <w:adjustRightInd w:val="0"/>
              <w:snapToGrid w:val="0"/>
              <w:jc w:val="center"/>
              <w:rPr>
                <w:rFonts w:ascii="Times New Roman" w:eastAsia="宋体" w:hAnsi="Times New Roman" w:cs="Times New Roman"/>
                <w:szCs w:val="21"/>
              </w:rPr>
            </w:pPr>
          </w:p>
        </w:tc>
        <w:tc>
          <w:tcPr>
            <w:tcW w:w="249" w:type="pct"/>
            <w:vAlign w:val="center"/>
          </w:tcPr>
          <w:p w14:paraId="0AC789C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二类区</w:t>
            </w:r>
          </w:p>
        </w:tc>
        <w:tc>
          <w:tcPr>
            <w:tcW w:w="2241" w:type="pct"/>
            <w:gridSpan w:val="11"/>
            <w:vAlign w:val="center"/>
          </w:tcPr>
          <w:p w14:paraId="23FC5C5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本项目</w:t>
            </w:r>
            <w:r>
              <w:rPr>
                <w:rFonts w:ascii="Times New Roman" w:eastAsia="宋体" w:hAnsi="Times New Roman" w:cs="Times New Roman"/>
                <w:szCs w:val="21"/>
              </w:rPr>
              <w:t>最大占标率</w:t>
            </w:r>
            <w:r>
              <w:rPr>
                <w:rFonts w:ascii="Times New Roman" w:eastAsia="宋体" w:hAnsi="Times New Roman" w:cs="Times New Roman"/>
                <w:szCs w:val="21"/>
              </w:rPr>
              <w:t>≤30%□</w:t>
            </w:r>
          </w:p>
        </w:tc>
        <w:tc>
          <w:tcPr>
            <w:tcW w:w="1345" w:type="pct"/>
            <w:gridSpan w:val="8"/>
            <w:vAlign w:val="center"/>
          </w:tcPr>
          <w:p w14:paraId="236F94C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本项目</w:t>
            </w:r>
            <w:r>
              <w:rPr>
                <w:rFonts w:ascii="Times New Roman" w:eastAsia="宋体" w:hAnsi="Times New Roman" w:cs="Times New Roman"/>
                <w:szCs w:val="21"/>
              </w:rPr>
              <w:t>最大占标率＞</w:t>
            </w:r>
            <w:r>
              <w:rPr>
                <w:rFonts w:ascii="Times New Roman" w:eastAsia="宋体" w:hAnsi="Times New Roman" w:cs="Times New Roman"/>
                <w:szCs w:val="21"/>
              </w:rPr>
              <w:t>30%□</w:t>
            </w:r>
          </w:p>
        </w:tc>
      </w:tr>
      <w:tr w:rsidR="00D12939" w14:paraId="4E39B1C7" w14:textId="77777777">
        <w:tc>
          <w:tcPr>
            <w:tcW w:w="280" w:type="pct"/>
            <w:vMerge/>
            <w:vAlign w:val="center"/>
          </w:tcPr>
          <w:p w14:paraId="4A5BB43F" w14:textId="77777777" w:rsidR="00D12939" w:rsidRDefault="00D12939">
            <w:pPr>
              <w:adjustRightInd w:val="0"/>
              <w:snapToGrid w:val="0"/>
              <w:jc w:val="center"/>
              <w:rPr>
                <w:rFonts w:ascii="Times New Roman" w:eastAsia="宋体" w:hAnsi="Times New Roman" w:cs="Times New Roman"/>
                <w:szCs w:val="21"/>
              </w:rPr>
            </w:pPr>
          </w:p>
        </w:tc>
        <w:tc>
          <w:tcPr>
            <w:tcW w:w="884" w:type="pct"/>
            <w:gridSpan w:val="2"/>
            <w:vAlign w:val="center"/>
          </w:tcPr>
          <w:p w14:paraId="3B1EA46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非正常排放</w:t>
            </w:r>
            <w:r>
              <w:rPr>
                <w:rFonts w:ascii="Times New Roman" w:eastAsia="宋体" w:hAnsi="Times New Roman" w:cs="Times New Roman"/>
                <w:szCs w:val="21"/>
              </w:rPr>
              <w:t>1h</w:t>
            </w:r>
            <w:r>
              <w:rPr>
                <w:rFonts w:ascii="Times New Roman" w:eastAsia="宋体" w:hAnsi="Times New Roman" w:cs="Times New Roman"/>
                <w:szCs w:val="21"/>
              </w:rPr>
              <w:t>浓度贡献值</w:t>
            </w:r>
          </w:p>
        </w:tc>
        <w:tc>
          <w:tcPr>
            <w:tcW w:w="875" w:type="pct"/>
            <w:gridSpan w:val="4"/>
            <w:vAlign w:val="center"/>
          </w:tcPr>
          <w:p w14:paraId="2195391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非正常持续时长（）</w:t>
            </w:r>
            <w:r>
              <w:rPr>
                <w:rFonts w:ascii="Times New Roman" w:eastAsia="宋体" w:hAnsi="Times New Roman" w:cs="Times New Roman"/>
                <w:szCs w:val="21"/>
              </w:rPr>
              <w:t>h</w:t>
            </w:r>
          </w:p>
        </w:tc>
        <w:tc>
          <w:tcPr>
            <w:tcW w:w="1615" w:type="pct"/>
            <w:gridSpan w:val="8"/>
            <w:vAlign w:val="center"/>
          </w:tcPr>
          <w:p w14:paraId="74BBFA0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非正常</w:t>
            </w:r>
            <w:r>
              <w:rPr>
                <w:rFonts w:ascii="Times New Roman" w:eastAsia="宋体" w:hAnsi="Times New Roman" w:cs="Times New Roman"/>
                <w:szCs w:val="21"/>
              </w:rPr>
              <w:t>占标率</w:t>
            </w:r>
            <w:r>
              <w:rPr>
                <w:rFonts w:ascii="Times New Roman" w:eastAsia="宋体" w:hAnsi="Times New Roman" w:cs="Times New Roman"/>
                <w:szCs w:val="21"/>
              </w:rPr>
              <w:t>≤100%□</w:t>
            </w:r>
          </w:p>
        </w:tc>
        <w:tc>
          <w:tcPr>
            <w:tcW w:w="1345" w:type="pct"/>
            <w:gridSpan w:val="8"/>
            <w:vAlign w:val="center"/>
          </w:tcPr>
          <w:p w14:paraId="6A72B94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非正常</w:t>
            </w:r>
            <w:r>
              <w:rPr>
                <w:rFonts w:ascii="Times New Roman" w:eastAsia="宋体" w:hAnsi="Times New Roman" w:cs="Times New Roman"/>
                <w:szCs w:val="21"/>
              </w:rPr>
              <w:t>占标率＞</w:t>
            </w:r>
            <w:r>
              <w:rPr>
                <w:rFonts w:ascii="Times New Roman" w:eastAsia="宋体" w:hAnsi="Times New Roman" w:cs="Times New Roman"/>
                <w:szCs w:val="21"/>
              </w:rPr>
              <w:t>100%□</w:t>
            </w:r>
          </w:p>
        </w:tc>
      </w:tr>
      <w:tr w:rsidR="00D12939" w14:paraId="77A661B3" w14:textId="77777777">
        <w:tc>
          <w:tcPr>
            <w:tcW w:w="280" w:type="pct"/>
            <w:vMerge/>
            <w:vAlign w:val="center"/>
          </w:tcPr>
          <w:p w14:paraId="1665FDDB" w14:textId="77777777" w:rsidR="00D12939" w:rsidRDefault="00D12939">
            <w:pPr>
              <w:adjustRightInd w:val="0"/>
              <w:snapToGrid w:val="0"/>
              <w:jc w:val="center"/>
              <w:rPr>
                <w:rFonts w:ascii="Times New Roman" w:eastAsia="宋体" w:hAnsi="Times New Roman" w:cs="Times New Roman"/>
                <w:szCs w:val="21"/>
              </w:rPr>
            </w:pPr>
          </w:p>
        </w:tc>
        <w:tc>
          <w:tcPr>
            <w:tcW w:w="884" w:type="pct"/>
            <w:gridSpan w:val="2"/>
            <w:vAlign w:val="center"/>
          </w:tcPr>
          <w:p w14:paraId="61C876E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保证率日平均浓度和年平均浓度叠加值</w:t>
            </w:r>
          </w:p>
        </w:tc>
        <w:tc>
          <w:tcPr>
            <w:tcW w:w="2490" w:type="pct"/>
            <w:gridSpan w:val="12"/>
            <w:vAlign w:val="center"/>
          </w:tcPr>
          <w:p w14:paraId="628551AE"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叠加</w:t>
            </w:r>
            <w:r>
              <w:rPr>
                <w:rFonts w:ascii="Times New Roman" w:eastAsia="宋体" w:hAnsi="Times New Roman" w:cs="Times New Roman"/>
                <w:szCs w:val="21"/>
              </w:rPr>
              <w:t>达标</w:t>
            </w:r>
            <w:r>
              <w:rPr>
                <w:rFonts w:ascii="Times New Roman" w:eastAsia="宋体" w:hAnsi="Times New Roman" w:cs="Times New Roman"/>
                <w:szCs w:val="21"/>
              </w:rPr>
              <w:sym w:font="Wingdings" w:char="00A8"/>
            </w:r>
          </w:p>
        </w:tc>
        <w:tc>
          <w:tcPr>
            <w:tcW w:w="1345" w:type="pct"/>
            <w:gridSpan w:val="8"/>
            <w:vAlign w:val="center"/>
          </w:tcPr>
          <w:p w14:paraId="2F9B660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w:t>
            </w:r>
            <w:r>
              <w:rPr>
                <w:rFonts w:ascii="Times New Roman" w:eastAsia="宋体" w:hAnsi="Times New Roman" w:cs="Times New Roman"/>
                <w:szCs w:val="21"/>
                <w:vertAlign w:val="subscript"/>
              </w:rPr>
              <w:t>叠加</w:t>
            </w:r>
            <w:r>
              <w:rPr>
                <w:rFonts w:ascii="Times New Roman" w:eastAsia="宋体" w:hAnsi="Times New Roman" w:cs="Times New Roman"/>
                <w:szCs w:val="21"/>
              </w:rPr>
              <w:t>不达标</w:t>
            </w:r>
            <w:r>
              <w:rPr>
                <w:rFonts w:ascii="Times New Roman" w:eastAsia="宋体" w:hAnsi="Times New Roman" w:cs="Times New Roman"/>
                <w:szCs w:val="21"/>
              </w:rPr>
              <w:t>□</w:t>
            </w:r>
          </w:p>
        </w:tc>
      </w:tr>
      <w:tr w:rsidR="00D12939" w14:paraId="202ECC6F" w14:textId="77777777">
        <w:tc>
          <w:tcPr>
            <w:tcW w:w="280" w:type="pct"/>
            <w:vMerge/>
            <w:vAlign w:val="center"/>
          </w:tcPr>
          <w:p w14:paraId="44FF0896" w14:textId="77777777" w:rsidR="00D12939" w:rsidRDefault="00D12939">
            <w:pPr>
              <w:adjustRightInd w:val="0"/>
              <w:snapToGrid w:val="0"/>
              <w:jc w:val="center"/>
              <w:rPr>
                <w:rFonts w:ascii="Times New Roman" w:eastAsia="宋体" w:hAnsi="Times New Roman" w:cs="Times New Roman"/>
                <w:szCs w:val="21"/>
              </w:rPr>
            </w:pPr>
          </w:p>
        </w:tc>
        <w:tc>
          <w:tcPr>
            <w:tcW w:w="884" w:type="pct"/>
            <w:gridSpan w:val="2"/>
            <w:vAlign w:val="center"/>
          </w:tcPr>
          <w:p w14:paraId="06F9466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区域环境质量的整体变化情况</w:t>
            </w:r>
          </w:p>
        </w:tc>
        <w:tc>
          <w:tcPr>
            <w:tcW w:w="2490" w:type="pct"/>
            <w:gridSpan w:val="12"/>
            <w:vAlign w:val="center"/>
          </w:tcPr>
          <w:p w14:paraId="240D893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k≤-20%</w:t>
            </w:r>
            <w:r>
              <w:rPr>
                <w:rFonts w:ascii="Times New Roman" w:eastAsia="宋体" w:hAnsi="Times New Roman" w:cs="Times New Roman"/>
                <w:szCs w:val="21"/>
              </w:rPr>
              <w:sym w:font="Wingdings" w:char="00A8"/>
            </w:r>
          </w:p>
        </w:tc>
        <w:tc>
          <w:tcPr>
            <w:tcW w:w="1345" w:type="pct"/>
            <w:gridSpan w:val="8"/>
            <w:vAlign w:val="center"/>
          </w:tcPr>
          <w:p w14:paraId="365619F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k</w:t>
            </w:r>
            <w:r>
              <w:rPr>
                <w:rFonts w:ascii="Times New Roman" w:eastAsia="宋体" w:hAnsi="Times New Roman" w:cs="Times New Roman"/>
                <w:szCs w:val="21"/>
              </w:rPr>
              <w:t>＞</w:t>
            </w:r>
            <w:r>
              <w:rPr>
                <w:rFonts w:ascii="Times New Roman" w:eastAsia="宋体" w:hAnsi="Times New Roman" w:cs="Times New Roman"/>
                <w:szCs w:val="21"/>
              </w:rPr>
              <w:t>-20%□</w:t>
            </w:r>
          </w:p>
        </w:tc>
      </w:tr>
      <w:tr w:rsidR="00D12939" w14:paraId="677A4F85" w14:textId="77777777">
        <w:tc>
          <w:tcPr>
            <w:tcW w:w="280" w:type="pct"/>
            <w:vMerge w:val="restart"/>
            <w:vAlign w:val="center"/>
          </w:tcPr>
          <w:p w14:paraId="3E657E8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环境监测计划</w:t>
            </w:r>
          </w:p>
        </w:tc>
        <w:tc>
          <w:tcPr>
            <w:tcW w:w="884" w:type="pct"/>
            <w:gridSpan w:val="2"/>
            <w:vAlign w:val="center"/>
          </w:tcPr>
          <w:p w14:paraId="56B4412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污染源监测</w:t>
            </w:r>
          </w:p>
        </w:tc>
        <w:tc>
          <w:tcPr>
            <w:tcW w:w="1640" w:type="pct"/>
            <w:gridSpan w:val="7"/>
            <w:vAlign w:val="center"/>
          </w:tcPr>
          <w:p w14:paraId="5C34913E"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监测因子：（</w:t>
            </w:r>
            <w:r>
              <w:rPr>
                <w:rFonts w:ascii="Times New Roman" w:eastAsia="宋体" w:hAnsi="Times New Roman" w:cs="Times New Roman"/>
                <w:szCs w:val="21"/>
              </w:rPr>
              <w:t>TSP</w:t>
            </w:r>
            <w:r>
              <w:rPr>
                <w:rFonts w:ascii="Times New Roman" w:eastAsia="宋体" w:hAnsi="Times New Roman" w:cs="Times New Roman"/>
                <w:szCs w:val="21"/>
              </w:rPr>
              <w:t>、</w:t>
            </w: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w:t>
            </w:r>
            <w:r>
              <w:rPr>
                <w:rFonts w:ascii="Times New Roman" w:eastAsia="宋体" w:hAnsi="Times New Roman" w:cs="Times New Roman"/>
                <w:szCs w:val="21"/>
              </w:rPr>
              <w:t>、</w:t>
            </w:r>
            <w:r>
              <w:rPr>
                <w:rFonts w:ascii="Times New Roman" w:eastAsia="宋体" w:hAnsi="Times New Roman" w:cs="Times New Roman"/>
                <w:szCs w:val="21"/>
              </w:rPr>
              <w:t>NH</w:t>
            </w:r>
            <w:r>
              <w:rPr>
                <w:rFonts w:ascii="Times New Roman" w:eastAsia="宋体" w:hAnsi="Times New Roman" w:cs="Times New Roman"/>
                <w:szCs w:val="21"/>
                <w:vertAlign w:val="subscript"/>
              </w:rPr>
              <w:t>3</w:t>
            </w:r>
            <w:r>
              <w:rPr>
                <w:rFonts w:ascii="Times New Roman" w:eastAsia="宋体" w:hAnsi="Times New Roman" w:cs="Times New Roman"/>
                <w:szCs w:val="21"/>
              </w:rPr>
              <w:t>）</w:t>
            </w:r>
          </w:p>
        </w:tc>
        <w:tc>
          <w:tcPr>
            <w:tcW w:w="1380" w:type="pct"/>
            <w:gridSpan w:val="8"/>
            <w:vAlign w:val="center"/>
          </w:tcPr>
          <w:p w14:paraId="67B4DF1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有组织废气监测</w:t>
            </w:r>
            <w:r>
              <w:rPr>
                <w:rFonts w:ascii="Times New Roman" w:eastAsia="宋体" w:hAnsi="Times New Roman" w:cs="Times New Roman"/>
                <w:szCs w:val="21"/>
              </w:rPr>
              <w:sym w:font="Wingdings 2" w:char="00A3"/>
            </w:r>
          </w:p>
          <w:p w14:paraId="20DEB6C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无组织废气监测</w:t>
            </w:r>
            <w:r>
              <w:rPr>
                <w:rFonts w:ascii="Times New Roman" w:eastAsia="宋体" w:hAnsi="Times New Roman" w:cs="Times New Roman"/>
                <w:szCs w:val="21"/>
              </w:rPr>
              <w:sym w:font="Wingdings 2" w:char="0052"/>
            </w:r>
          </w:p>
        </w:tc>
        <w:tc>
          <w:tcPr>
            <w:tcW w:w="815" w:type="pct"/>
            <w:gridSpan w:val="5"/>
            <w:vAlign w:val="center"/>
          </w:tcPr>
          <w:p w14:paraId="1B1749E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无监测</w:t>
            </w:r>
            <w:r>
              <w:rPr>
                <w:rFonts w:ascii="Times New Roman" w:eastAsia="宋体" w:hAnsi="Times New Roman" w:cs="Times New Roman"/>
                <w:szCs w:val="21"/>
              </w:rPr>
              <w:t>□</w:t>
            </w:r>
          </w:p>
        </w:tc>
      </w:tr>
      <w:tr w:rsidR="00D12939" w14:paraId="0995F217" w14:textId="77777777">
        <w:tc>
          <w:tcPr>
            <w:tcW w:w="280" w:type="pct"/>
            <w:vMerge/>
            <w:vAlign w:val="center"/>
          </w:tcPr>
          <w:p w14:paraId="5A499B26" w14:textId="77777777" w:rsidR="00D12939" w:rsidRDefault="00D12939">
            <w:pPr>
              <w:adjustRightInd w:val="0"/>
              <w:snapToGrid w:val="0"/>
              <w:jc w:val="center"/>
              <w:rPr>
                <w:rFonts w:ascii="Times New Roman" w:eastAsia="宋体" w:hAnsi="Times New Roman" w:cs="Times New Roman"/>
                <w:szCs w:val="21"/>
              </w:rPr>
            </w:pPr>
          </w:p>
        </w:tc>
        <w:tc>
          <w:tcPr>
            <w:tcW w:w="884" w:type="pct"/>
            <w:gridSpan w:val="2"/>
            <w:vAlign w:val="center"/>
          </w:tcPr>
          <w:p w14:paraId="54D1E7F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环境质量监测</w:t>
            </w:r>
          </w:p>
        </w:tc>
        <w:tc>
          <w:tcPr>
            <w:tcW w:w="1640" w:type="pct"/>
            <w:gridSpan w:val="7"/>
            <w:vAlign w:val="center"/>
          </w:tcPr>
          <w:p w14:paraId="13BD669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监测因子：（）</w:t>
            </w:r>
          </w:p>
        </w:tc>
        <w:tc>
          <w:tcPr>
            <w:tcW w:w="1380" w:type="pct"/>
            <w:gridSpan w:val="8"/>
            <w:vAlign w:val="center"/>
          </w:tcPr>
          <w:p w14:paraId="6415A9F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监测点位数（）</w:t>
            </w:r>
          </w:p>
        </w:tc>
        <w:tc>
          <w:tcPr>
            <w:tcW w:w="815" w:type="pct"/>
            <w:gridSpan w:val="5"/>
            <w:vAlign w:val="center"/>
          </w:tcPr>
          <w:p w14:paraId="2E262CE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无监测</w:t>
            </w:r>
            <w:r>
              <w:rPr>
                <w:rFonts w:ascii="Times New Roman" w:eastAsia="宋体" w:hAnsi="Times New Roman" w:cs="Times New Roman"/>
                <w:szCs w:val="21"/>
              </w:rPr>
              <w:sym w:font="Wingdings 2" w:char="0052"/>
            </w:r>
          </w:p>
        </w:tc>
      </w:tr>
      <w:tr w:rsidR="00D12939" w14:paraId="45754635" w14:textId="77777777">
        <w:tc>
          <w:tcPr>
            <w:tcW w:w="280" w:type="pct"/>
            <w:vMerge w:val="restart"/>
            <w:vAlign w:val="center"/>
          </w:tcPr>
          <w:p w14:paraId="5875111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评价结论</w:t>
            </w:r>
          </w:p>
        </w:tc>
        <w:tc>
          <w:tcPr>
            <w:tcW w:w="884" w:type="pct"/>
            <w:gridSpan w:val="2"/>
            <w:vAlign w:val="center"/>
          </w:tcPr>
          <w:p w14:paraId="1E1E0DD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环境影响</w:t>
            </w:r>
          </w:p>
        </w:tc>
        <w:tc>
          <w:tcPr>
            <w:tcW w:w="3835" w:type="pct"/>
            <w:gridSpan w:val="20"/>
            <w:vAlign w:val="center"/>
          </w:tcPr>
          <w:p w14:paraId="0206444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可以接受</w:t>
            </w:r>
            <w:r>
              <w:rPr>
                <w:rFonts w:ascii="Times New Roman" w:eastAsia="宋体" w:hAnsi="Times New Roman" w:cs="Times New Roman"/>
                <w:szCs w:val="21"/>
              </w:rPr>
              <w:sym w:font="Wingdings 2" w:char="0052"/>
            </w:r>
            <w:r>
              <w:rPr>
                <w:rFonts w:ascii="Times New Roman" w:eastAsia="宋体" w:hAnsi="Times New Roman" w:cs="Times New Roman"/>
                <w:szCs w:val="21"/>
              </w:rPr>
              <w:t>不可以接受</w:t>
            </w:r>
            <w:r>
              <w:rPr>
                <w:rFonts w:ascii="Times New Roman" w:eastAsia="宋体" w:hAnsi="Times New Roman" w:cs="Times New Roman"/>
                <w:szCs w:val="21"/>
              </w:rPr>
              <w:t>□</w:t>
            </w:r>
          </w:p>
        </w:tc>
      </w:tr>
      <w:tr w:rsidR="00D12939" w14:paraId="7D68AD00" w14:textId="77777777">
        <w:tc>
          <w:tcPr>
            <w:tcW w:w="280" w:type="pct"/>
            <w:vMerge/>
            <w:vAlign w:val="center"/>
          </w:tcPr>
          <w:p w14:paraId="3F133BDE" w14:textId="77777777" w:rsidR="00D12939" w:rsidRDefault="00D12939">
            <w:pPr>
              <w:adjustRightInd w:val="0"/>
              <w:snapToGrid w:val="0"/>
              <w:jc w:val="center"/>
              <w:rPr>
                <w:rFonts w:ascii="Times New Roman" w:eastAsia="宋体" w:hAnsi="Times New Roman" w:cs="Times New Roman"/>
                <w:szCs w:val="21"/>
              </w:rPr>
            </w:pPr>
          </w:p>
        </w:tc>
        <w:tc>
          <w:tcPr>
            <w:tcW w:w="884" w:type="pct"/>
            <w:gridSpan w:val="2"/>
            <w:vAlign w:val="center"/>
          </w:tcPr>
          <w:p w14:paraId="5FEC919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大气环境防护距离</w:t>
            </w:r>
          </w:p>
        </w:tc>
        <w:tc>
          <w:tcPr>
            <w:tcW w:w="3835" w:type="pct"/>
            <w:gridSpan w:val="20"/>
            <w:vAlign w:val="center"/>
          </w:tcPr>
          <w:p w14:paraId="119ADEF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距（）厂界最远（）</w:t>
            </w:r>
            <w:r>
              <w:rPr>
                <w:rFonts w:ascii="Times New Roman" w:eastAsia="宋体" w:hAnsi="Times New Roman" w:cs="Times New Roman"/>
                <w:szCs w:val="21"/>
              </w:rPr>
              <w:t>m</w:t>
            </w:r>
          </w:p>
        </w:tc>
      </w:tr>
      <w:tr w:rsidR="00D12939" w14:paraId="7C5FD3C3" w14:textId="77777777">
        <w:tc>
          <w:tcPr>
            <w:tcW w:w="280" w:type="pct"/>
            <w:vMerge/>
            <w:vAlign w:val="center"/>
          </w:tcPr>
          <w:p w14:paraId="33C1E232" w14:textId="77777777" w:rsidR="00D12939" w:rsidRDefault="00D12939">
            <w:pPr>
              <w:adjustRightInd w:val="0"/>
              <w:snapToGrid w:val="0"/>
              <w:jc w:val="center"/>
              <w:rPr>
                <w:rFonts w:ascii="Times New Roman" w:eastAsia="宋体" w:hAnsi="Times New Roman" w:cs="Times New Roman"/>
                <w:szCs w:val="21"/>
              </w:rPr>
            </w:pPr>
          </w:p>
        </w:tc>
        <w:tc>
          <w:tcPr>
            <w:tcW w:w="884" w:type="pct"/>
            <w:gridSpan w:val="2"/>
            <w:vAlign w:val="center"/>
          </w:tcPr>
          <w:p w14:paraId="300F621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污染源年排放量</w:t>
            </w:r>
          </w:p>
        </w:tc>
        <w:tc>
          <w:tcPr>
            <w:tcW w:w="875" w:type="pct"/>
            <w:gridSpan w:val="4"/>
            <w:vAlign w:val="center"/>
          </w:tcPr>
          <w:p w14:paraId="5933FD7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SO</w:t>
            </w:r>
            <w:r>
              <w:rPr>
                <w:rFonts w:ascii="Times New Roman" w:eastAsia="宋体" w:hAnsi="Times New Roman" w:cs="Times New Roman"/>
                <w:szCs w:val="21"/>
                <w:vertAlign w:val="subscript"/>
              </w:rPr>
              <w:t>2</w:t>
            </w:r>
            <w:r>
              <w:rPr>
                <w:rFonts w:ascii="Times New Roman" w:eastAsia="宋体" w:hAnsi="Times New Roman" w:cs="Times New Roman"/>
                <w:szCs w:val="21"/>
              </w:rPr>
              <w:t>：（</w:t>
            </w:r>
            <w:r>
              <w:rPr>
                <w:rFonts w:ascii="Times New Roman" w:eastAsia="宋体" w:hAnsi="Times New Roman" w:cs="Times New Roman"/>
                <w:szCs w:val="21"/>
              </w:rPr>
              <w:t>0.079</w:t>
            </w:r>
            <w:r>
              <w:rPr>
                <w:rFonts w:ascii="Times New Roman" w:eastAsia="宋体" w:hAnsi="Times New Roman" w:cs="Times New Roman"/>
                <w:szCs w:val="21"/>
              </w:rPr>
              <w:t>）</w:t>
            </w:r>
            <w:r>
              <w:rPr>
                <w:rFonts w:ascii="Times New Roman" w:eastAsia="宋体" w:hAnsi="Times New Roman" w:cs="Times New Roman"/>
                <w:szCs w:val="21"/>
              </w:rPr>
              <w:t>t/a</w:t>
            </w:r>
          </w:p>
        </w:tc>
        <w:tc>
          <w:tcPr>
            <w:tcW w:w="1001" w:type="pct"/>
            <w:gridSpan w:val="5"/>
            <w:vAlign w:val="center"/>
          </w:tcPr>
          <w:p w14:paraId="3A8F1BD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NO</w:t>
            </w:r>
            <w:r>
              <w:rPr>
                <w:rFonts w:ascii="Times New Roman" w:eastAsia="宋体" w:hAnsi="Times New Roman" w:cs="Times New Roman"/>
                <w:szCs w:val="21"/>
                <w:vertAlign w:val="subscript"/>
              </w:rPr>
              <w:t>x</w:t>
            </w:r>
            <w:r>
              <w:rPr>
                <w:rFonts w:ascii="Times New Roman" w:eastAsia="宋体" w:hAnsi="Times New Roman" w:cs="Times New Roman"/>
                <w:szCs w:val="21"/>
              </w:rPr>
              <w:t>：（</w:t>
            </w:r>
            <w:r>
              <w:rPr>
                <w:rFonts w:ascii="Times New Roman" w:eastAsia="宋体" w:hAnsi="Times New Roman" w:cs="Times New Roman"/>
                <w:szCs w:val="21"/>
              </w:rPr>
              <w:t>0.42</w:t>
            </w:r>
            <w:r>
              <w:rPr>
                <w:rFonts w:ascii="Times New Roman" w:eastAsia="宋体" w:hAnsi="Times New Roman" w:cs="Times New Roman"/>
                <w:szCs w:val="21"/>
              </w:rPr>
              <w:t>）</w:t>
            </w:r>
            <w:r>
              <w:rPr>
                <w:rFonts w:ascii="Times New Roman" w:eastAsia="宋体" w:hAnsi="Times New Roman" w:cs="Times New Roman"/>
                <w:szCs w:val="21"/>
              </w:rPr>
              <w:t>t/a</w:t>
            </w:r>
          </w:p>
        </w:tc>
        <w:tc>
          <w:tcPr>
            <w:tcW w:w="1257" w:type="pct"/>
            <w:gridSpan w:val="7"/>
            <w:vAlign w:val="center"/>
          </w:tcPr>
          <w:p w14:paraId="1F2BD2A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颗粒物：（</w:t>
            </w:r>
            <w:r>
              <w:rPr>
                <w:rFonts w:ascii="Times New Roman" w:eastAsia="宋体" w:hAnsi="Times New Roman" w:cs="Times New Roman"/>
                <w:bCs/>
                <w:szCs w:val="21"/>
              </w:rPr>
              <w:t>0.0999</w:t>
            </w:r>
            <w:r>
              <w:rPr>
                <w:rFonts w:ascii="Times New Roman" w:eastAsia="宋体" w:hAnsi="Times New Roman" w:cs="Times New Roman"/>
                <w:szCs w:val="21"/>
              </w:rPr>
              <w:t>）</w:t>
            </w:r>
            <w:r>
              <w:rPr>
                <w:rFonts w:ascii="Times New Roman" w:eastAsia="宋体" w:hAnsi="Times New Roman" w:cs="Times New Roman"/>
                <w:szCs w:val="21"/>
              </w:rPr>
              <w:t>t/a</w:t>
            </w:r>
          </w:p>
        </w:tc>
        <w:tc>
          <w:tcPr>
            <w:tcW w:w="703" w:type="pct"/>
            <w:gridSpan w:val="4"/>
            <w:vAlign w:val="center"/>
          </w:tcPr>
          <w:p w14:paraId="6F3C6E49" w14:textId="77777777" w:rsidR="00D12939" w:rsidRDefault="004F47F5">
            <w:pPr>
              <w:adjustRightInd w:val="0"/>
              <w:snapToGrid w:val="0"/>
              <w:rPr>
                <w:rFonts w:ascii="Times New Roman" w:eastAsia="宋体" w:hAnsi="Times New Roman" w:cs="Times New Roman"/>
                <w:szCs w:val="21"/>
              </w:rPr>
            </w:pPr>
            <w:r>
              <w:rPr>
                <w:rFonts w:ascii="Times New Roman" w:eastAsia="宋体" w:hAnsi="Times New Roman" w:cs="Times New Roman"/>
                <w:szCs w:val="21"/>
              </w:rPr>
              <w:t>VOCs</w:t>
            </w:r>
            <w:r>
              <w:rPr>
                <w:rFonts w:ascii="Times New Roman" w:eastAsia="宋体" w:hAnsi="Times New Roman" w:cs="Times New Roman"/>
                <w:szCs w:val="21"/>
              </w:rPr>
              <w:t>：（）</w:t>
            </w:r>
            <w:r>
              <w:rPr>
                <w:rFonts w:ascii="Times New Roman" w:eastAsia="宋体" w:hAnsi="Times New Roman" w:cs="Times New Roman"/>
                <w:szCs w:val="21"/>
              </w:rPr>
              <w:t>t/a</w:t>
            </w:r>
          </w:p>
        </w:tc>
      </w:tr>
      <w:tr w:rsidR="00D12939" w14:paraId="0FED629C" w14:textId="77777777">
        <w:tc>
          <w:tcPr>
            <w:tcW w:w="5000" w:type="pct"/>
            <w:gridSpan w:val="23"/>
            <w:vAlign w:val="center"/>
          </w:tcPr>
          <w:p w14:paraId="034BD9C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注：</w:t>
            </w:r>
            <w:r>
              <w:rPr>
                <w:rFonts w:ascii="Times New Roman" w:eastAsia="宋体" w:hAnsi="Times New Roman" w:cs="Times New Roman"/>
                <w:szCs w:val="21"/>
              </w:rPr>
              <w:t>“□”</w:t>
            </w:r>
            <w:r>
              <w:rPr>
                <w:rFonts w:ascii="Times New Roman" w:eastAsia="宋体" w:hAnsi="Times New Roman" w:cs="Times New Roman"/>
                <w:szCs w:val="21"/>
              </w:rPr>
              <w:t>为勾选项，填</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为内容填写项</w:t>
            </w:r>
          </w:p>
        </w:tc>
      </w:tr>
    </w:tbl>
    <w:p w14:paraId="20ECB592" w14:textId="77777777" w:rsidR="00D12939" w:rsidRDefault="004F47F5">
      <w:pPr>
        <w:pStyle w:val="2"/>
        <w:spacing w:line="360" w:lineRule="auto"/>
        <w:ind w:firstLineChars="165" w:firstLine="462"/>
        <w:rPr>
          <w:sz w:val="28"/>
        </w:rPr>
      </w:pPr>
      <w:bookmarkStart w:id="484" w:name="_Toc23601"/>
      <w:bookmarkStart w:id="485" w:name="_Toc30461"/>
      <w:bookmarkStart w:id="486" w:name="_Toc121411771"/>
      <w:bookmarkStart w:id="487" w:name="_Toc108344403"/>
      <w:bookmarkStart w:id="488" w:name="_Toc41343014"/>
      <w:r>
        <w:rPr>
          <w:sz w:val="28"/>
        </w:rPr>
        <w:lastRenderedPageBreak/>
        <w:t>7.2</w:t>
      </w:r>
      <w:r>
        <w:rPr>
          <w:sz w:val="28"/>
        </w:rPr>
        <w:t>地表水环境影响分析</w:t>
      </w:r>
      <w:bookmarkEnd w:id="484"/>
      <w:bookmarkEnd w:id="485"/>
      <w:bookmarkEnd w:id="486"/>
    </w:p>
    <w:p w14:paraId="33FE63AD" w14:textId="168A71D5" w:rsidR="00D12939" w:rsidRDefault="004F47F5" w:rsidP="008A0E9B">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项目运营期废水主要有垃圾渗滤液、渗滤液处理站反冲洗废水、渗滤液处理站地面冲洗废水、洗车废水和员工生活污水。员工生活污水经化粪池处理后和反冲洗废水、地面冲洗废水、垃圾渗滤液均进入渗滤液处理站进行处理，洗车废水经简单沉淀后回用于填埋场洒水抑尘。根据水平衡，最后进入渗滤液处理站的废水量为</w:t>
      </w:r>
      <w:r>
        <w:rPr>
          <w:rFonts w:ascii="Times New Roman" w:eastAsia="宋体" w:hAnsi="Times New Roman" w:cs="Times New Roman"/>
          <w:sz w:val="24"/>
          <w:szCs w:val="18"/>
        </w:rPr>
        <w:t>47.704m</w:t>
      </w:r>
      <w:r>
        <w:rPr>
          <w:rFonts w:ascii="Times New Roman" w:eastAsia="宋体" w:hAnsi="Times New Roman" w:cs="Times New Roman"/>
          <w:sz w:val="24"/>
          <w:szCs w:val="18"/>
          <w:vertAlign w:val="superscript"/>
        </w:rPr>
        <w:t>3</w:t>
      </w:r>
      <w:r>
        <w:rPr>
          <w:rFonts w:ascii="Times New Roman" w:eastAsia="宋体" w:hAnsi="Times New Roman" w:cs="Times New Roman"/>
          <w:sz w:val="24"/>
          <w:szCs w:val="18"/>
        </w:rPr>
        <w:t>/d</w:t>
      </w:r>
      <w:r>
        <w:rPr>
          <w:rFonts w:ascii="Times New Roman" w:eastAsia="宋体" w:hAnsi="Times New Roman" w:cs="Times New Roman"/>
          <w:sz w:val="24"/>
          <w:szCs w:val="18"/>
        </w:rPr>
        <w:t>，渗滤液处理站设计规模为</w:t>
      </w:r>
      <w:r>
        <w:rPr>
          <w:rFonts w:ascii="Times New Roman" w:eastAsia="宋体" w:hAnsi="Times New Roman" w:cs="Times New Roman"/>
          <w:sz w:val="24"/>
          <w:szCs w:val="18"/>
        </w:rPr>
        <w:t>65m</w:t>
      </w:r>
      <w:r>
        <w:rPr>
          <w:rFonts w:ascii="Times New Roman" w:eastAsia="宋体" w:hAnsi="Times New Roman" w:cs="Times New Roman"/>
          <w:sz w:val="24"/>
          <w:szCs w:val="18"/>
          <w:vertAlign w:val="superscript"/>
        </w:rPr>
        <w:t>3</w:t>
      </w:r>
      <w:r>
        <w:rPr>
          <w:rFonts w:ascii="Times New Roman" w:eastAsia="宋体" w:hAnsi="Times New Roman" w:cs="Times New Roman"/>
          <w:sz w:val="24"/>
          <w:szCs w:val="18"/>
        </w:rPr>
        <w:t>/d</w:t>
      </w:r>
      <w:r>
        <w:rPr>
          <w:rFonts w:ascii="Times New Roman" w:eastAsia="宋体" w:hAnsi="Times New Roman" w:cs="Times New Roman"/>
          <w:sz w:val="24"/>
          <w:szCs w:val="18"/>
        </w:rPr>
        <w:t>，处理工艺为</w:t>
      </w:r>
      <w:r>
        <w:rPr>
          <w:rFonts w:ascii="Times New Roman" w:eastAsia="宋体" w:hAnsi="Times New Roman" w:cs="Times New Roman"/>
          <w:sz w:val="24"/>
        </w:rPr>
        <w:t>预处理</w:t>
      </w:r>
      <w:r>
        <w:rPr>
          <w:rFonts w:ascii="Times New Roman" w:eastAsia="宋体" w:hAnsi="Times New Roman" w:cs="Times New Roman"/>
          <w:sz w:val="24"/>
        </w:rPr>
        <w:t>-</w:t>
      </w:r>
      <w:r>
        <w:rPr>
          <w:rFonts w:ascii="Times New Roman" w:eastAsia="宋体" w:hAnsi="Times New Roman" w:cs="Times New Roman"/>
          <w:sz w:val="24"/>
        </w:rPr>
        <w:t>一体化反应池</w:t>
      </w:r>
      <w:r>
        <w:rPr>
          <w:rFonts w:ascii="Times New Roman" w:eastAsia="宋体" w:hAnsi="Times New Roman" w:cs="Times New Roman"/>
          <w:sz w:val="24"/>
        </w:rPr>
        <w:t>-</w:t>
      </w:r>
      <w:r>
        <w:rPr>
          <w:rFonts w:ascii="Times New Roman" w:eastAsia="宋体" w:hAnsi="Times New Roman" w:cs="Times New Roman"/>
          <w:sz w:val="24"/>
        </w:rPr>
        <w:t>气浮</w:t>
      </w:r>
      <w:r>
        <w:rPr>
          <w:rFonts w:ascii="Times New Roman" w:eastAsia="宋体" w:hAnsi="Times New Roman" w:cs="Times New Roman"/>
          <w:sz w:val="24"/>
        </w:rPr>
        <w:t>-</w:t>
      </w:r>
      <w:r>
        <w:rPr>
          <w:rFonts w:ascii="Times New Roman" w:eastAsia="宋体" w:hAnsi="Times New Roman" w:cs="Times New Roman"/>
          <w:sz w:val="24"/>
        </w:rPr>
        <w:t>斜板沉淀</w:t>
      </w:r>
      <w:r>
        <w:rPr>
          <w:rFonts w:ascii="Times New Roman" w:eastAsia="宋体" w:hAnsi="Times New Roman" w:cs="Times New Roman"/>
          <w:sz w:val="24"/>
        </w:rPr>
        <w:t>-A</w:t>
      </w:r>
      <w:r>
        <w:rPr>
          <w:rFonts w:ascii="Times New Roman" w:eastAsia="宋体" w:hAnsi="Times New Roman" w:cs="Times New Roman"/>
          <w:sz w:val="24"/>
          <w:vertAlign w:val="superscript"/>
        </w:rPr>
        <w:t>2</w:t>
      </w:r>
      <w:r>
        <w:rPr>
          <w:rFonts w:ascii="Times New Roman" w:eastAsia="宋体" w:hAnsi="Times New Roman" w:cs="Times New Roman"/>
          <w:sz w:val="24"/>
        </w:rPr>
        <w:t>/O-MBR</w:t>
      </w:r>
      <w:r>
        <w:rPr>
          <w:rFonts w:ascii="Times New Roman" w:eastAsia="宋体" w:hAnsi="Times New Roman" w:cs="Times New Roman"/>
          <w:sz w:val="24"/>
        </w:rPr>
        <w:t>膜池</w:t>
      </w:r>
      <w:r>
        <w:rPr>
          <w:rFonts w:ascii="Times New Roman" w:eastAsia="宋体" w:hAnsi="Times New Roman" w:cs="Times New Roman"/>
          <w:sz w:val="24"/>
        </w:rPr>
        <w:t>-</w:t>
      </w:r>
      <w:r>
        <w:rPr>
          <w:rFonts w:ascii="Times New Roman" w:eastAsia="宋体" w:hAnsi="Times New Roman" w:cs="Times New Roman"/>
          <w:sz w:val="24"/>
        </w:rPr>
        <w:t>纳滤</w:t>
      </w:r>
      <w:r>
        <w:rPr>
          <w:rFonts w:ascii="Times New Roman" w:eastAsia="宋体" w:hAnsi="Times New Roman" w:cs="Times New Roman"/>
          <w:sz w:val="24"/>
        </w:rPr>
        <w:t>-</w:t>
      </w:r>
      <w:r>
        <w:rPr>
          <w:rFonts w:ascii="Times New Roman" w:eastAsia="宋体" w:hAnsi="Times New Roman" w:cs="Times New Roman"/>
          <w:sz w:val="24"/>
        </w:rPr>
        <w:t>反渗透</w:t>
      </w:r>
      <w:r w:rsidRPr="008A0E9B">
        <w:rPr>
          <w:rFonts w:ascii="Times New Roman" w:eastAsia="宋体" w:hAnsi="Times New Roman" w:cs="Times New Roman"/>
          <w:color w:val="FF0000"/>
          <w:sz w:val="24"/>
        </w:rPr>
        <w:t>，</w:t>
      </w:r>
      <w:r w:rsidR="008A0E9B" w:rsidRPr="008A0E9B">
        <w:rPr>
          <w:rFonts w:ascii="Times New Roman" w:eastAsia="宋体" w:hAnsi="Times New Roman" w:cs="Times New Roman" w:hint="eastAsia"/>
          <w:color w:val="FF0000"/>
          <w:sz w:val="24"/>
        </w:rPr>
        <w:t>纳滤和反渗透产生的浓缩液回灌至填埋场，清液</w:t>
      </w:r>
      <w:r w:rsidRPr="008A0E9B">
        <w:rPr>
          <w:rFonts w:ascii="Times New Roman" w:eastAsia="宋体" w:hAnsi="Times New Roman" w:cs="Times New Roman" w:hint="eastAsia"/>
          <w:color w:val="FF0000"/>
          <w:kern w:val="0"/>
          <w:sz w:val="24"/>
        </w:rPr>
        <w:t>满足《生活垃圾填埋场污染控制标准》（</w:t>
      </w:r>
      <w:r w:rsidRPr="008A0E9B">
        <w:rPr>
          <w:rFonts w:ascii="Times New Roman" w:eastAsia="宋体" w:hAnsi="Times New Roman" w:cs="Times New Roman"/>
          <w:color w:val="FF0000"/>
          <w:kern w:val="0"/>
          <w:sz w:val="24"/>
        </w:rPr>
        <w:t>GB 16889-2008</w:t>
      </w:r>
      <w:r w:rsidRPr="008A0E9B">
        <w:rPr>
          <w:rFonts w:ascii="Times New Roman" w:eastAsia="宋体" w:hAnsi="Times New Roman" w:cs="Times New Roman"/>
          <w:color w:val="FF0000"/>
          <w:kern w:val="0"/>
          <w:sz w:val="24"/>
        </w:rPr>
        <w:t>）表</w:t>
      </w:r>
      <w:r w:rsidRPr="008A0E9B">
        <w:rPr>
          <w:rFonts w:ascii="Times New Roman" w:eastAsia="宋体" w:hAnsi="Times New Roman" w:cs="Times New Roman"/>
          <w:color w:val="FF0000"/>
          <w:kern w:val="0"/>
          <w:sz w:val="24"/>
        </w:rPr>
        <w:t xml:space="preserve">2 </w:t>
      </w:r>
      <w:r w:rsidRPr="008A0E9B">
        <w:rPr>
          <w:rFonts w:ascii="Times New Roman" w:eastAsia="宋体" w:hAnsi="Times New Roman" w:cs="Times New Roman"/>
          <w:color w:val="FF0000"/>
          <w:kern w:val="0"/>
          <w:sz w:val="24"/>
        </w:rPr>
        <w:t>规定的</w:t>
      </w:r>
      <w:r w:rsidRPr="008A0E9B">
        <w:rPr>
          <w:rFonts w:ascii="Times New Roman" w:eastAsia="宋体" w:hAnsi="Times New Roman" w:cs="Times New Roman" w:hint="eastAsia"/>
          <w:color w:val="FF0000"/>
          <w:kern w:val="0"/>
          <w:sz w:val="24"/>
        </w:rPr>
        <w:t>限值</w:t>
      </w:r>
      <w:r w:rsidRPr="008A0E9B">
        <w:rPr>
          <w:rFonts w:ascii="Times New Roman" w:eastAsia="宋体" w:hAnsi="Times New Roman" w:cs="Times New Roman"/>
          <w:color w:val="FF0000"/>
          <w:kern w:val="0"/>
          <w:sz w:val="24"/>
        </w:rPr>
        <w:t>后</w:t>
      </w:r>
      <w:r>
        <w:rPr>
          <w:rFonts w:ascii="Times New Roman" w:eastAsia="宋体" w:hAnsi="Times New Roman" w:cs="Times New Roman"/>
          <w:kern w:val="0"/>
          <w:sz w:val="24"/>
        </w:rPr>
        <w:t>，</w:t>
      </w:r>
      <w:r>
        <w:rPr>
          <w:rFonts w:ascii="Times New Roman" w:eastAsia="宋体" w:hAnsi="Times New Roman" w:cs="Times New Roman" w:hint="eastAsia"/>
          <w:kern w:val="0"/>
          <w:sz w:val="24"/>
        </w:rPr>
        <w:t>部分回用于库区洒水，剩余尾水</w:t>
      </w:r>
      <w:r>
        <w:rPr>
          <w:rFonts w:ascii="Times New Roman" w:eastAsia="宋体" w:hAnsi="Times New Roman" w:cs="Times New Roman"/>
          <w:kern w:val="0"/>
          <w:sz w:val="24"/>
        </w:rPr>
        <w:t>采用槽罐车运输方式，运至柞水县污水处理厂</w:t>
      </w:r>
      <w:r>
        <w:rPr>
          <w:rFonts w:ascii="Times New Roman" w:eastAsia="宋体" w:hAnsi="Times New Roman" w:cs="Times New Roman" w:hint="eastAsia"/>
          <w:kern w:val="0"/>
          <w:sz w:val="24"/>
        </w:rPr>
        <w:t>进一步处理，对地表水环境影响较小。</w:t>
      </w:r>
    </w:p>
    <w:p w14:paraId="4142C22F"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根据《环境影响评价技术导则·地表水环境》（</w:t>
      </w:r>
      <w:r>
        <w:rPr>
          <w:rFonts w:ascii="Times New Roman" w:eastAsia="宋体" w:hAnsi="Times New Roman" w:cs="Times New Roman"/>
          <w:kern w:val="0"/>
          <w:sz w:val="24"/>
          <w:szCs w:val="24"/>
        </w:rPr>
        <w:t>HJ2.3-2018</w:t>
      </w:r>
      <w:r>
        <w:rPr>
          <w:rFonts w:ascii="Times New Roman" w:eastAsia="宋体" w:hAnsi="Times New Roman" w:cs="Times New Roman"/>
          <w:kern w:val="0"/>
          <w:sz w:val="24"/>
          <w:szCs w:val="24"/>
        </w:rPr>
        <w:t>）定级原则，地表水评价工作等级为三级</w:t>
      </w:r>
      <w:r>
        <w:rPr>
          <w:rFonts w:ascii="Times New Roman" w:eastAsia="宋体" w:hAnsi="Times New Roman" w:cs="Times New Roman"/>
          <w:kern w:val="0"/>
          <w:sz w:val="24"/>
          <w:szCs w:val="24"/>
        </w:rPr>
        <w:t>B</w:t>
      </w:r>
      <w:r>
        <w:rPr>
          <w:rFonts w:ascii="Times New Roman" w:eastAsia="宋体" w:hAnsi="Times New Roman" w:cs="Times New Roman"/>
          <w:kern w:val="0"/>
          <w:sz w:val="24"/>
          <w:szCs w:val="24"/>
        </w:rPr>
        <w:t>。</w:t>
      </w:r>
    </w:p>
    <w:p w14:paraId="392052DA"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①建设项目废水类别、污染物及污染治理设施信息表</w:t>
      </w:r>
    </w:p>
    <w:p w14:paraId="28173D81"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本项目废水类别、污染物</w:t>
      </w:r>
      <w:r>
        <w:rPr>
          <w:rFonts w:ascii="Times New Roman" w:eastAsia="宋体" w:hAnsi="Times New Roman" w:cs="Times New Roman"/>
          <w:kern w:val="0"/>
          <w:sz w:val="24"/>
          <w:szCs w:val="24"/>
        </w:rPr>
        <w:t>及污染治理设施信息表</w:t>
      </w:r>
      <w:r>
        <w:rPr>
          <w:rFonts w:ascii="Times New Roman" w:eastAsia="宋体" w:hAnsi="Times New Roman" w:cs="Times New Roman" w:hint="eastAsia"/>
          <w:kern w:val="0"/>
          <w:sz w:val="24"/>
          <w:szCs w:val="24"/>
        </w:rPr>
        <w:t>7.</w:t>
      </w:r>
      <w:r>
        <w:rPr>
          <w:rFonts w:ascii="Times New Roman" w:eastAsia="宋体" w:hAnsi="Times New Roman" w:cs="Times New Roman"/>
          <w:kern w:val="0"/>
          <w:sz w:val="24"/>
          <w:szCs w:val="24"/>
        </w:rPr>
        <w:t>2</w:t>
      </w:r>
      <w:r>
        <w:rPr>
          <w:rFonts w:ascii="Times New Roman" w:eastAsia="宋体" w:hAnsi="Times New Roman" w:cs="Times New Roman" w:hint="eastAsia"/>
          <w:kern w:val="0"/>
          <w:sz w:val="24"/>
          <w:szCs w:val="24"/>
        </w:rPr>
        <w:t>-1</w:t>
      </w:r>
      <w:r>
        <w:rPr>
          <w:rFonts w:ascii="Times New Roman" w:eastAsia="宋体" w:hAnsi="Times New Roman" w:cs="Times New Roman"/>
          <w:kern w:val="0"/>
          <w:sz w:val="24"/>
          <w:szCs w:val="24"/>
        </w:rPr>
        <w:t>。</w:t>
      </w:r>
    </w:p>
    <w:p w14:paraId="1E9F3C35" w14:textId="77777777" w:rsidR="00D12939" w:rsidRDefault="004F47F5">
      <w:pPr>
        <w:autoSpaceDE w:val="0"/>
        <w:autoSpaceDN w:val="0"/>
        <w:adjustRightInd w:val="0"/>
        <w:spacing w:line="360" w:lineRule="auto"/>
        <w:ind w:firstLineChars="200" w:firstLine="480"/>
        <w:jc w:val="center"/>
        <w:rPr>
          <w:rFonts w:ascii="黑体" w:eastAsia="黑体" w:hAnsi="黑体" w:cs="Times New Roman"/>
          <w:kern w:val="0"/>
          <w:sz w:val="24"/>
          <w:szCs w:val="24"/>
        </w:rPr>
      </w:pPr>
      <w:r>
        <w:rPr>
          <w:rFonts w:ascii="黑体" w:eastAsia="黑体" w:hAnsi="黑体" w:cs="Times New Roman"/>
          <w:kern w:val="0"/>
          <w:sz w:val="24"/>
          <w:szCs w:val="24"/>
        </w:rPr>
        <w:t>表7.2-1建设项目废水类别、污染物及污染治理设施信息表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7"/>
        <w:gridCol w:w="1442"/>
        <w:gridCol w:w="1620"/>
        <w:gridCol w:w="1457"/>
        <w:gridCol w:w="972"/>
        <w:gridCol w:w="971"/>
        <w:gridCol w:w="2487"/>
      </w:tblGrid>
      <w:tr w:rsidR="00D12939" w14:paraId="6CEDC6B6" w14:textId="77777777">
        <w:trPr>
          <w:trHeight w:val="340"/>
          <w:jc w:val="center"/>
        </w:trPr>
        <w:tc>
          <w:tcPr>
            <w:tcW w:w="689" w:type="dxa"/>
            <w:vAlign w:val="center"/>
          </w:tcPr>
          <w:p w14:paraId="5DD5758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废水类别</w:t>
            </w:r>
          </w:p>
        </w:tc>
        <w:tc>
          <w:tcPr>
            <w:tcW w:w="1262" w:type="dxa"/>
            <w:vAlign w:val="center"/>
          </w:tcPr>
          <w:p w14:paraId="610A7F5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污染物种类</w:t>
            </w:r>
          </w:p>
        </w:tc>
        <w:tc>
          <w:tcPr>
            <w:tcW w:w="1418" w:type="dxa"/>
            <w:vAlign w:val="center"/>
          </w:tcPr>
          <w:p w14:paraId="6AC397B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污染治理设施名称</w:t>
            </w:r>
          </w:p>
        </w:tc>
        <w:tc>
          <w:tcPr>
            <w:tcW w:w="1275" w:type="dxa"/>
            <w:vAlign w:val="center"/>
          </w:tcPr>
          <w:p w14:paraId="6C9F943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排放去向</w:t>
            </w:r>
          </w:p>
        </w:tc>
        <w:tc>
          <w:tcPr>
            <w:tcW w:w="851" w:type="dxa"/>
            <w:vAlign w:val="center"/>
          </w:tcPr>
          <w:p w14:paraId="41066BF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排放方式</w:t>
            </w:r>
          </w:p>
        </w:tc>
        <w:tc>
          <w:tcPr>
            <w:tcW w:w="850" w:type="dxa"/>
            <w:vAlign w:val="center"/>
          </w:tcPr>
          <w:p w14:paraId="2E69603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排放口类型</w:t>
            </w:r>
          </w:p>
        </w:tc>
        <w:tc>
          <w:tcPr>
            <w:tcW w:w="2177" w:type="dxa"/>
            <w:vAlign w:val="center"/>
          </w:tcPr>
          <w:p w14:paraId="1B9CE44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排放标准</w:t>
            </w:r>
          </w:p>
        </w:tc>
      </w:tr>
      <w:tr w:rsidR="00D12939" w14:paraId="75AC4785" w14:textId="77777777">
        <w:trPr>
          <w:trHeight w:val="340"/>
          <w:jc w:val="center"/>
        </w:trPr>
        <w:tc>
          <w:tcPr>
            <w:tcW w:w="689" w:type="dxa"/>
            <w:vAlign w:val="center"/>
          </w:tcPr>
          <w:p w14:paraId="78ED354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渗滤液</w:t>
            </w:r>
          </w:p>
        </w:tc>
        <w:tc>
          <w:tcPr>
            <w:tcW w:w="1262" w:type="dxa"/>
            <w:vAlign w:val="center"/>
          </w:tcPr>
          <w:p w14:paraId="3F225DC8" w14:textId="7876B16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vertAlign w:val="subscript"/>
              </w:rPr>
              <w:t>cr</w:t>
            </w:r>
            <w:r>
              <w:rPr>
                <w:rFonts w:ascii="Times New Roman" w:eastAsia="宋体" w:hAnsi="Times New Roman" w:cs="Times New Roman"/>
                <w:szCs w:val="21"/>
              </w:rPr>
              <w:t>、</w:t>
            </w:r>
            <w:r>
              <w:rPr>
                <w:rFonts w:ascii="Times New Roman" w:eastAsia="宋体" w:hAnsi="Times New Roman" w:cs="Times New Roman"/>
                <w:szCs w:val="21"/>
              </w:rPr>
              <w:t>BOD</w:t>
            </w:r>
            <w:r>
              <w:rPr>
                <w:rFonts w:ascii="Times New Roman" w:eastAsia="宋体" w:hAnsi="Times New Roman" w:cs="Times New Roman"/>
                <w:szCs w:val="21"/>
                <w:vertAlign w:val="subscript"/>
              </w:rPr>
              <w:t>5</w:t>
            </w:r>
            <w:r>
              <w:rPr>
                <w:rFonts w:ascii="Times New Roman" w:eastAsia="宋体" w:hAnsi="Times New Roman" w:cs="Times New Roman"/>
                <w:szCs w:val="21"/>
              </w:rPr>
              <w:t>、</w:t>
            </w:r>
            <w:r>
              <w:rPr>
                <w:rFonts w:ascii="Times New Roman" w:eastAsia="宋体" w:hAnsi="Times New Roman" w:cs="Times New Roman"/>
                <w:szCs w:val="21"/>
              </w:rPr>
              <w:t>SS</w:t>
            </w:r>
            <w:r>
              <w:rPr>
                <w:rFonts w:ascii="Times New Roman" w:eastAsia="宋体" w:hAnsi="Times New Roman" w:cs="Times New Roman"/>
                <w:szCs w:val="21"/>
              </w:rPr>
              <w:t>、</w:t>
            </w:r>
            <w:r>
              <w:rPr>
                <w:rFonts w:ascii="Times New Roman" w:eastAsia="宋体" w:hAnsi="Times New Roman" w:cs="Times New Roman"/>
                <w:szCs w:val="21"/>
              </w:rPr>
              <w:t>NH</w:t>
            </w:r>
            <w:r>
              <w:rPr>
                <w:rFonts w:ascii="Times New Roman" w:eastAsia="宋体" w:hAnsi="Times New Roman" w:cs="Times New Roman"/>
                <w:szCs w:val="21"/>
                <w:vertAlign w:val="subscript"/>
              </w:rPr>
              <w:t>3</w:t>
            </w:r>
            <w:r>
              <w:rPr>
                <w:rFonts w:ascii="Times New Roman" w:eastAsia="宋体" w:hAnsi="Times New Roman" w:cs="Times New Roman"/>
                <w:szCs w:val="21"/>
              </w:rPr>
              <w:t>-N</w:t>
            </w:r>
            <w:r w:rsidR="003F5A03">
              <w:rPr>
                <w:rFonts w:ascii="Times New Roman" w:eastAsia="宋体" w:hAnsi="Times New Roman" w:cs="Times New Roman"/>
                <w:szCs w:val="21"/>
              </w:rPr>
              <w:t>等</w:t>
            </w:r>
          </w:p>
        </w:tc>
        <w:tc>
          <w:tcPr>
            <w:tcW w:w="1418" w:type="dxa"/>
            <w:vAlign w:val="center"/>
          </w:tcPr>
          <w:p w14:paraId="24748BE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渗滤液处理站（预处理</w:t>
            </w:r>
            <w:r>
              <w:rPr>
                <w:rFonts w:ascii="Times New Roman" w:eastAsia="宋体" w:hAnsi="Times New Roman" w:cs="Times New Roman"/>
                <w:szCs w:val="21"/>
              </w:rPr>
              <w:t>-</w:t>
            </w:r>
            <w:r>
              <w:rPr>
                <w:rFonts w:ascii="Times New Roman" w:eastAsia="宋体" w:hAnsi="Times New Roman" w:cs="Times New Roman"/>
                <w:szCs w:val="21"/>
              </w:rPr>
              <w:t>一体化反应池</w:t>
            </w:r>
            <w:r>
              <w:rPr>
                <w:rFonts w:ascii="Times New Roman" w:eastAsia="宋体" w:hAnsi="Times New Roman" w:cs="Times New Roman"/>
                <w:szCs w:val="21"/>
              </w:rPr>
              <w:t>-</w:t>
            </w:r>
            <w:r>
              <w:rPr>
                <w:rFonts w:ascii="Times New Roman" w:eastAsia="宋体" w:hAnsi="Times New Roman" w:cs="Times New Roman"/>
                <w:szCs w:val="21"/>
              </w:rPr>
              <w:t>气浮</w:t>
            </w:r>
            <w:r>
              <w:rPr>
                <w:rFonts w:ascii="Times New Roman" w:eastAsia="宋体" w:hAnsi="Times New Roman" w:cs="Times New Roman"/>
                <w:szCs w:val="21"/>
              </w:rPr>
              <w:t>-</w:t>
            </w:r>
            <w:r>
              <w:rPr>
                <w:rFonts w:ascii="Times New Roman" w:eastAsia="宋体" w:hAnsi="Times New Roman" w:cs="Times New Roman"/>
                <w:szCs w:val="21"/>
              </w:rPr>
              <w:t>斜板沉淀</w:t>
            </w:r>
            <w:r>
              <w:rPr>
                <w:rFonts w:ascii="Times New Roman" w:eastAsia="宋体" w:hAnsi="Times New Roman" w:cs="Times New Roman"/>
                <w:szCs w:val="21"/>
              </w:rPr>
              <w:t>-A2/O-MBR</w:t>
            </w:r>
            <w:r>
              <w:rPr>
                <w:rFonts w:ascii="Times New Roman" w:eastAsia="宋体" w:hAnsi="Times New Roman" w:cs="Times New Roman"/>
                <w:szCs w:val="21"/>
              </w:rPr>
              <w:t>膜池</w:t>
            </w:r>
            <w:r>
              <w:rPr>
                <w:rFonts w:ascii="Times New Roman" w:eastAsia="宋体" w:hAnsi="Times New Roman" w:cs="Times New Roman"/>
                <w:szCs w:val="21"/>
              </w:rPr>
              <w:t>-</w:t>
            </w:r>
            <w:r>
              <w:rPr>
                <w:rFonts w:ascii="Times New Roman" w:eastAsia="宋体" w:hAnsi="Times New Roman" w:cs="Times New Roman"/>
                <w:szCs w:val="21"/>
              </w:rPr>
              <w:t>纳滤</w:t>
            </w:r>
            <w:r>
              <w:rPr>
                <w:rFonts w:ascii="Times New Roman" w:eastAsia="宋体" w:hAnsi="Times New Roman" w:cs="Times New Roman"/>
                <w:szCs w:val="21"/>
              </w:rPr>
              <w:t>-</w:t>
            </w:r>
            <w:r>
              <w:rPr>
                <w:rFonts w:ascii="Times New Roman" w:eastAsia="宋体" w:hAnsi="Times New Roman" w:cs="Times New Roman"/>
                <w:szCs w:val="21"/>
              </w:rPr>
              <w:t>反渗透）</w:t>
            </w:r>
          </w:p>
        </w:tc>
        <w:tc>
          <w:tcPr>
            <w:tcW w:w="1275" w:type="dxa"/>
            <w:vAlign w:val="center"/>
          </w:tcPr>
          <w:p w14:paraId="262843B6" w14:textId="351FD2E4" w:rsidR="00D12939" w:rsidRDefault="008A0E9B">
            <w:pPr>
              <w:adjustRightInd w:val="0"/>
              <w:snapToGrid w:val="0"/>
              <w:jc w:val="center"/>
              <w:rPr>
                <w:rFonts w:ascii="Times New Roman" w:eastAsia="宋体" w:hAnsi="Times New Roman" w:cs="Times New Roman"/>
                <w:szCs w:val="21"/>
              </w:rPr>
            </w:pPr>
            <w:r w:rsidRPr="008A0E9B">
              <w:rPr>
                <w:rFonts w:ascii="Times New Roman" w:eastAsia="宋体" w:hAnsi="Times New Roman" w:cs="Times New Roman" w:hint="eastAsia"/>
                <w:color w:val="FF0000"/>
                <w:szCs w:val="21"/>
              </w:rPr>
              <w:t>浓缩液回灌至填埋场，处理达标的清液部分回用，剩余运至柞水县污水处理厂进一步处理</w:t>
            </w:r>
          </w:p>
        </w:tc>
        <w:tc>
          <w:tcPr>
            <w:tcW w:w="851" w:type="dxa"/>
            <w:vAlign w:val="center"/>
          </w:tcPr>
          <w:p w14:paraId="159B52E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间接排放</w:t>
            </w:r>
          </w:p>
        </w:tc>
        <w:tc>
          <w:tcPr>
            <w:tcW w:w="850" w:type="dxa"/>
            <w:vAlign w:val="center"/>
          </w:tcPr>
          <w:p w14:paraId="02C85DA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w:t>
            </w:r>
          </w:p>
        </w:tc>
        <w:tc>
          <w:tcPr>
            <w:tcW w:w="2177" w:type="dxa"/>
            <w:vAlign w:val="center"/>
          </w:tcPr>
          <w:p w14:paraId="5BBCD10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rPr>
              <w:t>《生活垃圾填埋场污染控制标准》（</w:t>
            </w:r>
            <w:r>
              <w:rPr>
                <w:rFonts w:ascii="Times New Roman" w:eastAsia="宋体" w:hAnsi="Times New Roman" w:cs="Times New Roman"/>
              </w:rPr>
              <w:t>GB16889-2008</w:t>
            </w:r>
            <w:r>
              <w:rPr>
                <w:rFonts w:ascii="Times New Roman" w:eastAsia="宋体" w:hAnsi="Times New Roman" w:cs="Times New Roman"/>
              </w:rPr>
              <w:t>）</w:t>
            </w:r>
          </w:p>
        </w:tc>
      </w:tr>
    </w:tbl>
    <w:p w14:paraId="6D40B6D2" w14:textId="77777777" w:rsidR="00D12939" w:rsidRDefault="004F47F5">
      <w:pPr>
        <w:adjustRightInd w:val="0"/>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②废水污染物排</w:t>
      </w:r>
      <w:r>
        <w:rPr>
          <w:rFonts w:ascii="Times New Roman" w:eastAsia="宋体" w:hAnsi="Times New Roman" w:cs="Times New Roman"/>
          <w:kern w:val="0"/>
          <w:sz w:val="24"/>
          <w:szCs w:val="24"/>
        </w:rPr>
        <w:t>放执行标准表</w:t>
      </w:r>
    </w:p>
    <w:p w14:paraId="66B279B8" w14:textId="77777777" w:rsidR="00D12939" w:rsidRDefault="004F47F5">
      <w:pPr>
        <w:tabs>
          <w:tab w:val="left" w:pos="2690"/>
        </w:tabs>
        <w:adjustRightInd w:val="0"/>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本项目废水污染物排放执行标准表见表</w:t>
      </w:r>
      <w:r>
        <w:rPr>
          <w:rFonts w:ascii="Times New Roman" w:eastAsia="宋体" w:hAnsi="Times New Roman" w:cs="Times New Roman" w:hint="eastAsia"/>
          <w:kern w:val="0"/>
          <w:sz w:val="24"/>
          <w:szCs w:val="24"/>
        </w:rPr>
        <w:t>7.2-</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w:t>
      </w:r>
    </w:p>
    <w:p w14:paraId="67F4632E" w14:textId="77777777" w:rsidR="00D12939" w:rsidRDefault="004F47F5">
      <w:pPr>
        <w:autoSpaceDE w:val="0"/>
        <w:autoSpaceDN w:val="0"/>
        <w:adjustRightInd w:val="0"/>
        <w:spacing w:line="360" w:lineRule="auto"/>
        <w:ind w:firstLineChars="200" w:firstLine="480"/>
        <w:jc w:val="center"/>
        <w:rPr>
          <w:rFonts w:ascii="黑体" w:eastAsia="黑体" w:hAnsi="黑体" w:cs="Times New Roman"/>
          <w:kern w:val="0"/>
          <w:sz w:val="24"/>
          <w:szCs w:val="24"/>
        </w:rPr>
      </w:pPr>
      <w:r>
        <w:rPr>
          <w:rFonts w:ascii="黑体" w:eastAsia="黑体" w:hAnsi="黑体" w:cs="Times New Roman" w:hint="eastAsia"/>
          <w:kern w:val="0"/>
          <w:sz w:val="24"/>
          <w:szCs w:val="24"/>
        </w:rPr>
        <w:t>表7.2-</w:t>
      </w:r>
      <w:r>
        <w:rPr>
          <w:rFonts w:ascii="黑体" w:eastAsia="黑体" w:hAnsi="黑体" w:cs="Times New Roman"/>
          <w:kern w:val="0"/>
          <w:sz w:val="24"/>
          <w:szCs w:val="24"/>
        </w:rPr>
        <w:t>2   废水污染物排放执行标准表</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17"/>
        <w:gridCol w:w="1625"/>
        <w:gridCol w:w="3503"/>
        <w:gridCol w:w="2741"/>
      </w:tblGrid>
      <w:tr w:rsidR="00D12939" w14:paraId="0E462226" w14:textId="77777777">
        <w:trPr>
          <w:trHeight w:val="18"/>
        </w:trPr>
        <w:tc>
          <w:tcPr>
            <w:tcW w:w="704" w:type="dxa"/>
            <w:vMerge w:val="restart"/>
            <w:vAlign w:val="center"/>
          </w:tcPr>
          <w:p w14:paraId="258DC5A9" w14:textId="77777777" w:rsidR="00D12939" w:rsidRDefault="004F47F5">
            <w:pPr>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序号</w:t>
            </w:r>
          </w:p>
        </w:tc>
        <w:tc>
          <w:tcPr>
            <w:tcW w:w="1217" w:type="dxa"/>
            <w:vMerge w:val="restart"/>
            <w:vAlign w:val="center"/>
          </w:tcPr>
          <w:p w14:paraId="4AE4B81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排放口编号</w:t>
            </w:r>
          </w:p>
        </w:tc>
        <w:tc>
          <w:tcPr>
            <w:tcW w:w="1625" w:type="dxa"/>
            <w:vMerge w:val="restart"/>
            <w:vAlign w:val="center"/>
          </w:tcPr>
          <w:p w14:paraId="4377201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污染物种类</w:t>
            </w:r>
          </w:p>
        </w:tc>
        <w:tc>
          <w:tcPr>
            <w:tcW w:w="6244" w:type="dxa"/>
            <w:gridSpan w:val="2"/>
            <w:vAlign w:val="center"/>
          </w:tcPr>
          <w:p w14:paraId="4C164AF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国家或地方污染物排放标准及其他按规定商定的排放协议</w:t>
            </w:r>
          </w:p>
        </w:tc>
      </w:tr>
      <w:tr w:rsidR="00D12939" w14:paraId="49EF58FD" w14:textId="77777777">
        <w:trPr>
          <w:trHeight w:val="18"/>
        </w:trPr>
        <w:tc>
          <w:tcPr>
            <w:tcW w:w="704" w:type="dxa"/>
            <w:vMerge/>
            <w:vAlign w:val="center"/>
          </w:tcPr>
          <w:p w14:paraId="3398C56D" w14:textId="77777777" w:rsidR="00D12939" w:rsidRDefault="00D12939">
            <w:pPr>
              <w:adjustRightInd w:val="0"/>
              <w:snapToGrid w:val="0"/>
              <w:jc w:val="center"/>
              <w:rPr>
                <w:rFonts w:ascii="Times New Roman" w:eastAsia="宋体" w:hAnsi="Times New Roman" w:cs="Times New Roman"/>
                <w:szCs w:val="21"/>
              </w:rPr>
            </w:pPr>
          </w:p>
        </w:tc>
        <w:tc>
          <w:tcPr>
            <w:tcW w:w="1217" w:type="dxa"/>
            <w:vMerge/>
            <w:vAlign w:val="center"/>
          </w:tcPr>
          <w:p w14:paraId="06DAB43A" w14:textId="77777777" w:rsidR="00D12939" w:rsidRDefault="00D12939">
            <w:pPr>
              <w:adjustRightInd w:val="0"/>
              <w:snapToGrid w:val="0"/>
              <w:jc w:val="center"/>
              <w:rPr>
                <w:rFonts w:ascii="Times New Roman" w:eastAsia="宋体" w:hAnsi="Times New Roman" w:cs="Times New Roman"/>
                <w:szCs w:val="21"/>
              </w:rPr>
            </w:pPr>
          </w:p>
        </w:tc>
        <w:tc>
          <w:tcPr>
            <w:tcW w:w="1625" w:type="dxa"/>
            <w:vMerge/>
            <w:vAlign w:val="center"/>
          </w:tcPr>
          <w:p w14:paraId="0F40CF71" w14:textId="77777777" w:rsidR="00D12939" w:rsidRDefault="00D12939">
            <w:pPr>
              <w:adjustRightInd w:val="0"/>
              <w:snapToGrid w:val="0"/>
              <w:jc w:val="center"/>
              <w:rPr>
                <w:rFonts w:ascii="Times New Roman" w:eastAsia="宋体" w:hAnsi="Times New Roman" w:cs="Times New Roman"/>
                <w:szCs w:val="21"/>
              </w:rPr>
            </w:pPr>
          </w:p>
        </w:tc>
        <w:tc>
          <w:tcPr>
            <w:tcW w:w="3503" w:type="dxa"/>
            <w:vAlign w:val="center"/>
          </w:tcPr>
          <w:p w14:paraId="4462E8A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名称</w:t>
            </w:r>
          </w:p>
        </w:tc>
        <w:tc>
          <w:tcPr>
            <w:tcW w:w="2740" w:type="dxa"/>
            <w:vAlign w:val="center"/>
          </w:tcPr>
          <w:p w14:paraId="21836CBD"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国家或地方污染物排放标准浓度限值（</w:t>
            </w:r>
            <w:r>
              <w:rPr>
                <w:rFonts w:ascii="Times New Roman" w:eastAsia="宋体" w:hAnsi="Times New Roman" w:cs="Times New Roman"/>
                <w:szCs w:val="21"/>
              </w:rPr>
              <w:t>mg/L</w:t>
            </w:r>
            <w:r>
              <w:rPr>
                <w:rFonts w:ascii="Times New Roman" w:eastAsia="宋体" w:hAnsi="Times New Roman" w:cs="Times New Roman"/>
                <w:szCs w:val="21"/>
              </w:rPr>
              <w:t>）</w:t>
            </w:r>
          </w:p>
        </w:tc>
      </w:tr>
      <w:tr w:rsidR="00D12939" w14:paraId="22B3E712" w14:textId="77777777">
        <w:trPr>
          <w:trHeight w:val="18"/>
        </w:trPr>
        <w:tc>
          <w:tcPr>
            <w:tcW w:w="704" w:type="dxa"/>
            <w:vAlign w:val="center"/>
          </w:tcPr>
          <w:p w14:paraId="7E35C2F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1217" w:type="dxa"/>
            <w:vMerge w:val="restart"/>
            <w:vAlign w:val="center"/>
          </w:tcPr>
          <w:p w14:paraId="6F847A0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TA001</w:t>
            </w:r>
          </w:p>
        </w:tc>
        <w:tc>
          <w:tcPr>
            <w:tcW w:w="1625" w:type="dxa"/>
            <w:vAlign w:val="center"/>
          </w:tcPr>
          <w:p w14:paraId="48496C4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vertAlign w:val="subscript"/>
              </w:rPr>
              <w:t>cr</w:t>
            </w:r>
          </w:p>
        </w:tc>
        <w:tc>
          <w:tcPr>
            <w:tcW w:w="3503" w:type="dxa"/>
            <w:vMerge w:val="restart"/>
            <w:vAlign w:val="center"/>
          </w:tcPr>
          <w:p w14:paraId="43CBB9A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《生活垃圾填埋场污染控制标准》（</w:t>
            </w:r>
            <w:r>
              <w:rPr>
                <w:rFonts w:ascii="Times New Roman" w:eastAsia="宋体" w:hAnsi="Times New Roman" w:cs="Times New Roman"/>
                <w:szCs w:val="21"/>
              </w:rPr>
              <w:t>GB16889-2008</w:t>
            </w:r>
            <w:r>
              <w:rPr>
                <w:rFonts w:ascii="Times New Roman" w:eastAsia="宋体" w:hAnsi="Times New Roman" w:cs="Times New Roman"/>
                <w:szCs w:val="21"/>
              </w:rPr>
              <w:t>）</w:t>
            </w:r>
          </w:p>
        </w:tc>
        <w:tc>
          <w:tcPr>
            <w:tcW w:w="2740" w:type="dxa"/>
            <w:vAlign w:val="center"/>
          </w:tcPr>
          <w:p w14:paraId="799D4D85"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100</w:t>
            </w:r>
          </w:p>
        </w:tc>
      </w:tr>
      <w:tr w:rsidR="00D12939" w14:paraId="658935F4" w14:textId="77777777">
        <w:trPr>
          <w:trHeight w:val="18"/>
        </w:trPr>
        <w:tc>
          <w:tcPr>
            <w:tcW w:w="704" w:type="dxa"/>
            <w:vAlign w:val="center"/>
          </w:tcPr>
          <w:p w14:paraId="6AB46BD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w:t>
            </w:r>
          </w:p>
        </w:tc>
        <w:tc>
          <w:tcPr>
            <w:tcW w:w="1217" w:type="dxa"/>
            <w:vMerge/>
            <w:vAlign w:val="center"/>
          </w:tcPr>
          <w:p w14:paraId="2699E9D4" w14:textId="77777777" w:rsidR="00D12939" w:rsidRDefault="00D12939">
            <w:pPr>
              <w:adjustRightInd w:val="0"/>
              <w:snapToGrid w:val="0"/>
              <w:jc w:val="center"/>
              <w:rPr>
                <w:rFonts w:ascii="Times New Roman" w:eastAsia="宋体" w:hAnsi="Times New Roman" w:cs="Times New Roman"/>
                <w:szCs w:val="21"/>
              </w:rPr>
            </w:pPr>
          </w:p>
        </w:tc>
        <w:tc>
          <w:tcPr>
            <w:tcW w:w="1625" w:type="dxa"/>
            <w:vAlign w:val="center"/>
          </w:tcPr>
          <w:p w14:paraId="79AC31DE"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BOD</w:t>
            </w:r>
            <w:r>
              <w:rPr>
                <w:rFonts w:ascii="Times New Roman" w:eastAsia="宋体" w:hAnsi="Times New Roman" w:cs="Times New Roman"/>
                <w:szCs w:val="21"/>
                <w:vertAlign w:val="subscript"/>
              </w:rPr>
              <w:t>5</w:t>
            </w:r>
          </w:p>
        </w:tc>
        <w:tc>
          <w:tcPr>
            <w:tcW w:w="3503" w:type="dxa"/>
            <w:vMerge/>
            <w:vAlign w:val="center"/>
          </w:tcPr>
          <w:p w14:paraId="5E021944" w14:textId="77777777" w:rsidR="00D12939" w:rsidRDefault="00D12939">
            <w:pPr>
              <w:adjustRightInd w:val="0"/>
              <w:snapToGrid w:val="0"/>
              <w:jc w:val="center"/>
              <w:rPr>
                <w:rFonts w:ascii="Times New Roman" w:eastAsia="宋体" w:hAnsi="Times New Roman" w:cs="Times New Roman"/>
                <w:szCs w:val="21"/>
              </w:rPr>
            </w:pPr>
          </w:p>
        </w:tc>
        <w:tc>
          <w:tcPr>
            <w:tcW w:w="2740" w:type="dxa"/>
            <w:vAlign w:val="center"/>
          </w:tcPr>
          <w:p w14:paraId="11903D3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30</w:t>
            </w:r>
          </w:p>
        </w:tc>
      </w:tr>
      <w:tr w:rsidR="00D12939" w14:paraId="6943E619" w14:textId="77777777">
        <w:trPr>
          <w:trHeight w:val="18"/>
        </w:trPr>
        <w:tc>
          <w:tcPr>
            <w:tcW w:w="704" w:type="dxa"/>
            <w:vAlign w:val="center"/>
          </w:tcPr>
          <w:p w14:paraId="5BE7BCB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w:t>
            </w:r>
          </w:p>
        </w:tc>
        <w:tc>
          <w:tcPr>
            <w:tcW w:w="1217" w:type="dxa"/>
            <w:vMerge/>
            <w:vAlign w:val="center"/>
          </w:tcPr>
          <w:p w14:paraId="643F819C" w14:textId="77777777" w:rsidR="00D12939" w:rsidRDefault="00D12939">
            <w:pPr>
              <w:adjustRightInd w:val="0"/>
              <w:snapToGrid w:val="0"/>
              <w:jc w:val="center"/>
              <w:rPr>
                <w:rFonts w:ascii="Times New Roman" w:eastAsia="宋体" w:hAnsi="Times New Roman" w:cs="Times New Roman"/>
                <w:szCs w:val="21"/>
              </w:rPr>
            </w:pPr>
          </w:p>
        </w:tc>
        <w:tc>
          <w:tcPr>
            <w:tcW w:w="1625" w:type="dxa"/>
            <w:vAlign w:val="center"/>
          </w:tcPr>
          <w:p w14:paraId="735C224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SS</w:t>
            </w:r>
          </w:p>
        </w:tc>
        <w:tc>
          <w:tcPr>
            <w:tcW w:w="3503" w:type="dxa"/>
            <w:vMerge/>
            <w:vAlign w:val="center"/>
          </w:tcPr>
          <w:p w14:paraId="309CBBA4" w14:textId="77777777" w:rsidR="00D12939" w:rsidRDefault="00D12939">
            <w:pPr>
              <w:adjustRightInd w:val="0"/>
              <w:snapToGrid w:val="0"/>
              <w:jc w:val="center"/>
              <w:rPr>
                <w:rFonts w:ascii="Times New Roman" w:eastAsia="宋体" w:hAnsi="Times New Roman" w:cs="Times New Roman"/>
                <w:szCs w:val="21"/>
              </w:rPr>
            </w:pPr>
          </w:p>
        </w:tc>
        <w:tc>
          <w:tcPr>
            <w:tcW w:w="2740" w:type="dxa"/>
            <w:vAlign w:val="center"/>
          </w:tcPr>
          <w:p w14:paraId="07D74A2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30</w:t>
            </w:r>
          </w:p>
        </w:tc>
      </w:tr>
      <w:tr w:rsidR="00D12939" w14:paraId="41AEF5F2" w14:textId="77777777">
        <w:trPr>
          <w:trHeight w:val="18"/>
        </w:trPr>
        <w:tc>
          <w:tcPr>
            <w:tcW w:w="704" w:type="dxa"/>
            <w:vAlign w:val="center"/>
          </w:tcPr>
          <w:p w14:paraId="6CDF2E9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4</w:t>
            </w:r>
          </w:p>
        </w:tc>
        <w:tc>
          <w:tcPr>
            <w:tcW w:w="1217" w:type="dxa"/>
            <w:vMerge/>
            <w:vAlign w:val="center"/>
          </w:tcPr>
          <w:p w14:paraId="490A3037" w14:textId="77777777" w:rsidR="00D12939" w:rsidRDefault="00D12939">
            <w:pPr>
              <w:adjustRightInd w:val="0"/>
              <w:snapToGrid w:val="0"/>
              <w:jc w:val="center"/>
              <w:rPr>
                <w:rFonts w:ascii="Times New Roman" w:eastAsia="宋体" w:hAnsi="Times New Roman" w:cs="Times New Roman"/>
                <w:szCs w:val="21"/>
              </w:rPr>
            </w:pPr>
          </w:p>
        </w:tc>
        <w:tc>
          <w:tcPr>
            <w:tcW w:w="1625" w:type="dxa"/>
            <w:vAlign w:val="center"/>
          </w:tcPr>
          <w:p w14:paraId="26E88905"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r>
              <w:rPr>
                <w:rFonts w:ascii="Times New Roman" w:eastAsia="宋体" w:hAnsi="Times New Roman" w:cs="Times New Roman"/>
                <w:szCs w:val="21"/>
              </w:rPr>
              <w:t>-N</w:t>
            </w:r>
          </w:p>
        </w:tc>
        <w:tc>
          <w:tcPr>
            <w:tcW w:w="3503" w:type="dxa"/>
            <w:vMerge/>
            <w:vAlign w:val="center"/>
          </w:tcPr>
          <w:p w14:paraId="41DD52E4" w14:textId="77777777" w:rsidR="00D12939" w:rsidRDefault="00D12939">
            <w:pPr>
              <w:adjustRightInd w:val="0"/>
              <w:snapToGrid w:val="0"/>
              <w:jc w:val="center"/>
              <w:rPr>
                <w:rFonts w:ascii="Times New Roman" w:eastAsia="宋体" w:hAnsi="Times New Roman" w:cs="Times New Roman"/>
                <w:szCs w:val="21"/>
              </w:rPr>
            </w:pPr>
          </w:p>
        </w:tc>
        <w:tc>
          <w:tcPr>
            <w:tcW w:w="2740" w:type="dxa"/>
            <w:vAlign w:val="center"/>
          </w:tcPr>
          <w:p w14:paraId="62C1D90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25</w:t>
            </w:r>
          </w:p>
        </w:tc>
      </w:tr>
      <w:tr w:rsidR="00D12939" w14:paraId="7828CC9A" w14:textId="77777777">
        <w:trPr>
          <w:trHeight w:val="18"/>
        </w:trPr>
        <w:tc>
          <w:tcPr>
            <w:tcW w:w="704" w:type="dxa"/>
            <w:vAlign w:val="center"/>
          </w:tcPr>
          <w:p w14:paraId="701E250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5</w:t>
            </w:r>
          </w:p>
        </w:tc>
        <w:tc>
          <w:tcPr>
            <w:tcW w:w="1217" w:type="dxa"/>
            <w:vMerge/>
            <w:vAlign w:val="center"/>
          </w:tcPr>
          <w:p w14:paraId="4F8018EC" w14:textId="77777777" w:rsidR="00D12939" w:rsidRDefault="00D12939">
            <w:pPr>
              <w:adjustRightInd w:val="0"/>
              <w:snapToGrid w:val="0"/>
              <w:jc w:val="center"/>
              <w:rPr>
                <w:rFonts w:ascii="Times New Roman" w:eastAsia="宋体" w:hAnsi="Times New Roman" w:cs="Times New Roman"/>
                <w:szCs w:val="21"/>
              </w:rPr>
            </w:pPr>
          </w:p>
        </w:tc>
        <w:tc>
          <w:tcPr>
            <w:tcW w:w="1625" w:type="dxa"/>
            <w:vAlign w:val="center"/>
          </w:tcPr>
          <w:p w14:paraId="0048EE6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TN</w:t>
            </w:r>
          </w:p>
        </w:tc>
        <w:tc>
          <w:tcPr>
            <w:tcW w:w="3503" w:type="dxa"/>
            <w:vMerge/>
            <w:vAlign w:val="center"/>
          </w:tcPr>
          <w:p w14:paraId="08EDAE26" w14:textId="77777777" w:rsidR="00D12939" w:rsidRDefault="00D12939">
            <w:pPr>
              <w:adjustRightInd w:val="0"/>
              <w:snapToGrid w:val="0"/>
              <w:jc w:val="center"/>
              <w:rPr>
                <w:rFonts w:ascii="Times New Roman" w:eastAsia="宋体" w:hAnsi="Times New Roman" w:cs="Times New Roman"/>
                <w:szCs w:val="21"/>
              </w:rPr>
            </w:pPr>
          </w:p>
        </w:tc>
        <w:tc>
          <w:tcPr>
            <w:tcW w:w="2740" w:type="dxa"/>
            <w:vAlign w:val="center"/>
          </w:tcPr>
          <w:p w14:paraId="213E900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40</w:t>
            </w:r>
          </w:p>
        </w:tc>
      </w:tr>
    </w:tbl>
    <w:p w14:paraId="503E2000" w14:textId="77777777" w:rsidR="00D12939" w:rsidRDefault="004F47F5">
      <w:pPr>
        <w:adjustRightInd w:val="0"/>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③废水污染物排放信息表</w:t>
      </w:r>
    </w:p>
    <w:p w14:paraId="7A5E7F61" w14:textId="77777777" w:rsidR="00D12939" w:rsidRDefault="004F47F5">
      <w:pPr>
        <w:adjustRightInd w:val="0"/>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w:t>
      </w:r>
      <w:r>
        <w:rPr>
          <w:rFonts w:ascii="Times New Roman" w:eastAsia="宋体" w:hAnsi="Times New Roman" w:cs="Times New Roman" w:hint="eastAsia"/>
          <w:kern w:val="0"/>
          <w:sz w:val="24"/>
          <w:szCs w:val="24"/>
        </w:rPr>
        <w:t>废水污染物排放信息表</w:t>
      </w:r>
      <w:r>
        <w:rPr>
          <w:rFonts w:ascii="Times New Roman" w:eastAsia="宋体" w:hAnsi="Times New Roman" w:cs="Times New Roman"/>
          <w:kern w:val="0"/>
          <w:sz w:val="24"/>
          <w:szCs w:val="24"/>
        </w:rPr>
        <w:t>见表</w:t>
      </w:r>
      <w:r>
        <w:rPr>
          <w:rFonts w:ascii="Times New Roman" w:eastAsia="宋体" w:hAnsi="Times New Roman" w:cs="Times New Roman" w:hint="eastAsia"/>
          <w:kern w:val="0"/>
          <w:sz w:val="24"/>
          <w:szCs w:val="24"/>
        </w:rPr>
        <w:t>7.2-</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w:t>
      </w:r>
    </w:p>
    <w:p w14:paraId="1649B536" w14:textId="77777777" w:rsidR="00D12939" w:rsidRDefault="004F47F5">
      <w:pPr>
        <w:autoSpaceDE w:val="0"/>
        <w:autoSpaceDN w:val="0"/>
        <w:adjustRightInd w:val="0"/>
        <w:spacing w:line="360" w:lineRule="auto"/>
        <w:ind w:firstLineChars="200" w:firstLine="480"/>
        <w:jc w:val="center"/>
        <w:rPr>
          <w:rFonts w:ascii="黑体" w:eastAsia="黑体" w:hAnsi="黑体" w:cs="Times New Roman"/>
          <w:kern w:val="0"/>
          <w:sz w:val="24"/>
          <w:szCs w:val="24"/>
        </w:rPr>
      </w:pPr>
      <w:r>
        <w:rPr>
          <w:rFonts w:ascii="黑体" w:eastAsia="黑体" w:hAnsi="黑体" w:cs="Times New Roman" w:hint="eastAsia"/>
          <w:kern w:val="0"/>
          <w:sz w:val="24"/>
          <w:szCs w:val="24"/>
        </w:rPr>
        <w:lastRenderedPageBreak/>
        <w:t>表7.2-</w:t>
      </w:r>
      <w:r>
        <w:rPr>
          <w:rFonts w:ascii="黑体" w:eastAsia="黑体" w:hAnsi="黑体" w:cs="Times New Roman"/>
          <w:kern w:val="0"/>
          <w:sz w:val="24"/>
          <w:szCs w:val="24"/>
        </w:rPr>
        <w:t xml:space="preserve">3  </w:t>
      </w:r>
      <w:r>
        <w:rPr>
          <w:rFonts w:ascii="黑体" w:eastAsia="黑体" w:hAnsi="黑体" w:cs="Times New Roman" w:hint="eastAsia"/>
          <w:kern w:val="0"/>
          <w:sz w:val="24"/>
          <w:szCs w:val="24"/>
        </w:rPr>
        <w:t>废水污染物排放信息表</w:t>
      </w: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49"/>
        <w:gridCol w:w="2415"/>
        <w:gridCol w:w="2415"/>
        <w:gridCol w:w="2236"/>
      </w:tblGrid>
      <w:tr w:rsidR="00D12939" w14:paraId="0697EB3F" w14:textId="77777777">
        <w:trPr>
          <w:trHeight w:val="518"/>
        </w:trPr>
        <w:tc>
          <w:tcPr>
            <w:tcW w:w="692" w:type="dxa"/>
            <w:vAlign w:val="center"/>
          </w:tcPr>
          <w:p w14:paraId="24B98D9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序号</w:t>
            </w:r>
          </w:p>
        </w:tc>
        <w:tc>
          <w:tcPr>
            <w:tcW w:w="1849" w:type="dxa"/>
            <w:vAlign w:val="center"/>
          </w:tcPr>
          <w:p w14:paraId="7D79C3CD"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排放口编号</w:t>
            </w:r>
          </w:p>
        </w:tc>
        <w:tc>
          <w:tcPr>
            <w:tcW w:w="2415" w:type="dxa"/>
            <w:vAlign w:val="center"/>
          </w:tcPr>
          <w:p w14:paraId="4359898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污染物种类</w:t>
            </w:r>
          </w:p>
        </w:tc>
        <w:tc>
          <w:tcPr>
            <w:tcW w:w="2415" w:type="dxa"/>
            <w:vAlign w:val="center"/>
          </w:tcPr>
          <w:p w14:paraId="5CFDFC3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排放浓度（</w:t>
            </w:r>
            <w:r>
              <w:rPr>
                <w:rFonts w:ascii="Times New Roman" w:eastAsia="宋体" w:hAnsi="Times New Roman" w:cs="Times New Roman"/>
                <w:szCs w:val="21"/>
              </w:rPr>
              <w:t>mg/L</w:t>
            </w:r>
            <w:r>
              <w:rPr>
                <w:rFonts w:ascii="Times New Roman" w:eastAsia="宋体" w:hAnsi="Times New Roman" w:cs="Times New Roman"/>
                <w:szCs w:val="21"/>
              </w:rPr>
              <w:t>）</w:t>
            </w:r>
          </w:p>
        </w:tc>
        <w:tc>
          <w:tcPr>
            <w:tcW w:w="2236" w:type="dxa"/>
            <w:vAlign w:val="center"/>
          </w:tcPr>
          <w:p w14:paraId="16C1098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年排放量（</w:t>
            </w:r>
            <w:r>
              <w:rPr>
                <w:rFonts w:ascii="Times New Roman" w:eastAsia="宋体" w:hAnsi="Times New Roman" w:cs="Times New Roman"/>
                <w:szCs w:val="21"/>
              </w:rPr>
              <w:t>t/a</w:t>
            </w:r>
            <w:r>
              <w:rPr>
                <w:rFonts w:ascii="Times New Roman" w:eastAsia="宋体" w:hAnsi="Times New Roman" w:cs="Times New Roman"/>
                <w:szCs w:val="21"/>
              </w:rPr>
              <w:t>）</w:t>
            </w:r>
          </w:p>
        </w:tc>
      </w:tr>
      <w:tr w:rsidR="00D12939" w14:paraId="4D4C9B1D" w14:textId="77777777">
        <w:trPr>
          <w:trHeight w:val="215"/>
        </w:trPr>
        <w:tc>
          <w:tcPr>
            <w:tcW w:w="692" w:type="dxa"/>
            <w:vAlign w:val="center"/>
          </w:tcPr>
          <w:p w14:paraId="0D2889E2"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w:t>
            </w:r>
          </w:p>
        </w:tc>
        <w:tc>
          <w:tcPr>
            <w:tcW w:w="1849" w:type="dxa"/>
            <w:vMerge w:val="restart"/>
            <w:vAlign w:val="center"/>
          </w:tcPr>
          <w:p w14:paraId="673E6D3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TA001</w:t>
            </w:r>
          </w:p>
        </w:tc>
        <w:tc>
          <w:tcPr>
            <w:tcW w:w="2415" w:type="dxa"/>
            <w:vAlign w:val="center"/>
          </w:tcPr>
          <w:p w14:paraId="60F0566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COD</w:t>
            </w:r>
            <w:r>
              <w:rPr>
                <w:rFonts w:ascii="Times New Roman" w:eastAsia="宋体" w:hAnsi="Times New Roman" w:cs="Times New Roman"/>
                <w:szCs w:val="21"/>
                <w:vertAlign w:val="subscript"/>
              </w:rPr>
              <w:t>cr</w:t>
            </w:r>
          </w:p>
        </w:tc>
        <w:tc>
          <w:tcPr>
            <w:tcW w:w="2415" w:type="dxa"/>
            <w:vAlign w:val="center"/>
          </w:tcPr>
          <w:p w14:paraId="7F2EB60E"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100</w:t>
            </w:r>
          </w:p>
        </w:tc>
        <w:tc>
          <w:tcPr>
            <w:tcW w:w="2236" w:type="dxa"/>
            <w:vAlign w:val="center"/>
          </w:tcPr>
          <w:p w14:paraId="3E0B29BA" w14:textId="1A8D26F4" w:rsidR="00D12939" w:rsidRPr="008A0E9B" w:rsidRDefault="008A0E9B">
            <w:pPr>
              <w:adjustRightInd w:val="0"/>
              <w:snapToGrid w:val="0"/>
              <w:jc w:val="center"/>
              <w:rPr>
                <w:rFonts w:ascii="Times New Roman" w:eastAsia="宋体" w:hAnsi="Times New Roman" w:cs="Times New Roman"/>
                <w:color w:val="FF0000"/>
                <w:szCs w:val="21"/>
              </w:rPr>
            </w:pPr>
            <w:r w:rsidRPr="008A0E9B">
              <w:rPr>
                <w:rFonts w:ascii="Times New Roman" w:eastAsia="宋体" w:hAnsi="Times New Roman" w:cs="Times New Roman"/>
                <w:color w:val="FF0000"/>
                <w:szCs w:val="21"/>
              </w:rPr>
              <w:t>1.28</w:t>
            </w:r>
          </w:p>
        </w:tc>
      </w:tr>
      <w:tr w:rsidR="00D12939" w14:paraId="49FFC9B4" w14:textId="77777777">
        <w:trPr>
          <w:trHeight w:val="215"/>
        </w:trPr>
        <w:tc>
          <w:tcPr>
            <w:tcW w:w="692" w:type="dxa"/>
            <w:vAlign w:val="center"/>
          </w:tcPr>
          <w:p w14:paraId="0EE7798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w:t>
            </w:r>
          </w:p>
        </w:tc>
        <w:tc>
          <w:tcPr>
            <w:tcW w:w="1849" w:type="dxa"/>
            <w:vMerge/>
            <w:vAlign w:val="center"/>
          </w:tcPr>
          <w:p w14:paraId="612D3F20" w14:textId="77777777" w:rsidR="00D12939" w:rsidRDefault="00D12939">
            <w:pPr>
              <w:adjustRightInd w:val="0"/>
              <w:snapToGrid w:val="0"/>
              <w:jc w:val="center"/>
              <w:rPr>
                <w:rFonts w:ascii="Times New Roman" w:eastAsia="宋体" w:hAnsi="Times New Roman" w:cs="Times New Roman"/>
                <w:szCs w:val="21"/>
              </w:rPr>
            </w:pPr>
          </w:p>
        </w:tc>
        <w:tc>
          <w:tcPr>
            <w:tcW w:w="2415" w:type="dxa"/>
            <w:vAlign w:val="center"/>
          </w:tcPr>
          <w:p w14:paraId="1FDB92B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BOD</w:t>
            </w:r>
            <w:r>
              <w:rPr>
                <w:rFonts w:ascii="Times New Roman" w:eastAsia="宋体" w:hAnsi="Times New Roman" w:cs="Times New Roman"/>
                <w:szCs w:val="21"/>
                <w:vertAlign w:val="subscript"/>
              </w:rPr>
              <w:t>5</w:t>
            </w:r>
          </w:p>
        </w:tc>
        <w:tc>
          <w:tcPr>
            <w:tcW w:w="2415" w:type="dxa"/>
            <w:vAlign w:val="center"/>
          </w:tcPr>
          <w:p w14:paraId="4598DD2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30</w:t>
            </w:r>
          </w:p>
        </w:tc>
        <w:tc>
          <w:tcPr>
            <w:tcW w:w="2236" w:type="dxa"/>
            <w:vAlign w:val="center"/>
          </w:tcPr>
          <w:p w14:paraId="146A3855" w14:textId="48B0789C" w:rsidR="00D12939" w:rsidRPr="008A0E9B" w:rsidRDefault="008A0E9B">
            <w:pPr>
              <w:adjustRightInd w:val="0"/>
              <w:snapToGrid w:val="0"/>
              <w:jc w:val="center"/>
              <w:rPr>
                <w:rFonts w:ascii="Times New Roman" w:eastAsia="宋体" w:hAnsi="Times New Roman" w:cs="Times New Roman"/>
                <w:color w:val="FF0000"/>
                <w:szCs w:val="21"/>
              </w:rPr>
            </w:pPr>
            <w:r w:rsidRPr="008A0E9B">
              <w:rPr>
                <w:rFonts w:ascii="Times New Roman" w:eastAsia="宋体" w:hAnsi="Times New Roman" w:cs="Times New Roman"/>
                <w:color w:val="FF0000"/>
                <w:szCs w:val="21"/>
              </w:rPr>
              <w:t>0.39</w:t>
            </w:r>
          </w:p>
        </w:tc>
      </w:tr>
      <w:tr w:rsidR="00D12939" w14:paraId="7EA05C1D" w14:textId="77777777">
        <w:trPr>
          <w:trHeight w:val="215"/>
        </w:trPr>
        <w:tc>
          <w:tcPr>
            <w:tcW w:w="692" w:type="dxa"/>
            <w:vAlign w:val="center"/>
          </w:tcPr>
          <w:p w14:paraId="74E9DA6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w:t>
            </w:r>
          </w:p>
        </w:tc>
        <w:tc>
          <w:tcPr>
            <w:tcW w:w="1849" w:type="dxa"/>
            <w:vMerge/>
            <w:vAlign w:val="center"/>
          </w:tcPr>
          <w:p w14:paraId="4A6C7D5B" w14:textId="77777777" w:rsidR="00D12939" w:rsidRDefault="00D12939">
            <w:pPr>
              <w:adjustRightInd w:val="0"/>
              <w:snapToGrid w:val="0"/>
              <w:jc w:val="center"/>
              <w:rPr>
                <w:rFonts w:ascii="Times New Roman" w:eastAsia="宋体" w:hAnsi="Times New Roman" w:cs="Times New Roman"/>
                <w:szCs w:val="21"/>
              </w:rPr>
            </w:pPr>
          </w:p>
        </w:tc>
        <w:tc>
          <w:tcPr>
            <w:tcW w:w="2415" w:type="dxa"/>
            <w:vAlign w:val="center"/>
          </w:tcPr>
          <w:p w14:paraId="3F11E11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SS</w:t>
            </w:r>
          </w:p>
        </w:tc>
        <w:tc>
          <w:tcPr>
            <w:tcW w:w="2415" w:type="dxa"/>
            <w:vAlign w:val="center"/>
          </w:tcPr>
          <w:p w14:paraId="2BF5828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30</w:t>
            </w:r>
          </w:p>
        </w:tc>
        <w:tc>
          <w:tcPr>
            <w:tcW w:w="2236" w:type="dxa"/>
            <w:vAlign w:val="center"/>
          </w:tcPr>
          <w:p w14:paraId="049C6376" w14:textId="64B8F08A" w:rsidR="00D12939" w:rsidRPr="008A0E9B" w:rsidRDefault="008A0E9B">
            <w:pPr>
              <w:adjustRightInd w:val="0"/>
              <w:snapToGrid w:val="0"/>
              <w:jc w:val="center"/>
              <w:rPr>
                <w:rFonts w:ascii="Times New Roman" w:eastAsia="宋体" w:hAnsi="Times New Roman" w:cs="Times New Roman"/>
                <w:color w:val="FF0000"/>
                <w:szCs w:val="21"/>
              </w:rPr>
            </w:pPr>
            <w:r w:rsidRPr="008A0E9B">
              <w:rPr>
                <w:rFonts w:ascii="Times New Roman" w:eastAsia="宋体" w:hAnsi="Times New Roman" w:cs="Times New Roman"/>
                <w:color w:val="FF0000"/>
                <w:szCs w:val="21"/>
              </w:rPr>
              <w:t>0.39</w:t>
            </w:r>
          </w:p>
        </w:tc>
      </w:tr>
      <w:tr w:rsidR="00D12939" w14:paraId="09F8B2DC" w14:textId="77777777">
        <w:trPr>
          <w:trHeight w:val="215"/>
        </w:trPr>
        <w:tc>
          <w:tcPr>
            <w:tcW w:w="692" w:type="dxa"/>
            <w:vAlign w:val="center"/>
          </w:tcPr>
          <w:p w14:paraId="68FAB1D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4</w:t>
            </w:r>
          </w:p>
        </w:tc>
        <w:tc>
          <w:tcPr>
            <w:tcW w:w="1849" w:type="dxa"/>
            <w:vMerge/>
            <w:vAlign w:val="center"/>
          </w:tcPr>
          <w:p w14:paraId="7485F8FF" w14:textId="77777777" w:rsidR="00D12939" w:rsidRDefault="00D12939">
            <w:pPr>
              <w:adjustRightInd w:val="0"/>
              <w:snapToGrid w:val="0"/>
              <w:jc w:val="center"/>
              <w:rPr>
                <w:rFonts w:ascii="Times New Roman" w:eastAsia="宋体" w:hAnsi="Times New Roman" w:cs="Times New Roman"/>
                <w:szCs w:val="21"/>
              </w:rPr>
            </w:pPr>
          </w:p>
        </w:tc>
        <w:tc>
          <w:tcPr>
            <w:tcW w:w="2415" w:type="dxa"/>
            <w:vAlign w:val="center"/>
          </w:tcPr>
          <w:p w14:paraId="52AE31B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NH</w:t>
            </w:r>
            <w:r>
              <w:rPr>
                <w:rFonts w:ascii="Times New Roman" w:eastAsia="宋体" w:hAnsi="Times New Roman" w:cs="Times New Roman"/>
                <w:szCs w:val="21"/>
                <w:vertAlign w:val="subscript"/>
              </w:rPr>
              <w:t>3</w:t>
            </w:r>
            <w:r>
              <w:rPr>
                <w:rFonts w:ascii="Times New Roman" w:eastAsia="宋体" w:hAnsi="Times New Roman" w:cs="Times New Roman"/>
                <w:szCs w:val="21"/>
              </w:rPr>
              <w:t>-N</w:t>
            </w:r>
          </w:p>
        </w:tc>
        <w:tc>
          <w:tcPr>
            <w:tcW w:w="2415" w:type="dxa"/>
            <w:vAlign w:val="center"/>
          </w:tcPr>
          <w:p w14:paraId="7FB5323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25</w:t>
            </w:r>
          </w:p>
        </w:tc>
        <w:tc>
          <w:tcPr>
            <w:tcW w:w="2236" w:type="dxa"/>
            <w:vAlign w:val="center"/>
          </w:tcPr>
          <w:p w14:paraId="655506F4" w14:textId="535AA56D" w:rsidR="00D12939" w:rsidRPr="008A0E9B" w:rsidRDefault="008A0E9B">
            <w:pPr>
              <w:adjustRightInd w:val="0"/>
              <w:snapToGrid w:val="0"/>
              <w:jc w:val="center"/>
              <w:rPr>
                <w:rFonts w:ascii="Times New Roman" w:eastAsia="宋体" w:hAnsi="Times New Roman" w:cs="Times New Roman"/>
                <w:color w:val="FF0000"/>
                <w:szCs w:val="21"/>
              </w:rPr>
            </w:pPr>
            <w:r w:rsidRPr="008A0E9B">
              <w:rPr>
                <w:rFonts w:ascii="Times New Roman" w:eastAsia="宋体" w:hAnsi="Times New Roman" w:cs="Times New Roman"/>
                <w:color w:val="FF0000"/>
                <w:szCs w:val="21"/>
              </w:rPr>
              <w:t>0.32</w:t>
            </w:r>
          </w:p>
        </w:tc>
      </w:tr>
      <w:tr w:rsidR="00D12939" w14:paraId="196D12A1" w14:textId="77777777">
        <w:trPr>
          <w:trHeight w:val="215"/>
        </w:trPr>
        <w:tc>
          <w:tcPr>
            <w:tcW w:w="692" w:type="dxa"/>
            <w:vAlign w:val="center"/>
          </w:tcPr>
          <w:p w14:paraId="24F24AD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5</w:t>
            </w:r>
          </w:p>
        </w:tc>
        <w:tc>
          <w:tcPr>
            <w:tcW w:w="1849" w:type="dxa"/>
            <w:vMerge/>
            <w:vAlign w:val="center"/>
          </w:tcPr>
          <w:p w14:paraId="7E2DADF5" w14:textId="77777777" w:rsidR="00D12939" w:rsidRDefault="00D12939">
            <w:pPr>
              <w:adjustRightInd w:val="0"/>
              <w:snapToGrid w:val="0"/>
              <w:jc w:val="center"/>
              <w:rPr>
                <w:rFonts w:ascii="Times New Roman" w:eastAsia="宋体" w:hAnsi="Times New Roman" w:cs="Times New Roman"/>
                <w:szCs w:val="21"/>
              </w:rPr>
            </w:pPr>
          </w:p>
        </w:tc>
        <w:tc>
          <w:tcPr>
            <w:tcW w:w="2415" w:type="dxa"/>
            <w:vAlign w:val="center"/>
          </w:tcPr>
          <w:p w14:paraId="3977956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TN</w:t>
            </w:r>
          </w:p>
        </w:tc>
        <w:tc>
          <w:tcPr>
            <w:tcW w:w="2415" w:type="dxa"/>
            <w:vAlign w:val="center"/>
          </w:tcPr>
          <w:p w14:paraId="3BAA6A0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40</w:t>
            </w:r>
          </w:p>
        </w:tc>
        <w:tc>
          <w:tcPr>
            <w:tcW w:w="2236" w:type="dxa"/>
            <w:vAlign w:val="center"/>
          </w:tcPr>
          <w:p w14:paraId="13B171F2" w14:textId="0581771A" w:rsidR="00D12939" w:rsidRPr="008A0E9B" w:rsidRDefault="008A0E9B">
            <w:pPr>
              <w:adjustRightInd w:val="0"/>
              <w:snapToGrid w:val="0"/>
              <w:jc w:val="center"/>
              <w:rPr>
                <w:rFonts w:ascii="Times New Roman" w:eastAsia="宋体" w:hAnsi="Times New Roman" w:cs="Times New Roman"/>
                <w:color w:val="FF0000"/>
                <w:szCs w:val="21"/>
              </w:rPr>
            </w:pPr>
            <w:r w:rsidRPr="008A0E9B">
              <w:rPr>
                <w:rFonts w:ascii="Times New Roman" w:eastAsia="宋体" w:hAnsi="Times New Roman" w:cs="Times New Roman"/>
                <w:color w:val="FF0000"/>
                <w:szCs w:val="21"/>
              </w:rPr>
              <w:t>0.51</w:t>
            </w:r>
          </w:p>
        </w:tc>
      </w:tr>
    </w:tbl>
    <w:p w14:paraId="0870696F" w14:textId="77777777" w:rsidR="00D12939" w:rsidRDefault="004F47F5">
      <w:pPr>
        <w:adjustRightInd w:val="0"/>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④</w:t>
      </w:r>
      <w:r>
        <w:rPr>
          <w:rFonts w:ascii="Times New Roman" w:eastAsia="宋体" w:hAnsi="Times New Roman" w:cs="Times New Roman"/>
          <w:kern w:val="0"/>
          <w:sz w:val="24"/>
          <w:szCs w:val="24"/>
        </w:rPr>
        <w:t>建设项目地表水环境影响评价自查表</w:t>
      </w:r>
    </w:p>
    <w:p w14:paraId="5B896A9D" w14:textId="77777777" w:rsidR="00D12939" w:rsidRDefault="004F47F5">
      <w:pPr>
        <w:adjustRightInd w:val="0"/>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建设项目地表水环境影响评价自查表见表</w:t>
      </w:r>
      <w:r>
        <w:rPr>
          <w:rFonts w:ascii="Times New Roman" w:eastAsia="宋体" w:hAnsi="Times New Roman" w:cs="Times New Roman" w:hint="eastAsia"/>
          <w:kern w:val="0"/>
          <w:sz w:val="24"/>
          <w:szCs w:val="24"/>
        </w:rPr>
        <w:t>7.2-</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w:t>
      </w:r>
    </w:p>
    <w:p w14:paraId="41CBF814" w14:textId="77777777" w:rsidR="00D12939" w:rsidRDefault="004F47F5">
      <w:pPr>
        <w:autoSpaceDE w:val="0"/>
        <w:autoSpaceDN w:val="0"/>
        <w:adjustRightInd w:val="0"/>
        <w:spacing w:line="360" w:lineRule="auto"/>
        <w:ind w:firstLineChars="200" w:firstLine="480"/>
        <w:jc w:val="center"/>
        <w:rPr>
          <w:rFonts w:ascii="黑体" w:eastAsia="黑体" w:hAnsi="黑体" w:cs="Times New Roman"/>
          <w:kern w:val="0"/>
          <w:sz w:val="24"/>
          <w:szCs w:val="24"/>
        </w:rPr>
      </w:pPr>
      <w:r>
        <w:rPr>
          <w:rFonts w:ascii="黑体" w:eastAsia="黑体" w:hAnsi="黑体" w:cs="Times New Roman" w:hint="eastAsia"/>
          <w:kern w:val="0"/>
          <w:sz w:val="24"/>
          <w:szCs w:val="24"/>
        </w:rPr>
        <w:t>表7.2-5</w:t>
      </w:r>
      <w:r>
        <w:rPr>
          <w:rFonts w:ascii="黑体" w:eastAsia="黑体" w:hAnsi="黑体" w:cs="Times New Roman"/>
          <w:kern w:val="0"/>
          <w:sz w:val="24"/>
          <w:szCs w:val="24"/>
        </w:rPr>
        <w:t xml:space="preserve">  </w:t>
      </w:r>
      <w:r>
        <w:rPr>
          <w:rFonts w:ascii="黑体" w:eastAsia="黑体" w:hAnsi="黑体" w:cs="Times New Roman" w:hint="eastAsia"/>
          <w:kern w:val="0"/>
          <w:sz w:val="24"/>
          <w:szCs w:val="24"/>
        </w:rPr>
        <w:t>建设项目地表水环境影响评价自查表</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
        <w:gridCol w:w="432"/>
        <w:gridCol w:w="1756"/>
        <w:gridCol w:w="1508"/>
        <w:gridCol w:w="340"/>
        <w:gridCol w:w="171"/>
        <w:gridCol w:w="360"/>
        <w:gridCol w:w="719"/>
        <w:gridCol w:w="539"/>
        <w:gridCol w:w="448"/>
        <w:gridCol w:w="300"/>
        <w:gridCol w:w="834"/>
        <w:gridCol w:w="137"/>
        <w:gridCol w:w="261"/>
        <w:gridCol w:w="46"/>
        <w:gridCol w:w="2194"/>
      </w:tblGrid>
      <w:tr w:rsidR="00D12939" w14:paraId="0C64535D" w14:textId="77777777">
        <w:trPr>
          <w:gridBefore w:val="1"/>
          <w:wBefore w:w="15" w:type="dxa"/>
          <w:trHeight w:val="340"/>
        </w:trPr>
        <w:tc>
          <w:tcPr>
            <w:tcW w:w="2188" w:type="dxa"/>
            <w:gridSpan w:val="2"/>
            <w:vAlign w:val="center"/>
          </w:tcPr>
          <w:p w14:paraId="48F8F87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工作内容</w:t>
            </w:r>
          </w:p>
        </w:tc>
        <w:tc>
          <w:tcPr>
            <w:tcW w:w="7857" w:type="dxa"/>
            <w:gridSpan w:val="13"/>
            <w:vAlign w:val="center"/>
          </w:tcPr>
          <w:p w14:paraId="12601DC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自查项目</w:t>
            </w:r>
          </w:p>
        </w:tc>
      </w:tr>
      <w:tr w:rsidR="00D12939" w14:paraId="7503F2E3" w14:textId="77777777">
        <w:trPr>
          <w:gridBefore w:val="1"/>
          <w:wBefore w:w="15" w:type="dxa"/>
          <w:trHeight w:val="340"/>
        </w:trPr>
        <w:tc>
          <w:tcPr>
            <w:tcW w:w="432" w:type="dxa"/>
            <w:vMerge w:val="restart"/>
            <w:vAlign w:val="center"/>
          </w:tcPr>
          <w:p w14:paraId="7FDEBCF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影响识别</w:t>
            </w:r>
          </w:p>
        </w:tc>
        <w:tc>
          <w:tcPr>
            <w:tcW w:w="1756" w:type="dxa"/>
            <w:vAlign w:val="center"/>
          </w:tcPr>
          <w:p w14:paraId="1F0574E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影响类型</w:t>
            </w:r>
          </w:p>
        </w:tc>
        <w:tc>
          <w:tcPr>
            <w:tcW w:w="7857" w:type="dxa"/>
            <w:gridSpan w:val="13"/>
            <w:vAlign w:val="center"/>
          </w:tcPr>
          <w:p w14:paraId="2F629BE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水污染影响型</w:t>
            </w:r>
            <w:r>
              <w:rPr>
                <w:rFonts w:ascii="Times New Roman" w:eastAsia="宋体" w:hAnsi="Times New Roman" w:cs="Times New Roman"/>
                <w:szCs w:val="21"/>
              </w:rPr>
              <w:sym w:font="Wingdings 2" w:char="0052"/>
            </w:r>
            <w:r>
              <w:rPr>
                <w:rFonts w:ascii="Times New Roman" w:eastAsia="宋体" w:hAnsi="Times New Roman" w:cs="Times New Roman"/>
                <w:szCs w:val="21"/>
              </w:rPr>
              <w:t>；水文要素影响型</w:t>
            </w:r>
            <w:r>
              <w:rPr>
                <w:rFonts w:ascii="Times New Roman" w:eastAsia="宋体" w:hAnsi="Times New Roman" w:cs="Times New Roman"/>
                <w:szCs w:val="21"/>
              </w:rPr>
              <w:t>□</w:t>
            </w:r>
          </w:p>
        </w:tc>
      </w:tr>
      <w:tr w:rsidR="00D12939" w14:paraId="6841AEB3" w14:textId="77777777">
        <w:trPr>
          <w:gridBefore w:val="1"/>
          <w:wBefore w:w="15" w:type="dxa"/>
          <w:trHeight w:val="340"/>
        </w:trPr>
        <w:tc>
          <w:tcPr>
            <w:tcW w:w="432" w:type="dxa"/>
            <w:vMerge/>
            <w:vAlign w:val="center"/>
          </w:tcPr>
          <w:p w14:paraId="3389E5FA"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4C4876DF"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水环境保护目标</w:t>
            </w:r>
          </w:p>
        </w:tc>
        <w:tc>
          <w:tcPr>
            <w:tcW w:w="7857" w:type="dxa"/>
            <w:gridSpan w:val="13"/>
            <w:vAlign w:val="center"/>
          </w:tcPr>
          <w:p w14:paraId="130514B1"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饮用水水源保护区</w:t>
            </w:r>
            <w:r>
              <w:rPr>
                <w:rFonts w:ascii="Times New Roman" w:eastAsia="宋体" w:hAnsi="Times New Roman"/>
                <w:sz w:val="21"/>
                <w:szCs w:val="21"/>
              </w:rPr>
              <w:t>□</w:t>
            </w:r>
            <w:r>
              <w:rPr>
                <w:rFonts w:ascii="Times New Roman" w:eastAsia="宋体" w:hAnsi="Times New Roman"/>
                <w:sz w:val="21"/>
                <w:szCs w:val="21"/>
              </w:rPr>
              <w:t>；饮用水取水</w:t>
            </w:r>
            <w:r>
              <w:rPr>
                <w:rFonts w:ascii="Times New Roman" w:eastAsia="宋体" w:hAnsi="Times New Roman"/>
                <w:sz w:val="21"/>
                <w:szCs w:val="21"/>
              </w:rPr>
              <w:t>□</w:t>
            </w:r>
            <w:r>
              <w:rPr>
                <w:rFonts w:ascii="Times New Roman" w:eastAsia="宋体" w:hAnsi="Times New Roman"/>
                <w:sz w:val="21"/>
                <w:szCs w:val="21"/>
              </w:rPr>
              <w:t>；涉水的自然保护区</w:t>
            </w:r>
            <w:r>
              <w:rPr>
                <w:rFonts w:ascii="Times New Roman" w:eastAsia="宋体" w:hAnsi="Times New Roman"/>
                <w:sz w:val="21"/>
                <w:szCs w:val="21"/>
              </w:rPr>
              <w:t>□</w:t>
            </w:r>
            <w:r>
              <w:rPr>
                <w:rFonts w:ascii="Times New Roman" w:eastAsia="宋体" w:hAnsi="Times New Roman"/>
                <w:sz w:val="21"/>
                <w:szCs w:val="21"/>
              </w:rPr>
              <w:t>；重要湿地</w:t>
            </w:r>
            <w:r>
              <w:rPr>
                <w:rFonts w:ascii="Times New Roman" w:eastAsia="宋体" w:hAnsi="Times New Roman"/>
                <w:sz w:val="21"/>
                <w:szCs w:val="21"/>
              </w:rPr>
              <w:t>□</w:t>
            </w:r>
            <w:r>
              <w:rPr>
                <w:rFonts w:ascii="Times New Roman" w:eastAsia="宋体" w:hAnsi="Times New Roman"/>
                <w:sz w:val="21"/>
                <w:szCs w:val="21"/>
              </w:rPr>
              <w:t>；</w:t>
            </w:r>
          </w:p>
          <w:p w14:paraId="44F78F4F"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重点保护与珍稀水生生物的栖息地</w:t>
            </w:r>
            <w:r>
              <w:rPr>
                <w:rFonts w:ascii="Times New Roman" w:eastAsia="宋体" w:hAnsi="Times New Roman"/>
                <w:sz w:val="21"/>
                <w:szCs w:val="21"/>
              </w:rPr>
              <w:t>□</w:t>
            </w:r>
            <w:r>
              <w:rPr>
                <w:rFonts w:ascii="Times New Roman" w:eastAsia="宋体" w:hAnsi="Times New Roman"/>
                <w:sz w:val="21"/>
                <w:szCs w:val="21"/>
              </w:rPr>
              <w:t>；重要水生生物的自然产卵场及索饵场、越冬场和洄游通道、天然渔场等渔业水体</w:t>
            </w:r>
            <w:r>
              <w:rPr>
                <w:rFonts w:ascii="Times New Roman" w:eastAsia="宋体" w:hAnsi="Times New Roman"/>
                <w:sz w:val="21"/>
                <w:szCs w:val="21"/>
              </w:rPr>
              <w:t>□</w:t>
            </w:r>
            <w:r>
              <w:rPr>
                <w:rFonts w:ascii="Times New Roman" w:eastAsia="宋体" w:hAnsi="Times New Roman"/>
                <w:sz w:val="21"/>
                <w:szCs w:val="21"/>
              </w:rPr>
              <w:t>；涉水的风景名胜区</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sym w:font="Wingdings 2" w:char="0052"/>
            </w:r>
          </w:p>
        </w:tc>
      </w:tr>
      <w:tr w:rsidR="00D12939" w14:paraId="6B8AA4D2" w14:textId="77777777">
        <w:trPr>
          <w:gridBefore w:val="1"/>
          <w:wBefore w:w="15" w:type="dxa"/>
          <w:trHeight w:val="340"/>
        </w:trPr>
        <w:tc>
          <w:tcPr>
            <w:tcW w:w="432" w:type="dxa"/>
            <w:vMerge/>
            <w:vAlign w:val="center"/>
          </w:tcPr>
          <w:p w14:paraId="3AD80389"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restart"/>
            <w:vAlign w:val="center"/>
          </w:tcPr>
          <w:p w14:paraId="0C0C77F0"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影响途径</w:t>
            </w:r>
          </w:p>
        </w:tc>
        <w:tc>
          <w:tcPr>
            <w:tcW w:w="3637" w:type="dxa"/>
            <w:gridSpan w:val="6"/>
            <w:vAlign w:val="center"/>
          </w:tcPr>
          <w:p w14:paraId="5561EB82"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水污染影响型</w:t>
            </w:r>
          </w:p>
        </w:tc>
        <w:tc>
          <w:tcPr>
            <w:tcW w:w="4220" w:type="dxa"/>
            <w:gridSpan w:val="7"/>
            <w:vAlign w:val="center"/>
          </w:tcPr>
          <w:p w14:paraId="2894B258"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水文要素紊影响型</w:t>
            </w:r>
          </w:p>
        </w:tc>
      </w:tr>
      <w:tr w:rsidR="00D12939" w14:paraId="0536CAC3" w14:textId="77777777">
        <w:trPr>
          <w:gridBefore w:val="1"/>
          <w:wBefore w:w="15" w:type="dxa"/>
          <w:trHeight w:val="340"/>
        </w:trPr>
        <w:tc>
          <w:tcPr>
            <w:tcW w:w="432" w:type="dxa"/>
            <w:vMerge/>
            <w:vAlign w:val="center"/>
          </w:tcPr>
          <w:p w14:paraId="40E1F7BD"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37E9D36B" w14:textId="77777777" w:rsidR="00D12939" w:rsidRDefault="00D12939">
            <w:pPr>
              <w:adjustRightInd w:val="0"/>
              <w:snapToGrid w:val="0"/>
              <w:jc w:val="center"/>
              <w:rPr>
                <w:rFonts w:ascii="Times New Roman" w:eastAsia="宋体" w:hAnsi="Times New Roman" w:cs="Times New Roman"/>
                <w:szCs w:val="21"/>
              </w:rPr>
            </w:pPr>
          </w:p>
        </w:tc>
        <w:tc>
          <w:tcPr>
            <w:tcW w:w="3637" w:type="dxa"/>
            <w:gridSpan w:val="6"/>
            <w:vAlign w:val="center"/>
          </w:tcPr>
          <w:p w14:paraId="20608DD5"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直接排放</w:t>
            </w:r>
            <w:r>
              <w:rPr>
                <w:rFonts w:ascii="Times New Roman" w:eastAsia="宋体" w:hAnsi="Times New Roman"/>
                <w:sz w:val="21"/>
                <w:szCs w:val="21"/>
              </w:rPr>
              <w:t>□</w:t>
            </w:r>
            <w:r>
              <w:rPr>
                <w:rFonts w:ascii="Times New Roman" w:eastAsia="宋体" w:hAnsi="Times New Roman"/>
                <w:sz w:val="21"/>
                <w:szCs w:val="21"/>
              </w:rPr>
              <w:t>；间接排放</w:t>
            </w:r>
            <w:r>
              <w:rPr>
                <w:rFonts w:ascii="Times New Roman" w:eastAsia="宋体" w:hAnsi="Times New Roman"/>
                <w:sz w:val="21"/>
                <w:szCs w:val="21"/>
              </w:rPr>
              <w:sym w:font="Wingdings 2" w:char="0052"/>
            </w:r>
            <w:r>
              <w:rPr>
                <w:rFonts w:ascii="Times New Roman" w:eastAsia="宋体" w:hAnsi="Times New Roman"/>
                <w:sz w:val="21"/>
                <w:szCs w:val="21"/>
              </w:rPr>
              <w:t>；其他</w:t>
            </w:r>
            <w:r>
              <w:rPr>
                <w:rFonts w:ascii="Times New Roman" w:eastAsia="宋体" w:hAnsi="Times New Roman"/>
                <w:sz w:val="21"/>
                <w:szCs w:val="21"/>
              </w:rPr>
              <w:t>□</w:t>
            </w:r>
          </w:p>
        </w:tc>
        <w:tc>
          <w:tcPr>
            <w:tcW w:w="4220" w:type="dxa"/>
            <w:gridSpan w:val="7"/>
            <w:vAlign w:val="center"/>
          </w:tcPr>
          <w:p w14:paraId="332DF5AD"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水温</w:t>
            </w:r>
            <w:r>
              <w:rPr>
                <w:rFonts w:ascii="Times New Roman" w:eastAsia="宋体" w:hAnsi="Times New Roman"/>
                <w:sz w:val="21"/>
                <w:szCs w:val="21"/>
              </w:rPr>
              <w:t>□</w:t>
            </w:r>
            <w:r>
              <w:rPr>
                <w:rFonts w:ascii="Times New Roman" w:eastAsia="宋体" w:hAnsi="Times New Roman"/>
                <w:sz w:val="21"/>
                <w:szCs w:val="21"/>
              </w:rPr>
              <w:t>；径流</w:t>
            </w:r>
            <w:r>
              <w:rPr>
                <w:rFonts w:ascii="Times New Roman" w:eastAsia="宋体" w:hAnsi="Times New Roman"/>
                <w:sz w:val="21"/>
                <w:szCs w:val="21"/>
              </w:rPr>
              <w:t>□</w:t>
            </w:r>
            <w:r>
              <w:rPr>
                <w:rFonts w:ascii="Times New Roman" w:eastAsia="宋体" w:hAnsi="Times New Roman"/>
                <w:sz w:val="21"/>
                <w:szCs w:val="21"/>
              </w:rPr>
              <w:t>；水域面积</w:t>
            </w:r>
            <w:r>
              <w:rPr>
                <w:rFonts w:ascii="Times New Roman" w:eastAsia="宋体" w:hAnsi="Times New Roman"/>
                <w:sz w:val="21"/>
                <w:szCs w:val="21"/>
              </w:rPr>
              <w:t>□</w:t>
            </w:r>
          </w:p>
        </w:tc>
      </w:tr>
      <w:tr w:rsidR="00D12939" w14:paraId="6DBBA9F9" w14:textId="77777777">
        <w:trPr>
          <w:gridBefore w:val="1"/>
          <w:wBefore w:w="15" w:type="dxa"/>
          <w:trHeight w:val="340"/>
        </w:trPr>
        <w:tc>
          <w:tcPr>
            <w:tcW w:w="432" w:type="dxa"/>
            <w:vMerge/>
            <w:vAlign w:val="center"/>
          </w:tcPr>
          <w:p w14:paraId="220D574F"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74DB3B93"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影响因子</w:t>
            </w:r>
          </w:p>
        </w:tc>
        <w:tc>
          <w:tcPr>
            <w:tcW w:w="3637" w:type="dxa"/>
            <w:gridSpan w:val="6"/>
            <w:vAlign w:val="center"/>
          </w:tcPr>
          <w:p w14:paraId="19897A5B"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持久性污染物</w:t>
            </w:r>
            <w:r>
              <w:rPr>
                <w:rFonts w:ascii="Times New Roman" w:eastAsia="宋体" w:hAnsi="Times New Roman"/>
                <w:sz w:val="21"/>
                <w:szCs w:val="21"/>
              </w:rPr>
              <w:t>□</w:t>
            </w:r>
            <w:r>
              <w:rPr>
                <w:rFonts w:ascii="Times New Roman" w:eastAsia="宋体" w:hAnsi="Times New Roman"/>
                <w:sz w:val="21"/>
                <w:szCs w:val="21"/>
              </w:rPr>
              <w:t>；有毒有害污染物</w:t>
            </w:r>
            <w:r>
              <w:rPr>
                <w:rFonts w:ascii="Times New Roman" w:eastAsia="宋体" w:hAnsi="Times New Roman"/>
                <w:sz w:val="21"/>
                <w:szCs w:val="21"/>
              </w:rPr>
              <w:t>□</w:t>
            </w:r>
            <w:r>
              <w:rPr>
                <w:rFonts w:ascii="Times New Roman" w:eastAsia="宋体" w:hAnsi="Times New Roman"/>
                <w:sz w:val="21"/>
                <w:szCs w:val="21"/>
              </w:rPr>
              <w:t>；非持久性污染物</w:t>
            </w:r>
            <w:r>
              <w:rPr>
                <w:rFonts w:ascii="Times New Roman" w:eastAsia="宋体" w:hAnsi="Times New Roman"/>
                <w:sz w:val="21"/>
                <w:szCs w:val="21"/>
              </w:rPr>
              <w:sym w:font="Wingdings 2" w:char="0052"/>
            </w:r>
            <w:r>
              <w:rPr>
                <w:rFonts w:ascii="Times New Roman" w:eastAsia="宋体" w:hAnsi="Times New Roman"/>
                <w:sz w:val="21"/>
                <w:szCs w:val="21"/>
              </w:rPr>
              <w:t>；</w:t>
            </w:r>
            <w:r>
              <w:rPr>
                <w:rFonts w:ascii="Times New Roman" w:eastAsia="宋体" w:hAnsi="Times New Roman"/>
                <w:sz w:val="21"/>
                <w:szCs w:val="21"/>
              </w:rPr>
              <w:t>pH</w:t>
            </w:r>
            <w:r>
              <w:rPr>
                <w:rFonts w:ascii="Times New Roman" w:eastAsia="宋体" w:hAnsi="Times New Roman"/>
                <w:sz w:val="21"/>
                <w:szCs w:val="21"/>
              </w:rPr>
              <w:t>值</w:t>
            </w:r>
            <w:r>
              <w:rPr>
                <w:rFonts w:ascii="Times New Roman" w:eastAsia="宋体" w:hAnsi="Times New Roman"/>
                <w:sz w:val="21"/>
                <w:szCs w:val="21"/>
              </w:rPr>
              <w:t>□</w:t>
            </w:r>
            <w:r>
              <w:rPr>
                <w:rFonts w:ascii="Times New Roman" w:eastAsia="宋体" w:hAnsi="Times New Roman"/>
                <w:sz w:val="21"/>
                <w:szCs w:val="21"/>
              </w:rPr>
              <w:t>；热污染</w:t>
            </w:r>
            <w:r>
              <w:rPr>
                <w:rFonts w:ascii="Times New Roman" w:eastAsia="宋体" w:hAnsi="Times New Roman"/>
                <w:sz w:val="21"/>
                <w:szCs w:val="21"/>
              </w:rPr>
              <w:t>□</w:t>
            </w:r>
            <w:r>
              <w:rPr>
                <w:rFonts w:ascii="Times New Roman" w:eastAsia="宋体" w:hAnsi="Times New Roman"/>
                <w:sz w:val="21"/>
                <w:szCs w:val="21"/>
              </w:rPr>
              <w:t>；富营养化</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t>□</w:t>
            </w:r>
          </w:p>
        </w:tc>
        <w:tc>
          <w:tcPr>
            <w:tcW w:w="4220" w:type="dxa"/>
            <w:gridSpan w:val="7"/>
            <w:vAlign w:val="center"/>
          </w:tcPr>
          <w:p w14:paraId="4A27A397"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水温</w:t>
            </w:r>
            <w:r>
              <w:rPr>
                <w:rFonts w:ascii="Times New Roman" w:eastAsia="宋体" w:hAnsi="Times New Roman"/>
                <w:sz w:val="21"/>
                <w:szCs w:val="21"/>
              </w:rPr>
              <w:t>□</w:t>
            </w:r>
            <w:r>
              <w:rPr>
                <w:rFonts w:ascii="Times New Roman" w:eastAsia="宋体" w:hAnsi="Times New Roman"/>
                <w:sz w:val="21"/>
                <w:szCs w:val="21"/>
              </w:rPr>
              <w:t>；水位（水深）</w:t>
            </w:r>
            <w:r>
              <w:rPr>
                <w:rFonts w:ascii="Times New Roman" w:eastAsia="宋体" w:hAnsi="Times New Roman"/>
                <w:sz w:val="21"/>
                <w:szCs w:val="21"/>
              </w:rPr>
              <w:t>□</w:t>
            </w:r>
            <w:r>
              <w:rPr>
                <w:rFonts w:ascii="Times New Roman" w:eastAsia="宋体" w:hAnsi="Times New Roman"/>
                <w:sz w:val="21"/>
                <w:szCs w:val="21"/>
              </w:rPr>
              <w:t>；流速</w:t>
            </w:r>
            <w:r>
              <w:rPr>
                <w:rFonts w:ascii="Times New Roman" w:eastAsia="宋体" w:hAnsi="Times New Roman"/>
                <w:sz w:val="21"/>
                <w:szCs w:val="21"/>
              </w:rPr>
              <w:t>□</w:t>
            </w:r>
            <w:r>
              <w:rPr>
                <w:rFonts w:ascii="Times New Roman" w:eastAsia="宋体" w:hAnsi="Times New Roman"/>
                <w:sz w:val="21"/>
                <w:szCs w:val="21"/>
              </w:rPr>
              <w:t>；流速</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t>□</w:t>
            </w:r>
          </w:p>
        </w:tc>
      </w:tr>
      <w:tr w:rsidR="00D12939" w14:paraId="3DDEC1E7" w14:textId="77777777">
        <w:trPr>
          <w:gridBefore w:val="1"/>
          <w:wBefore w:w="15" w:type="dxa"/>
          <w:trHeight w:val="340"/>
        </w:trPr>
        <w:tc>
          <w:tcPr>
            <w:tcW w:w="2188" w:type="dxa"/>
            <w:gridSpan w:val="2"/>
            <w:vMerge w:val="restart"/>
            <w:vAlign w:val="center"/>
          </w:tcPr>
          <w:p w14:paraId="5374B8A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评价等级</w:t>
            </w:r>
          </w:p>
        </w:tc>
        <w:tc>
          <w:tcPr>
            <w:tcW w:w="3637" w:type="dxa"/>
            <w:gridSpan w:val="6"/>
            <w:vAlign w:val="center"/>
          </w:tcPr>
          <w:p w14:paraId="3FDCE0F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水污染影响型</w:t>
            </w:r>
          </w:p>
        </w:tc>
        <w:tc>
          <w:tcPr>
            <w:tcW w:w="4220" w:type="dxa"/>
            <w:gridSpan w:val="7"/>
            <w:vAlign w:val="center"/>
          </w:tcPr>
          <w:p w14:paraId="17AF5F1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水文要素影响型</w:t>
            </w:r>
          </w:p>
        </w:tc>
      </w:tr>
      <w:tr w:rsidR="00D12939" w14:paraId="519A0059" w14:textId="77777777">
        <w:trPr>
          <w:gridBefore w:val="1"/>
          <w:wBefore w:w="15" w:type="dxa"/>
          <w:trHeight w:val="340"/>
        </w:trPr>
        <w:tc>
          <w:tcPr>
            <w:tcW w:w="2188" w:type="dxa"/>
            <w:gridSpan w:val="2"/>
            <w:vMerge/>
            <w:vAlign w:val="center"/>
          </w:tcPr>
          <w:p w14:paraId="25C193A3" w14:textId="77777777" w:rsidR="00D12939" w:rsidRDefault="00D12939">
            <w:pPr>
              <w:adjustRightInd w:val="0"/>
              <w:snapToGrid w:val="0"/>
              <w:jc w:val="center"/>
              <w:rPr>
                <w:rFonts w:ascii="Times New Roman" w:eastAsia="宋体" w:hAnsi="Times New Roman" w:cs="Times New Roman"/>
                <w:szCs w:val="21"/>
              </w:rPr>
            </w:pPr>
          </w:p>
        </w:tc>
        <w:tc>
          <w:tcPr>
            <w:tcW w:w="3637" w:type="dxa"/>
            <w:gridSpan w:val="6"/>
            <w:vAlign w:val="center"/>
          </w:tcPr>
          <w:p w14:paraId="0E498A17"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一级</w:t>
            </w:r>
            <w:r>
              <w:rPr>
                <w:rFonts w:ascii="Times New Roman" w:eastAsia="宋体" w:hAnsi="Times New Roman"/>
                <w:sz w:val="21"/>
                <w:szCs w:val="21"/>
              </w:rPr>
              <w:t>□</w:t>
            </w:r>
            <w:r>
              <w:rPr>
                <w:rFonts w:ascii="Times New Roman" w:eastAsia="宋体" w:hAnsi="Times New Roman"/>
                <w:sz w:val="21"/>
                <w:szCs w:val="21"/>
              </w:rPr>
              <w:t>；二级</w:t>
            </w:r>
            <w:r>
              <w:rPr>
                <w:rFonts w:ascii="Times New Roman" w:eastAsia="宋体" w:hAnsi="Times New Roman"/>
                <w:sz w:val="21"/>
                <w:szCs w:val="21"/>
              </w:rPr>
              <w:t>□</w:t>
            </w:r>
            <w:r>
              <w:rPr>
                <w:rFonts w:ascii="Times New Roman" w:eastAsia="宋体" w:hAnsi="Times New Roman"/>
                <w:sz w:val="21"/>
                <w:szCs w:val="21"/>
              </w:rPr>
              <w:t>；三级</w:t>
            </w:r>
            <w:r>
              <w:rPr>
                <w:rFonts w:ascii="Times New Roman" w:eastAsia="宋体" w:hAnsi="Times New Roman"/>
                <w:sz w:val="21"/>
                <w:szCs w:val="21"/>
              </w:rPr>
              <w:t xml:space="preserve"> A □</w:t>
            </w:r>
            <w:r>
              <w:rPr>
                <w:rFonts w:ascii="Times New Roman" w:eastAsia="宋体" w:hAnsi="Times New Roman"/>
                <w:sz w:val="21"/>
                <w:szCs w:val="21"/>
              </w:rPr>
              <w:t>；三级</w:t>
            </w:r>
            <w:r>
              <w:rPr>
                <w:rFonts w:ascii="Times New Roman" w:eastAsia="宋体" w:hAnsi="Times New Roman"/>
                <w:sz w:val="21"/>
                <w:szCs w:val="21"/>
              </w:rPr>
              <w:t>B</w:t>
            </w:r>
            <w:r>
              <w:rPr>
                <w:rFonts w:ascii="Times New Roman" w:eastAsia="宋体" w:hAnsi="Times New Roman"/>
                <w:sz w:val="21"/>
                <w:szCs w:val="21"/>
              </w:rPr>
              <w:sym w:font="Wingdings 2" w:char="0052"/>
            </w:r>
          </w:p>
        </w:tc>
        <w:tc>
          <w:tcPr>
            <w:tcW w:w="4220" w:type="dxa"/>
            <w:gridSpan w:val="7"/>
            <w:vAlign w:val="center"/>
          </w:tcPr>
          <w:p w14:paraId="36435ED6"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一级</w:t>
            </w:r>
            <w:r>
              <w:rPr>
                <w:rFonts w:ascii="Times New Roman" w:eastAsia="宋体" w:hAnsi="Times New Roman"/>
                <w:sz w:val="21"/>
                <w:szCs w:val="21"/>
              </w:rPr>
              <w:t>□</w:t>
            </w:r>
            <w:r>
              <w:rPr>
                <w:rFonts w:ascii="Times New Roman" w:eastAsia="宋体" w:hAnsi="Times New Roman"/>
                <w:sz w:val="21"/>
                <w:szCs w:val="21"/>
              </w:rPr>
              <w:t>；二级</w:t>
            </w:r>
            <w:r>
              <w:rPr>
                <w:rFonts w:ascii="Times New Roman" w:eastAsia="宋体" w:hAnsi="Times New Roman"/>
                <w:sz w:val="21"/>
                <w:szCs w:val="21"/>
              </w:rPr>
              <w:t>□</w:t>
            </w:r>
            <w:r>
              <w:rPr>
                <w:rFonts w:ascii="Times New Roman" w:eastAsia="宋体" w:hAnsi="Times New Roman"/>
                <w:sz w:val="21"/>
                <w:szCs w:val="21"/>
              </w:rPr>
              <w:t>；三级</w:t>
            </w:r>
            <w:r>
              <w:rPr>
                <w:rFonts w:ascii="Times New Roman" w:eastAsia="宋体" w:hAnsi="Times New Roman"/>
                <w:sz w:val="21"/>
                <w:szCs w:val="21"/>
              </w:rPr>
              <w:t>□</w:t>
            </w:r>
          </w:p>
        </w:tc>
      </w:tr>
      <w:tr w:rsidR="00D12939" w14:paraId="4A4D8B77" w14:textId="77777777">
        <w:trPr>
          <w:gridBefore w:val="1"/>
          <w:wBefore w:w="15" w:type="dxa"/>
          <w:trHeight w:val="340"/>
        </w:trPr>
        <w:tc>
          <w:tcPr>
            <w:tcW w:w="432" w:type="dxa"/>
            <w:vMerge w:val="restart"/>
            <w:vAlign w:val="center"/>
          </w:tcPr>
          <w:p w14:paraId="1C0C308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现状调查</w:t>
            </w:r>
          </w:p>
        </w:tc>
        <w:tc>
          <w:tcPr>
            <w:tcW w:w="1756" w:type="dxa"/>
            <w:vMerge w:val="restart"/>
            <w:vAlign w:val="center"/>
          </w:tcPr>
          <w:p w14:paraId="1AAF390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区域污染源</w:t>
            </w:r>
          </w:p>
        </w:tc>
        <w:tc>
          <w:tcPr>
            <w:tcW w:w="3637" w:type="dxa"/>
            <w:gridSpan w:val="6"/>
            <w:vAlign w:val="center"/>
          </w:tcPr>
          <w:p w14:paraId="4F2AECE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调查项目</w:t>
            </w:r>
          </w:p>
        </w:tc>
        <w:tc>
          <w:tcPr>
            <w:tcW w:w="4220" w:type="dxa"/>
            <w:gridSpan w:val="7"/>
            <w:vAlign w:val="center"/>
          </w:tcPr>
          <w:p w14:paraId="3CCE1D79"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数据来源</w:t>
            </w:r>
          </w:p>
        </w:tc>
      </w:tr>
      <w:tr w:rsidR="00D12939" w14:paraId="417DA4EB" w14:textId="77777777">
        <w:trPr>
          <w:gridBefore w:val="1"/>
          <w:wBefore w:w="15" w:type="dxa"/>
          <w:trHeight w:val="340"/>
        </w:trPr>
        <w:tc>
          <w:tcPr>
            <w:tcW w:w="432" w:type="dxa"/>
            <w:vMerge/>
            <w:vAlign w:val="center"/>
          </w:tcPr>
          <w:p w14:paraId="1BEC2C46"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4E6B3D50" w14:textId="77777777" w:rsidR="00D12939" w:rsidRDefault="00D12939">
            <w:pPr>
              <w:adjustRightInd w:val="0"/>
              <w:snapToGrid w:val="0"/>
              <w:jc w:val="center"/>
              <w:rPr>
                <w:rFonts w:ascii="Times New Roman" w:eastAsia="宋体" w:hAnsi="Times New Roman" w:cs="Times New Roman"/>
                <w:szCs w:val="21"/>
              </w:rPr>
            </w:pPr>
          </w:p>
        </w:tc>
        <w:tc>
          <w:tcPr>
            <w:tcW w:w="2019" w:type="dxa"/>
            <w:gridSpan w:val="3"/>
            <w:vAlign w:val="center"/>
          </w:tcPr>
          <w:p w14:paraId="031C15A3"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已建</w:t>
            </w:r>
            <w:r>
              <w:rPr>
                <w:rFonts w:ascii="Times New Roman" w:eastAsia="宋体" w:hAnsi="Times New Roman"/>
                <w:sz w:val="21"/>
                <w:szCs w:val="21"/>
              </w:rPr>
              <w:t>□</w:t>
            </w:r>
            <w:r>
              <w:rPr>
                <w:rFonts w:ascii="Times New Roman" w:eastAsia="宋体" w:hAnsi="Times New Roman"/>
                <w:sz w:val="21"/>
                <w:szCs w:val="21"/>
              </w:rPr>
              <w:t>；在建</w:t>
            </w:r>
            <w:r>
              <w:rPr>
                <w:rFonts w:ascii="Times New Roman" w:eastAsia="宋体" w:hAnsi="Times New Roman"/>
                <w:sz w:val="21"/>
                <w:szCs w:val="21"/>
              </w:rPr>
              <w:t>□</w:t>
            </w:r>
            <w:r>
              <w:rPr>
                <w:rFonts w:ascii="Times New Roman" w:eastAsia="宋体" w:hAnsi="Times New Roman"/>
                <w:sz w:val="21"/>
                <w:szCs w:val="21"/>
              </w:rPr>
              <w:t>；拟建</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t>□</w:t>
            </w:r>
          </w:p>
        </w:tc>
        <w:tc>
          <w:tcPr>
            <w:tcW w:w="1618" w:type="dxa"/>
            <w:gridSpan w:val="3"/>
            <w:vAlign w:val="center"/>
          </w:tcPr>
          <w:p w14:paraId="6776AD15"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拟替代的污染源</w:t>
            </w:r>
            <w:r>
              <w:rPr>
                <w:rFonts w:ascii="Times New Roman" w:eastAsia="宋体" w:hAnsi="Times New Roman"/>
                <w:sz w:val="21"/>
                <w:szCs w:val="21"/>
              </w:rPr>
              <w:t>□</w:t>
            </w:r>
          </w:p>
        </w:tc>
        <w:tc>
          <w:tcPr>
            <w:tcW w:w="4220" w:type="dxa"/>
            <w:gridSpan w:val="7"/>
            <w:vAlign w:val="center"/>
          </w:tcPr>
          <w:p w14:paraId="4EDAF88A"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排污许可证</w:t>
            </w:r>
            <w:r>
              <w:rPr>
                <w:rFonts w:ascii="Times New Roman" w:eastAsia="宋体" w:hAnsi="Times New Roman"/>
                <w:sz w:val="21"/>
                <w:szCs w:val="21"/>
              </w:rPr>
              <w:t>□</w:t>
            </w:r>
            <w:r>
              <w:rPr>
                <w:rFonts w:ascii="Times New Roman" w:eastAsia="宋体" w:hAnsi="Times New Roman"/>
                <w:sz w:val="21"/>
                <w:szCs w:val="21"/>
              </w:rPr>
              <w:t>；环评</w:t>
            </w:r>
            <w:r>
              <w:rPr>
                <w:rFonts w:ascii="Times New Roman" w:eastAsia="宋体" w:hAnsi="Times New Roman"/>
                <w:sz w:val="21"/>
                <w:szCs w:val="21"/>
              </w:rPr>
              <w:t>□</w:t>
            </w:r>
            <w:r>
              <w:rPr>
                <w:rFonts w:ascii="Times New Roman" w:eastAsia="宋体" w:hAnsi="Times New Roman"/>
                <w:sz w:val="21"/>
                <w:szCs w:val="21"/>
              </w:rPr>
              <w:t>；环保验收</w:t>
            </w:r>
            <w:r>
              <w:rPr>
                <w:rFonts w:ascii="Times New Roman" w:eastAsia="宋体" w:hAnsi="Times New Roman"/>
                <w:sz w:val="21"/>
                <w:szCs w:val="21"/>
              </w:rPr>
              <w:t>□</w:t>
            </w:r>
            <w:r>
              <w:rPr>
                <w:rFonts w:ascii="Times New Roman" w:eastAsia="宋体" w:hAnsi="Times New Roman"/>
                <w:sz w:val="21"/>
                <w:szCs w:val="21"/>
              </w:rPr>
              <w:t>；既有实现测</w:t>
            </w:r>
            <w:r>
              <w:rPr>
                <w:rFonts w:ascii="Times New Roman" w:eastAsia="宋体" w:hAnsi="Times New Roman"/>
                <w:sz w:val="21"/>
                <w:szCs w:val="21"/>
              </w:rPr>
              <w:t>□</w:t>
            </w:r>
            <w:r>
              <w:rPr>
                <w:rFonts w:ascii="Times New Roman" w:eastAsia="宋体" w:hAnsi="Times New Roman"/>
                <w:sz w:val="21"/>
                <w:szCs w:val="21"/>
              </w:rPr>
              <w:t>；现场监测</w:t>
            </w:r>
            <w:r>
              <w:rPr>
                <w:rFonts w:ascii="Times New Roman" w:eastAsia="宋体" w:hAnsi="Times New Roman"/>
                <w:sz w:val="21"/>
                <w:szCs w:val="21"/>
              </w:rPr>
              <w:t>□</w:t>
            </w:r>
            <w:r>
              <w:rPr>
                <w:rFonts w:ascii="Times New Roman" w:eastAsia="宋体" w:hAnsi="Times New Roman"/>
                <w:sz w:val="21"/>
                <w:szCs w:val="21"/>
              </w:rPr>
              <w:t>；入河排放</w:t>
            </w:r>
            <w:r>
              <w:rPr>
                <w:rFonts w:ascii="Times New Roman" w:eastAsia="宋体" w:hAnsi="Times New Roman"/>
                <w:sz w:val="21"/>
                <w:szCs w:val="21"/>
              </w:rPr>
              <w:t>□</w:t>
            </w:r>
            <w:r>
              <w:rPr>
                <w:rFonts w:ascii="Times New Roman" w:eastAsia="宋体" w:hAnsi="Times New Roman"/>
                <w:sz w:val="21"/>
                <w:szCs w:val="21"/>
              </w:rPr>
              <w:t>数据</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t>□</w:t>
            </w:r>
          </w:p>
        </w:tc>
      </w:tr>
      <w:tr w:rsidR="00D12939" w14:paraId="5EBF2A59" w14:textId="77777777">
        <w:trPr>
          <w:gridBefore w:val="1"/>
          <w:wBefore w:w="15" w:type="dxa"/>
          <w:trHeight w:val="340"/>
        </w:trPr>
        <w:tc>
          <w:tcPr>
            <w:tcW w:w="432" w:type="dxa"/>
            <w:vMerge/>
            <w:vAlign w:val="center"/>
          </w:tcPr>
          <w:p w14:paraId="0C2C9C99"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restart"/>
            <w:vAlign w:val="center"/>
          </w:tcPr>
          <w:p w14:paraId="2680492A"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受影响水体水环境质量</w:t>
            </w:r>
          </w:p>
        </w:tc>
        <w:tc>
          <w:tcPr>
            <w:tcW w:w="3637" w:type="dxa"/>
            <w:gridSpan w:val="6"/>
            <w:vAlign w:val="center"/>
          </w:tcPr>
          <w:p w14:paraId="228390D9"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调查时期</w:t>
            </w:r>
          </w:p>
        </w:tc>
        <w:tc>
          <w:tcPr>
            <w:tcW w:w="4220" w:type="dxa"/>
            <w:gridSpan w:val="7"/>
            <w:vAlign w:val="center"/>
          </w:tcPr>
          <w:p w14:paraId="2C589E57"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数据来源</w:t>
            </w:r>
          </w:p>
        </w:tc>
      </w:tr>
      <w:tr w:rsidR="00D12939" w14:paraId="51C45447" w14:textId="77777777">
        <w:trPr>
          <w:gridBefore w:val="1"/>
          <w:wBefore w:w="15" w:type="dxa"/>
          <w:trHeight w:val="340"/>
        </w:trPr>
        <w:tc>
          <w:tcPr>
            <w:tcW w:w="432" w:type="dxa"/>
            <w:vMerge/>
            <w:vAlign w:val="center"/>
          </w:tcPr>
          <w:p w14:paraId="66C881C1"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3526B8C2" w14:textId="77777777" w:rsidR="00D12939" w:rsidRDefault="00D12939">
            <w:pPr>
              <w:adjustRightInd w:val="0"/>
              <w:snapToGrid w:val="0"/>
              <w:jc w:val="center"/>
              <w:rPr>
                <w:rFonts w:ascii="Times New Roman" w:eastAsia="宋体" w:hAnsi="Times New Roman" w:cs="Times New Roman"/>
                <w:szCs w:val="21"/>
              </w:rPr>
            </w:pPr>
          </w:p>
        </w:tc>
        <w:tc>
          <w:tcPr>
            <w:tcW w:w="3637" w:type="dxa"/>
            <w:gridSpan w:val="6"/>
            <w:vAlign w:val="center"/>
          </w:tcPr>
          <w:p w14:paraId="298AB6AE"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丰水期</w:t>
            </w:r>
            <w:r>
              <w:rPr>
                <w:rFonts w:ascii="Times New Roman" w:eastAsia="宋体" w:hAnsi="Times New Roman"/>
                <w:sz w:val="21"/>
                <w:szCs w:val="21"/>
              </w:rPr>
              <w:t>□</w:t>
            </w:r>
            <w:r>
              <w:rPr>
                <w:rFonts w:ascii="Times New Roman" w:eastAsia="宋体" w:hAnsi="Times New Roman"/>
                <w:sz w:val="21"/>
                <w:szCs w:val="21"/>
              </w:rPr>
              <w:t>；平水期</w:t>
            </w:r>
            <w:r>
              <w:rPr>
                <w:rFonts w:ascii="Times New Roman" w:eastAsia="宋体" w:hAnsi="Times New Roman"/>
                <w:sz w:val="21"/>
                <w:szCs w:val="21"/>
              </w:rPr>
              <w:t>□</w:t>
            </w:r>
            <w:r>
              <w:rPr>
                <w:rFonts w:ascii="Times New Roman" w:eastAsia="宋体" w:hAnsi="Times New Roman"/>
                <w:sz w:val="21"/>
                <w:szCs w:val="21"/>
              </w:rPr>
              <w:t>；枯水期</w:t>
            </w:r>
            <w:r>
              <w:rPr>
                <w:rFonts w:ascii="Times New Roman" w:eastAsia="宋体" w:hAnsi="Times New Roman"/>
                <w:sz w:val="21"/>
                <w:szCs w:val="21"/>
              </w:rPr>
              <w:t>□</w:t>
            </w:r>
            <w:r>
              <w:rPr>
                <w:rFonts w:ascii="Times New Roman" w:eastAsia="宋体" w:hAnsi="Times New Roman"/>
                <w:sz w:val="21"/>
                <w:szCs w:val="21"/>
              </w:rPr>
              <w:t>；冰封期</w:t>
            </w:r>
            <w:r>
              <w:rPr>
                <w:rFonts w:ascii="Times New Roman" w:eastAsia="宋体" w:hAnsi="Times New Roman"/>
                <w:sz w:val="21"/>
                <w:szCs w:val="21"/>
              </w:rPr>
              <w:t>□</w:t>
            </w:r>
          </w:p>
          <w:p w14:paraId="498F00A2"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春季</w:t>
            </w:r>
            <w:r>
              <w:rPr>
                <w:rFonts w:ascii="Times New Roman" w:eastAsia="宋体" w:hAnsi="Times New Roman"/>
                <w:sz w:val="21"/>
                <w:szCs w:val="21"/>
              </w:rPr>
              <w:t>□</w:t>
            </w:r>
            <w:r>
              <w:rPr>
                <w:rFonts w:ascii="Times New Roman" w:eastAsia="宋体" w:hAnsi="Times New Roman"/>
                <w:sz w:val="21"/>
                <w:szCs w:val="21"/>
              </w:rPr>
              <w:t>；夏季</w:t>
            </w:r>
            <w:r>
              <w:rPr>
                <w:rFonts w:ascii="Times New Roman" w:eastAsia="宋体" w:hAnsi="Times New Roman"/>
                <w:sz w:val="21"/>
                <w:szCs w:val="21"/>
              </w:rPr>
              <w:t>□</w:t>
            </w:r>
            <w:r>
              <w:rPr>
                <w:rFonts w:ascii="Times New Roman" w:eastAsia="宋体" w:hAnsi="Times New Roman"/>
                <w:sz w:val="21"/>
                <w:szCs w:val="21"/>
              </w:rPr>
              <w:t>；秋季</w:t>
            </w:r>
            <w:r>
              <w:rPr>
                <w:rFonts w:ascii="Times New Roman" w:eastAsia="宋体" w:hAnsi="Times New Roman"/>
                <w:sz w:val="21"/>
                <w:szCs w:val="21"/>
              </w:rPr>
              <w:t>□</w:t>
            </w:r>
            <w:r>
              <w:rPr>
                <w:rFonts w:ascii="Times New Roman" w:eastAsia="宋体" w:hAnsi="Times New Roman"/>
                <w:sz w:val="21"/>
                <w:szCs w:val="21"/>
              </w:rPr>
              <w:t>；冬季</w:t>
            </w:r>
            <w:r>
              <w:rPr>
                <w:rFonts w:ascii="Times New Roman" w:eastAsia="宋体" w:hAnsi="Times New Roman"/>
                <w:sz w:val="21"/>
                <w:szCs w:val="21"/>
              </w:rPr>
              <w:t>□</w:t>
            </w:r>
          </w:p>
        </w:tc>
        <w:tc>
          <w:tcPr>
            <w:tcW w:w="4220" w:type="dxa"/>
            <w:gridSpan w:val="7"/>
            <w:vAlign w:val="center"/>
          </w:tcPr>
          <w:p w14:paraId="0E183560"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生态环境保护主管部门</w:t>
            </w:r>
            <w:r>
              <w:rPr>
                <w:rFonts w:ascii="Times New Roman" w:eastAsia="宋体" w:hAnsi="Times New Roman"/>
                <w:sz w:val="21"/>
                <w:szCs w:val="21"/>
              </w:rPr>
              <w:t>□</w:t>
            </w:r>
            <w:r>
              <w:rPr>
                <w:rFonts w:ascii="Times New Roman" w:eastAsia="宋体" w:hAnsi="Times New Roman"/>
                <w:sz w:val="21"/>
                <w:szCs w:val="21"/>
              </w:rPr>
              <w:t>；补充监测</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t>□</w:t>
            </w:r>
          </w:p>
        </w:tc>
      </w:tr>
      <w:tr w:rsidR="00D12939" w14:paraId="5942570B" w14:textId="77777777">
        <w:trPr>
          <w:gridBefore w:val="1"/>
          <w:wBefore w:w="15" w:type="dxa"/>
          <w:trHeight w:val="340"/>
        </w:trPr>
        <w:tc>
          <w:tcPr>
            <w:tcW w:w="432" w:type="dxa"/>
            <w:vMerge/>
            <w:vAlign w:val="center"/>
          </w:tcPr>
          <w:p w14:paraId="73E20EAB"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42599F05"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区域水资源开发利用状况</w:t>
            </w:r>
          </w:p>
        </w:tc>
        <w:tc>
          <w:tcPr>
            <w:tcW w:w="7857" w:type="dxa"/>
            <w:gridSpan w:val="13"/>
            <w:vAlign w:val="center"/>
          </w:tcPr>
          <w:p w14:paraId="0336680C"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未开发</w:t>
            </w:r>
            <w:r>
              <w:rPr>
                <w:rFonts w:ascii="Times New Roman" w:eastAsia="宋体" w:hAnsi="Times New Roman"/>
                <w:sz w:val="21"/>
                <w:szCs w:val="21"/>
              </w:rPr>
              <w:t>□</w:t>
            </w:r>
            <w:r>
              <w:rPr>
                <w:rFonts w:ascii="Times New Roman" w:eastAsia="宋体" w:hAnsi="Times New Roman"/>
                <w:sz w:val="21"/>
                <w:szCs w:val="21"/>
              </w:rPr>
              <w:t>；开发量</w:t>
            </w:r>
            <w:r>
              <w:rPr>
                <w:rFonts w:ascii="Times New Roman" w:eastAsia="宋体" w:hAnsi="Times New Roman"/>
                <w:sz w:val="21"/>
                <w:szCs w:val="21"/>
              </w:rPr>
              <w:t>40%</w:t>
            </w:r>
            <w:r>
              <w:rPr>
                <w:rFonts w:ascii="Times New Roman" w:eastAsia="宋体" w:hAnsi="Times New Roman"/>
                <w:sz w:val="21"/>
                <w:szCs w:val="21"/>
              </w:rPr>
              <w:t>以下</w:t>
            </w:r>
            <w:r>
              <w:rPr>
                <w:rFonts w:ascii="Times New Roman" w:eastAsia="宋体" w:hAnsi="Times New Roman"/>
                <w:sz w:val="21"/>
                <w:szCs w:val="21"/>
              </w:rPr>
              <w:t>□</w:t>
            </w:r>
            <w:r>
              <w:rPr>
                <w:rFonts w:ascii="Times New Roman" w:eastAsia="宋体" w:hAnsi="Times New Roman"/>
                <w:sz w:val="21"/>
                <w:szCs w:val="21"/>
              </w:rPr>
              <w:t>；开发量</w:t>
            </w:r>
            <w:r>
              <w:rPr>
                <w:rFonts w:ascii="Times New Roman" w:eastAsia="宋体" w:hAnsi="Times New Roman"/>
                <w:sz w:val="21"/>
                <w:szCs w:val="21"/>
              </w:rPr>
              <w:t>40%</w:t>
            </w:r>
            <w:r>
              <w:rPr>
                <w:rFonts w:ascii="Times New Roman" w:eastAsia="宋体" w:hAnsi="Times New Roman"/>
                <w:sz w:val="21"/>
                <w:szCs w:val="21"/>
              </w:rPr>
              <w:t>以上</w:t>
            </w:r>
            <w:r>
              <w:rPr>
                <w:rFonts w:ascii="Times New Roman" w:eastAsia="宋体" w:hAnsi="Times New Roman"/>
                <w:sz w:val="21"/>
                <w:szCs w:val="21"/>
              </w:rPr>
              <w:t>□</w:t>
            </w:r>
          </w:p>
        </w:tc>
      </w:tr>
      <w:tr w:rsidR="00D12939" w14:paraId="242E91C8" w14:textId="77777777">
        <w:trPr>
          <w:gridBefore w:val="1"/>
          <w:wBefore w:w="15" w:type="dxa"/>
          <w:trHeight w:val="340"/>
        </w:trPr>
        <w:tc>
          <w:tcPr>
            <w:tcW w:w="432" w:type="dxa"/>
            <w:vMerge/>
            <w:vAlign w:val="center"/>
          </w:tcPr>
          <w:p w14:paraId="61123429"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126800B5"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水文情势调查</w:t>
            </w:r>
          </w:p>
        </w:tc>
        <w:tc>
          <w:tcPr>
            <w:tcW w:w="3637" w:type="dxa"/>
            <w:gridSpan w:val="6"/>
            <w:vAlign w:val="center"/>
          </w:tcPr>
          <w:p w14:paraId="3AEFE43D"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丰水期</w:t>
            </w:r>
            <w:r>
              <w:rPr>
                <w:rFonts w:ascii="Times New Roman" w:eastAsia="宋体" w:hAnsi="Times New Roman"/>
                <w:sz w:val="21"/>
                <w:szCs w:val="21"/>
              </w:rPr>
              <w:t>□</w:t>
            </w:r>
            <w:r>
              <w:rPr>
                <w:rFonts w:ascii="Times New Roman" w:eastAsia="宋体" w:hAnsi="Times New Roman"/>
                <w:sz w:val="21"/>
                <w:szCs w:val="21"/>
              </w:rPr>
              <w:t>；平水期</w:t>
            </w:r>
            <w:r>
              <w:rPr>
                <w:rFonts w:ascii="Times New Roman" w:eastAsia="宋体" w:hAnsi="Times New Roman"/>
                <w:sz w:val="21"/>
                <w:szCs w:val="21"/>
              </w:rPr>
              <w:t>□</w:t>
            </w:r>
            <w:r>
              <w:rPr>
                <w:rFonts w:ascii="Times New Roman" w:eastAsia="宋体" w:hAnsi="Times New Roman"/>
                <w:sz w:val="21"/>
                <w:szCs w:val="21"/>
              </w:rPr>
              <w:t>；枯水期</w:t>
            </w:r>
            <w:r>
              <w:rPr>
                <w:rFonts w:ascii="Times New Roman" w:eastAsia="宋体" w:hAnsi="Times New Roman"/>
                <w:sz w:val="21"/>
                <w:szCs w:val="21"/>
              </w:rPr>
              <w:t>□</w:t>
            </w:r>
            <w:r>
              <w:rPr>
                <w:rFonts w:ascii="Times New Roman" w:eastAsia="宋体" w:hAnsi="Times New Roman"/>
                <w:sz w:val="21"/>
                <w:szCs w:val="21"/>
              </w:rPr>
              <w:t>；冰封期</w:t>
            </w:r>
            <w:r>
              <w:rPr>
                <w:rFonts w:ascii="Times New Roman" w:eastAsia="宋体" w:hAnsi="Times New Roman"/>
                <w:sz w:val="21"/>
                <w:szCs w:val="21"/>
              </w:rPr>
              <w:t>□</w:t>
            </w:r>
          </w:p>
          <w:p w14:paraId="2013D2C0"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春季</w:t>
            </w:r>
            <w:r>
              <w:rPr>
                <w:rFonts w:ascii="Times New Roman" w:eastAsia="宋体" w:hAnsi="Times New Roman"/>
                <w:sz w:val="21"/>
                <w:szCs w:val="21"/>
              </w:rPr>
              <w:t>□</w:t>
            </w:r>
            <w:r>
              <w:rPr>
                <w:rFonts w:ascii="Times New Roman" w:eastAsia="宋体" w:hAnsi="Times New Roman"/>
                <w:sz w:val="21"/>
                <w:szCs w:val="21"/>
              </w:rPr>
              <w:t>；夏季</w:t>
            </w:r>
            <w:r>
              <w:rPr>
                <w:rFonts w:ascii="Times New Roman" w:eastAsia="宋体" w:hAnsi="Times New Roman"/>
                <w:sz w:val="21"/>
                <w:szCs w:val="21"/>
              </w:rPr>
              <w:t>□</w:t>
            </w:r>
            <w:r>
              <w:rPr>
                <w:rFonts w:ascii="Times New Roman" w:eastAsia="宋体" w:hAnsi="Times New Roman"/>
                <w:sz w:val="21"/>
                <w:szCs w:val="21"/>
              </w:rPr>
              <w:t>；秋季</w:t>
            </w:r>
            <w:r>
              <w:rPr>
                <w:rFonts w:ascii="Times New Roman" w:eastAsia="宋体" w:hAnsi="Times New Roman"/>
                <w:sz w:val="21"/>
                <w:szCs w:val="21"/>
              </w:rPr>
              <w:t>□</w:t>
            </w:r>
            <w:r>
              <w:rPr>
                <w:rFonts w:ascii="Times New Roman" w:eastAsia="宋体" w:hAnsi="Times New Roman"/>
                <w:sz w:val="21"/>
                <w:szCs w:val="21"/>
              </w:rPr>
              <w:t>；冬季</w:t>
            </w:r>
            <w:r>
              <w:rPr>
                <w:rFonts w:ascii="Times New Roman" w:eastAsia="宋体" w:hAnsi="Times New Roman"/>
                <w:sz w:val="21"/>
                <w:szCs w:val="21"/>
              </w:rPr>
              <w:t>□</w:t>
            </w:r>
          </w:p>
        </w:tc>
        <w:tc>
          <w:tcPr>
            <w:tcW w:w="4220" w:type="dxa"/>
            <w:gridSpan w:val="7"/>
            <w:vAlign w:val="center"/>
          </w:tcPr>
          <w:p w14:paraId="3388DA61"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水行政主管部门</w:t>
            </w:r>
            <w:r>
              <w:rPr>
                <w:rFonts w:ascii="Times New Roman" w:eastAsia="宋体" w:hAnsi="Times New Roman"/>
                <w:sz w:val="21"/>
                <w:szCs w:val="21"/>
              </w:rPr>
              <w:t>□</w:t>
            </w:r>
            <w:r>
              <w:rPr>
                <w:rFonts w:ascii="Times New Roman" w:eastAsia="宋体" w:hAnsi="Times New Roman"/>
                <w:sz w:val="21"/>
                <w:szCs w:val="21"/>
              </w:rPr>
              <w:t>；补充监测</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t>□</w:t>
            </w:r>
          </w:p>
        </w:tc>
      </w:tr>
      <w:tr w:rsidR="00D12939" w14:paraId="4952D067" w14:textId="77777777">
        <w:trPr>
          <w:gridBefore w:val="1"/>
          <w:wBefore w:w="15" w:type="dxa"/>
          <w:trHeight w:val="340"/>
        </w:trPr>
        <w:tc>
          <w:tcPr>
            <w:tcW w:w="432" w:type="dxa"/>
            <w:vMerge/>
            <w:vAlign w:val="center"/>
          </w:tcPr>
          <w:p w14:paraId="299B77A1"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restart"/>
            <w:vAlign w:val="center"/>
          </w:tcPr>
          <w:p w14:paraId="4C492A63"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补充监测</w:t>
            </w:r>
          </w:p>
        </w:tc>
        <w:tc>
          <w:tcPr>
            <w:tcW w:w="3637" w:type="dxa"/>
            <w:gridSpan w:val="6"/>
            <w:vAlign w:val="center"/>
          </w:tcPr>
          <w:p w14:paraId="2DEBFC12" w14:textId="77777777" w:rsidR="00D12939" w:rsidRDefault="004F47F5">
            <w:pPr>
              <w:pStyle w:val="afffff8"/>
              <w:spacing w:line="240" w:lineRule="auto"/>
              <w:ind w:firstLineChars="0" w:firstLine="420"/>
              <w:jc w:val="center"/>
              <w:rPr>
                <w:rFonts w:ascii="Times New Roman" w:eastAsia="宋体" w:hAnsi="Times New Roman"/>
                <w:sz w:val="21"/>
                <w:szCs w:val="21"/>
              </w:rPr>
            </w:pPr>
            <w:r>
              <w:rPr>
                <w:rFonts w:ascii="Times New Roman" w:eastAsia="宋体" w:hAnsi="Times New Roman"/>
                <w:sz w:val="21"/>
                <w:szCs w:val="21"/>
              </w:rPr>
              <w:t>监测时期</w:t>
            </w:r>
          </w:p>
        </w:tc>
        <w:tc>
          <w:tcPr>
            <w:tcW w:w="1719" w:type="dxa"/>
            <w:gridSpan w:val="4"/>
            <w:vAlign w:val="center"/>
          </w:tcPr>
          <w:p w14:paraId="51320BCA"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监测因子</w:t>
            </w:r>
          </w:p>
        </w:tc>
        <w:tc>
          <w:tcPr>
            <w:tcW w:w="2501" w:type="dxa"/>
            <w:gridSpan w:val="3"/>
            <w:vAlign w:val="center"/>
          </w:tcPr>
          <w:p w14:paraId="07FB28A4"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监测断面或点位</w:t>
            </w:r>
          </w:p>
        </w:tc>
      </w:tr>
      <w:tr w:rsidR="00D12939" w14:paraId="7AF33ADB" w14:textId="77777777">
        <w:trPr>
          <w:gridBefore w:val="1"/>
          <w:wBefore w:w="15" w:type="dxa"/>
          <w:trHeight w:val="340"/>
        </w:trPr>
        <w:tc>
          <w:tcPr>
            <w:tcW w:w="432" w:type="dxa"/>
            <w:vMerge/>
            <w:vAlign w:val="center"/>
          </w:tcPr>
          <w:p w14:paraId="0911DB6F"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0D1BE6E7" w14:textId="77777777" w:rsidR="00D12939" w:rsidRDefault="00D12939">
            <w:pPr>
              <w:adjustRightInd w:val="0"/>
              <w:snapToGrid w:val="0"/>
              <w:jc w:val="center"/>
              <w:rPr>
                <w:rFonts w:ascii="Times New Roman" w:eastAsia="宋体" w:hAnsi="Times New Roman" w:cs="Times New Roman"/>
                <w:szCs w:val="21"/>
              </w:rPr>
            </w:pPr>
          </w:p>
        </w:tc>
        <w:tc>
          <w:tcPr>
            <w:tcW w:w="3637" w:type="dxa"/>
            <w:gridSpan w:val="6"/>
            <w:vAlign w:val="center"/>
          </w:tcPr>
          <w:p w14:paraId="0275DA87"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丰水期</w:t>
            </w:r>
            <w:r>
              <w:rPr>
                <w:rFonts w:ascii="Times New Roman" w:eastAsia="宋体" w:hAnsi="Times New Roman"/>
                <w:sz w:val="21"/>
                <w:szCs w:val="21"/>
              </w:rPr>
              <w:t>□</w:t>
            </w:r>
            <w:r>
              <w:rPr>
                <w:rFonts w:ascii="Times New Roman" w:eastAsia="宋体" w:hAnsi="Times New Roman"/>
                <w:sz w:val="21"/>
                <w:szCs w:val="21"/>
              </w:rPr>
              <w:t>；平水期</w:t>
            </w:r>
            <w:r>
              <w:rPr>
                <w:rFonts w:ascii="Times New Roman" w:eastAsia="宋体" w:hAnsi="Times New Roman"/>
                <w:sz w:val="21"/>
                <w:szCs w:val="21"/>
              </w:rPr>
              <w:t>□</w:t>
            </w:r>
            <w:r>
              <w:rPr>
                <w:rFonts w:ascii="Times New Roman" w:eastAsia="宋体" w:hAnsi="Times New Roman"/>
                <w:sz w:val="21"/>
                <w:szCs w:val="21"/>
              </w:rPr>
              <w:t>；枯水期</w:t>
            </w:r>
            <w:r>
              <w:rPr>
                <w:rFonts w:ascii="Times New Roman" w:eastAsia="宋体" w:hAnsi="Times New Roman"/>
                <w:sz w:val="21"/>
                <w:szCs w:val="21"/>
              </w:rPr>
              <w:t>□</w:t>
            </w:r>
            <w:r>
              <w:rPr>
                <w:rFonts w:ascii="Times New Roman" w:eastAsia="宋体" w:hAnsi="Times New Roman"/>
                <w:sz w:val="21"/>
                <w:szCs w:val="21"/>
              </w:rPr>
              <w:t>；冰封期</w:t>
            </w:r>
            <w:r>
              <w:rPr>
                <w:rFonts w:ascii="Times New Roman" w:eastAsia="宋体" w:hAnsi="Times New Roman"/>
                <w:sz w:val="21"/>
                <w:szCs w:val="21"/>
              </w:rPr>
              <w:t>□</w:t>
            </w:r>
          </w:p>
          <w:p w14:paraId="7E4D1FC4"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lastRenderedPageBreak/>
              <w:t>春季</w:t>
            </w:r>
            <w:r>
              <w:rPr>
                <w:rFonts w:ascii="Times New Roman" w:eastAsia="宋体" w:hAnsi="Times New Roman"/>
                <w:sz w:val="21"/>
                <w:szCs w:val="21"/>
              </w:rPr>
              <w:t>□</w:t>
            </w:r>
            <w:r>
              <w:rPr>
                <w:rFonts w:ascii="Times New Roman" w:eastAsia="宋体" w:hAnsi="Times New Roman"/>
                <w:sz w:val="21"/>
                <w:szCs w:val="21"/>
              </w:rPr>
              <w:t>；夏季</w:t>
            </w:r>
            <w:r>
              <w:rPr>
                <w:rFonts w:ascii="Times New Roman" w:eastAsia="宋体" w:hAnsi="Times New Roman"/>
                <w:sz w:val="21"/>
                <w:szCs w:val="21"/>
              </w:rPr>
              <w:t>□</w:t>
            </w:r>
            <w:r>
              <w:rPr>
                <w:rFonts w:ascii="Times New Roman" w:eastAsia="宋体" w:hAnsi="Times New Roman"/>
                <w:sz w:val="21"/>
                <w:szCs w:val="21"/>
              </w:rPr>
              <w:t>；秋季</w:t>
            </w:r>
            <w:r>
              <w:rPr>
                <w:rFonts w:ascii="Times New Roman" w:eastAsia="宋体" w:hAnsi="Times New Roman"/>
                <w:sz w:val="21"/>
                <w:szCs w:val="21"/>
              </w:rPr>
              <w:t>□</w:t>
            </w:r>
            <w:r>
              <w:rPr>
                <w:rFonts w:ascii="Times New Roman" w:eastAsia="宋体" w:hAnsi="Times New Roman"/>
                <w:sz w:val="21"/>
                <w:szCs w:val="21"/>
              </w:rPr>
              <w:t>；冬季</w:t>
            </w:r>
            <w:r>
              <w:rPr>
                <w:rFonts w:ascii="Times New Roman" w:eastAsia="宋体" w:hAnsi="Times New Roman"/>
                <w:sz w:val="21"/>
                <w:szCs w:val="21"/>
              </w:rPr>
              <w:t>□</w:t>
            </w:r>
          </w:p>
        </w:tc>
        <w:tc>
          <w:tcPr>
            <w:tcW w:w="1719" w:type="dxa"/>
            <w:gridSpan w:val="4"/>
            <w:vAlign w:val="center"/>
          </w:tcPr>
          <w:p w14:paraId="6FC8A148"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lastRenderedPageBreak/>
              <w:t>（）</w:t>
            </w:r>
          </w:p>
        </w:tc>
        <w:tc>
          <w:tcPr>
            <w:tcW w:w="2501" w:type="dxa"/>
            <w:gridSpan w:val="3"/>
            <w:vAlign w:val="center"/>
          </w:tcPr>
          <w:p w14:paraId="7EE03A78"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监测测断面或点位个数</w:t>
            </w:r>
          </w:p>
          <w:p w14:paraId="7B2FFC69"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（）个</w:t>
            </w:r>
          </w:p>
        </w:tc>
      </w:tr>
      <w:tr w:rsidR="00D12939" w14:paraId="3B297A08" w14:textId="77777777">
        <w:trPr>
          <w:gridBefore w:val="1"/>
          <w:wBefore w:w="15" w:type="dxa"/>
          <w:trHeight w:val="340"/>
        </w:trPr>
        <w:tc>
          <w:tcPr>
            <w:tcW w:w="432" w:type="dxa"/>
            <w:vMerge w:val="restart"/>
            <w:vAlign w:val="center"/>
          </w:tcPr>
          <w:p w14:paraId="6025E75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lastRenderedPageBreak/>
              <w:t>现状评价</w:t>
            </w:r>
          </w:p>
        </w:tc>
        <w:tc>
          <w:tcPr>
            <w:tcW w:w="1756" w:type="dxa"/>
            <w:vAlign w:val="center"/>
          </w:tcPr>
          <w:p w14:paraId="29297B6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评价范围</w:t>
            </w:r>
          </w:p>
        </w:tc>
        <w:tc>
          <w:tcPr>
            <w:tcW w:w="7857" w:type="dxa"/>
            <w:gridSpan w:val="13"/>
            <w:vAlign w:val="center"/>
          </w:tcPr>
          <w:p w14:paraId="376F129A" w14:textId="77777777" w:rsidR="00D12939" w:rsidRDefault="004F47F5">
            <w:pPr>
              <w:adjustRightInd w:val="0"/>
              <w:snapToGrid w:val="0"/>
              <w:rPr>
                <w:rFonts w:ascii="Times New Roman" w:eastAsia="宋体" w:hAnsi="Times New Roman" w:cs="Times New Roman"/>
                <w:szCs w:val="21"/>
              </w:rPr>
            </w:pPr>
            <w:r>
              <w:rPr>
                <w:rFonts w:ascii="Times New Roman" w:eastAsia="宋体" w:hAnsi="Times New Roman" w:cs="Times New Roman"/>
                <w:szCs w:val="21"/>
              </w:rPr>
              <w:t>河流：长度（）</w:t>
            </w:r>
            <w:r>
              <w:rPr>
                <w:rFonts w:ascii="Times New Roman" w:eastAsia="宋体" w:hAnsi="Times New Roman" w:cs="Times New Roman"/>
                <w:szCs w:val="21"/>
              </w:rPr>
              <w:t>km</w:t>
            </w:r>
            <w:r>
              <w:rPr>
                <w:rFonts w:ascii="Times New Roman" w:eastAsia="宋体" w:hAnsi="Times New Roman" w:cs="Times New Roman"/>
                <w:szCs w:val="21"/>
              </w:rPr>
              <w:t>；湖库、河</w:t>
            </w:r>
            <w:r>
              <w:rPr>
                <w:rFonts w:ascii="Times New Roman" w:eastAsia="宋体" w:hAnsi="Times New Roman" w:cs="Times New Roman"/>
                <w:szCs w:val="21"/>
              </w:rPr>
              <w:t>□</w:t>
            </w:r>
            <w:r>
              <w:rPr>
                <w:rFonts w:ascii="Times New Roman" w:eastAsia="宋体" w:hAnsi="Times New Roman" w:cs="Times New Roman"/>
                <w:szCs w:val="21"/>
              </w:rPr>
              <w:t>及近岸海域：面积（）</w:t>
            </w:r>
            <w:r>
              <w:rPr>
                <w:rFonts w:ascii="Times New Roman" w:eastAsia="宋体" w:hAnsi="Times New Roman" w:cs="Times New Roman"/>
                <w:szCs w:val="21"/>
              </w:rPr>
              <w:t>km²</w:t>
            </w:r>
          </w:p>
        </w:tc>
      </w:tr>
      <w:tr w:rsidR="00D12939" w14:paraId="18DA35DE" w14:textId="77777777">
        <w:trPr>
          <w:gridBefore w:val="1"/>
          <w:wBefore w:w="15" w:type="dxa"/>
          <w:trHeight w:val="340"/>
        </w:trPr>
        <w:tc>
          <w:tcPr>
            <w:tcW w:w="432" w:type="dxa"/>
            <w:vMerge/>
            <w:vAlign w:val="center"/>
          </w:tcPr>
          <w:p w14:paraId="413B67D0"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1F0A676A"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评价因子</w:t>
            </w:r>
          </w:p>
        </w:tc>
        <w:tc>
          <w:tcPr>
            <w:tcW w:w="7857" w:type="dxa"/>
            <w:gridSpan w:val="13"/>
            <w:vAlign w:val="center"/>
          </w:tcPr>
          <w:p w14:paraId="6D2E009B"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r>
      <w:tr w:rsidR="00D12939" w14:paraId="7A40F00B" w14:textId="77777777">
        <w:trPr>
          <w:gridBefore w:val="1"/>
          <w:wBefore w:w="15" w:type="dxa"/>
          <w:trHeight w:val="340"/>
        </w:trPr>
        <w:tc>
          <w:tcPr>
            <w:tcW w:w="432" w:type="dxa"/>
            <w:vMerge/>
            <w:vAlign w:val="center"/>
          </w:tcPr>
          <w:p w14:paraId="06514D5C"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restart"/>
            <w:vAlign w:val="center"/>
          </w:tcPr>
          <w:p w14:paraId="78116F60"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评价标准</w:t>
            </w:r>
          </w:p>
        </w:tc>
        <w:tc>
          <w:tcPr>
            <w:tcW w:w="7857" w:type="dxa"/>
            <w:gridSpan w:val="13"/>
            <w:vAlign w:val="center"/>
          </w:tcPr>
          <w:p w14:paraId="4FEAB57A"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河流、湖库河</w:t>
            </w:r>
            <w:r>
              <w:rPr>
                <w:rFonts w:ascii="Times New Roman" w:eastAsia="宋体" w:hAnsi="Times New Roman"/>
                <w:sz w:val="21"/>
                <w:szCs w:val="21"/>
              </w:rPr>
              <w:t>□</w:t>
            </w:r>
            <w:r>
              <w:rPr>
                <w:rFonts w:ascii="Times New Roman" w:eastAsia="宋体" w:hAnsi="Times New Roman"/>
                <w:sz w:val="21"/>
                <w:szCs w:val="21"/>
              </w:rPr>
              <w:t>：</w:t>
            </w:r>
            <w:r>
              <w:rPr>
                <w:rFonts w:ascii="Times New Roman" w:eastAsia="宋体" w:hAnsi="Times New Roman"/>
                <w:sz w:val="21"/>
                <w:szCs w:val="21"/>
              </w:rPr>
              <w:t xml:space="preserve"> I</w:t>
            </w:r>
            <w:r>
              <w:rPr>
                <w:rFonts w:ascii="Times New Roman" w:eastAsia="宋体" w:hAnsi="Times New Roman"/>
                <w:sz w:val="21"/>
                <w:szCs w:val="21"/>
              </w:rPr>
              <w:t>类</w:t>
            </w:r>
            <w:r>
              <w:rPr>
                <w:rFonts w:ascii="Times New Roman" w:eastAsia="宋体" w:hAnsi="Times New Roman"/>
                <w:sz w:val="21"/>
                <w:szCs w:val="21"/>
              </w:rPr>
              <w:t>□</w:t>
            </w:r>
            <w:r>
              <w:rPr>
                <w:rFonts w:ascii="Times New Roman" w:eastAsia="宋体" w:hAnsi="Times New Roman"/>
                <w:sz w:val="21"/>
                <w:szCs w:val="21"/>
              </w:rPr>
              <w:t>；</w:t>
            </w:r>
            <w:r>
              <w:rPr>
                <w:rFonts w:ascii="Times New Roman" w:eastAsia="宋体" w:hAnsi="Times New Roman"/>
                <w:sz w:val="21"/>
                <w:szCs w:val="21"/>
              </w:rPr>
              <w:t xml:space="preserve"> II</w:t>
            </w:r>
            <w:r>
              <w:rPr>
                <w:rFonts w:ascii="Times New Roman" w:eastAsia="宋体" w:hAnsi="Times New Roman"/>
                <w:sz w:val="21"/>
                <w:szCs w:val="21"/>
              </w:rPr>
              <w:t>类</w:t>
            </w:r>
            <w:r>
              <w:rPr>
                <w:rFonts w:ascii="Times New Roman" w:eastAsia="宋体" w:hAnsi="Times New Roman"/>
                <w:sz w:val="21"/>
                <w:szCs w:val="21"/>
              </w:rPr>
              <w:t>□</w:t>
            </w:r>
            <w:r>
              <w:rPr>
                <w:rFonts w:ascii="Times New Roman" w:eastAsia="宋体" w:hAnsi="Times New Roman"/>
                <w:sz w:val="21"/>
                <w:szCs w:val="21"/>
              </w:rPr>
              <w:t>；</w:t>
            </w:r>
            <w:r>
              <w:rPr>
                <w:rFonts w:ascii="Times New Roman" w:eastAsia="宋体" w:hAnsi="Times New Roman"/>
                <w:sz w:val="21"/>
                <w:szCs w:val="21"/>
              </w:rPr>
              <w:t>Ⅲ</w:t>
            </w:r>
            <w:r>
              <w:rPr>
                <w:rFonts w:ascii="Times New Roman" w:eastAsia="宋体" w:hAnsi="Times New Roman"/>
                <w:sz w:val="21"/>
                <w:szCs w:val="21"/>
              </w:rPr>
              <w:t>类</w:t>
            </w:r>
            <w:r>
              <w:rPr>
                <w:rFonts w:ascii="Times New Roman" w:eastAsia="宋体" w:hAnsi="Times New Roman"/>
                <w:sz w:val="21"/>
                <w:szCs w:val="21"/>
              </w:rPr>
              <w:sym w:font="Wingdings 2" w:char="0052"/>
            </w:r>
            <w:r>
              <w:rPr>
                <w:rFonts w:ascii="Times New Roman" w:eastAsia="宋体" w:hAnsi="Times New Roman"/>
                <w:sz w:val="21"/>
                <w:szCs w:val="21"/>
              </w:rPr>
              <w:t>；</w:t>
            </w:r>
            <w:r>
              <w:rPr>
                <w:rFonts w:ascii="Times New Roman" w:eastAsia="宋体" w:hAnsi="Times New Roman"/>
                <w:sz w:val="21"/>
                <w:szCs w:val="21"/>
              </w:rPr>
              <w:t>IV</w:t>
            </w:r>
            <w:r>
              <w:rPr>
                <w:rFonts w:ascii="Times New Roman" w:eastAsia="宋体" w:hAnsi="Times New Roman"/>
                <w:sz w:val="21"/>
                <w:szCs w:val="21"/>
              </w:rPr>
              <w:t>类</w:t>
            </w:r>
            <w:r>
              <w:rPr>
                <w:rFonts w:ascii="Times New Roman" w:eastAsia="宋体" w:hAnsi="Times New Roman"/>
                <w:sz w:val="21"/>
                <w:szCs w:val="21"/>
              </w:rPr>
              <w:t>□</w:t>
            </w:r>
            <w:r>
              <w:rPr>
                <w:rFonts w:ascii="Times New Roman" w:eastAsia="宋体" w:hAnsi="Times New Roman"/>
                <w:sz w:val="21"/>
                <w:szCs w:val="21"/>
              </w:rPr>
              <w:t>；</w:t>
            </w:r>
            <w:r>
              <w:rPr>
                <w:rFonts w:ascii="Times New Roman" w:eastAsia="宋体" w:hAnsi="Times New Roman"/>
                <w:sz w:val="21"/>
                <w:szCs w:val="21"/>
              </w:rPr>
              <w:t>V</w:t>
            </w:r>
            <w:r>
              <w:rPr>
                <w:rFonts w:ascii="Times New Roman" w:eastAsia="宋体" w:hAnsi="Times New Roman"/>
                <w:sz w:val="21"/>
                <w:szCs w:val="21"/>
              </w:rPr>
              <w:t>类</w:t>
            </w:r>
            <w:r>
              <w:rPr>
                <w:rFonts w:ascii="Times New Roman" w:eastAsia="宋体" w:hAnsi="Times New Roman"/>
                <w:sz w:val="21"/>
                <w:szCs w:val="21"/>
              </w:rPr>
              <w:t>□</w:t>
            </w:r>
          </w:p>
        </w:tc>
      </w:tr>
      <w:tr w:rsidR="00D12939" w14:paraId="2CF0C96C" w14:textId="77777777">
        <w:trPr>
          <w:gridBefore w:val="1"/>
          <w:wBefore w:w="15" w:type="dxa"/>
          <w:trHeight w:val="340"/>
        </w:trPr>
        <w:tc>
          <w:tcPr>
            <w:tcW w:w="432" w:type="dxa"/>
            <w:vMerge/>
            <w:vAlign w:val="center"/>
          </w:tcPr>
          <w:p w14:paraId="2845D753"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1A625269" w14:textId="77777777" w:rsidR="00D12939" w:rsidRDefault="00D12939">
            <w:pPr>
              <w:adjustRightInd w:val="0"/>
              <w:snapToGrid w:val="0"/>
              <w:jc w:val="center"/>
              <w:rPr>
                <w:rFonts w:ascii="Times New Roman" w:eastAsia="宋体" w:hAnsi="Times New Roman" w:cs="Times New Roman"/>
                <w:szCs w:val="21"/>
              </w:rPr>
            </w:pPr>
          </w:p>
        </w:tc>
        <w:tc>
          <w:tcPr>
            <w:tcW w:w="7857" w:type="dxa"/>
            <w:gridSpan w:val="13"/>
            <w:vAlign w:val="center"/>
          </w:tcPr>
          <w:p w14:paraId="49005605"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近岸海域：第一类</w:t>
            </w:r>
            <w:r>
              <w:rPr>
                <w:rFonts w:ascii="Times New Roman" w:eastAsia="宋体" w:hAnsi="Times New Roman"/>
                <w:sz w:val="21"/>
                <w:szCs w:val="21"/>
              </w:rPr>
              <w:t>□</w:t>
            </w:r>
            <w:r>
              <w:rPr>
                <w:rFonts w:ascii="Times New Roman" w:eastAsia="宋体" w:hAnsi="Times New Roman"/>
                <w:sz w:val="21"/>
                <w:szCs w:val="21"/>
              </w:rPr>
              <w:t>；第二类</w:t>
            </w:r>
            <w:r>
              <w:rPr>
                <w:rFonts w:ascii="Times New Roman" w:eastAsia="宋体" w:hAnsi="Times New Roman"/>
                <w:sz w:val="21"/>
                <w:szCs w:val="21"/>
              </w:rPr>
              <w:t>□</w:t>
            </w:r>
            <w:r>
              <w:rPr>
                <w:rFonts w:ascii="Times New Roman" w:eastAsia="宋体" w:hAnsi="Times New Roman"/>
                <w:sz w:val="21"/>
                <w:szCs w:val="21"/>
              </w:rPr>
              <w:t>；第一类</w:t>
            </w:r>
            <w:r>
              <w:rPr>
                <w:rFonts w:ascii="Times New Roman" w:eastAsia="宋体" w:hAnsi="Times New Roman"/>
                <w:sz w:val="21"/>
                <w:szCs w:val="21"/>
              </w:rPr>
              <w:t>□</w:t>
            </w:r>
            <w:r>
              <w:rPr>
                <w:rFonts w:ascii="Times New Roman" w:eastAsia="宋体" w:hAnsi="Times New Roman"/>
                <w:sz w:val="21"/>
                <w:szCs w:val="21"/>
              </w:rPr>
              <w:t>；第四类</w:t>
            </w:r>
            <w:r>
              <w:rPr>
                <w:rFonts w:ascii="Times New Roman" w:eastAsia="宋体" w:hAnsi="Times New Roman"/>
                <w:sz w:val="21"/>
                <w:szCs w:val="21"/>
              </w:rPr>
              <w:t>□</w:t>
            </w:r>
          </w:p>
        </w:tc>
      </w:tr>
      <w:tr w:rsidR="00D12939" w14:paraId="55591EBE" w14:textId="77777777">
        <w:trPr>
          <w:gridBefore w:val="1"/>
          <w:wBefore w:w="15" w:type="dxa"/>
          <w:trHeight w:val="340"/>
        </w:trPr>
        <w:tc>
          <w:tcPr>
            <w:tcW w:w="432" w:type="dxa"/>
            <w:vMerge/>
            <w:vAlign w:val="center"/>
          </w:tcPr>
          <w:p w14:paraId="2C6BF247"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443A508E" w14:textId="77777777" w:rsidR="00D12939" w:rsidRDefault="00D12939">
            <w:pPr>
              <w:adjustRightInd w:val="0"/>
              <w:snapToGrid w:val="0"/>
              <w:jc w:val="center"/>
              <w:rPr>
                <w:rFonts w:ascii="Times New Roman" w:eastAsia="宋体" w:hAnsi="Times New Roman" w:cs="Times New Roman"/>
                <w:szCs w:val="21"/>
              </w:rPr>
            </w:pPr>
          </w:p>
        </w:tc>
        <w:tc>
          <w:tcPr>
            <w:tcW w:w="7857" w:type="dxa"/>
            <w:gridSpan w:val="13"/>
            <w:vAlign w:val="center"/>
          </w:tcPr>
          <w:p w14:paraId="0C312B5C"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规划年评价标准（）</w:t>
            </w:r>
          </w:p>
        </w:tc>
      </w:tr>
      <w:tr w:rsidR="00D12939" w14:paraId="6CD99F60" w14:textId="77777777">
        <w:trPr>
          <w:gridBefore w:val="1"/>
          <w:wBefore w:w="15" w:type="dxa"/>
          <w:trHeight w:val="340"/>
        </w:trPr>
        <w:tc>
          <w:tcPr>
            <w:tcW w:w="432" w:type="dxa"/>
            <w:vMerge/>
            <w:vAlign w:val="center"/>
          </w:tcPr>
          <w:p w14:paraId="56FD5350"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4F71FA4E"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评价时期</w:t>
            </w:r>
          </w:p>
        </w:tc>
        <w:tc>
          <w:tcPr>
            <w:tcW w:w="7857" w:type="dxa"/>
            <w:gridSpan w:val="13"/>
            <w:vAlign w:val="center"/>
          </w:tcPr>
          <w:p w14:paraId="629C5ECC"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丰水期</w:t>
            </w:r>
            <w:r>
              <w:rPr>
                <w:rFonts w:ascii="Times New Roman" w:eastAsia="宋体" w:hAnsi="Times New Roman"/>
                <w:sz w:val="21"/>
                <w:szCs w:val="21"/>
              </w:rPr>
              <w:t>□</w:t>
            </w:r>
            <w:r>
              <w:rPr>
                <w:rFonts w:ascii="Times New Roman" w:eastAsia="宋体" w:hAnsi="Times New Roman"/>
                <w:sz w:val="21"/>
                <w:szCs w:val="21"/>
              </w:rPr>
              <w:t>；平水期</w:t>
            </w:r>
            <w:r>
              <w:rPr>
                <w:rFonts w:ascii="Times New Roman" w:eastAsia="宋体" w:hAnsi="Times New Roman"/>
                <w:sz w:val="21"/>
                <w:szCs w:val="21"/>
              </w:rPr>
              <w:t>□</w:t>
            </w:r>
            <w:r>
              <w:rPr>
                <w:rFonts w:ascii="Times New Roman" w:eastAsia="宋体" w:hAnsi="Times New Roman"/>
                <w:sz w:val="21"/>
                <w:szCs w:val="21"/>
              </w:rPr>
              <w:t>；枯水期</w:t>
            </w:r>
            <w:r>
              <w:rPr>
                <w:rFonts w:ascii="Times New Roman" w:eastAsia="宋体" w:hAnsi="Times New Roman"/>
                <w:sz w:val="21"/>
                <w:szCs w:val="21"/>
              </w:rPr>
              <w:t>□</w:t>
            </w:r>
            <w:r>
              <w:rPr>
                <w:rFonts w:ascii="Times New Roman" w:eastAsia="宋体" w:hAnsi="Times New Roman"/>
                <w:sz w:val="21"/>
                <w:szCs w:val="21"/>
              </w:rPr>
              <w:t>；冰封期</w:t>
            </w:r>
            <w:r>
              <w:rPr>
                <w:rFonts w:ascii="Times New Roman" w:eastAsia="宋体" w:hAnsi="Times New Roman"/>
                <w:sz w:val="21"/>
                <w:szCs w:val="21"/>
              </w:rPr>
              <w:t>□</w:t>
            </w:r>
          </w:p>
          <w:p w14:paraId="23ED977F"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春季</w:t>
            </w:r>
            <w:r>
              <w:rPr>
                <w:rFonts w:ascii="Times New Roman" w:eastAsia="宋体" w:hAnsi="Times New Roman"/>
                <w:sz w:val="21"/>
                <w:szCs w:val="21"/>
              </w:rPr>
              <w:t>□</w:t>
            </w:r>
            <w:r>
              <w:rPr>
                <w:rFonts w:ascii="Times New Roman" w:eastAsia="宋体" w:hAnsi="Times New Roman"/>
                <w:sz w:val="21"/>
                <w:szCs w:val="21"/>
              </w:rPr>
              <w:t>；夏季</w:t>
            </w:r>
            <w:r>
              <w:rPr>
                <w:rFonts w:ascii="Times New Roman" w:eastAsia="宋体" w:hAnsi="Times New Roman"/>
                <w:sz w:val="21"/>
                <w:szCs w:val="21"/>
              </w:rPr>
              <w:t>□</w:t>
            </w:r>
            <w:r>
              <w:rPr>
                <w:rFonts w:ascii="Times New Roman" w:eastAsia="宋体" w:hAnsi="Times New Roman"/>
                <w:sz w:val="21"/>
                <w:szCs w:val="21"/>
              </w:rPr>
              <w:t>；秋季</w:t>
            </w:r>
            <w:r>
              <w:rPr>
                <w:rFonts w:ascii="Times New Roman" w:eastAsia="宋体" w:hAnsi="Times New Roman"/>
                <w:sz w:val="21"/>
                <w:szCs w:val="21"/>
              </w:rPr>
              <w:t>□</w:t>
            </w:r>
            <w:r>
              <w:rPr>
                <w:rFonts w:ascii="Times New Roman" w:eastAsia="宋体" w:hAnsi="Times New Roman"/>
                <w:sz w:val="21"/>
                <w:szCs w:val="21"/>
              </w:rPr>
              <w:t>；冬季</w:t>
            </w:r>
            <w:r>
              <w:rPr>
                <w:rFonts w:ascii="Times New Roman" w:eastAsia="宋体" w:hAnsi="Times New Roman"/>
                <w:sz w:val="21"/>
                <w:szCs w:val="21"/>
              </w:rPr>
              <w:t>□</w:t>
            </w:r>
          </w:p>
        </w:tc>
      </w:tr>
      <w:tr w:rsidR="00D12939" w14:paraId="40681372" w14:textId="77777777">
        <w:trPr>
          <w:gridBefore w:val="1"/>
          <w:wBefore w:w="15" w:type="dxa"/>
          <w:trHeight w:val="340"/>
        </w:trPr>
        <w:tc>
          <w:tcPr>
            <w:tcW w:w="432" w:type="dxa"/>
            <w:vMerge/>
            <w:vAlign w:val="center"/>
          </w:tcPr>
          <w:p w14:paraId="73C42793"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472F1C6D"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评价结论</w:t>
            </w:r>
          </w:p>
        </w:tc>
        <w:tc>
          <w:tcPr>
            <w:tcW w:w="5663" w:type="dxa"/>
            <w:gridSpan w:val="12"/>
            <w:vAlign w:val="center"/>
          </w:tcPr>
          <w:p w14:paraId="75625C55"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水环境功能区或水功能区、近岸海域环境功能区水质达标状况</w:t>
            </w:r>
            <w:r>
              <w:rPr>
                <w:rFonts w:ascii="Times New Roman" w:eastAsia="宋体" w:hAnsi="Times New Roman"/>
                <w:sz w:val="21"/>
                <w:szCs w:val="21"/>
              </w:rPr>
              <w:t>□</w:t>
            </w:r>
            <w:r>
              <w:rPr>
                <w:rFonts w:ascii="Times New Roman" w:eastAsia="宋体" w:hAnsi="Times New Roman"/>
                <w:sz w:val="21"/>
                <w:szCs w:val="21"/>
              </w:rPr>
              <w:t>：达标</w:t>
            </w:r>
            <w:r>
              <w:rPr>
                <w:rFonts w:ascii="Times New Roman" w:eastAsia="宋体" w:hAnsi="Times New Roman"/>
                <w:sz w:val="21"/>
                <w:szCs w:val="21"/>
              </w:rPr>
              <w:t>□</w:t>
            </w:r>
            <w:r>
              <w:rPr>
                <w:rFonts w:ascii="Times New Roman" w:eastAsia="宋体" w:hAnsi="Times New Roman"/>
                <w:sz w:val="21"/>
                <w:szCs w:val="21"/>
              </w:rPr>
              <w:t>；不达标</w:t>
            </w:r>
            <w:r>
              <w:rPr>
                <w:rFonts w:ascii="Times New Roman" w:eastAsia="宋体" w:hAnsi="Times New Roman"/>
                <w:sz w:val="21"/>
                <w:szCs w:val="21"/>
              </w:rPr>
              <w:t>□</w:t>
            </w:r>
            <w:r>
              <w:rPr>
                <w:rFonts w:ascii="Times New Roman" w:eastAsia="宋体" w:hAnsi="Times New Roman"/>
                <w:sz w:val="21"/>
                <w:szCs w:val="21"/>
              </w:rPr>
              <w:t>；</w:t>
            </w:r>
          </w:p>
          <w:p w14:paraId="597D27CE"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水环境控制单元或断面水质达标状况</w:t>
            </w:r>
            <w:r>
              <w:rPr>
                <w:rFonts w:ascii="Times New Roman" w:eastAsia="宋体" w:hAnsi="Times New Roman"/>
                <w:sz w:val="21"/>
                <w:szCs w:val="21"/>
              </w:rPr>
              <w:t>□</w:t>
            </w:r>
            <w:r>
              <w:rPr>
                <w:rFonts w:ascii="Times New Roman" w:eastAsia="宋体" w:hAnsi="Times New Roman"/>
                <w:sz w:val="21"/>
                <w:szCs w:val="21"/>
              </w:rPr>
              <w:t>：达标</w:t>
            </w:r>
            <w:r>
              <w:rPr>
                <w:rFonts w:ascii="Times New Roman" w:eastAsia="宋体" w:hAnsi="Times New Roman"/>
                <w:sz w:val="21"/>
                <w:szCs w:val="21"/>
              </w:rPr>
              <w:t>□</w:t>
            </w:r>
            <w:r>
              <w:rPr>
                <w:rFonts w:ascii="Times New Roman" w:eastAsia="宋体" w:hAnsi="Times New Roman"/>
                <w:sz w:val="21"/>
                <w:szCs w:val="21"/>
              </w:rPr>
              <w:t>；不达标</w:t>
            </w:r>
            <w:r>
              <w:rPr>
                <w:rFonts w:ascii="Times New Roman" w:eastAsia="宋体" w:hAnsi="Times New Roman"/>
                <w:sz w:val="21"/>
                <w:szCs w:val="21"/>
              </w:rPr>
              <w:t>□</w:t>
            </w:r>
          </w:p>
          <w:p w14:paraId="316CFEA6"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水环境保护目标质量状况</w:t>
            </w:r>
            <w:r>
              <w:rPr>
                <w:rFonts w:ascii="Times New Roman" w:eastAsia="宋体" w:hAnsi="Times New Roman"/>
                <w:sz w:val="21"/>
                <w:szCs w:val="21"/>
              </w:rPr>
              <w:t>□</w:t>
            </w:r>
            <w:r>
              <w:rPr>
                <w:rFonts w:ascii="Times New Roman" w:eastAsia="宋体" w:hAnsi="Times New Roman"/>
                <w:sz w:val="21"/>
                <w:szCs w:val="21"/>
              </w:rPr>
              <w:t>：达标</w:t>
            </w:r>
            <w:r>
              <w:rPr>
                <w:rFonts w:ascii="Times New Roman" w:eastAsia="宋体" w:hAnsi="Times New Roman"/>
                <w:sz w:val="21"/>
                <w:szCs w:val="21"/>
              </w:rPr>
              <w:sym w:font="Wingdings 2" w:char="0052"/>
            </w:r>
            <w:r>
              <w:rPr>
                <w:rFonts w:ascii="Times New Roman" w:eastAsia="宋体" w:hAnsi="Times New Roman"/>
                <w:sz w:val="21"/>
                <w:szCs w:val="21"/>
              </w:rPr>
              <w:t>；不达标</w:t>
            </w:r>
            <w:r>
              <w:rPr>
                <w:rFonts w:ascii="Times New Roman" w:eastAsia="宋体" w:hAnsi="Times New Roman"/>
                <w:sz w:val="21"/>
                <w:szCs w:val="21"/>
              </w:rPr>
              <w:t>□</w:t>
            </w:r>
          </w:p>
          <w:p w14:paraId="3D7206F6"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对照断面、控制断面等代表性断面的水质状况</w:t>
            </w:r>
            <w:r>
              <w:rPr>
                <w:rFonts w:ascii="Times New Roman" w:eastAsia="宋体" w:hAnsi="Times New Roman"/>
                <w:sz w:val="21"/>
                <w:szCs w:val="21"/>
              </w:rPr>
              <w:t>□</w:t>
            </w:r>
            <w:r>
              <w:rPr>
                <w:rFonts w:ascii="Times New Roman" w:eastAsia="宋体" w:hAnsi="Times New Roman"/>
                <w:sz w:val="21"/>
                <w:szCs w:val="21"/>
              </w:rPr>
              <w:t>：达标</w:t>
            </w:r>
            <w:r>
              <w:rPr>
                <w:rFonts w:ascii="Times New Roman" w:eastAsia="宋体" w:hAnsi="Times New Roman"/>
                <w:sz w:val="21"/>
                <w:szCs w:val="21"/>
              </w:rPr>
              <w:t>□</w:t>
            </w:r>
            <w:r>
              <w:rPr>
                <w:rFonts w:ascii="Times New Roman" w:eastAsia="宋体" w:hAnsi="Times New Roman"/>
                <w:sz w:val="21"/>
                <w:szCs w:val="21"/>
              </w:rPr>
              <w:t>；不达标</w:t>
            </w:r>
            <w:r>
              <w:rPr>
                <w:rFonts w:ascii="Times New Roman" w:eastAsia="宋体" w:hAnsi="Times New Roman"/>
                <w:sz w:val="21"/>
                <w:szCs w:val="21"/>
              </w:rPr>
              <w:t>□</w:t>
            </w:r>
          </w:p>
          <w:p w14:paraId="5A81F158"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底泥污染评价</w:t>
            </w:r>
            <w:r>
              <w:rPr>
                <w:rFonts w:ascii="Times New Roman" w:eastAsia="宋体" w:hAnsi="Times New Roman"/>
                <w:sz w:val="21"/>
                <w:szCs w:val="21"/>
              </w:rPr>
              <w:t>□</w:t>
            </w:r>
          </w:p>
          <w:p w14:paraId="46149EFA"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水资源与开发利用程度及其水文情势评价</w:t>
            </w:r>
            <w:r>
              <w:rPr>
                <w:rFonts w:ascii="Times New Roman" w:eastAsia="宋体" w:hAnsi="Times New Roman"/>
                <w:sz w:val="21"/>
                <w:szCs w:val="21"/>
              </w:rPr>
              <w:t>□</w:t>
            </w:r>
          </w:p>
          <w:p w14:paraId="2023A6C7"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水环境质量回顾评价</w:t>
            </w:r>
            <w:r>
              <w:rPr>
                <w:rFonts w:ascii="Times New Roman" w:eastAsia="宋体" w:hAnsi="Times New Roman"/>
                <w:sz w:val="21"/>
                <w:szCs w:val="21"/>
              </w:rPr>
              <w:t>□</w:t>
            </w:r>
          </w:p>
          <w:p w14:paraId="12C1DE7D"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流域（区域</w:t>
            </w:r>
            <w:r>
              <w:rPr>
                <w:rFonts w:ascii="Times New Roman" w:eastAsia="宋体" w:hAnsi="Times New Roman"/>
                <w:sz w:val="21"/>
                <w:szCs w:val="21"/>
              </w:rPr>
              <w:t>)</w:t>
            </w:r>
            <w:r>
              <w:rPr>
                <w:rFonts w:ascii="Times New Roman" w:eastAsia="宋体" w:hAnsi="Times New Roman"/>
                <w:sz w:val="21"/>
                <w:szCs w:val="21"/>
              </w:rPr>
              <w:t>水资源（包括水能资源）与开发利用总体状况、生态流量管理要求与现状满足程度、建设项目占用水域空间的水流状况与河湖演变状况</w:t>
            </w:r>
            <w:r>
              <w:rPr>
                <w:rFonts w:ascii="Times New Roman" w:eastAsia="宋体" w:hAnsi="Times New Roman"/>
                <w:sz w:val="21"/>
                <w:szCs w:val="21"/>
              </w:rPr>
              <w:t>□</w:t>
            </w:r>
          </w:p>
        </w:tc>
        <w:tc>
          <w:tcPr>
            <w:tcW w:w="2194" w:type="dxa"/>
            <w:vAlign w:val="center"/>
          </w:tcPr>
          <w:p w14:paraId="32810BBF"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达标区</w:t>
            </w:r>
            <w:r>
              <w:rPr>
                <w:rFonts w:ascii="Times New Roman" w:eastAsia="宋体" w:hAnsi="Times New Roman"/>
                <w:sz w:val="21"/>
                <w:szCs w:val="21"/>
              </w:rPr>
              <w:t>□</w:t>
            </w:r>
          </w:p>
          <w:p w14:paraId="1BAC69EB"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不达标区</w:t>
            </w:r>
            <w:r>
              <w:rPr>
                <w:rFonts w:ascii="Times New Roman" w:eastAsia="宋体" w:hAnsi="Times New Roman"/>
                <w:sz w:val="21"/>
                <w:szCs w:val="21"/>
              </w:rPr>
              <w:t>□</w:t>
            </w:r>
          </w:p>
        </w:tc>
      </w:tr>
      <w:tr w:rsidR="00D12939" w14:paraId="1174CF85" w14:textId="77777777">
        <w:trPr>
          <w:gridBefore w:val="1"/>
          <w:wBefore w:w="15" w:type="dxa"/>
          <w:trHeight w:val="340"/>
        </w:trPr>
        <w:tc>
          <w:tcPr>
            <w:tcW w:w="432" w:type="dxa"/>
            <w:vMerge w:val="restart"/>
            <w:vAlign w:val="center"/>
          </w:tcPr>
          <w:p w14:paraId="73BEC34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影响预测</w:t>
            </w:r>
          </w:p>
        </w:tc>
        <w:tc>
          <w:tcPr>
            <w:tcW w:w="1756" w:type="dxa"/>
            <w:vAlign w:val="center"/>
          </w:tcPr>
          <w:p w14:paraId="78570E0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预测范围</w:t>
            </w:r>
          </w:p>
        </w:tc>
        <w:tc>
          <w:tcPr>
            <w:tcW w:w="7857" w:type="dxa"/>
            <w:gridSpan w:val="13"/>
            <w:vAlign w:val="center"/>
          </w:tcPr>
          <w:p w14:paraId="3EC11CA6"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河流：长度（）</w:t>
            </w:r>
            <w:r>
              <w:rPr>
                <w:rFonts w:ascii="Times New Roman" w:eastAsia="宋体" w:hAnsi="Times New Roman" w:cs="Times New Roman"/>
                <w:szCs w:val="21"/>
              </w:rPr>
              <w:t>km</w:t>
            </w:r>
            <w:r>
              <w:rPr>
                <w:rFonts w:ascii="Times New Roman" w:eastAsia="宋体" w:hAnsi="Times New Roman" w:cs="Times New Roman"/>
                <w:szCs w:val="21"/>
              </w:rPr>
              <w:t>；湖明库、河</w:t>
            </w:r>
            <w:r>
              <w:rPr>
                <w:rFonts w:ascii="Times New Roman" w:eastAsia="宋体" w:hAnsi="Times New Roman" w:cs="Times New Roman"/>
                <w:szCs w:val="21"/>
              </w:rPr>
              <w:t>□</w:t>
            </w:r>
            <w:r>
              <w:rPr>
                <w:rFonts w:ascii="Times New Roman" w:eastAsia="宋体" w:hAnsi="Times New Roman" w:cs="Times New Roman"/>
                <w:szCs w:val="21"/>
              </w:rPr>
              <w:t>及近岸海域面积（）</w:t>
            </w:r>
            <w:r>
              <w:rPr>
                <w:rFonts w:ascii="Times New Roman" w:eastAsia="宋体" w:hAnsi="Times New Roman" w:cs="Times New Roman"/>
                <w:szCs w:val="21"/>
              </w:rPr>
              <w:t>km²</w:t>
            </w:r>
          </w:p>
        </w:tc>
      </w:tr>
      <w:tr w:rsidR="00D12939" w14:paraId="66BF0477" w14:textId="77777777">
        <w:trPr>
          <w:gridBefore w:val="1"/>
          <w:wBefore w:w="15" w:type="dxa"/>
          <w:trHeight w:val="340"/>
        </w:trPr>
        <w:tc>
          <w:tcPr>
            <w:tcW w:w="432" w:type="dxa"/>
            <w:vMerge/>
            <w:vAlign w:val="center"/>
          </w:tcPr>
          <w:p w14:paraId="4949D22B"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3010A5F2"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预测因子</w:t>
            </w:r>
          </w:p>
        </w:tc>
        <w:tc>
          <w:tcPr>
            <w:tcW w:w="7857" w:type="dxa"/>
            <w:gridSpan w:val="13"/>
            <w:vAlign w:val="center"/>
          </w:tcPr>
          <w:p w14:paraId="09BB0517"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r>
      <w:tr w:rsidR="00D12939" w14:paraId="566FCF28" w14:textId="77777777">
        <w:trPr>
          <w:gridBefore w:val="1"/>
          <w:wBefore w:w="15" w:type="dxa"/>
          <w:trHeight w:val="340"/>
        </w:trPr>
        <w:tc>
          <w:tcPr>
            <w:tcW w:w="432" w:type="dxa"/>
            <w:vMerge/>
            <w:vAlign w:val="center"/>
          </w:tcPr>
          <w:p w14:paraId="491B4383"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35F9E337"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预测时期</w:t>
            </w:r>
          </w:p>
        </w:tc>
        <w:tc>
          <w:tcPr>
            <w:tcW w:w="7857" w:type="dxa"/>
            <w:gridSpan w:val="13"/>
            <w:vAlign w:val="center"/>
          </w:tcPr>
          <w:p w14:paraId="4E8E7AAA"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丰水期</w:t>
            </w:r>
            <w:r>
              <w:rPr>
                <w:rFonts w:ascii="Times New Roman" w:eastAsia="宋体" w:hAnsi="Times New Roman"/>
                <w:sz w:val="21"/>
                <w:szCs w:val="21"/>
              </w:rPr>
              <w:t>□</w:t>
            </w:r>
            <w:r>
              <w:rPr>
                <w:rFonts w:ascii="Times New Roman" w:eastAsia="宋体" w:hAnsi="Times New Roman"/>
                <w:sz w:val="21"/>
                <w:szCs w:val="21"/>
              </w:rPr>
              <w:t>；平水期</w:t>
            </w:r>
            <w:r>
              <w:rPr>
                <w:rFonts w:ascii="Times New Roman" w:eastAsia="宋体" w:hAnsi="Times New Roman"/>
                <w:sz w:val="21"/>
                <w:szCs w:val="21"/>
              </w:rPr>
              <w:t>□</w:t>
            </w:r>
            <w:r>
              <w:rPr>
                <w:rFonts w:ascii="Times New Roman" w:eastAsia="宋体" w:hAnsi="Times New Roman"/>
                <w:sz w:val="21"/>
                <w:szCs w:val="21"/>
              </w:rPr>
              <w:t>；枯水期</w:t>
            </w:r>
            <w:r>
              <w:rPr>
                <w:rFonts w:ascii="Times New Roman" w:eastAsia="宋体" w:hAnsi="Times New Roman"/>
                <w:sz w:val="21"/>
                <w:szCs w:val="21"/>
              </w:rPr>
              <w:t>□</w:t>
            </w:r>
            <w:r>
              <w:rPr>
                <w:rFonts w:ascii="Times New Roman" w:eastAsia="宋体" w:hAnsi="Times New Roman"/>
                <w:sz w:val="21"/>
                <w:szCs w:val="21"/>
              </w:rPr>
              <w:t>；冰封期</w:t>
            </w:r>
            <w:r>
              <w:rPr>
                <w:rFonts w:ascii="Times New Roman" w:eastAsia="宋体" w:hAnsi="Times New Roman"/>
                <w:sz w:val="21"/>
                <w:szCs w:val="21"/>
              </w:rPr>
              <w:t>□</w:t>
            </w:r>
          </w:p>
          <w:p w14:paraId="4B04A2C0"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春季</w:t>
            </w:r>
            <w:r>
              <w:rPr>
                <w:rFonts w:ascii="Times New Roman" w:eastAsia="宋体" w:hAnsi="Times New Roman"/>
                <w:sz w:val="21"/>
                <w:szCs w:val="21"/>
              </w:rPr>
              <w:t>□</w:t>
            </w:r>
            <w:r>
              <w:rPr>
                <w:rFonts w:ascii="Times New Roman" w:eastAsia="宋体" w:hAnsi="Times New Roman"/>
                <w:sz w:val="21"/>
                <w:szCs w:val="21"/>
              </w:rPr>
              <w:t>；夏季</w:t>
            </w:r>
            <w:r>
              <w:rPr>
                <w:rFonts w:ascii="Times New Roman" w:eastAsia="宋体" w:hAnsi="Times New Roman"/>
                <w:sz w:val="21"/>
                <w:szCs w:val="21"/>
              </w:rPr>
              <w:t>□</w:t>
            </w:r>
            <w:r>
              <w:rPr>
                <w:rFonts w:ascii="Times New Roman" w:eastAsia="宋体" w:hAnsi="Times New Roman"/>
                <w:sz w:val="21"/>
                <w:szCs w:val="21"/>
              </w:rPr>
              <w:t>；秋季</w:t>
            </w:r>
            <w:r>
              <w:rPr>
                <w:rFonts w:ascii="Times New Roman" w:eastAsia="宋体" w:hAnsi="Times New Roman"/>
                <w:sz w:val="21"/>
                <w:szCs w:val="21"/>
              </w:rPr>
              <w:t>□</w:t>
            </w:r>
            <w:r>
              <w:rPr>
                <w:rFonts w:ascii="Times New Roman" w:eastAsia="宋体" w:hAnsi="Times New Roman"/>
                <w:sz w:val="21"/>
                <w:szCs w:val="21"/>
              </w:rPr>
              <w:t>；冬季</w:t>
            </w:r>
            <w:r>
              <w:rPr>
                <w:rFonts w:ascii="Times New Roman" w:eastAsia="宋体" w:hAnsi="Times New Roman"/>
                <w:sz w:val="21"/>
                <w:szCs w:val="21"/>
              </w:rPr>
              <w:t>□</w:t>
            </w:r>
          </w:p>
          <w:p w14:paraId="0BE4752C"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设计水文条件</w:t>
            </w:r>
            <w:r>
              <w:rPr>
                <w:rFonts w:ascii="Times New Roman" w:eastAsia="宋体" w:hAnsi="Times New Roman"/>
                <w:sz w:val="21"/>
                <w:szCs w:val="21"/>
              </w:rPr>
              <w:t>□</w:t>
            </w:r>
          </w:p>
        </w:tc>
      </w:tr>
      <w:tr w:rsidR="00D12939" w14:paraId="206E6E10" w14:textId="77777777">
        <w:trPr>
          <w:gridBefore w:val="1"/>
          <w:wBefore w:w="15" w:type="dxa"/>
          <w:trHeight w:val="340"/>
        </w:trPr>
        <w:tc>
          <w:tcPr>
            <w:tcW w:w="432" w:type="dxa"/>
            <w:vMerge/>
            <w:vAlign w:val="center"/>
          </w:tcPr>
          <w:p w14:paraId="1A6B17E3"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19801797"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预测情景</w:t>
            </w:r>
          </w:p>
        </w:tc>
        <w:tc>
          <w:tcPr>
            <w:tcW w:w="7857" w:type="dxa"/>
            <w:gridSpan w:val="13"/>
            <w:vAlign w:val="center"/>
          </w:tcPr>
          <w:p w14:paraId="6215B134"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建设期</w:t>
            </w:r>
            <w:r>
              <w:rPr>
                <w:rFonts w:ascii="Times New Roman" w:eastAsia="宋体" w:hAnsi="Times New Roman"/>
                <w:sz w:val="21"/>
                <w:szCs w:val="21"/>
              </w:rPr>
              <w:t>□</w:t>
            </w:r>
            <w:r>
              <w:rPr>
                <w:rFonts w:ascii="Times New Roman" w:eastAsia="宋体" w:hAnsi="Times New Roman"/>
                <w:sz w:val="21"/>
                <w:szCs w:val="21"/>
              </w:rPr>
              <w:t>；生产运行期</w:t>
            </w:r>
            <w:r>
              <w:rPr>
                <w:rFonts w:ascii="Times New Roman" w:eastAsia="宋体" w:hAnsi="Times New Roman"/>
                <w:sz w:val="21"/>
                <w:szCs w:val="21"/>
              </w:rPr>
              <w:t>□</w:t>
            </w:r>
            <w:r>
              <w:rPr>
                <w:rFonts w:ascii="Times New Roman" w:eastAsia="宋体" w:hAnsi="Times New Roman"/>
                <w:sz w:val="21"/>
                <w:szCs w:val="21"/>
              </w:rPr>
              <w:t>；服务期满后</w:t>
            </w:r>
            <w:r>
              <w:rPr>
                <w:rFonts w:ascii="Times New Roman" w:eastAsia="宋体" w:hAnsi="Times New Roman"/>
                <w:sz w:val="21"/>
                <w:szCs w:val="21"/>
              </w:rPr>
              <w:t>□</w:t>
            </w:r>
          </w:p>
          <w:p w14:paraId="753BFE51"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正常工况</w:t>
            </w:r>
            <w:r>
              <w:rPr>
                <w:rFonts w:ascii="Times New Roman" w:eastAsia="宋体" w:hAnsi="Times New Roman"/>
                <w:sz w:val="21"/>
                <w:szCs w:val="21"/>
              </w:rPr>
              <w:t>□</w:t>
            </w:r>
            <w:r>
              <w:rPr>
                <w:rFonts w:ascii="Times New Roman" w:eastAsia="宋体" w:hAnsi="Times New Roman"/>
                <w:sz w:val="21"/>
                <w:szCs w:val="21"/>
              </w:rPr>
              <w:t>；非正常工况</w:t>
            </w:r>
            <w:r>
              <w:rPr>
                <w:rFonts w:ascii="Times New Roman" w:eastAsia="宋体" w:hAnsi="Times New Roman"/>
                <w:sz w:val="21"/>
                <w:szCs w:val="21"/>
              </w:rPr>
              <w:t>□</w:t>
            </w:r>
            <w:r>
              <w:rPr>
                <w:rFonts w:ascii="Times New Roman" w:eastAsia="宋体" w:hAnsi="Times New Roman"/>
                <w:sz w:val="21"/>
                <w:szCs w:val="21"/>
              </w:rPr>
              <w:t>；</w:t>
            </w:r>
          </w:p>
          <w:p w14:paraId="19984EE2"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污染控制和减缓措施方案</w:t>
            </w:r>
            <w:r>
              <w:rPr>
                <w:rFonts w:ascii="Times New Roman" w:eastAsia="宋体" w:hAnsi="Times New Roman"/>
                <w:sz w:val="21"/>
                <w:szCs w:val="21"/>
              </w:rPr>
              <w:t>□</w:t>
            </w:r>
          </w:p>
          <w:p w14:paraId="0316E57C"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区（流）域环境质量改善目标要求情景</w:t>
            </w:r>
            <w:r>
              <w:rPr>
                <w:rFonts w:ascii="Times New Roman" w:eastAsia="宋体" w:hAnsi="Times New Roman"/>
                <w:sz w:val="21"/>
                <w:szCs w:val="21"/>
              </w:rPr>
              <w:t>□</w:t>
            </w:r>
          </w:p>
        </w:tc>
      </w:tr>
      <w:tr w:rsidR="00D12939" w14:paraId="597AB413" w14:textId="77777777">
        <w:trPr>
          <w:gridBefore w:val="1"/>
          <w:wBefore w:w="15" w:type="dxa"/>
          <w:trHeight w:val="340"/>
        </w:trPr>
        <w:tc>
          <w:tcPr>
            <w:tcW w:w="432" w:type="dxa"/>
            <w:vMerge/>
            <w:vAlign w:val="center"/>
          </w:tcPr>
          <w:p w14:paraId="47810F24"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3D2EB2D1"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预测方法</w:t>
            </w:r>
          </w:p>
        </w:tc>
        <w:tc>
          <w:tcPr>
            <w:tcW w:w="7857" w:type="dxa"/>
            <w:gridSpan w:val="13"/>
            <w:vAlign w:val="center"/>
          </w:tcPr>
          <w:p w14:paraId="438ED47E"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数值解</w:t>
            </w:r>
            <w:r>
              <w:rPr>
                <w:rFonts w:ascii="Times New Roman" w:eastAsia="宋体" w:hAnsi="Times New Roman"/>
                <w:sz w:val="21"/>
                <w:szCs w:val="21"/>
              </w:rPr>
              <w:t>□</w:t>
            </w:r>
            <w:r>
              <w:rPr>
                <w:rFonts w:ascii="Times New Roman" w:eastAsia="宋体" w:hAnsi="Times New Roman"/>
                <w:sz w:val="21"/>
                <w:szCs w:val="21"/>
              </w:rPr>
              <w:t>：解析解</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t xml:space="preserve">□ </w:t>
            </w:r>
            <w:r>
              <w:rPr>
                <w:rFonts w:ascii="Times New Roman" w:eastAsia="宋体" w:hAnsi="Times New Roman"/>
                <w:sz w:val="21"/>
                <w:szCs w:val="21"/>
              </w:rPr>
              <w:t>导则推荐模式</w:t>
            </w:r>
            <w:r>
              <w:rPr>
                <w:rFonts w:ascii="Times New Roman" w:eastAsia="宋体" w:hAnsi="Times New Roman"/>
                <w:sz w:val="21"/>
                <w:szCs w:val="21"/>
              </w:rPr>
              <w:t>□</w:t>
            </w:r>
            <w:r>
              <w:rPr>
                <w:rFonts w:ascii="Times New Roman" w:eastAsia="宋体" w:hAnsi="Times New Roman"/>
                <w:sz w:val="21"/>
                <w:szCs w:val="21"/>
              </w:rPr>
              <w:t>：其他</w:t>
            </w:r>
            <w:r>
              <w:rPr>
                <w:rFonts w:ascii="Times New Roman" w:eastAsia="宋体" w:hAnsi="Times New Roman"/>
                <w:sz w:val="21"/>
                <w:szCs w:val="21"/>
              </w:rPr>
              <w:t>□</w:t>
            </w:r>
          </w:p>
        </w:tc>
      </w:tr>
      <w:tr w:rsidR="00D12939" w14:paraId="0E015A0D" w14:textId="77777777">
        <w:trPr>
          <w:gridBefore w:val="1"/>
          <w:wBefore w:w="15" w:type="dxa"/>
          <w:trHeight w:val="340"/>
        </w:trPr>
        <w:tc>
          <w:tcPr>
            <w:tcW w:w="432" w:type="dxa"/>
            <w:vMerge w:val="restart"/>
            <w:vAlign w:val="center"/>
          </w:tcPr>
          <w:p w14:paraId="535B0F9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环境影响评价</w:t>
            </w:r>
          </w:p>
        </w:tc>
        <w:tc>
          <w:tcPr>
            <w:tcW w:w="1756" w:type="dxa"/>
            <w:vAlign w:val="center"/>
          </w:tcPr>
          <w:p w14:paraId="677334F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水污染控制和水环环境影响减缓措施有效性评价</w:t>
            </w:r>
          </w:p>
        </w:tc>
        <w:tc>
          <w:tcPr>
            <w:tcW w:w="7857" w:type="dxa"/>
            <w:gridSpan w:val="13"/>
            <w:vAlign w:val="center"/>
          </w:tcPr>
          <w:p w14:paraId="49C4627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区（流）域水环境质量改善目标</w:t>
            </w:r>
            <w:r>
              <w:rPr>
                <w:rFonts w:ascii="Times New Roman" w:eastAsia="宋体" w:hAnsi="Times New Roman" w:cs="Times New Roman"/>
                <w:szCs w:val="21"/>
              </w:rPr>
              <w:sym w:font="Wingdings 2" w:char="0052"/>
            </w:r>
            <w:r>
              <w:rPr>
                <w:rFonts w:ascii="Times New Roman" w:eastAsia="宋体" w:hAnsi="Times New Roman" w:cs="Times New Roman"/>
                <w:szCs w:val="21"/>
              </w:rPr>
              <w:t>；替代削减源</w:t>
            </w:r>
            <w:r>
              <w:rPr>
                <w:rFonts w:ascii="Times New Roman" w:eastAsia="宋体" w:hAnsi="Times New Roman" w:cs="Times New Roman"/>
                <w:szCs w:val="21"/>
              </w:rPr>
              <w:t>□</w:t>
            </w:r>
          </w:p>
        </w:tc>
      </w:tr>
      <w:tr w:rsidR="00D12939" w14:paraId="297A78C2" w14:textId="77777777">
        <w:trPr>
          <w:gridBefore w:val="1"/>
          <w:wBefore w:w="15" w:type="dxa"/>
          <w:trHeight w:val="340"/>
        </w:trPr>
        <w:tc>
          <w:tcPr>
            <w:tcW w:w="432" w:type="dxa"/>
            <w:vMerge/>
            <w:vAlign w:val="center"/>
          </w:tcPr>
          <w:p w14:paraId="64E865C2"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4294B6CB"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水环境影响评价</w:t>
            </w:r>
          </w:p>
        </w:tc>
        <w:tc>
          <w:tcPr>
            <w:tcW w:w="7857" w:type="dxa"/>
            <w:gridSpan w:val="13"/>
            <w:vAlign w:val="center"/>
          </w:tcPr>
          <w:p w14:paraId="5E355220"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排放口混合区外满足水环境管理要求</w:t>
            </w:r>
            <w:r>
              <w:rPr>
                <w:rFonts w:ascii="Times New Roman" w:eastAsia="宋体" w:hAnsi="Times New Roman"/>
                <w:sz w:val="21"/>
                <w:szCs w:val="21"/>
              </w:rPr>
              <w:t>□</w:t>
            </w:r>
          </w:p>
          <w:p w14:paraId="3E9C814C"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水环境功能区域水功能区、近岸海域环境功能区水质达标</w:t>
            </w:r>
            <w:r>
              <w:rPr>
                <w:rFonts w:ascii="Times New Roman" w:eastAsia="宋体" w:hAnsi="Times New Roman"/>
                <w:sz w:val="21"/>
                <w:szCs w:val="21"/>
              </w:rPr>
              <w:t>□</w:t>
            </w:r>
          </w:p>
          <w:p w14:paraId="15191B20"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满足水环境保护目标水域水环境质量要求</w:t>
            </w:r>
            <w:r>
              <w:rPr>
                <w:rFonts w:ascii="Times New Roman" w:eastAsia="宋体" w:hAnsi="Times New Roman"/>
                <w:sz w:val="21"/>
                <w:szCs w:val="21"/>
              </w:rPr>
              <w:t>□</w:t>
            </w:r>
          </w:p>
          <w:p w14:paraId="7F325E48"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水环境控制单元或断面水质达标</w:t>
            </w:r>
            <w:r>
              <w:rPr>
                <w:rFonts w:ascii="Times New Roman" w:eastAsia="宋体" w:hAnsi="Times New Roman"/>
                <w:sz w:val="21"/>
                <w:szCs w:val="21"/>
              </w:rPr>
              <w:t>□</w:t>
            </w:r>
          </w:p>
          <w:p w14:paraId="4A57F12F"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lastRenderedPageBreak/>
              <w:t>满足重点水污染物排放总量控制指标要求，重点行业建设项目，主要污染物排放满足等量或减量替代要求</w:t>
            </w:r>
            <w:r>
              <w:rPr>
                <w:rFonts w:ascii="Times New Roman" w:eastAsia="宋体" w:hAnsi="Times New Roman"/>
                <w:sz w:val="21"/>
                <w:szCs w:val="21"/>
              </w:rPr>
              <w:t>□</w:t>
            </w:r>
          </w:p>
          <w:p w14:paraId="2ACC69D3"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满足区（流）域水环境质量改善目标要求</w:t>
            </w:r>
            <w:r>
              <w:rPr>
                <w:rFonts w:ascii="Times New Roman" w:eastAsia="宋体" w:hAnsi="Times New Roman"/>
                <w:sz w:val="21"/>
                <w:szCs w:val="21"/>
              </w:rPr>
              <w:t>□</w:t>
            </w:r>
          </w:p>
          <w:p w14:paraId="7F047DA5"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水文要素影响型建设项目同时应包括水文情势变化评价、主要水文特征值影响评价、生态流量符合性评价</w:t>
            </w:r>
            <w:r>
              <w:rPr>
                <w:rFonts w:ascii="Times New Roman" w:eastAsia="宋体" w:hAnsi="Times New Roman"/>
                <w:sz w:val="21"/>
                <w:szCs w:val="21"/>
              </w:rPr>
              <w:t>□</w:t>
            </w:r>
          </w:p>
          <w:p w14:paraId="6A551368"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对于新建设或调整入河（湖库、近岸海域）排放口的建设项目，应包括排放口设置的环境合理性评价</w:t>
            </w:r>
            <w:r>
              <w:rPr>
                <w:rFonts w:ascii="Times New Roman" w:eastAsia="宋体" w:hAnsi="Times New Roman"/>
                <w:sz w:val="21"/>
                <w:szCs w:val="21"/>
              </w:rPr>
              <w:t>□</w:t>
            </w:r>
          </w:p>
          <w:p w14:paraId="5CD66F58"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满足生态保护红线、水环境质量底线、资源利用上线和环境准入清单管理要求</w:t>
            </w:r>
            <w:r>
              <w:rPr>
                <w:rFonts w:ascii="Times New Roman" w:eastAsia="宋体" w:hAnsi="Times New Roman"/>
                <w:sz w:val="21"/>
                <w:szCs w:val="21"/>
              </w:rPr>
              <w:t>□</w:t>
            </w:r>
          </w:p>
        </w:tc>
      </w:tr>
      <w:tr w:rsidR="00D12939" w14:paraId="24F54213" w14:textId="77777777">
        <w:trPr>
          <w:gridBefore w:val="1"/>
          <w:wBefore w:w="15" w:type="dxa"/>
          <w:trHeight w:val="340"/>
        </w:trPr>
        <w:tc>
          <w:tcPr>
            <w:tcW w:w="432" w:type="dxa"/>
            <w:vMerge/>
            <w:vAlign w:val="center"/>
          </w:tcPr>
          <w:p w14:paraId="5A7772A2"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restart"/>
            <w:vAlign w:val="center"/>
          </w:tcPr>
          <w:p w14:paraId="3375879F"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污染源排放量核算</w:t>
            </w:r>
          </w:p>
        </w:tc>
        <w:tc>
          <w:tcPr>
            <w:tcW w:w="2379" w:type="dxa"/>
            <w:gridSpan w:val="4"/>
            <w:vAlign w:val="center"/>
          </w:tcPr>
          <w:p w14:paraId="3EE09F46"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污染物名称</w:t>
            </w:r>
          </w:p>
        </w:tc>
        <w:tc>
          <w:tcPr>
            <w:tcW w:w="2840" w:type="dxa"/>
            <w:gridSpan w:val="5"/>
            <w:vAlign w:val="center"/>
          </w:tcPr>
          <w:p w14:paraId="4A4B2954"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排放量</w:t>
            </w:r>
            <w:r>
              <w:rPr>
                <w:rFonts w:ascii="Times New Roman" w:eastAsia="宋体" w:hAnsi="Times New Roman"/>
                <w:sz w:val="21"/>
                <w:szCs w:val="21"/>
              </w:rPr>
              <w:t>/(t/a)</w:t>
            </w:r>
          </w:p>
        </w:tc>
        <w:tc>
          <w:tcPr>
            <w:tcW w:w="2638" w:type="dxa"/>
            <w:gridSpan w:val="4"/>
            <w:vAlign w:val="center"/>
          </w:tcPr>
          <w:p w14:paraId="407D60BE"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排放浓度</w:t>
            </w:r>
            <w:r>
              <w:rPr>
                <w:rFonts w:ascii="Times New Roman" w:eastAsia="宋体" w:hAnsi="Times New Roman"/>
                <w:sz w:val="21"/>
                <w:szCs w:val="21"/>
              </w:rPr>
              <w:t>/ (mg/L)</w:t>
            </w:r>
          </w:p>
        </w:tc>
      </w:tr>
      <w:tr w:rsidR="00D12939" w14:paraId="235DEF2F" w14:textId="77777777">
        <w:trPr>
          <w:gridBefore w:val="1"/>
          <w:wBefore w:w="15" w:type="dxa"/>
          <w:trHeight w:val="340"/>
        </w:trPr>
        <w:tc>
          <w:tcPr>
            <w:tcW w:w="432" w:type="dxa"/>
            <w:vMerge/>
            <w:vAlign w:val="center"/>
          </w:tcPr>
          <w:p w14:paraId="6FF49FB4"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169F9D33" w14:textId="77777777" w:rsidR="00D12939" w:rsidRDefault="00D12939">
            <w:pPr>
              <w:adjustRightInd w:val="0"/>
              <w:snapToGrid w:val="0"/>
              <w:jc w:val="center"/>
              <w:rPr>
                <w:rFonts w:ascii="Times New Roman" w:eastAsia="宋体" w:hAnsi="Times New Roman" w:cs="Times New Roman"/>
                <w:szCs w:val="21"/>
              </w:rPr>
            </w:pPr>
          </w:p>
        </w:tc>
        <w:tc>
          <w:tcPr>
            <w:tcW w:w="2379" w:type="dxa"/>
            <w:gridSpan w:val="4"/>
            <w:vAlign w:val="center"/>
          </w:tcPr>
          <w:p w14:paraId="045E7B15"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r>
              <w:rPr>
                <w:rFonts w:ascii="Times New Roman" w:eastAsia="宋体" w:hAnsi="Times New Roman"/>
                <w:sz w:val="21"/>
                <w:szCs w:val="21"/>
              </w:rPr>
              <w:t>CODCr</w:t>
            </w:r>
            <w:r>
              <w:rPr>
                <w:rFonts w:ascii="Times New Roman" w:eastAsia="宋体" w:hAnsi="Times New Roman"/>
                <w:sz w:val="21"/>
                <w:szCs w:val="21"/>
              </w:rPr>
              <w:t>）</w:t>
            </w:r>
          </w:p>
        </w:tc>
        <w:tc>
          <w:tcPr>
            <w:tcW w:w="2840" w:type="dxa"/>
            <w:gridSpan w:val="5"/>
            <w:vAlign w:val="center"/>
          </w:tcPr>
          <w:p w14:paraId="37A48808" w14:textId="5F44EDAF" w:rsidR="00D12939" w:rsidRPr="008A0E9B" w:rsidRDefault="004F47F5" w:rsidP="008A0E9B">
            <w:pPr>
              <w:pStyle w:val="afffff8"/>
              <w:spacing w:line="240" w:lineRule="auto"/>
              <w:ind w:firstLineChars="0" w:firstLine="420"/>
              <w:rPr>
                <w:rFonts w:ascii="Times New Roman" w:eastAsia="宋体" w:hAnsi="Times New Roman"/>
                <w:color w:val="FF0000"/>
                <w:sz w:val="21"/>
                <w:szCs w:val="21"/>
              </w:rPr>
            </w:pPr>
            <w:r w:rsidRPr="008A0E9B">
              <w:rPr>
                <w:rFonts w:ascii="Times New Roman" w:eastAsia="宋体" w:hAnsi="Times New Roman"/>
                <w:color w:val="FF0000"/>
                <w:sz w:val="21"/>
                <w:szCs w:val="21"/>
              </w:rPr>
              <w:t>（</w:t>
            </w:r>
            <w:r w:rsidR="008A0E9B" w:rsidRPr="008A0E9B">
              <w:rPr>
                <w:rFonts w:ascii="Times New Roman" w:eastAsia="宋体" w:hAnsi="Times New Roman"/>
                <w:color w:val="FF0000"/>
                <w:sz w:val="21"/>
                <w:szCs w:val="21"/>
              </w:rPr>
              <w:t>1.28</w:t>
            </w:r>
            <w:r w:rsidRPr="008A0E9B">
              <w:rPr>
                <w:rFonts w:ascii="Times New Roman" w:eastAsia="宋体" w:hAnsi="Times New Roman"/>
                <w:color w:val="FF0000"/>
                <w:sz w:val="21"/>
                <w:szCs w:val="21"/>
              </w:rPr>
              <w:t>）</w:t>
            </w:r>
          </w:p>
        </w:tc>
        <w:tc>
          <w:tcPr>
            <w:tcW w:w="2638" w:type="dxa"/>
            <w:gridSpan w:val="4"/>
            <w:vAlign w:val="center"/>
          </w:tcPr>
          <w:p w14:paraId="3E03659C"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r>
              <w:rPr>
                <w:rFonts w:ascii="Times New Roman" w:eastAsia="宋体" w:hAnsi="Times New Roman"/>
                <w:sz w:val="21"/>
                <w:szCs w:val="21"/>
              </w:rPr>
              <w:t>100</w:t>
            </w:r>
            <w:r>
              <w:rPr>
                <w:rFonts w:ascii="Times New Roman" w:eastAsia="宋体" w:hAnsi="Times New Roman"/>
                <w:sz w:val="21"/>
                <w:szCs w:val="21"/>
              </w:rPr>
              <w:t>）</w:t>
            </w:r>
          </w:p>
        </w:tc>
      </w:tr>
      <w:tr w:rsidR="00D12939" w14:paraId="3D613F9B" w14:textId="77777777">
        <w:trPr>
          <w:gridBefore w:val="1"/>
          <w:wBefore w:w="15" w:type="dxa"/>
          <w:trHeight w:val="340"/>
        </w:trPr>
        <w:tc>
          <w:tcPr>
            <w:tcW w:w="432" w:type="dxa"/>
            <w:vMerge/>
            <w:vAlign w:val="center"/>
          </w:tcPr>
          <w:p w14:paraId="65ADABEC"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52A9725F" w14:textId="77777777" w:rsidR="00D12939" w:rsidRDefault="00D12939">
            <w:pPr>
              <w:adjustRightInd w:val="0"/>
              <w:snapToGrid w:val="0"/>
              <w:jc w:val="center"/>
              <w:rPr>
                <w:rFonts w:ascii="Times New Roman" w:eastAsia="宋体" w:hAnsi="Times New Roman" w:cs="Times New Roman"/>
                <w:szCs w:val="21"/>
              </w:rPr>
            </w:pPr>
          </w:p>
        </w:tc>
        <w:tc>
          <w:tcPr>
            <w:tcW w:w="2379" w:type="dxa"/>
            <w:gridSpan w:val="4"/>
            <w:vAlign w:val="center"/>
          </w:tcPr>
          <w:p w14:paraId="49958718"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（氨氮）</w:t>
            </w:r>
          </w:p>
        </w:tc>
        <w:tc>
          <w:tcPr>
            <w:tcW w:w="2840" w:type="dxa"/>
            <w:gridSpan w:val="5"/>
            <w:vAlign w:val="center"/>
          </w:tcPr>
          <w:p w14:paraId="086C82BB" w14:textId="32B6C130" w:rsidR="00D12939" w:rsidRPr="008A0E9B" w:rsidRDefault="004F47F5" w:rsidP="008A0E9B">
            <w:pPr>
              <w:pStyle w:val="afffff8"/>
              <w:spacing w:line="240" w:lineRule="auto"/>
              <w:ind w:firstLineChars="0" w:firstLine="420"/>
              <w:rPr>
                <w:rFonts w:ascii="Times New Roman" w:eastAsia="宋体" w:hAnsi="Times New Roman"/>
                <w:color w:val="FF0000"/>
                <w:sz w:val="21"/>
                <w:szCs w:val="21"/>
              </w:rPr>
            </w:pPr>
            <w:r w:rsidRPr="008A0E9B">
              <w:rPr>
                <w:rFonts w:ascii="Times New Roman" w:eastAsia="宋体" w:hAnsi="Times New Roman"/>
                <w:color w:val="FF0000"/>
                <w:sz w:val="21"/>
                <w:szCs w:val="21"/>
              </w:rPr>
              <w:t>（</w:t>
            </w:r>
            <w:r w:rsidRPr="008A0E9B">
              <w:rPr>
                <w:rFonts w:ascii="Times New Roman" w:eastAsia="宋体" w:hAnsi="Times New Roman"/>
                <w:color w:val="FF0000"/>
                <w:sz w:val="21"/>
                <w:szCs w:val="21"/>
              </w:rPr>
              <w:t>0.</w:t>
            </w:r>
            <w:r w:rsidR="008A0E9B" w:rsidRPr="008A0E9B">
              <w:rPr>
                <w:rFonts w:ascii="Times New Roman" w:eastAsia="宋体" w:hAnsi="Times New Roman"/>
                <w:color w:val="FF0000"/>
                <w:sz w:val="21"/>
                <w:szCs w:val="21"/>
              </w:rPr>
              <w:t>32</w:t>
            </w:r>
            <w:r w:rsidRPr="008A0E9B">
              <w:rPr>
                <w:rFonts w:ascii="Times New Roman" w:eastAsia="宋体" w:hAnsi="Times New Roman"/>
                <w:color w:val="FF0000"/>
                <w:sz w:val="21"/>
                <w:szCs w:val="21"/>
              </w:rPr>
              <w:t>）</w:t>
            </w:r>
          </w:p>
        </w:tc>
        <w:tc>
          <w:tcPr>
            <w:tcW w:w="2638" w:type="dxa"/>
            <w:gridSpan w:val="4"/>
            <w:vAlign w:val="center"/>
          </w:tcPr>
          <w:p w14:paraId="45DFFFB3"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r>
              <w:rPr>
                <w:rFonts w:ascii="Times New Roman" w:eastAsia="宋体" w:hAnsi="Times New Roman"/>
                <w:sz w:val="21"/>
                <w:szCs w:val="21"/>
              </w:rPr>
              <w:t>25</w:t>
            </w:r>
            <w:r>
              <w:rPr>
                <w:rFonts w:ascii="Times New Roman" w:eastAsia="宋体" w:hAnsi="Times New Roman"/>
                <w:sz w:val="21"/>
                <w:szCs w:val="21"/>
              </w:rPr>
              <w:t>）</w:t>
            </w:r>
          </w:p>
        </w:tc>
      </w:tr>
      <w:tr w:rsidR="00D12939" w14:paraId="2BD10C7D" w14:textId="77777777">
        <w:trPr>
          <w:gridBefore w:val="1"/>
          <w:wBefore w:w="15" w:type="dxa"/>
          <w:trHeight w:val="340"/>
        </w:trPr>
        <w:tc>
          <w:tcPr>
            <w:tcW w:w="432" w:type="dxa"/>
            <w:vMerge/>
            <w:vAlign w:val="center"/>
          </w:tcPr>
          <w:p w14:paraId="56D20562"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restart"/>
            <w:vAlign w:val="center"/>
          </w:tcPr>
          <w:p w14:paraId="522565E7"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替代源排放情况</w:t>
            </w:r>
          </w:p>
        </w:tc>
        <w:tc>
          <w:tcPr>
            <w:tcW w:w="1508" w:type="dxa"/>
            <w:vAlign w:val="center"/>
          </w:tcPr>
          <w:p w14:paraId="7FC33EEF"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污染源名称</w:t>
            </w:r>
          </w:p>
        </w:tc>
        <w:tc>
          <w:tcPr>
            <w:tcW w:w="1590" w:type="dxa"/>
            <w:gridSpan w:val="4"/>
            <w:vAlign w:val="center"/>
          </w:tcPr>
          <w:p w14:paraId="005245DF"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排污许可证编号</w:t>
            </w:r>
          </w:p>
        </w:tc>
        <w:tc>
          <w:tcPr>
            <w:tcW w:w="1287" w:type="dxa"/>
            <w:gridSpan w:val="3"/>
            <w:vAlign w:val="center"/>
          </w:tcPr>
          <w:p w14:paraId="6F4F36FA"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污染物名称</w:t>
            </w:r>
          </w:p>
        </w:tc>
        <w:tc>
          <w:tcPr>
            <w:tcW w:w="1232" w:type="dxa"/>
            <w:gridSpan w:val="3"/>
            <w:vAlign w:val="center"/>
          </w:tcPr>
          <w:p w14:paraId="4CFD1327"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排放量</w:t>
            </w:r>
            <w:r>
              <w:rPr>
                <w:rFonts w:ascii="Times New Roman" w:eastAsia="宋体" w:hAnsi="Times New Roman"/>
                <w:sz w:val="21"/>
                <w:szCs w:val="21"/>
              </w:rPr>
              <w:t>/(t/a)</w:t>
            </w:r>
          </w:p>
        </w:tc>
        <w:tc>
          <w:tcPr>
            <w:tcW w:w="2240" w:type="dxa"/>
            <w:gridSpan w:val="2"/>
            <w:vAlign w:val="center"/>
          </w:tcPr>
          <w:p w14:paraId="23D48A79"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排放浓度</w:t>
            </w:r>
            <w:r>
              <w:rPr>
                <w:rFonts w:ascii="Times New Roman" w:eastAsia="宋体" w:hAnsi="Times New Roman"/>
                <w:sz w:val="21"/>
                <w:szCs w:val="21"/>
              </w:rPr>
              <w:t>(mg/L)</w:t>
            </w:r>
          </w:p>
        </w:tc>
      </w:tr>
      <w:tr w:rsidR="00D12939" w14:paraId="01CB466D" w14:textId="77777777">
        <w:trPr>
          <w:gridBefore w:val="1"/>
          <w:wBefore w:w="15" w:type="dxa"/>
          <w:trHeight w:val="340"/>
        </w:trPr>
        <w:tc>
          <w:tcPr>
            <w:tcW w:w="432" w:type="dxa"/>
            <w:vMerge/>
            <w:vAlign w:val="center"/>
          </w:tcPr>
          <w:p w14:paraId="0DD8EAA9"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55AF014D" w14:textId="77777777" w:rsidR="00D12939" w:rsidRDefault="00D12939">
            <w:pPr>
              <w:adjustRightInd w:val="0"/>
              <w:snapToGrid w:val="0"/>
              <w:jc w:val="center"/>
              <w:rPr>
                <w:rFonts w:ascii="Times New Roman" w:eastAsia="宋体" w:hAnsi="Times New Roman" w:cs="Times New Roman"/>
                <w:szCs w:val="21"/>
              </w:rPr>
            </w:pPr>
          </w:p>
        </w:tc>
        <w:tc>
          <w:tcPr>
            <w:tcW w:w="1508" w:type="dxa"/>
            <w:vAlign w:val="center"/>
          </w:tcPr>
          <w:p w14:paraId="35D1D1BF"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c>
          <w:tcPr>
            <w:tcW w:w="1590" w:type="dxa"/>
            <w:gridSpan w:val="4"/>
            <w:vAlign w:val="center"/>
          </w:tcPr>
          <w:p w14:paraId="4D686002"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c>
          <w:tcPr>
            <w:tcW w:w="1287" w:type="dxa"/>
            <w:gridSpan w:val="3"/>
            <w:vAlign w:val="center"/>
          </w:tcPr>
          <w:p w14:paraId="3837FB7A"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c>
          <w:tcPr>
            <w:tcW w:w="1232" w:type="dxa"/>
            <w:gridSpan w:val="3"/>
            <w:vAlign w:val="center"/>
          </w:tcPr>
          <w:p w14:paraId="56B74D7D"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c>
          <w:tcPr>
            <w:tcW w:w="2240" w:type="dxa"/>
            <w:gridSpan w:val="2"/>
            <w:vAlign w:val="center"/>
          </w:tcPr>
          <w:p w14:paraId="512489E7"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r>
      <w:tr w:rsidR="00D12939" w14:paraId="6074D5EC" w14:textId="77777777">
        <w:trPr>
          <w:gridBefore w:val="1"/>
          <w:wBefore w:w="15" w:type="dxa"/>
          <w:trHeight w:val="340"/>
        </w:trPr>
        <w:tc>
          <w:tcPr>
            <w:tcW w:w="432" w:type="dxa"/>
            <w:vMerge/>
            <w:vAlign w:val="center"/>
          </w:tcPr>
          <w:p w14:paraId="6E597F76"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restart"/>
            <w:vAlign w:val="center"/>
          </w:tcPr>
          <w:p w14:paraId="7A7BD717"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生态流量确定</w:t>
            </w:r>
          </w:p>
        </w:tc>
        <w:tc>
          <w:tcPr>
            <w:tcW w:w="7857" w:type="dxa"/>
            <w:gridSpan w:val="13"/>
            <w:vAlign w:val="center"/>
          </w:tcPr>
          <w:p w14:paraId="7BF77C9F"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生态流量，一般水期</w:t>
            </w:r>
            <w:r>
              <w:rPr>
                <w:rFonts w:ascii="Times New Roman" w:eastAsia="宋体" w:hAnsi="Times New Roman"/>
                <w:sz w:val="21"/>
                <w:szCs w:val="21"/>
              </w:rPr>
              <w:t>( ) m³/s</w:t>
            </w:r>
            <w:r>
              <w:rPr>
                <w:rFonts w:ascii="Times New Roman" w:eastAsia="宋体" w:hAnsi="Times New Roman"/>
                <w:sz w:val="21"/>
                <w:szCs w:val="21"/>
              </w:rPr>
              <w:t>；鱼类繁殖期（）一般水期</w:t>
            </w:r>
            <w:r>
              <w:rPr>
                <w:rFonts w:ascii="Times New Roman" w:eastAsia="宋体" w:hAnsi="Times New Roman"/>
                <w:sz w:val="21"/>
                <w:szCs w:val="21"/>
              </w:rPr>
              <w:t>( ) m³/s</w:t>
            </w:r>
            <w:r>
              <w:rPr>
                <w:rFonts w:ascii="Times New Roman" w:eastAsia="宋体" w:hAnsi="Times New Roman"/>
                <w:sz w:val="21"/>
                <w:szCs w:val="21"/>
              </w:rPr>
              <w:t>；其他</w:t>
            </w:r>
            <w:r>
              <w:rPr>
                <w:rFonts w:ascii="Times New Roman" w:eastAsia="宋体" w:hAnsi="Times New Roman"/>
                <w:sz w:val="21"/>
                <w:szCs w:val="21"/>
              </w:rPr>
              <w:t>( ) m³/s</w:t>
            </w:r>
          </w:p>
        </w:tc>
      </w:tr>
      <w:tr w:rsidR="00D12939" w14:paraId="13571D1C" w14:textId="77777777">
        <w:trPr>
          <w:gridBefore w:val="1"/>
          <w:wBefore w:w="15" w:type="dxa"/>
          <w:trHeight w:val="340"/>
        </w:trPr>
        <w:tc>
          <w:tcPr>
            <w:tcW w:w="432" w:type="dxa"/>
            <w:vMerge/>
            <w:vAlign w:val="center"/>
          </w:tcPr>
          <w:p w14:paraId="7D3FA9CE"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0E623355" w14:textId="77777777" w:rsidR="00D12939" w:rsidRDefault="00D12939">
            <w:pPr>
              <w:adjustRightInd w:val="0"/>
              <w:snapToGrid w:val="0"/>
              <w:jc w:val="center"/>
              <w:rPr>
                <w:rFonts w:ascii="Times New Roman" w:eastAsia="宋体" w:hAnsi="Times New Roman" w:cs="Times New Roman"/>
                <w:szCs w:val="21"/>
              </w:rPr>
            </w:pPr>
          </w:p>
        </w:tc>
        <w:tc>
          <w:tcPr>
            <w:tcW w:w="7857" w:type="dxa"/>
            <w:gridSpan w:val="13"/>
            <w:vAlign w:val="center"/>
          </w:tcPr>
          <w:p w14:paraId="68580224"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生态水位，一般水期（）</w:t>
            </w:r>
            <w:r>
              <w:rPr>
                <w:rFonts w:ascii="Times New Roman" w:eastAsia="宋体" w:hAnsi="Times New Roman"/>
                <w:sz w:val="21"/>
                <w:szCs w:val="21"/>
              </w:rPr>
              <w:t>m</w:t>
            </w:r>
            <w:r>
              <w:rPr>
                <w:rFonts w:ascii="Times New Roman" w:eastAsia="宋体" w:hAnsi="Times New Roman"/>
                <w:sz w:val="21"/>
                <w:szCs w:val="21"/>
              </w:rPr>
              <w:t>；鱼类繁殖期（）</w:t>
            </w:r>
            <w:r>
              <w:rPr>
                <w:rFonts w:ascii="Times New Roman" w:eastAsia="宋体" w:hAnsi="Times New Roman"/>
                <w:sz w:val="21"/>
                <w:szCs w:val="21"/>
              </w:rPr>
              <w:t>m</w:t>
            </w:r>
            <w:r>
              <w:rPr>
                <w:rFonts w:ascii="Times New Roman" w:eastAsia="宋体" w:hAnsi="Times New Roman"/>
                <w:sz w:val="21"/>
                <w:szCs w:val="21"/>
              </w:rPr>
              <w:t>；其他（）</w:t>
            </w:r>
            <w:r>
              <w:rPr>
                <w:rFonts w:ascii="Times New Roman" w:eastAsia="宋体" w:hAnsi="Times New Roman"/>
                <w:sz w:val="21"/>
                <w:szCs w:val="21"/>
              </w:rPr>
              <w:t>m</w:t>
            </w:r>
            <w:r>
              <w:rPr>
                <w:rFonts w:ascii="Times New Roman" w:eastAsia="宋体" w:hAnsi="Times New Roman"/>
                <w:sz w:val="21"/>
                <w:szCs w:val="21"/>
              </w:rPr>
              <w:t>；</w:t>
            </w:r>
          </w:p>
        </w:tc>
      </w:tr>
      <w:tr w:rsidR="00D12939" w14:paraId="04D26AC8" w14:textId="77777777">
        <w:trPr>
          <w:trHeight w:val="340"/>
        </w:trPr>
        <w:tc>
          <w:tcPr>
            <w:tcW w:w="447" w:type="dxa"/>
            <w:gridSpan w:val="2"/>
            <w:vMerge w:val="restart"/>
            <w:vAlign w:val="center"/>
          </w:tcPr>
          <w:p w14:paraId="10048295"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防治措施</w:t>
            </w:r>
          </w:p>
        </w:tc>
        <w:tc>
          <w:tcPr>
            <w:tcW w:w="1756" w:type="dxa"/>
            <w:vAlign w:val="center"/>
          </w:tcPr>
          <w:p w14:paraId="18124594"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环保措施</w:t>
            </w:r>
          </w:p>
        </w:tc>
        <w:tc>
          <w:tcPr>
            <w:tcW w:w="7857" w:type="dxa"/>
            <w:gridSpan w:val="13"/>
            <w:vAlign w:val="center"/>
          </w:tcPr>
          <w:p w14:paraId="1004022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污水处理设施</w:t>
            </w:r>
            <w:r>
              <w:rPr>
                <w:rFonts w:ascii="Times New Roman" w:eastAsia="宋体" w:hAnsi="Times New Roman" w:cs="Times New Roman"/>
                <w:szCs w:val="21"/>
              </w:rPr>
              <w:sym w:font="Wingdings 2" w:char="0052"/>
            </w:r>
            <w:r>
              <w:rPr>
                <w:rFonts w:ascii="Times New Roman" w:eastAsia="宋体" w:hAnsi="Times New Roman" w:cs="Times New Roman"/>
                <w:szCs w:val="21"/>
              </w:rPr>
              <w:t>；水文减缓设施</w:t>
            </w:r>
            <w:r>
              <w:rPr>
                <w:rFonts w:ascii="Times New Roman" w:eastAsia="宋体" w:hAnsi="Times New Roman" w:cs="Times New Roman"/>
                <w:szCs w:val="21"/>
              </w:rPr>
              <w:t>□</w:t>
            </w:r>
            <w:r>
              <w:rPr>
                <w:rFonts w:ascii="Times New Roman" w:eastAsia="宋体" w:hAnsi="Times New Roman" w:cs="Times New Roman"/>
                <w:szCs w:val="21"/>
              </w:rPr>
              <w:t>；生态流量保障设施</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区域削减</w:t>
            </w:r>
            <w:r>
              <w:rPr>
                <w:rFonts w:ascii="Times New Roman" w:eastAsia="宋体" w:hAnsi="Times New Roman" w:cs="Times New Roman"/>
                <w:szCs w:val="21"/>
              </w:rPr>
              <w:t>□</w:t>
            </w:r>
            <w:r>
              <w:rPr>
                <w:rFonts w:ascii="Times New Roman" w:eastAsia="宋体" w:hAnsi="Times New Roman" w:cs="Times New Roman"/>
                <w:szCs w:val="21"/>
              </w:rPr>
              <w:t>；依托其他工程措施</w:t>
            </w:r>
            <w:r>
              <w:rPr>
                <w:rFonts w:ascii="Times New Roman" w:eastAsia="宋体" w:hAnsi="Times New Roman" w:cs="Times New Roman"/>
                <w:szCs w:val="21"/>
              </w:rPr>
              <w:t>□</w:t>
            </w:r>
            <w:r>
              <w:rPr>
                <w:rFonts w:ascii="Times New Roman" w:eastAsia="宋体" w:hAnsi="Times New Roman" w:cs="Times New Roman"/>
                <w:szCs w:val="21"/>
              </w:rPr>
              <w:t>；其他</w:t>
            </w:r>
            <w:r>
              <w:rPr>
                <w:rFonts w:ascii="Times New Roman" w:eastAsia="宋体" w:hAnsi="Times New Roman" w:cs="Times New Roman"/>
                <w:szCs w:val="21"/>
              </w:rPr>
              <w:t>□</w:t>
            </w:r>
          </w:p>
        </w:tc>
      </w:tr>
      <w:tr w:rsidR="00D12939" w14:paraId="18052202" w14:textId="77777777">
        <w:trPr>
          <w:trHeight w:val="340"/>
        </w:trPr>
        <w:tc>
          <w:tcPr>
            <w:tcW w:w="447" w:type="dxa"/>
            <w:gridSpan w:val="2"/>
            <w:vMerge/>
            <w:vAlign w:val="center"/>
          </w:tcPr>
          <w:p w14:paraId="17573660"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restart"/>
            <w:vAlign w:val="center"/>
          </w:tcPr>
          <w:p w14:paraId="07CDD1CD"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监测计划</w:t>
            </w:r>
          </w:p>
        </w:tc>
        <w:tc>
          <w:tcPr>
            <w:tcW w:w="1848" w:type="dxa"/>
            <w:gridSpan w:val="2"/>
            <w:vAlign w:val="center"/>
          </w:tcPr>
          <w:p w14:paraId="7DF65F8A" w14:textId="77777777" w:rsidR="00D12939" w:rsidRDefault="00D12939">
            <w:pPr>
              <w:pStyle w:val="afffff8"/>
              <w:spacing w:line="240" w:lineRule="auto"/>
              <w:ind w:firstLineChars="0" w:firstLine="420"/>
              <w:rPr>
                <w:rFonts w:ascii="Times New Roman" w:eastAsia="宋体" w:hAnsi="Times New Roman"/>
                <w:sz w:val="21"/>
                <w:szCs w:val="21"/>
              </w:rPr>
            </w:pPr>
          </w:p>
        </w:tc>
        <w:tc>
          <w:tcPr>
            <w:tcW w:w="2237" w:type="dxa"/>
            <w:gridSpan w:val="5"/>
            <w:vAlign w:val="center"/>
          </w:tcPr>
          <w:p w14:paraId="6FBC2891"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环境质量</w:t>
            </w:r>
          </w:p>
        </w:tc>
        <w:tc>
          <w:tcPr>
            <w:tcW w:w="3772" w:type="dxa"/>
            <w:gridSpan w:val="6"/>
            <w:vAlign w:val="center"/>
          </w:tcPr>
          <w:p w14:paraId="206D3133"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污染源</w:t>
            </w:r>
          </w:p>
        </w:tc>
      </w:tr>
      <w:tr w:rsidR="00D12939" w14:paraId="7CAB6F50" w14:textId="77777777">
        <w:trPr>
          <w:trHeight w:val="340"/>
        </w:trPr>
        <w:tc>
          <w:tcPr>
            <w:tcW w:w="447" w:type="dxa"/>
            <w:gridSpan w:val="2"/>
            <w:vMerge/>
            <w:vAlign w:val="center"/>
          </w:tcPr>
          <w:p w14:paraId="17F66E36"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63EECC08" w14:textId="77777777" w:rsidR="00D12939" w:rsidRDefault="00D12939">
            <w:pPr>
              <w:adjustRightInd w:val="0"/>
              <w:snapToGrid w:val="0"/>
              <w:jc w:val="center"/>
              <w:rPr>
                <w:rFonts w:ascii="Times New Roman" w:eastAsia="宋体" w:hAnsi="Times New Roman" w:cs="Times New Roman"/>
                <w:szCs w:val="21"/>
              </w:rPr>
            </w:pPr>
          </w:p>
        </w:tc>
        <w:tc>
          <w:tcPr>
            <w:tcW w:w="1848" w:type="dxa"/>
            <w:gridSpan w:val="2"/>
            <w:vAlign w:val="center"/>
          </w:tcPr>
          <w:p w14:paraId="5B163482"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监测方案</w:t>
            </w:r>
          </w:p>
        </w:tc>
        <w:tc>
          <w:tcPr>
            <w:tcW w:w="2237" w:type="dxa"/>
            <w:gridSpan w:val="5"/>
            <w:vAlign w:val="center"/>
          </w:tcPr>
          <w:p w14:paraId="7DE944C0"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手动</w:t>
            </w:r>
            <w:r>
              <w:rPr>
                <w:rFonts w:ascii="Times New Roman" w:eastAsia="宋体" w:hAnsi="Times New Roman"/>
                <w:sz w:val="21"/>
                <w:szCs w:val="21"/>
              </w:rPr>
              <w:t>□</w:t>
            </w:r>
            <w:r>
              <w:rPr>
                <w:rFonts w:ascii="Times New Roman" w:eastAsia="宋体" w:hAnsi="Times New Roman"/>
                <w:sz w:val="21"/>
                <w:szCs w:val="21"/>
              </w:rPr>
              <w:t>；自动；无监测</w:t>
            </w:r>
            <w:r>
              <w:rPr>
                <w:rFonts w:ascii="Times New Roman" w:eastAsia="宋体" w:hAnsi="Times New Roman"/>
                <w:sz w:val="21"/>
                <w:szCs w:val="21"/>
              </w:rPr>
              <w:t>□</w:t>
            </w:r>
          </w:p>
        </w:tc>
        <w:tc>
          <w:tcPr>
            <w:tcW w:w="3772" w:type="dxa"/>
            <w:gridSpan w:val="6"/>
            <w:vAlign w:val="center"/>
          </w:tcPr>
          <w:p w14:paraId="78FF7EAB"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手动</w:t>
            </w:r>
            <w:r>
              <w:rPr>
                <w:rFonts w:ascii="Times New Roman" w:eastAsia="宋体" w:hAnsi="Times New Roman"/>
                <w:sz w:val="21"/>
                <w:szCs w:val="21"/>
              </w:rPr>
              <w:sym w:font="Wingdings 2" w:char="0052"/>
            </w:r>
            <w:r>
              <w:rPr>
                <w:rFonts w:ascii="Times New Roman" w:eastAsia="宋体" w:hAnsi="Times New Roman"/>
                <w:sz w:val="21"/>
                <w:szCs w:val="21"/>
              </w:rPr>
              <w:t>；自动</w:t>
            </w:r>
            <w:r>
              <w:rPr>
                <w:rFonts w:ascii="Times New Roman" w:eastAsia="宋体" w:hAnsi="Times New Roman"/>
                <w:sz w:val="21"/>
                <w:szCs w:val="21"/>
              </w:rPr>
              <w:t>□</w:t>
            </w:r>
            <w:r>
              <w:rPr>
                <w:rFonts w:ascii="Times New Roman" w:eastAsia="宋体" w:hAnsi="Times New Roman"/>
                <w:sz w:val="21"/>
                <w:szCs w:val="21"/>
              </w:rPr>
              <w:t>；无监测</w:t>
            </w:r>
            <w:r>
              <w:rPr>
                <w:rFonts w:ascii="Times New Roman" w:eastAsia="宋体" w:hAnsi="Times New Roman"/>
                <w:sz w:val="21"/>
                <w:szCs w:val="21"/>
              </w:rPr>
              <w:t>□</w:t>
            </w:r>
          </w:p>
        </w:tc>
      </w:tr>
      <w:tr w:rsidR="00D12939" w14:paraId="462076F1" w14:textId="77777777">
        <w:trPr>
          <w:trHeight w:val="340"/>
        </w:trPr>
        <w:tc>
          <w:tcPr>
            <w:tcW w:w="447" w:type="dxa"/>
            <w:gridSpan w:val="2"/>
            <w:vMerge/>
            <w:vAlign w:val="center"/>
          </w:tcPr>
          <w:p w14:paraId="57DA4061"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6AE4ADDD" w14:textId="77777777" w:rsidR="00D12939" w:rsidRDefault="00D12939">
            <w:pPr>
              <w:adjustRightInd w:val="0"/>
              <w:snapToGrid w:val="0"/>
              <w:jc w:val="center"/>
              <w:rPr>
                <w:rFonts w:ascii="Times New Roman" w:eastAsia="宋体" w:hAnsi="Times New Roman" w:cs="Times New Roman"/>
                <w:szCs w:val="21"/>
              </w:rPr>
            </w:pPr>
          </w:p>
        </w:tc>
        <w:tc>
          <w:tcPr>
            <w:tcW w:w="1848" w:type="dxa"/>
            <w:gridSpan w:val="2"/>
            <w:vAlign w:val="center"/>
          </w:tcPr>
          <w:p w14:paraId="61EEF550"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监测点位</w:t>
            </w:r>
          </w:p>
        </w:tc>
        <w:tc>
          <w:tcPr>
            <w:tcW w:w="2237" w:type="dxa"/>
            <w:gridSpan w:val="5"/>
            <w:vAlign w:val="center"/>
          </w:tcPr>
          <w:p w14:paraId="2745EBFC"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c>
          <w:tcPr>
            <w:tcW w:w="3772" w:type="dxa"/>
            <w:gridSpan w:val="6"/>
            <w:vAlign w:val="center"/>
          </w:tcPr>
          <w:p w14:paraId="407AE7EE"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（废水排放口）</w:t>
            </w:r>
          </w:p>
        </w:tc>
      </w:tr>
      <w:tr w:rsidR="00D12939" w14:paraId="18B20686" w14:textId="77777777">
        <w:trPr>
          <w:trHeight w:val="340"/>
        </w:trPr>
        <w:tc>
          <w:tcPr>
            <w:tcW w:w="447" w:type="dxa"/>
            <w:gridSpan w:val="2"/>
            <w:vMerge/>
            <w:vAlign w:val="center"/>
          </w:tcPr>
          <w:p w14:paraId="667FE174" w14:textId="77777777" w:rsidR="00D12939" w:rsidRDefault="00D12939">
            <w:pPr>
              <w:adjustRightInd w:val="0"/>
              <w:snapToGrid w:val="0"/>
              <w:jc w:val="center"/>
              <w:rPr>
                <w:rFonts w:ascii="Times New Roman" w:eastAsia="宋体" w:hAnsi="Times New Roman" w:cs="Times New Roman"/>
                <w:szCs w:val="21"/>
              </w:rPr>
            </w:pPr>
          </w:p>
        </w:tc>
        <w:tc>
          <w:tcPr>
            <w:tcW w:w="1756" w:type="dxa"/>
            <w:vMerge/>
            <w:vAlign w:val="center"/>
          </w:tcPr>
          <w:p w14:paraId="52F8FA2D" w14:textId="77777777" w:rsidR="00D12939" w:rsidRDefault="00D12939">
            <w:pPr>
              <w:adjustRightInd w:val="0"/>
              <w:snapToGrid w:val="0"/>
              <w:jc w:val="center"/>
              <w:rPr>
                <w:rFonts w:ascii="Times New Roman" w:eastAsia="宋体" w:hAnsi="Times New Roman" w:cs="Times New Roman"/>
                <w:szCs w:val="21"/>
              </w:rPr>
            </w:pPr>
          </w:p>
        </w:tc>
        <w:tc>
          <w:tcPr>
            <w:tcW w:w="1848" w:type="dxa"/>
            <w:gridSpan w:val="2"/>
            <w:vAlign w:val="center"/>
          </w:tcPr>
          <w:p w14:paraId="34A284CA"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监测因子</w:t>
            </w:r>
          </w:p>
        </w:tc>
        <w:tc>
          <w:tcPr>
            <w:tcW w:w="2237" w:type="dxa"/>
            <w:gridSpan w:val="5"/>
            <w:vAlign w:val="center"/>
          </w:tcPr>
          <w:p w14:paraId="59CCF733"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c>
          <w:tcPr>
            <w:tcW w:w="3772" w:type="dxa"/>
            <w:gridSpan w:val="6"/>
            <w:vAlign w:val="center"/>
          </w:tcPr>
          <w:p w14:paraId="273433C0" w14:textId="77777777" w:rsidR="00D12939" w:rsidRDefault="004F47F5">
            <w:pPr>
              <w:pStyle w:val="afffff8"/>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w:t>
            </w:r>
            <w:r>
              <w:rPr>
                <w:rFonts w:ascii="Times New Roman" w:eastAsia="宋体" w:hAnsi="Times New Roman"/>
                <w:sz w:val="21"/>
                <w:szCs w:val="21"/>
              </w:rPr>
              <w:t>pH</w:t>
            </w:r>
            <w:r>
              <w:rPr>
                <w:rFonts w:ascii="Times New Roman" w:eastAsia="宋体" w:hAnsi="Times New Roman"/>
                <w:sz w:val="21"/>
                <w:szCs w:val="21"/>
              </w:rPr>
              <w:t>、</w:t>
            </w:r>
            <w:r>
              <w:rPr>
                <w:rFonts w:ascii="Times New Roman" w:eastAsia="宋体" w:hAnsi="Times New Roman"/>
                <w:sz w:val="21"/>
                <w:szCs w:val="21"/>
              </w:rPr>
              <w:t>CODCr</w:t>
            </w:r>
            <w:r>
              <w:rPr>
                <w:rFonts w:ascii="Times New Roman" w:eastAsia="宋体" w:hAnsi="Times New Roman"/>
                <w:sz w:val="21"/>
                <w:szCs w:val="21"/>
              </w:rPr>
              <w:t>、</w:t>
            </w:r>
            <w:r>
              <w:rPr>
                <w:rFonts w:ascii="Times New Roman" w:eastAsia="宋体" w:hAnsi="Times New Roman"/>
                <w:sz w:val="21"/>
                <w:szCs w:val="21"/>
              </w:rPr>
              <w:t>BOD</w:t>
            </w:r>
            <w:r>
              <w:rPr>
                <w:rFonts w:ascii="Times New Roman" w:eastAsia="宋体" w:hAnsi="Times New Roman"/>
                <w:sz w:val="21"/>
                <w:szCs w:val="21"/>
                <w:vertAlign w:val="subscript"/>
              </w:rPr>
              <w:t>5</w:t>
            </w:r>
            <w:r>
              <w:rPr>
                <w:rFonts w:ascii="Times New Roman" w:eastAsia="宋体" w:hAnsi="Times New Roman"/>
                <w:sz w:val="21"/>
                <w:szCs w:val="21"/>
              </w:rPr>
              <w:t>、</w:t>
            </w:r>
            <w:r>
              <w:rPr>
                <w:rFonts w:ascii="Times New Roman" w:eastAsia="宋体" w:hAnsi="Times New Roman"/>
                <w:sz w:val="21"/>
                <w:szCs w:val="21"/>
              </w:rPr>
              <w:t>SS</w:t>
            </w:r>
            <w:r>
              <w:rPr>
                <w:rFonts w:ascii="Times New Roman" w:eastAsia="宋体" w:hAnsi="Times New Roman"/>
                <w:sz w:val="21"/>
                <w:szCs w:val="21"/>
              </w:rPr>
              <w:t>、氨氮）</w:t>
            </w:r>
          </w:p>
        </w:tc>
      </w:tr>
      <w:tr w:rsidR="00D12939" w14:paraId="28C48A8C" w14:textId="77777777">
        <w:trPr>
          <w:trHeight w:val="340"/>
        </w:trPr>
        <w:tc>
          <w:tcPr>
            <w:tcW w:w="447" w:type="dxa"/>
            <w:gridSpan w:val="2"/>
            <w:vMerge/>
            <w:vAlign w:val="center"/>
          </w:tcPr>
          <w:p w14:paraId="00B0F7E2" w14:textId="77777777" w:rsidR="00D12939" w:rsidRDefault="00D12939">
            <w:pPr>
              <w:adjustRightInd w:val="0"/>
              <w:snapToGrid w:val="0"/>
              <w:jc w:val="center"/>
              <w:rPr>
                <w:rFonts w:ascii="Times New Roman" w:eastAsia="宋体" w:hAnsi="Times New Roman" w:cs="Times New Roman"/>
                <w:szCs w:val="21"/>
              </w:rPr>
            </w:pPr>
          </w:p>
        </w:tc>
        <w:tc>
          <w:tcPr>
            <w:tcW w:w="1756" w:type="dxa"/>
            <w:vAlign w:val="center"/>
          </w:tcPr>
          <w:p w14:paraId="20224B3B"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污染物排放清单</w:t>
            </w:r>
          </w:p>
        </w:tc>
        <w:tc>
          <w:tcPr>
            <w:tcW w:w="7857" w:type="dxa"/>
            <w:gridSpan w:val="13"/>
            <w:vAlign w:val="center"/>
          </w:tcPr>
          <w:p w14:paraId="5EACDDC4" w14:textId="77777777" w:rsidR="00D12939" w:rsidRDefault="004F47F5">
            <w:pPr>
              <w:pStyle w:val="afffff8"/>
              <w:spacing w:line="240" w:lineRule="auto"/>
              <w:ind w:firstLineChars="0" w:firstLine="420"/>
              <w:rPr>
                <w:rFonts w:ascii="Times New Roman" w:eastAsia="宋体" w:hAnsi="Times New Roman"/>
                <w:sz w:val="21"/>
                <w:szCs w:val="21"/>
              </w:rPr>
            </w:pPr>
            <w:r>
              <w:rPr>
                <w:rFonts w:ascii="Times New Roman" w:eastAsia="宋体" w:hAnsi="Times New Roman"/>
                <w:sz w:val="21"/>
                <w:szCs w:val="21"/>
              </w:rPr>
              <w:t>□</w:t>
            </w:r>
          </w:p>
        </w:tc>
      </w:tr>
      <w:tr w:rsidR="00D12939" w14:paraId="482621C6" w14:textId="77777777">
        <w:trPr>
          <w:trHeight w:val="340"/>
        </w:trPr>
        <w:tc>
          <w:tcPr>
            <w:tcW w:w="2203" w:type="dxa"/>
            <w:gridSpan w:val="3"/>
            <w:vAlign w:val="center"/>
          </w:tcPr>
          <w:p w14:paraId="1703F30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评价结论</w:t>
            </w:r>
          </w:p>
        </w:tc>
        <w:tc>
          <w:tcPr>
            <w:tcW w:w="7857" w:type="dxa"/>
            <w:gridSpan w:val="13"/>
            <w:vAlign w:val="center"/>
          </w:tcPr>
          <w:p w14:paraId="0D8F290A"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可以接受</w:t>
            </w:r>
            <w:r>
              <w:rPr>
                <w:rFonts w:ascii="Times New Roman" w:eastAsia="宋体" w:hAnsi="Times New Roman" w:cs="Times New Roman"/>
                <w:szCs w:val="21"/>
              </w:rPr>
              <w:sym w:font="Wingdings 2" w:char="0052"/>
            </w:r>
            <w:r>
              <w:rPr>
                <w:rFonts w:ascii="Times New Roman" w:eastAsia="宋体" w:hAnsi="Times New Roman" w:cs="Times New Roman"/>
                <w:szCs w:val="21"/>
              </w:rPr>
              <w:t>，不可以接受</w:t>
            </w:r>
            <w:r>
              <w:rPr>
                <w:rFonts w:ascii="Times New Roman" w:eastAsia="宋体" w:hAnsi="Times New Roman" w:cs="Times New Roman"/>
                <w:szCs w:val="21"/>
              </w:rPr>
              <w:t>□</w:t>
            </w:r>
          </w:p>
        </w:tc>
      </w:tr>
      <w:tr w:rsidR="00D12939" w14:paraId="35E982C1" w14:textId="77777777">
        <w:trPr>
          <w:trHeight w:val="340"/>
        </w:trPr>
        <w:tc>
          <w:tcPr>
            <w:tcW w:w="10060" w:type="dxa"/>
            <w:gridSpan w:val="16"/>
            <w:vAlign w:val="center"/>
          </w:tcPr>
          <w:p w14:paraId="79EA8B2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注：</w:t>
            </w:r>
            <w:r>
              <w:rPr>
                <w:rFonts w:ascii="Times New Roman" w:eastAsia="宋体" w:hAnsi="Times New Roman" w:cs="Times New Roman"/>
                <w:szCs w:val="21"/>
              </w:rPr>
              <w:t>"□"</w:t>
            </w:r>
            <w:r>
              <w:rPr>
                <w:rFonts w:ascii="Times New Roman" w:eastAsia="宋体" w:hAnsi="Times New Roman" w:cs="Times New Roman"/>
                <w:szCs w:val="21"/>
              </w:rPr>
              <w:t>为勾选项；可</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为内容填写项，</w:t>
            </w:r>
            <w:r>
              <w:rPr>
                <w:rFonts w:ascii="Times New Roman" w:eastAsia="宋体" w:hAnsi="Times New Roman" w:cs="Times New Roman"/>
                <w:szCs w:val="21"/>
              </w:rPr>
              <w:t>"</w:t>
            </w:r>
            <w:r>
              <w:rPr>
                <w:rFonts w:ascii="Times New Roman" w:eastAsia="宋体" w:hAnsi="Times New Roman" w:cs="Times New Roman"/>
                <w:szCs w:val="21"/>
              </w:rPr>
              <w:t>备注</w:t>
            </w:r>
            <w:r>
              <w:rPr>
                <w:rFonts w:ascii="Times New Roman" w:eastAsia="宋体" w:hAnsi="Times New Roman" w:cs="Times New Roman"/>
                <w:szCs w:val="21"/>
              </w:rPr>
              <w:t>"</w:t>
            </w:r>
            <w:r>
              <w:rPr>
                <w:rFonts w:ascii="Times New Roman" w:eastAsia="宋体" w:hAnsi="Times New Roman" w:cs="Times New Roman"/>
                <w:szCs w:val="21"/>
              </w:rPr>
              <w:t>为其他补充内容。</w:t>
            </w:r>
          </w:p>
        </w:tc>
      </w:tr>
    </w:tbl>
    <w:p w14:paraId="5A49FE74" w14:textId="77777777" w:rsidR="00D12939" w:rsidRDefault="004F47F5">
      <w:pPr>
        <w:pStyle w:val="2"/>
        <w:spacing w:line="360" w:lineRule="auto"/>
        <w:ind w:firstLineChars="165" w:firstLine="462"/>
        <w:rPr>
          <w:sz w:val="28"/>
        </w:rPr>
      </w:pPr>
      <w:bookmarkStart w:id="489" w:name="_Toc121411772"/>
      <w:r>
        <w:rPr>
          <w:sz w:val="28"/>
        </w:rPr>
        <w:t xml:space="preserve">7.3 </w:t>
      </w:r>
      <w:r>
        <w:rPr>
          <w:rFonts w:hint="eastAsia"/>
          <w:sz w:val="28"/>
        </w:rPr>
        <w:t>噪声影响预测与评价</w:t>
      </w:r>
      <w:bookmarkEnd w:id="487"/>
      <w:bookmarkEnd w:id="489"/>
    </w:p>
    <w:p w14:paraId="797161A3"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90" w:name="_Toc121411773"/>
      <w:bookmarkStart w:id="491" w:name="_Toc57798933"/>
      <w:r>
        <w:rPr>
          <w:rFonts w:ascii="Times New Roman" w:eastAsia="黑体" w:hAnsi="Times New Roman" w:cs="Times New Roman"/>
          <w:b w:val="0"/>
          <w:sz w:val="24"/>
        </w:rPr>
        <w:t xml:space="preserve">7.3.1 </w:t>
      </w:r>
      <w:r>
        <w:rPr>
          <w:rFonts w:ascii="Times New Roman" w:eastAsia="黑体" w:hAnsi="Times New Roman" w:cs="Times New Roman" w:hint="eastAsia"/>
          <w:b w:val="0"/>
          <w:sz w:val="24"/>
        </w:rPr>
        <w:t>预测模式</w:t>
      </w:r>
      <w:bookmarkEnd w:id="490"/>
      <w:bookmarkEnd w:id="491"/>
    </w:p>
    <w:p w14:paraId="0DBB9750" w14:textId="77777777" w:rsidR="00D12939" w:rsidRDefault="004F47F5">
      <w:pPr>
        <w:snapToGrid w:val="0"/>
        <w:spacing w:line="360" w:lineRule="auto"/>
        <w:ind w:firstLine="480"/>
        <w:rPr>
          <w:rFonts w:ascii="Times New Roman" w:eastAsia="宋体" w:hAnsi="Times New Roman" w:cs="Times New Roman"/>
          <w:sz w:val="24"/>
        </w:rPr>
      </w:pPr>
      <w:r>
        <w:rPr>
          <w:rFonts w:ascii="Times New Roman" w:eastAsia="宋体" w:hAnsi="Times New Roman" w:cs="Times New Roman" w:hint="eastAsia"/>
          <w:sz w:val="24"/>
        </w:rPr>
        <w:t>根据《环境影响评价技术导则</w:t>
      </w:r>
      <w:r>
        <w:rPr>
          <w:rFonts w:ascii="Times New Roman" w:eastAsia="宋体" w:hAnsi="Times New Roman" w:cs="Times New Roman"/>
          <w:sz w:val="24"/>
        </w:rPr>
        <w:t xml:space="preserve">  </w:t>
      </w:r>
      <w:r>
        <w:rPr>
          <w:rFonts w:ascii="Times New Roman" w:eastAsia="宋体" w:hAnsi="Times New Roman" w:cs="Times New Roman" w:hint="eastAsia"/>
          <w:sz w:val="24"/>
        </w:rPr>
        <w:t>声环境》（</w:t>
      </w:r>
      <w:r>
        <w:rPr>
          <w:rFonts w:ascii="Times New Roman" w:eastAsia="宋体" w:hAnsi="Times New Roman" w:cs="Times New Roman"/>
          <w:sz w:val="24"/>
        </w:rPr>
        <w:t>HJ 2.4-2021</w:t>
      </w:r>
      <w:r>
        <w:rPr>
          <w:rFonts w:ascii="Times New Roman" w:eastAsia="宋体" w:hAnsi="Times New Roman" w:cs="Times New Roman" w:hint="eastAsia"/>
          <w:sz w:val="24"/>
        </w:rPr>
        <w:t>）中规定，本项目选用导则中附录</w:t>
      </w:r>
      <w:r>
        <w:rPr>
          <w:rFonts w:ascii="Times New Roman" w:eastAsia="宋体" w:hAnsi="Times New Roman" w:cs="Times New Roman"/>
          <w:sz w:val="24"/>
        </w:rPr>
        <w:t>A</w:t>
      </w:r>
      <w:r>
        <w:rPr>
          <w:rFonts w:ascii="Times New Roman" w:eastAsia="宋体" w:hAnsi="Times New Roman" w:cs="Times New Roman" w:hint="eastAsia"/>
          <w:sz w:val="24"/>
        </w:rPr>
        <w:t>、</w:t>
      </w:r>
      <w:r>
        <w:rPr>
          <w:rFonts w:ascii="Times New Roman" w:eastAsia="宋体" w:hAnsi="Times New Roman" w:cs="Times New Roman"/>
          <w:sz w:val="24"/>
        </w:rPr>
        <w:t>B</w:t>
      </w:r>
      <w:r>
        <w:rPr>
          <w:rFonts w:ascii="Times New Roman" w:eastAsia="宋体" w:hAnsi="Times New Roman" w:cs="Times New Roman" w:hint="eastAsia"/>
          <w:sz w:val="24"/>
        </w:rPr>
        <w:t>中给定的噪声预测模型，在不能取得声源倍频带声功率级或倍频带声压级，只能获得</w:t>
      </w:r>
      <w:r>
        <w:rPr>
          <w:rFonts w:ascii="Times New Roman" w:eastAsia="宋体" w:hAnsi="Times New Roman" w:cs="Times New Roman"/>
          <w:sz w:val="24"/>
        </w:rPr>
        <w:t>A</w:t>
      </w:r>
      <w:r>
        <w:rPr>
          <w:rFonts w:ascii="Times New Roman" w:eastAsia="宋体" w:hAnsi="Times New Roman" w:cs="Times New Roman" w:hint="eastAsia"/>
          <w:sz w:val="24"/>
        </w:rPr>
        <w:t>声功率级或某点的</w:t>
      </w:r>
      <w:r>
        <w:rPr>
          <w:rFonts w:ascii="Times New Roman" w:eastAsia="宋体" w:hAnsi="Times New Roman" w:cs="Times New Roman"/>
          <w:sz w:val="24"/>
        </w:rPr>
        <w:t>A</w:t>
      </w:r>
      <w:r>
        <w:rPr>
          <w:rFonts w:ascii="Times New Roman" w:eastAsia="宋体" w:hAnsi="Times New Roman" w:cs="Times New Roman" w:hint="eastAsia"/>
          <w:sz w:val="24"/>
        </w:rPr>
        <w:t>声级时，可用</w:t>
      </w:r>
      <w:r>
        <w:rPr>
          <w:rFonts w:ascii="Times New Roman" w:eastAsia="宋体" w:hAnsi="Times New Roman" w:cs="Times New Roman"/>
          <w:sz w:val="24"/>
        </w:rPr>
        <w:t>A</w:t>
      </w:r>
      <w:r>
        <w:rPr>
          <w:rFonts w:ascii="Times New Roman" w:eastAsia="宋体" w:hAnsi="Times New Roman" w:cs="Times New Roman" w:hint="eastAsia"/>
          <w:sz w:val="24"/>
        </w:rPr>
        <w:t>声功率级或某点的</w:t>
      </w:r>
      <w:r>
        <w:rPr>
          <w:rFonts w:ascii="Times New Roman" w:eastAsia="宋体" w:hAnsi="Times New Roman" w:cs="Times New Roman"/>
          <w:sz w:val="24"/>
        </w:rPr>
        <w:t>A</w:t>
      </w:r>
      <w:r>
        <w:rPr>
          <w:rFonts w:ascii="Times New Roman" w:eastAsia="宋体" w:hAnsi="Times New Roman" w:cs="Times New Roman" w:hint="eastAsia"/>
          <w:sz w:val="24"/>
        </w:rPr>
        <w:t>声级计算。</w:t>
      </w:r>
    </w:p>
    <w:p w14:paraId="70A89D85"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 xml:space="preserve">7.3.1.1 </w:t>
      </w:r>
      <w:r>
        <w:rPr>
          <w:rFonts w:ascii="宋体" w:eastAsia="宋体" w:hAnsi="宋体" w:hint="eastAsia"/>
          <w:sz w:val="24"/>
        </w:rPr>
        <w:t>预测条件假设</w:t>
      </w:r>
    </w:p>
    <w:p w14:paraId="0FAFDFC5" w14:textId="77777777" w:rsidR="00D12939" w:rsidRDefault="004F47F5">
      <w:pPr>
        <w:snapToGrid w:val="0"/>
        <w:spacing w:line="360" w:lineRule="auto"/>
        <w:ind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w:t>
      </w:r>
      <w:r>
        <w:rPr>
          <w:rFonts w:ascii="Times New Roman" w:eastAsia="宋体" w:hAnsi="Times New Roman" w:cs="Times New Roman" w:hint="eastAsia"/>
          <w:sz w:val="24"/>
        </w:rPr>
        <w:t>）所有产噪设备均在正常工况条件下运行；</w:t>
      </w:r>
    </w:p>
    <w:p w14:paraId="69284422" w14:textId="77777777" w:rsidR="00D12939" w:rsidRDefault="004F47F5">
      <w:pPr>
        <w:snapToGrid w:val="0"/>
        <w:spacing w:line="360" w:lineRule="auto"/>
        <w:ind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2</w:t>
      </w:r>
      <w:r>
        <w:rPr>
          <w:rFonts w:ascii="Times New Roman" w:eastAsia="宋体" w:hAnsi="Times New Roman" w:cs="Times New Roman" w:hint="eastAsia"/>
          <w:sz w:val="24"/>
        </w:rPr>
        <w:t>）考虑室内声源所在厂房围护结构的隔声、吸声作用；</w:t>
      </w:r>
    </w:p>
    <w:p w14:paraId="48CAB5B3" w14:textId="77777777" w:rsidR="00D12939" w:rsidRDefault="004F47F5">
      <w:pPr>
        <w:snapToGrid w:val="0"/>
        <w:spacing w:line="360" w:lineRule="auto"/>
        <w:ind w:firstLine="480"/>
        <w:rPr>
          <w:rFonts w:ascii="Times New Roman" w:eastAsia="宋体" w:hAnsi="Times New Roman" w:cs="Times New Roman"/>
          <w:sz w:val="24"/>
        </w:rPr>
      </w:pPr>
      <w:r>
        <w:rPr>
          <w:rFonts w:ascii="Times New Roman" w:eastAsia="宋体" w:hAnsi="Times New Roman" w:cs="Times New Roman" w:hint="eastAsia"/>
          <w:sz w:val="24"/>
        </w:rPr>
        <w:lastRenderedPageBreak/>
        <w:t>（</w:t>
      </w:r>
      <w:r>
        <w:rPr>
          <w:rFonts w:ascii="Times New Roman" w:eastAsia="宋体" w:hAnsi="Times New Roman" w:cs="Times New Roman"/>
          <w:sz w:val="24"/>
        </w:rPr>
        <w:t>3</w:t>
      </w:r>
      <w:r>
        <w:rPr>
          <w:rFonts w:ascii="Times New Roman" w:eastAsia="宋体" w:hAnsi="Times New Roman" w:cs="Times New Roman" w:hint="eastAsia"/>
          <w:sz w:val="24"/>
        </w:rPr>
        <w:t>）衰减仅考虑几何发散衰减，屏障衰减。</w:t>
      </w:r>
    </w:p>
    <w:p w14:paraId="23A97CB4"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 xml:space="preserve">7.3.1.2 </w:t>
      </w:r>
      <w:r>
        <w:rPr>
          <w:rFonts w:ascii="宋体" w:eastAsia="宋体" w:hAnsi="宋体" w:hint="eastAsia"/>
          <w:sz w:val="24"/>
        </w:rPr>
        <w:t>室内声源</w:t>
      </w:r>
    </w:p>
    <w:p w14:paraId="3821D5B7" w14:textId="77777777" w:rsidR="00D12939" w:rsidRDefault="004F47F5">
      <w:pPr>
        <w:snapToGrid w:val="0"/>
        <w:spacing w:line="360" w:lineRule="auto"/>
        <w:ind w:firstLine="480"/>
        <w:rPr>
          <w:rFonts w:ascii="Times New Roman" w:eastAsia="宋体" w:hAnsi="Times New Roman" w:cs="Times New Roman"/>
          <w:sz w:val="24"/>
        </w:rPr>
      </w:pPr>
      <w:r>
        <w:rPr>
          <w:rFonts w:ascii="Times New Roman" w:eastAsia="宋体" w:hAnsi="Times New Roman" w:cs="Times New Roman" w:hint="eastAsia"/>
          <w:sz w:val="24"/>
        </w:rPr>
        <w:t>室内声源由室内向室外传播示意图见图</w:t>
      </w:r>
      <w:r>
        <w:rPr>
          <w:rFonts w:ascii="Times New Roman" w:eastAsia="宋体" w:hAnsi="Times New Roman" w:cs="Times New Roman"/>
          <w:sz w:val="24"/>
        </w:rPr>
        <w:t>6.2-1</w:t>
      </w:r>
      <w:r>
        <w:rPr>
          <w:rFonts w:ascii="Times New Roman" w:eastAsia="宋体" w:hAnsi="Times New Roman" w:cs="Times New Roman" w:hint="eastAsia"/>
          <w:sz w:val="24"/>
        </w:rPr>
        <w:t>。</w:t>
      </w:r>
    </w:p>
    <w:p w14:paraId="05109C89" w14:textId="77777777" w:rsidR="00D12939" w:rsidRDefault="004F47F5">
      <w:pPr>
        <w:ind w:firstLine="480"/>
        <w:jc w:val="center"/>
        <w:rPr>
          <w:b/>
          <w:bCs/>
        </w:rPr>
      </w:pPr>
      <w:r>
        <w:rPr>
          <w:noProof/>
        </w:rPr>
        <w:drawing>
          <wp:inline distT="0" distB="0" distL="0" distR="0">
            <wp:extent cx="3419475" cy="1753235"/>
            <wp:effectExtent l="0" t="0" r="0" b="0"/>
            <wp:docPr id="24" name="图片 24" descr="1655636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65563618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436020" cy="1762062"/>
                    </a:xfrm>
                    <a:prstGeom prst="rect">
                      <a:avLst/>
                    </a:prstGeom>
                    <a:noFill/>
                    <a:ln>
                      <a:noFill/>
                    </a:ln>
                  </pic:spPr>
                </pic:pic>
              </a:graphicData>
            </a:graphic>
          </wp:inline>
        </w:drawing>
      </w:r>
    </w:p>
    <w:p w14:paraId="6951D915" w14:textId="77777777" w:rsidR="00D12939" w:rsidRDefault="004F47F5">
      <w:pPr>
        <w:pStyle w:val="affffffffffffd"/>
        <w:spacing w:line="360" w:lineRule="auto"/>
        <w:outlineLvl w:val="9"/>
        <w:rPr>
          <w:rFonts w:ascii="黑体" w:hAnsi="黑体"/>
        </w:rPr>
      </w:pPr>
      <w:r>
        <w:rPr>
          <w:rFonts w:ascii="黑体" w:hAnsi="黑体" w:hint="eastAsia"/>
        </w:rPr>
        <w:t>图</w:t>
      </w:r>
      <w:r>
        <w:rPr>
          <w:rFonts w:ascii="黑体" w:hAnsi="黑体"/>
        </w:rPr>
        <w:t xml:space="preserve">7.3-1 </w:t>
      </w:r>
      <w:r>
        <w:rPr>
          <w:rFonts w:ascii="黑体" w:hAnsi="黑体" w:hint="eastAsia"/>
          <w:lang w:bidi="ar-SA"/>
        </w:rPr>
        <w:t>室内声源等效为室外声源图例</w:t>
      </w:r>
    </w:p>
    <w:p w14:paraId="0401E601"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①</w:t>
      </w:r>
      <w:r>
        <w:rPr>
          <w:rFonts w:ascii="Times New Roman" w:eastAsia="宋体" w:hAnsi="Times New Roman" w:cs="Times New Roman"/>
          <w:sz w:val="24"/>
        </w:rPr>
        <w:t>如果已知声源的声压级</w:t>
      </w:r>
      <w:r>
        <w:rPr>
          <w:rFonts w:ascii="Times New Roman" w:eastAsia="宋体" w:hAnsi="Times New Roman" w:cs="Times New Roman"/>
          <w:noProof/>
          <w:sz w:val="24"/>
        </w:rPr>
        <w:drawing>
          <wp:inline distT="0" distB="0" distL="0" distR="0">
            <wp:extent cx="371475" cy="238125"/>
            <wp:effectExtent l="0" t="0" r="952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371475" cy="238125"/>
                    </a:xfrm>
                    <a:prstGeom prst="rect">
                      <a:avLst/>
                    </a:prstGeom>
                    <a:noFill/>
                    <a:ln>
                      <a:noFill/>
                    </a:ln>
                  </pic:spPr>
                </pic:pic>
              </a:graphicData>
            </a:graphic>
          </wp:inline>
        </w:drawing>
      </w:r>
      <w:r>
        <w:rPr>
          <w:rFonts w:ascii="Times New Roman" w:eastAsia="宋体" w:hAnsi="Times New Roman" w:cs="Times New Roman"/>
          <w:sz w:val="24"/>
        </w:rPr>
        <w:t>，且声源位于地面上，则</w:t>
      </w:r>
    </w:p>
    <w:p w14:paraId="57E17301" w14:textId="77777777" w:rsidR="00D12939" w:rsidRDefault="002A4A5F">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sz w:val="24"/>
        </w:rPr>
        <w:pict w14:anchorId="559453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1pt;height:15.9pt" equationxml="&lt;">
            <v:imagedata r:id="rId53" o:title="" chromakey="white"/>
          </v:shape>
        </w:pict>
      </w:r>
    </w:p>
    <w:p w14:paraId="32510A17"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②</w:t>
      </w:r>
      <w:r>
        <w:rPr>
          <w:rFonts w:ascii="Times New Roman" w:eastAsia="宋体" w:hAnsi="Times New Roman" w:cs="Times New Roman"/>
          <w:sz w:val="24"/>
        </w:rPr>
        <w:t>首先计算出某个室内声源靠近围护结构处的声压级：</w:t>
      </w:r>
    </w:p>
    <w:p w14:paraId="69FCEDE4" w14:textId="77777777" w:rsidR="00D12939" w:rsidRDefault="004F47F5">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noProof/>
          <w:sz w:val="24"/>
        </w:rPr>
        <w:drawing>
          <wp:inline distT="0" distB="0" distL="0" distR="0">
            <wp:extent cx="1743075" cy="533400"/>
            <wp:effectExtent l="0" t="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743075" cy="533400"/>
                    </a:xfrm>
                    <a:prstGeom prst="rect">
                      <a:avLst/>
                    </a:prstGeom>
                    <a:noFill/>
                    <a:ln>
                      <a:noFill/>
                    </a:ln>
                  </pic:spPr>
                </pic:pic>
              </a:graphicData>
            </a:graphic>
          </wp:inline>
        </w:drawing>
      </w:r>
    </w:p>
    <w:p w14:paraId="273F465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式中：</w:t>
      </w:r>
    </w:p>
    <w:p w14:paraId="417AD492" w14:textId="77777777" w:rsidR="00D12939" w:rsidRDefault="004F47F5">
      <w:pPr>
        <w:widowControl/>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noProof/>
          <w:sz w:val="24"/>
        </w:rPr>
        <w:drawing>
          <wp:inline distT="0" distB="0" distL="0" distR="0">
            <wp:extent cx="238125" cy="24765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38125" cy="247650"/>
                    </a:xfrm>
                    <a:prstGeom prst="rect">
                      <a:avLst/>
                    </a:prstGeom>
                    <a:noFill/>
                    <a:ln>
                      <a:noFill/>
                    </a:ln>
                  </pic:spPr>
                </pic:pic>
              </a:graphicData>
            </a:graphic>
          </wp:inline>
        </w:drawing>
      </w:r>
      <w:r>
        <w:rPr>
          <w:rFonts w:ascii="Times New Roman" w:eastAsia="宋体" w:hAnsi="Times New Roman" w:cs="Times New Roman"/>
          <w:sz w:val="24"/>
        </w:rPr>
        <w:t>：靠近开口处（或窗户）室内某倍频带的声压级或</w:t>
      </w:r>
      <w:r>
        <w:rPr>
          <w:rFonts w:ascii="Times New Roman" w:eastAsia="宋体" w:hAnsi="Times New Roman" w:cs="Times New Roman"/>
          <w:sz w:val="24"/>
        </w:rPr>
        <w:t xml:space="preserve"> A </w:t>
      </w:r>
      <w:r>
        <w:rPr>
          <w:rFonts w:ascii="Times New Roman" w:eastAsia="宋体" w:hAnsi="Times New Roman" w:cs="Times New Roman"/>
          <w:sz w:val="24"/>
        </w:rPr>
        <w:t>声级，</w:t>
      </w:r>
      <w:r>
        <w:rPr>
          <w:rFonts w:ascii="Times New Roman" w:eastAsia="宋体" w:hAnsi="Times New Roman" w:cs="Times New Roman"/>
          <w:sz w:val="24"/>
        </w:rPr>
        <w:t>dB</w:t>
      </w:r>
      <w:r>
        <w:rPr>
          <w:rFonts w:ascii="Times New Roman" w:eastAsia="宋体" w:hAnsi="Times New Roman" w:cs="Times New Roman"/>
          <w:sz w:val="24"/>
        </w:rPr>
        <w:t>；</w:t>
      </w:r>
    </w:p>
    <w:p w14:paraId="2039B1C5" w14:textId="77777777" w:rsidR="00D12939" w:rsidRDefault="004F47F5">
      <w:pPr>
        <w:widowControl/>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Lw</w:t>
      </w:r>
      <w:r>
        <w:rPr>
          <w:rFonts w:ascii="Times New Roman" w:eastAsia="宋体" w:hAnsi="Times New Roman" w:cs="Times New Roman"/>
          <w:sz w:val="24"/>
        </w:rPr>
        <w:t>：点声源声功率级（</w:t>
      </w:r>
      <w:r>
        <w:rPr>
          <w:rFonts w:ascii="Times New Roman" w:eastAsia="宋体" w:hAnsi="Times New Roman" w:cs="Times New Roman"/>
          <w:sz w:val="24"/>
        </w:rPr>
        <w:t xml:space="preserve">A </w:t>
      </w:r>
      <w:r>
        <w:rPr>
          <w:rFonts w:ascii="Times New Roman" w:eastAsia="宋体" w:hAnsi="Times New Roman" w:cs="Times New Roman"/>
          <w:sz w:val="24"/>
        </w:rPr>
        <w:t>计权或倍频带），</w:t>
      </w:r>
      <w:r>
        <w:rPr>
          <w:rFonts w:ascii="Times New Roman" w:eastAsia="宋体" w:hAnsi="Times New Roman" w:cs="Times New Roman"/>
          <w:sz w:val="24"/>
        </w:rPr>
        <w:t>dB</w:t>
      </w:r>
      <w:r>
        <w:rPr>
          <w:rFonts w:ascii="Times New Roman" w:eastAsia="宋体" w:hAnsi="Times New Roman" w:cs="Times New Roman"/>
          <w:sz w:val="24"/>
        </w:rPr>
        <w:t>。</w:t>
      </w:r>
    </w:p>
    <w:p w14:paraId="6065860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Q</w:t>
      </w:r>
      <w:r>
        <w:rPr>
          <w:rFonts w:ascii="Times New Roman" w:eastAsia="宋体" w:hAnsi="Times New Roman" w:cs="Times New Roman"/>
          <w:sz w:val="24"/>
        </w:rPr>
        <w:t>：指向性因数；通常对无指向性声源，当声源放在房间中心时，</w:t>
      </w:r>
      <w:r>
        <w:rPr>
          <w:rFonts w:ascii="Times New Roman" w:eastAsia="宋体" w:hAnsi="Times New Roman" w:cs="Times New Roman"/>
          <w:sz w:val="24"/>
        </w:rPr>
        <w:t>Q=1</w:t>
      </w:r>
      <w:r>
        <w:rPr>
          <w:rFonts w:ascii="Times New Roman" w:eastAsia="宋体" w:hAnsi="Times New Roman" w:cs="Times New Roman"/>
          <w:sz w:val="24"/>
        </w:rPr>
        <w:t>；当放在一面墙的中心时，</w:t>
      </w:r>
      <w:r>
        <w:rPr>
          <w:rFonts w:ascii="Times New Roman" w:eastAsia="宋体" w:hAnsi="Times New Roman" w:cs="Times New Roman"/>
          <w:sz w:val="24"/>
        </w:rPr>
        <w:t>Q=2</w:t>
      </w:r>
      <w:r>
        <w:rPr>
          <w:rFonts w:ascii="Times New Roman" w:eastAsia="宋体" w:hAnsi="Times New Roman" w:cs="Times New Roman"/>
          <w:sz w:val="24"/>
        </w:rPr>
        <w:t>；当放在两面墙夹角处时，</w:t>
      </w:r>
      <w:r>
        <w:rPr>
          <w:rFonts w:ascii="Times New Roman" w:eastAsia="宋体" w:hAnsi="Times New Roman" w:cs="Times New Roman"/>
          <w:sz w:val="24"/>
        </w:rPr>
        <w:t>Q=4</w:t>
      </w:r>
      <w:r>
        <w:rPr>
          <w:rFonts w:ascii="Times New Roman" w:eastAsia="宋体" w:hAnsi="Times New Roman" w:cs="Times New Roman"/>
          <w:sz w:val="24"/>
        </w:rPr>
        <w:t>；当放在三面墙夹角处时，</w:t>
      </w:r>
      <w:r>
        <w:rPr>
          <w:rFonts w:ascii="Times New Roman" w:eastAsia="宋体" w:hAnsi="Times New Roman" w:cs="Times New Roman"/>
          <w:sz w:val="24"/>
        </w:rPr>
        <w:t>Q=8</w:t>
      </w:r>
      <w:r>
        <w:rPr>
          <w:rFonts w:ascii="Times New Roman" w:eastAsia="宋体" w:hAnsi="Times New Roman" w:cs="Times New Roman"/>
          <w:sz w:val="24"/>
        </w:rPr>
        <w:t>。</w:t>
      </w:r>
    </w:p>
    <w:p w14:paraId="31D425A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R</w:t>
      </w:r>
      <w:r>
        <w:rPr>
          <w:rFonts w:ascii="Times New Roman" w:eastAsia="宋体" w:hAnsi="Times New Roman" w:cs="Times New Roman"/>
          <w:sz w:val="24"/>
        </w:rPr>
        <w:t>：房间常数；</w:t>
      </w:r>
      <w:r>
        <w:rPr>
          <w:rFonts w:ascii="Times New Roman" w:eastAsia="宋体" w:hAnsi="Times New Roman" w:cs="Times New Roman"/>
          <w:sz w:val="24"/>
        </w:rPr>
        <w:t>R=Sa/(1-a)</w:t>
      </w:r>
      <w:r>
        <w:rPr>
          <w:rFonts w:ascii="Times New Roman" w:eastAsia="宋体" w:hAnsi="Times New Roman" w:cs="Times New Roman"/>
          <w:sz w:val="24"/>
        </w:rPr>
        <w:t>，</w:t>
      </w:r>
      <w:r>
        <w:rPr>
          <w:rFonts w:ascii="Times New Roman" w:eastAsia="宋体" w:hAnsi="Times New Roman" w:cs="Times New Roman"/>
          <w:sz w:val="24"/>
        </w:rPr>
        <w:t>S</w:t>
      </w:r>
      <w:r>
        <w:rPr>
          <w:rFonts w:ascii="Times New Roman" w:eastAsia="宋体" w:hAnsi="Times New Roman" w:cs="Times New Roman"/>
          <w:sz w:val="24"/>
        </w:rPr>
        <w:t>为房间内表面面积，</w:t>
      </w:r>
      <w:r>
        <w:rPr>
          <w:rFonts w:ascii="Times New Roman" w:eastAsia="宋体" w:hAnsi="Times New Roman" w:cs="Times New Roman"/>
          <w:sz w:val="24"/>
        </w:rPr>
        <w:t>m²</w:t>
      </w:r>
      <w:r>
        <w:rPr>
          <w:rFonts w:ascii="Times New Roman" w:eastAsia="宋体" w:hAnsi="Times New Roman" w:cs="Times New Roman"/>
          <w:sz w:val="24"/>
        </w:rPr>
        <w:t>；</w:t>
      </w:r>
      <w:r>
        <w:rPr>
          <w:rFonts w:ascii="Times New Roman" w:eastAsia="宋体" w:hAnsi="Times New Roman" w:cs="Times New Roman"/>
          <w:sz w:val="24"/>
        </w:rPr>
        <w:t>a</w:t>
      </w:r>
      <w:r>
        <w:rPr>
          <w:rFonts w:ascii="Times New Roman" w:eastAsia="宋体" w:hAnsi="Times New Roman" w:cs="Times New Roman"/>
          <w:sz w:val="24"/>
        </w:rPr>
        <w:t>为平均吸声系数，本评价</w:t>
      </w:r>
      <w:r>
        <w:rPr>
          <w:rFonts w:ascii="Times New Roman" w:eastAsia="宋体" w:hAnsi="Times New Roman" w:cs="Times New Roman"/>
          <w:sz w:val="24"/>
        </w:rPr>
        <w:t>a</w:t>
      </w:r>
      <w:r>
        <w:rPr>
          <w:rFonts w:ascii="Times New Roman" w:eastAsia="宋体" w:hAnsi="Times New Roman" w:cs="Times New Roman"/>
          <w:sz w:val="24"/>
        </w:rPr>
        <w:t>取</w:t>
      </w:r>
      <w:r>
        <w:rPr>
          <w:rFonts w:ascii="Times New Roman" w:eastAsia="宋体" w:hAnsi="Times New Roman" w:cs="Times New Roman"/>
          <w:sz w:val="24"/>
        </w:rPr>
        <w:t>0.15</w:t>
      </w:r>
      <w:r>
        <w:rPr>
          <w:rFonts w:ascii="Times New Roman" w:eastAsia="宋体" w:hAnsi="Times New Roman" w:cs="Times New Roman"/>
          <w:sz w:val="24"/>
        </w:rPr>
        <w:t>。</w:t>
      </w:r>
    </w:p>
    <w:p w14:paraId="32B5EA8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r</w:t>
      </w:r>
      <w:r>
        <w:rPr>
          <w:rFonts w:ascii="Times New Roman" w:eastAsia="宋体" w:hAnsi="Times New Roman" w:cs="Times New Roman"/>
          <w:sz w:val="24"/>
        </w:rPr>
        <w:t>：声源到靠近围护结构某点处的距离，</w:t>
      </w:r>
      <w:r>
        <w:rPr>
          <w:rFonts w:ascii="Times New Roman" w:eastAsia="宋体" w:hAnsi="Times New Roman" w:cs="Times New Roman"/>
          <w:sz w:val="24"/>
        </w:rPr>
        <w:t>m</w:t>
      </w:r>
      <w:r>
        <w:rPr>
          <w:rFonts w:ascii="Times New Roman" w:eastAsia="宋体" w:hAnsi="Times New Roman" w:cs="Times New Roman"/>
          <w:sz w:val="24"/>
        </w:rPr>
        <w:t>。</w:t>
      </w:r>
    </w:p>
    <w:p w14:paraId="07F271D2"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③</w:t>
      </w:r>
      <w:r>
        <w:rPr>
          <w:rFonts w:ascii="Times New Roman" w:eastAsia="宋体" w:hAnsi="Times New Roman" w:cs="Times New Roman"/>
          <w:sz w:val="24"/>
        </w:rPr>
        <w:t>计算出所有室内声源在靠近围护结构处产生的总声压级：</w:t>
      </w:r>
    </w:p>
    <w:p w14:paraId="7B052AAD" w14:textId="77777777" w:rsidR="00D12939" w:rsidRDefault="004F47F5">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noProof/>
          <w:sz w:val="24"/>
        </w:rPr>
        <w:drawing>
          <wp:inline distT="0" distB="0" distL="0" distR="0">
            <wp:extent cx="2038350" cy="5619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038350" cy="561975"/>
                    </a:xfrm>
                    <a:prstGeom prst="rect">
                      <a:avLst/>
                    </a:prstGeom>
                    <a:noFill/>
                    <a:ln>
                      <a:noFill/>
                    </a:ln>
                  </pic:spPr>
                </pic:pic>
              </a:graphicData>
            </a:graphic>
          </wp:inline>
        </w:drawing>
      </w:r>
    </w:p>
    <w:p w14:paraId="10432131"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Lp1(T)</w:t>
      </w:r>
      <w:r>
        <w:rPr>
          <w:rFonts w:ascii="Times New Roman" w:eastAsia="宋体" w:hAnsi="Times New Roman" w:cs="Times New Roman"/>
          <w:sz w:val="24"/>
        </w:rPr>
        <w:t>：靠近围护结构处室内</w:t>
      </w:r>
      <w:r>
        <w:rPr>
          <w:rFonts w:ascii="Times New Roman" w:eastAsia="宋体" w:hAnsi="Times New Roman" w:cs="Times New Roman"/>
          <w:sz w:val="24"/>
        </w:rPr>
        <w:t>N</w:t>
      </w:r>
      <w:r>
        <w:rPr>
          <w:rFonts w:ascii="Times New Roman" w:eastAsia="宋体" w:hAnsi="Times New Roman" w:cs="Times New Roman"/>
          <w:sz w:val="24"/>
        </w:rPr>
        <w:t>个声源的叠加声压级，</w:t>
      </w:r>
      <w:r>
        <w:rPr>
          <w:rFonts w:ascii="Times New Roman" w:eastAsia="宋体" w:hAnsi="Times New Roman" w:cs="Times New Roman"/>
          <w:sz w:val="24"/>
        </w:rPr>
        <w:t>dB(A)</w:t>
      </w:r>
      <w:r>
        <w:rPr>
          <w:rFonts w:ascii="Times New Roman" w:eastAsia="宋体" w:hAnsi="Times New Roman" w:cs="Times New Roman"/>
          <w:sz w:val="24"/>
        </w:rPr>
        <w:t>；</w:t>
      </w:r>
    </w:p>
    <w:p w14:paraId="7A5D0F77"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Lp1.j</w:t>
      </w:r>
      <w:r>
        <w:rPr>
          <w:rFonts w:ascii="Times New Roman" w:eastAsia="宋体" w:hAnsi="Times New Roman" w:cs="Times New Roman"/>
          <w:sz w:val="24"/>
        </w:rPr>
        <w:t>：</w:t>
      </w:r>
      <w:r>
        <w:rPr>
          <w:rFonts w:ascii="Times New Roman" w:eastAsia="宋体" w:hAnsi="Times New Roman" w:cs="Times New Roman"/>
          <w:sz w:val="24"/>
        </w:rPr>
        <w:t>j</w:t>
      </w:r>
      <w:r>
        <w:rPr>
          <w:rFonts w:ascii="Times New Roman" w:eastAsia="宋体" w:hAnsi="Times New Roman" w:cs="Times New Roman"/>
          <w:sz w:val="24"/>
        </w:rPr>
        <w:t>声源的声压级，</w:t>
      </w:r>
      <w:r>
        <w:rPr>
          <w:rFonts w:ascii="Times New Roman" w:eastAsia="宋体" w:hAnsi="Times New Roman" w:cs="Times New Roman"/>
          <w:sz w:val="24"/>
        </w:rPr>
        <w:t>dB(A)</w:t>
      </w:r>
      <w:r>
        <w:rPr>
          <w:rFonts w:ascii="Times New Roman" w:eastAsia="宋体" w:hAnsi="Times New Roman" w:cs="Times New Roman"/>
          <w:sz w:val="24"/>
        </w:rPr>
        <w:t>；</w:t>
      </w:r>
    </w:p>
    <w:p w14:paraId="5F27510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N—</w:t>
      </w:r>
      <w:r>
        <w:rPr>
          <w:rFonts w:ascii="Times New Roman" w:eastAsia="宋体" w:hAnsi="Times New Roman" w:cs="Times New Roman"/>
          <w:sz w:val="24"/>
        </w:rPr>
        <w:t>室内声源总数。</w:t>
      </w:r>
    </w:p>
    <w:p w14:paraId="025D2D47"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lastRenderedPageBreak/>
        <w:t>④</w:t>
      </w:r>
      <w:r>
        <w:rPr>
          <w:rFonts w:ascii="Times New Roman" w:eastAsia="宋体" w:hAnsi="Times New Roman" w:cs="Times New Roman"/>
          <w:sz w:val="24"/>
        </w:rPr>
        <w:t>计算出室外靠近围护结构处的声压级：</w:t>
      </w:r>
    </w:p>
    <w:p w14:paraId="4B9EB032" w14:textId="77777777" w:rsidR="00D12939" w:rsidRDefault="004F47F5">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noProof/>
          <w:sz w:val="24"/>
        </w:rPr>
        <w:drawing>
          <wp:inline distT="0" distB="0" distL="0" distR="0">
            <wp:extent cx="2162175" cy="276225"/>
            <wp:effectExtent l="0" t="0" r="9525"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162175" cy="276225"/>
                    </a:xfrm>
                    <a:prstGeom prst="rect">
                      <a:avLst/>
                    </a:prstGeom>
                    <a:noFill/>
                    <a:ln>
                      <a:noFill/>
                    </a:ln>
                  </pic:spPr>
                </pic:pic>
              </a:graphicData>
            </a:graphic>
          </wp:inline>
        </w:drawing>
      </w:r>
    </w:p>
    <w:p w14:paraId="21DA38D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式中：</w:t>
      </w:r>
    </w:p>
    <w:p w14:paraId="4BC49129" w14:textId="77777777" w:rsidR="00D12939" w:rsidRDefault="004F47F5">
      <w:pPr>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L</w:t>
      </w:r>
      <w:r>
        <w:rPr>
          <w:rFonts w:ascii="Times New Roman" w:eastAsia="宋体" w:hAnsi="Times New Roman" w:cs="Times New Roman"/>
          <w:sz w:val="24"/>
          <w:vertAlign w:val="subscript"/>
        </w:rPr>
        <w:t>p2i</w:t>
      </w:r>
      <w:r>
        <w:rPr>
          <w:rFonts w:ascii="Times New Roman" w:eastAsia="宋体" w:hAnsi="Times New Roman" w:cs="Times New Roman"/>
          <w:sz w:val="24"/>
        </w:rPr>
        <w:t>(T)</w:t>
      </w:r>
      <w:r>
        <w:rPr>
          <w:rFonts w:ascii="Times New Roman" w:eastAsia="宋体" w:hAnsi="Times New Roman" w:cs="Times New Roman"/>
          <w:sz w:val="24"/>
        </w:rPr>
        <w:t>：靠近围护结构处室外</w:t>
      </w:r>
      <w:r>
        <w:rPr>
          <w:rFonts w:ascii="Times New Roman" w:eastAsia="宋体" w:hAnsi="Times New Roman" w:cs="Times New Roman"/>
          <w:sz w:val="24"/>
        </w:rPr>
        <w:t xml:space="preserve"> N </w:t>
      </w:r>
      <w:r>
        <w:rPr>
          <w:rFonts w:ascii="Times New Roman" w:eastAsia="宋体" w:hAnsi="Times New Roman" w:cs="Times New Roman"/>
          <w:sz w:val="24"/>
        </w:rPr>
        <w:t>个声源</w:t>
      </w:r>
      <w:r>
        <w:rPr>
          <w:rFonts w:ascii="Times New Roman" w:eastAsia="宋体" w:hAnsi="Times New Roman" w:cs="Times New Roman"/>
          <w:sz w:val="24"/>
        </w:rPr>
        <w:t xml:space="preserve"> i </w:t>
      </w:r>
      <w:r>
        <w:rPr>
          <w:rFonts w:ascii="Times New Roman" w:eastAsia="宋体" w:hAnsi="Times New Roman" w:cs="Times New Roman"/>
          <w:sz w:val="24"/>
        </w:rPr>
        <w:t>倍频带的叠加声压级，</w:t>
      </w:r>
      <w:r>
        <w:rPr>
          <w:rFonts w:ascii="Times New Roman" w:eastAsia="宋体" w:hAnsi="Times New Roman" w:cs="Times New Roman"/>
          <w:sz w:val="24"/>
        </w:rPr>
        <w:t>dB</w:t>
      </w:r>
      <w:r>
        <w:rPr>
          <w:rFonts w:ascii="Times New Roman" w:eastAsia="宋体" w:hAnsi="Times New Roman" w:cs="Times New Roman"/>
          <w:sz w:val="24"/>
        </w:rPr>
        <w:t>；</w:t>
      </w:r>
    </w:p>
    <w:p w14:paraId="4F01BD0B" w14:textId="77777777" w:rsidR="00D12939" w:rsidRDefault="004F47F5">
      <w:pPr>
        <w:spacing w:line="360" w:lineRule="auto"/>
        <w:ind w:firstLineChars="200" w:firstLine="480"/>
        <w:jc w:val="left"/>
        <w:rPr>
          <w:rFonts w:ascii="Times New Roman" w:eastAsia="宋体" w:hAnsi="Times New Roman" w:cs="Times New Roman"/>
          <w:sz w:val="24"/>
        </w:rPr>
      </w:pPr>
      <w:r>
        <w:rPr>
          <w:rFonts w:ascii="Times New Roman" w:eastAsia="宋体" w:hAnsi="Times New Roman" w:cs="Times New Roman"/>
          <w:sz w:val="24"/>
        </w:rPr>
        <w:t>TL</w:t>
      </w:r>
      <w:r>
        <w:rPr>
          <w:rFonts w:ascii="Times New Roman" w:eastAsia="宋体" w:hAnsi="Times New Roman" w:cs="Times New Roman"/>
          <w:sz w:val="24"/>
          <w:vertAlign w:val="subscript"/>
        </w:rPr>
        <w:t>i</w:t>
      </w:r>
      <w:r>
        <w:rPr>
          <w:rFonts w:ascii="Times New Roman" w:eastAsia="宋体" w:hAnsi="Times New Roman" w:cs="Times New Roman"/>
          <w:sz w:val="24"/>
        </w:rPr>
        <w:t>；围护结构的隔声量，</w:t>
      </w:r>
      <w:r>
        <w:rPr>
          <w:rFonts w:ascii="Times New Roman" w:eastAsia="宋体" w:hAnsi="Times New Roman" w:cs="Times New Roman"/>
          <w:sz w:val="24"/>
        </w:rPr>
        <w:t>dB(A)</w:t>
      </w:r>
      <w:r>
        <w:rPr>
          <w:rFonts w:ascii="Times New Roman" w:eastAsia="宋体" w:hAnsi="Times New Roman" w:cs="Times New Roman"/>
          <w:sz w:val="24"/>
        </w:rPr>
        <w:t>。</w:t>
      </w:r>
    </w:p>
    <w:p w14:paraId="10BE1F19"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⑤</w:t>
      </w:r>
      <w:r>
        <w:rPr>
          <w:rFonts w:ascii="Times New Roman" w:eastAsia="宋体" w:hAnsi="Times New Roman" w:cs="Times New Roman"/>
          <w:sz w:val="24"/>
        </w:rPr>
        <w:t>将室外声级</w:t>
      </w:r>
      <w:r>
        <w:rPr>
          <w:rFonts w:ascii="Times New Roman" w:eastAsia="宋体" w:hAnsi="Times New Roman" w:cs="Times New Roman"/>
          <w:sz w:val="24"/>
        </w:rPr>
        <w:t>Lp2(T)</w:t>
      </w:r>
      <w:r>
        <w:rPr>
          <w:rFonts w:ascii="Times New Roman" w:eastAsia="宋体" w:hAnsi="Times New Roman" w:cs="Times New Roman"/>
          <w:sz w:val="24"/>
        </w:rPr>
        <w:t>和透声面积换算成等效的室外声源，计算出等效声源的声功率级</w:t>
      </w:r>
      <w:r>
        <w:rPr>
          <w:rFonts w:ascii="Times New Roman" w:eastAsia="宋体" w:hAnsi="Times New Roman" w:cs="Times New Roman"/>
          <w:sz w:val="24"/>
        </w:rPr>
        <w:t>LW</w:t>
      </w:r>
      <w:r>
        <w:rPr>
          <w:rFonts w:ascii="Times New Roman" w:eastAsia="宋体" w:hAnsi="Times New Roman" w:cs="Times New Roman"/>
          <w:sz w:val="24"/>
        </w:rPr>
        <w:t>；</w:t>
      </w:r>
    </w:p>
    <w:p w14:paraId="68BBBC39" w14:textId="77777777" w:rsidR="00D12939" w:rsidRDefault="004F47F5">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noProof/>
          <w:sz w:val="24"/>
        </w:rPr>
        <w:drawing>
          <wp:inline distT="0" distB="0" distL="0" distR="0">
            <wp:extent cx="1276350" cy="2476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276350" cy="247650"/>
                    </a:xfrm>
                    <a:prstGeom prst="rect">
                      <a:avLst/>
                    </a:prstGeom>
                    <a:noFill/>
                    <a:ln>
                      <a:noFill/>
                    </a:ln>
                  </pic:spPr>
                </pic:pic>
              </a:graphicData>
            </a:graphic>
          </wp:inline>
        </w:drawing>
      </w:r>
    </w:p>
    <w:p w14:paraId="0530D51D"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式中：</w:t>
      </w:r>
      <w:r>
        <w:rPr>
          <w:rFonts w:ascii="Times New Roman" w:eastAsia="宋体" w:hAnsi="Times New Roman" w:cs="Times New Roman"/>
          <w:sz w:val="24"/>
        </w:rPr>
        <w:t>s</w:t>
      </w:r>
      <w:r>
        <w:rPr>
          <w:rFonts w:ascii="Times New Roman" w:eastAsia="宋体" w:hAnsi="Times New Roman" w:cs="Times New Roman"/>
          <w:sz w:val="24"/>
        </w:rPr>
        <w:t>为透声面积，</w:t>
      </w:r>
      <w:r>
        <w:rPr>
          <w:rFonts w:ascii="Times New Roman" w:eastAsia="宋体" w:hAnsi="Times New Roman" w:cs="Times New Roman"/>
          <w:sz w:val="24"/>
        </w:rPr>
        <w:t>m²</w:t>
      </w:r>
      <w:r>
        <w:rPr>
          <w:rFonts w:ascii="Times New Roman" w:eastAsia="宋体" w:hAnsi="Times New Roman" w:cs="Times New Roman"/>
          <w:sz w:val="24"/>
        </w:rPr>
        <w:t>。</w:t>
      </w:r>
    </w:p>
    <w:p w14:paraId="3D6C7D6C"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hAnsi="宋体" w:cs="宋体" w:hint="eastAsia"/>
          <w:sz w:val="24"/>
        </w:rPr>
        <w:t>⑥</w:t>
      </w:r>
      <w:r>
        <w:rPr>
          <w:rFonts w:ascii="Times New Roman" w:eastAsia="宋体" w:hAnsi="Times New Roman" w:cs="Times New Roman"/>
          <w:sz w:val="24"/>
        </w:rPr>
        <w:t>等效室外声源的位置为围护结构的位置，其声功率级为</w:t>
      </w:r>
      <w:r>
        <w:rPr>
          <w:rFonts w:ascii="Times New Roman" w:eastAsia="宋体" w:hAnsi="Times New Roman" w:cs="Times New Roman"/>
          <w:sz w:val="24"/>
        </w:rPr>
        <w:t>Lw</w:t>
      </w:r>
      <w:r>
        <w:rPr>
          <w:rFonts w:ascii="Times New Roman" w:eastAsia="宋体" w:hAnsi="Times New Roman" w:cs="Times New Roman"/>
          <w:sz w:val="24"/>
        </w:rPr>
        <w:t>，由此按室外声源方法计算等效室外声源在预测点产生的</w:t>
      </w:r>
      <w:r>
        <w:rPr>
          <w:rFonts w:ascii="Times New Roman" w:eastAsia="宋体" w:hAnsi="Times New Roman" w:cs="Times New Roman"/>
          <w:sz w:val="24"/>
        </w:rPr>
        <w:t>A</w:t>
      </w:r>
      <w:r>
        <w:rPr>
          <w:rFonts w:ascii="Times New Roman" w:eastAsia="宋体" w:hAnsi="Times New Roman" w:cs="Times New Roman"/>
          <w:sz w:val="24"/>
        </w:rPr>
        <w:t>声级。</w:t>
      </w:r>
    </w:p>
    <w:p w14:paraId="06146171"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 xml:space="preserve">7.3.1.3 </w:t>
      </w:r>
      <w:r>
        <w:rPr>
          <w:rFonts w:ascii="宋体" w:eastAsia="宋体" w:hAnsi="宋体" w:hint="eastAsia"/>
          <w:sz w:val="24"/>
        </w:rPr>
        <w:t>室外声源</w:t>
      </w:r>
    </w:p>
    <w:p w14:paraId="56EAF14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计算某个声源在预测点的声压级</w:t>
      </w:r>
    </w:p>
    <w:p w14:paraId="0E375111" w14:textId="77777777" w:rsidR="00D12939" w:rsidRDefault="004F47F5">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noProof/>
          <w:sz w:val="24"/>
        </w:rPr>
        <w:drawing>
          <wp:inline distT="0" distB="0" distL="0" distR="0">
            <wp:extent cx="1162050" cy="2476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162050" cy="247650"/>
                    </a:xfrm>
                    <a:prstGeom prst="rect">
                      <a:avLst/>
                    </a:prstGeom>
                    <a:noFill/>
                    <a:ln>
                      <a:noFill/>
                    </a:ln>
                  </pic:spPr>
                </pic:pic>
              </a:graphicData>
            </a:graphic>
          </wp:inline>
        </w:drawing>
      </w:r>
    </w:p>
    <w:p w14:paraId="7B2DC0F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式中：</w:t>
      </w:r>
    </w:p>
    <w:p w14:paraId="2550514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L(r)</w:t>
      </w:r>
      <w:r>
        <w:rPr>
          <w:rFonts w:ascii="Times New Roman" w:eastAsia="宋体" w:hAnsi="Times New Roman" w:cs="Times New Roman"/>
          <w:sz w:val="24"/>
        </w:rPr>
        <w:t>：点声源在预测点产生的声压级，</w:t>
      </w:r>
      <w:r>
        <w:rPr>
          <w:rFonts w:ascii="Times New Roman" w:eastAsia="宋体" w:hAnsi="Times New Roman" w:cs="Times New Roman"/>
          <w:sz w:val="24"/>
        </w:rPr>
        <w:t>dB(A)</w:t>
      </w:r>
      <w:r>
        <w:rPr>
          <w:rFonts w:ascii="Times New Roman" w:eastAsia="宋体" w:hAnsi="Times New Roman" w:cs="Times New Roman"/>
          <w:sz w:val="24"/>
        </w:rPr>
        <w:t>；</w:t>
      </w:r>
    </w:p>
    <w:p w14:paraId="154B7F71"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L(r0)</w:t>
      </w:r>
      <w:r>
        <w:rPr>
          <w:rFonts w:ascii="Times New Roman" w:eastAsia="宋体" w:hAnsi="Times New Roman" w:cs="Times New Roman"/>
          <w:sz w:val="24"/>
        </w:rPr>
        <w:t>：参考位置</w:t>
      </w:r>
      <w:r>
        <w:rPr>
          <w:rFonts w:ascii="Times New Roman" w:eastAsia="宋体" w:hAnsi="Times New Roman" w:cs="Times New Roman"/>
          <w:sz w:val="24"/>
        </w:rPr>
        <w:t>r0</w:t>
      </w:r>
      <w:r>
        <w:rPr>
          <w:rFonts w:ascii="Times New Roman" w:eastAsia="宋体" w:hAnsi="Times New Roman" w:cs="Times New Roman"/>
          <w:sz w:val="24"/>
        </w:rPr>
        <w:t>处的声压级，</w:t>
      </w:r>
      <w:r>
        <w:rPr>
          <w:rFonts w:ascii="Times New Roman" w:eastAsia="宋体" w:hAnsi="Times New Roman" w:cs="Times New Roman"/>
          <w:sz w:val="24"/>
        </w:rPr>
        <w:t>dB(A)</w:t>
      </w:r>
      <w:r>
        <w:rPr>
          <w:rFonts w:ascii="Times New Roman" w:eastAsia="宋体" w:hAnsi="Times New Roman" w:cs="Times New Roman"/>
          <w:sz w:val="24"/>
        </w:rPr>
        <w:t>；</w:t>
      </w:r>
    </w:p>
    <w:p w14:paraId="0C64D9B0"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r</w:t>
      </w:r>
      <w:r>
        <w:rPr>
          <w:rFonts w:ascii="Times New Roman" w:eastAsia="宋体" w:hAnsi="Times New Roman" w:cs="Times New Roman"/>
          <w:sz w:val="24"/>
        </w:rPr>
        <w:t>：预测点距声源的距离，</w:t>
      </w:r>
      <w:r>
        <w:rPr>
          <w:rFonts w:ascii="Times New Roman" w:eastAsia="宋体" w:hAnsi="Times New Roman" w:cs="Times New Roman"/>
          <w:sz w:val="24"/>
        </w:rPr>
        <w:t>m</w:t>
      </w:r>
      <w:r>
        <w:rPr>
          <w:rFonts w:ascii="Times New Roman" w:eastAsia="宋体" w:hAnsi="Times New Roman" w:cs="Times New Roman"/>
          <w:sz w:val="24"/>
        </w:rPr>
        <w:t>；</w:t>
      </w:r>
    </w:p>
    <w:p w14:paraId="13FFDAEE"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r0</w:t>
      </w:r>
      <w:r>
        <w:rPr>
          <w:rFonts w:ascii="Times New Roman" w:eastAsia="宋体" w:hAnsi="Times New Roman" w:cs="Times New Roman"/>
          <w:sz w:val="24"/>
        </w:rPr>
        <w:t>：参考位置距声源的距离，</w:t>
      </w:r>
      <w:r>
        <w:rPr>
          <w:rFonts w:ascii="Times New Roman" w:eastAsia="宋体" w:hAnsi="Times New Roman" w:cs="Times New Roman"/>
          <w:sz w:val="24"/>
        </w:rPr>
        <w:t>m</w:t>
      </w:r>
      <w:r>
        <w:rPr>
          <w:rFonts w:ascii="Times New Roman" w:eastAsia="宋体" w:hAnsi="Times New Roman" w:cs="Times New Roman"/>
          <w:sz w:val="24"/>
        </w:rPr>
        <w:t>；</w:t>
      </w:r>
    </w:p>
    <w:p w14:paraId="597E937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A</w:t>
      </w:r>
      <w:r>
        <w:rPr>
          <w:rFonts w:ascii="Times New Roman" w:eastAsia="宋体" w:hAnsi="Times New Roman" w:cs="Times New Roman"/>
          <w:sz w:val="24"/>
        </w:rPr>
        <w:t>：各种因素引起的衰减量（包括几何发散衰减、声屏障衰减，其计算方法详见</w:t>
      </w:r>
      <w:r>
        <w:rPr>
          <w:rFonts w:ascii="Times New Roman" w:eastAsia="宋体" w:hAnsi="Times New Roman" w:cs="Times New Roman"/>
          <w:sz w:val="24"/>
        </w:rPr>
        <w:t>“</w:t>
      </w:r>
      <w:r>
        <w:rPr>
          <w:rFonts w:ascii="Times New Roman" w:eastAsia="宋体" w:hAnsi="Times New Roman" w:cs="Times New Roman"/>
          <w:sz w:val="24"/>
        </w:rPr>
        <w:t>导则</w:t>
      </w:r>
      <w:r>
        <w:rPr>
          <w:rFonts w:ascii="Times New Roman" w:eastAsia="宋体" w:hAnsi="Times New Roman" w:cs="Times New Roman"/>
          <w:sz w:val="24"/>
        </w:rPr>
        <w:t>”</w:t>
      </w:r>
      <w:r>
        <w:rPr>
          <w:rFonts w:ascii="Times New Roman" w:eastAsia="宋体" w:hAnsi="Times New Roman" w:cs="Times New Roman"/>
          <w:sz w:val="24"/>
        </w:rPr>
        <w:t>正文）。</w:t>
      </w:r>
    </w:p>
    <w:p w14:paraId="67EBD5C7"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 xml:space="preserve">7.3.1.4 </w:t>
      </w:r>
      <w:r>
        <w:rPr>
          <w:rFonts w:ascii="宋体" w:eastAsia="宋体" w:hAnsi="宋体" w:hint="eastAsia"/>
          <w:sz w:val="24"/>
        </w:rPr>
        <w:t>计算总声压级</w:t>
      </w:r>
    </w:p>
    <w:p w14:paraId="5D75312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设第</w:t>
      </w:r>
      <w:r>
        <w:rPr>
          <w:rFonts w:ascii="Times New Roman" w:eastAsia="宋体" w:hAnsi="Times New Roman" w:cs="Times New Roman"/>
          <w:sz w:val="24"/>
        </w:rPr>
        <w:t>i</w:t>
      </w:r>
      <w:r>
        <w:rPr>
          <w:rFonts w:ascii="Times New Roman" w:eastAsia="宋体" w:hAnsi="Times New Roman" w:cs="Times New Roman"/>
          <w:sz w:val="24"/>
        </w:rPr>
        <w:t>个室外声源在预测点产生的</w:t>
      </w:r>
      <w:r>
        <w:rPr>
          <w:rFonts w:ascii="Times New Roman" w:eastAsia="宋体" w:hAnsi="Times New Roman" w:cs="Times New Roman"/>
          <w:sz w:val="24"/>
        </w:rPr>
        <w:t>A</w:t>
      </w:r>
      <w:r>
        <w:rPr>
          <w:rFonts w:ascii="Times New Roman" w:eastAsia="宋体" w:hAnsi="Times New Roman" w:cs="Times New Roman"/>
          <w:sz w:val="24"/>
        </w:rPr>
        <w:t>声级为</w:t>
      </w:r>
      <w:r>
        <w:rPr>
          <w:rFonts w:ascii="Times New Roman" w:eastAsia="宋体" w:hAnsi="Times New Roman" w:cs="Times New Roman"/>
          <w:sz w:val="24"/>
        </w:rPr>
        <w:t>LA,i</w:t>
      </w:r>
      <w:r>
        <w:rPr>
          <w:rFonts w:ascii="Times New Roman" w:eastAsia="宋体" w:hAnsi="Times New Roman" w:cs="Times New Roman"/>
          <w:sz w:val="24"/>
        </w:rPr>
        <w:t>，在</w:t>
      </w:r>
      <w:r>
        <w:rPr>
          <w:rFonts w:ascii="Times New Roman" w:eastAsia="宋体" w:hAnsi="Times New Roman" w:cs="Times New Roman"/>
          <w:sz w:val="24"/>
        </w:rPr>
        <w:t>T</w:t>
      </w:r>
      <w:r>
        <w:rPr>
          <w:rFonts w:ascii="Times New Roman" w:eastAsia="宋体" w:hAnsi="Times New Roman" w:cs="Times New Roman"/>
          <w:sz w:val="24"/>
        </w:rPr>
        <w:t>时间内该声源工作时间为</w:t>
      </w:r>
      <w:r>
        <w:rPr>
          <w:rFonts w:ascii="Times New Roman" w:eastAsia="宋体" w:hAnsi="Times New Roman" w:cs="Times New Roman"/>
          <w:sz w:val="24"/>
        </w:rPr>
        <w:t>ti</w:t>
      </w:r>
      <w:r>
        <w:rPr>
          <w:rFonts w:ascii="Times New Roman" w:eastAsia="宋体" w:hAnsi="Times New Roman" w:cs="Times New Roman"/>
          <w:sz w:val="24"/>
        </w:rPr>
        <w:t>；第</w:t>
      </w:r>
      <w:r>
        <w:rPr>
          <w:rFonts w:ascii="Times New Roman" w:eastAsia="宋体" w:hAnsi="Times New Roman" w:cs="Times New Roman"/>
          <w:sz w:val="24"/>
        </w:rPr>
        <w:t>j</w:t>
      </w:r>
      <w:r>
        <w:rPr>
          <w:rFonts w:ascii="Times New Roman" w:eastAsia="宋体" w:hAnsi="Times New Roman" w:cs="Times New Roman"/>
          <w:sz w:val="24"/>
        </w:rPr>
        <w:t>个等效室外声源在预测点产生的</w:t>
      </w:r>
      <w:r>
        <w:rPr>
          <w:rFonts w:ascii="Times New Roman" w:eastAsia="宋体" w:hAnsi="Times New Roman" w:cs="Times New Roman"/>
          <w:sz w:val="24"/>
        </w:rPr>
        <w:t>A</w:t>
      </w:r>
      <w:r>
        <w:rPr>
          <w:rFonts w:ascii="Times New Roman" w:eastAsia="宋体" w:hAnsi="Times New Roman" w:cs="Times New Roman"/>
          <w:sz w:val="24"/>
        </w:rPr>
        <w:t>声级为</w:t>
      </w:r>
      <w:r>
        <w:rPr>
          <w:rFonts w:ascii="Times New Roman" w:eastAsia="宋体" w:hAnsi="Times New Roman" w:cs="Times New Roman"/>
          <w:sz w:val="24"/>
        </w:rPr>
        <w:t>LAj</w:t>
      </w:r>
      <w:r>
        <w:rPr>
          <w:rFonts w:ascii="Times New Roman" w:eastAsia="宋体" w:hAnsi="Times New Roman" w:cs="Times New Roman"/>
          <w:sz w:val="24"/>
        </w:rPr>
        <w:t>，在</w:t>
      </w:r>
      <w:r>
        <w:rPr>
          <w:rFonts w:ascii="Times New Roman" w:eastAsia="宋体" w:hAnsi="Times New Roman" w:cs="Times New Roman"/>
          <w:sz w:val="24"/>
        </w:rPr>
        <w:t>T</w:t>
      </w:r>
      <w:r>
        <w:rPr>
          <w:rFonts w:ascii="Times New Roman" w:eastAsia="宋体" w:hAnsi="Times New Roman" w:cs="Times New Roman"/>
          <w:sz w:val="24"/>
        </w:rPr>
        <w:t>时间内该声源工作时间为</w:t>
      </w:r>
      <w:r>
        <w:rPr>
          <w:rFonts w:ascii="Times New Roman" w:eastAsia="宋体" w:hAnsi="Times New Roman" w:cs="Times New Roman"/>
          <w:sz w:val="24"/>
        </w:rPr>
        <w:t>tj</w:t>
      </w:r>
      <w:r>
        <w:rPr>
          <w:rFonts w:ascii="Times New Roman" w:eastAsia="宋体" w:hAnsi="Times New Roman" w:cs="Times New Roman"/>
          <w:sz w:val="24"/>
        </w:rPr>
        <w:t>，则拟建工程声源对预测点产生的贡献值（</w:t>
      </w:r>
      <w:r>
        <w:rPr>
          <w:rFonts w:ascii="Times New Roman" w:eastAsia="宋体" w:hAnsi="Times New Roman" w:cs="Times New Roman"/>
          <w:sz w:val="24"/>
        </w:rPr>
        <w:t>Leqg</w:t>
      </w:r>
      <w:r>
        <w:rPr>
          <w:rFonts w:ascii="Times New Roman" w:eastAsia="宋体" w:hAnsi="Times New Roman" w:cs="Times New Roman"/>
          <w:sz w:val="24"/>
        </w:rPr>
        <w:t>）为：</w:t>
      </w:r>
    </w:p>
    <w:p w14:paraId="73EC44D1" w14:textId="77777777" w:rsidR="00D12939" w:rsidRDefault="004F47F5">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noProof/>
          <w:sz w:val="24"/>
        </w:rPr>
        <w:drawing>
          <wp:inline distT="0" distB="0" distL="0" distR="0">
            <wp:extent cx="2638425" cy="4762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638425" cy="476250"/>
                    </a:xfrm>
                    <a:prstGeom prst="rect">
                      <a:avLst/>
                    </a:prstGeom>
                    <a:noFill/>
                    <a:ln>
                      <a:noFill/>
                    </a:ln>
                  </pic:spPr>
                </pic:pic>
              </a:graphicData>
            </a:graphic>
          </wp:inline>
        </w:drawing>
      </w:r>
    </w:p>
    <w:p w14:paraId="4A18EBF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式中：</w:t>
      </w:r>
    </w:p>
    <w:p w14:paraId="3921BEF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tj</w:t>
      </w:r>
      <w:r>
        <w:rPr>
          <w:rFonts w:ascii="Times New Roman" w:eastAsia="宋体" w:hAnsi="Times New Roman" w:cs="Times New Roman"/>
          <w:sz w:val="24"/>
        </w:rPr>
        <w:t>：在</w:t>
      </w:r>
      <w:r>
        <w:rPr>
          <w:rFonts w:ascii="Times New Roman" w:eastAsia="宋体" w:hAnsi="Times New Roman" w:cs="Times New Roman"/>
          <w:sz w:val="24"/>
        </w:rPr>
        <w:t>T</w:t>
      </w:r>
      <w:r>
        <w:rPr>
          <w:rFonts w:ascii="Times New Roman" w:eastAsia="宋体" w:hAnsi="Times New Roman" w:cs="Times New Roman"/>
          <w:sz w:val="24"/>
        </w:rPr>
        <w:t>时间内</w:t>
      </w:r>
      <w:r>
        <w:rPr>
          <w:rFonts w:ascii="Times New Roman" w:eastAsia="宋体" w:hAnsi="Times New Roman" w:cs="Times New Roman"/>
          <w:sz w:val="24"/>
        </w:rPr>
        <w:t>j</w:t>
      </w:r>
      <w:r>
        <w:rPr>
          <w:rFonts w:ascii="Times New Roman" w:eastAsia="宋体" w:hAnsi="Times New Roman" w:cs="Times New Roman"/>
          <w:sz w:val="24"/>
        </w:rPr>
        <w:t>声源工作时间，</w:t>
      </w:r>
      <w:r>
        <w:rPr>
          <w:rFonts w:ascii="Times New Roman" w:eastAsia="宋体" w:hAnsi="Times New Roman" w:cs="Times New Roman"/>
          <w:sz w:val="24"/>
        </w:rPr>
        <w:t>s</w:t>
      </w:r>
      <w:r>
        <w:rPr>
          <w:rFonts w:ascii="Times New Roman" w:eastAsia="宋体" w:hAnsi="Times New Roman" w:cs="Times New Roman"/>
          <w:sz w:val="24"/>
        </w:rPr>
        <w:t>；</w:t>
      </w:r>
    </w:p>
    <w:p w14:paraId="5EA71DA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lastRenderedPageBreak/>
        <w:t>ti</w:t>
      </w:r>
      <w:r>
        <w:rPr>
          <w:rFonts w:ascii="Times New Roman" w:eastAsia="宋体" w:hAnsi="Times New Roman" w:cs="Times New Roman"/>
          <w:sz w:val="24"/>
        </w:rPr>
        <w:t>：在</w:t>
      </w:r>
      <w:r>
        <w:rPr>
          <w:rFonts w:ascii="Times New Roman" w:eastAsia="宋体" w:hAnsi="Times New Roman" w:cs="Times New Roman"/>
          <w:sz w:val="24"/>
        </w:rPr>
        <w:t>T</w:t>
      </w:r>
      <w:r>
        <w:rPr>
          <w:rFonts w:ascii="Times New Roman" w:eastAsia="宋体" w:hAnsi="Times New Roman" w:cs="Times New Roman"/>
          <w:sz w:val="24"/>
        </w:rPr>
        <w:t>时间内</w:t>
      </w:r>
      <w:r>
        <w:rPr>
          <w:rFonts w:ascii="Times New Roman" w:eastAsia="宋体" w:hAnsi="Times New Roman" w:cs="Times New Roman"/>
          <w:sz w:val="24"/>
        </w:rPr>
        <w:t>i</w:t>
      </w:r>
      <w:r>
        <w:rPr>
          <w:rFonts w:ascii="Times New Roman" w:eastAsia="宋体" w:hAnsi="Times New Roman" w:cs="Times New Roman"/>
          <w:sz w:val="24"/>
        </w:rPr>
        <w:t>声源工作时间，</w:t>
      </w:r>
      <w:r>
        <w:rPr>
          <w:rFonts w:ascii="Times New Roman" w:eastAsia="宋体" w:hAnsi="Times New Roman" w:cs="Times New Roman"/>
          <w:sz w:val="24"/>
        </w:rPr>
        <w:t>s</w:t>
      </w:r>
      <w:r>
        <w:rPr>
          <w:rFonts w:ascii="Times New Roman" w:eastAsia="宋体" w:hAnsi="Times New Roman" w:cs="Times New Roman"/>
          <w:sz w:val="24"/>
        </w:rPr>
        <w:t>；</w:t>
      </w:r>
    </w:p>
    <w:p w14:paraId="4C2A9F4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T</w:t>
      </w:r>
      <w:r>
        <w:rPr>
          <w:rFonts w:ascii="Times New Roman" w:eastAsia="宋体" w:hAnsi="Times New Roman" w:cs="Times New Roman"/>
          <w:sz w:val="24"/>
        </w:rPr>
        <w:t>：用于计算等效声级的时间，</w:t>
      </w:r>
      <w:r>
        <w:rPr>
          <w:rFonts w:ascii="Times New Roman" w:eastAsia="宋体" w:hAnsi="Times New Roman" w:cs="Times New Roman"/>
          <w:sz w:val="24"/>
        </w:rPr>
        <w:t>s</w:t>
      </w:r>
      <w:r>
        <w:rPr>
          <w:rFonts w:ascii="Times New Roman" w:eastAsia="宋体" w:hAnsi="Times New Roman" w:cs="Times New Roman"/>
          <w:sz w:val="24"/>
        </w:rPr>
        <w:t>；</w:t>
      </w:r>
    </w:p>
    <w:p w14:paraId="1A2C9B4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N</w:t>
      </w:r>
      <w:r>
        <w:rPr>
          <w:rFonts w:ascii="Times New Roman" w:eastAsia="宋体" w:hAnsi="Times New Roman" w:cs="Times New Roman"/>
          <w:sz w:val="24"/>
        </w:rPr>
        <w:t>；室外声源个数；</w:t>
      </w:r>
    </w:p>
    <w:p w14:paraId="3C4D55F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M</w:t>
      </w:r>
      <w:r>
        <w:rPr>
          <w:rFonts w:ascii="Times New Roman" w:eastAsia="宋体" w:hAnsi="Times New Roman" w:cs="Times New Roman"/>
          <w:sz w:val="24"/>
        </w:rPr>
        <w:t>：等效室外声源个数。</w:t>
      </w:r>
    </w:p>
    <w:p w14:paraId="7DE7015F" w14:textId="77777777" w:rsidR="00D12939" w:rsidRDefault="004F47F5">
      <w:pPr>
        <w:pStyle w:val="4"/>
        <w:spacing w:before="0" w:after="0" w:line="360" w:lineRule="auto"/>
        <w:ind w:firstLineChars="200" w:firstLine="482"/>
        <w:rPr>
          <w:rFonts w:ascii="宋体" w:eastAsia="宋体" w:hAnsi="宋体"/>
          <w:sz w:val="24"/>
        </w:rPr>
      </w:pPr>
      <w:bookmarkStart w:id="492" w:name="_Toc57798934"/>
      <w:r>
        <w:rPr>
          <w:rFonts w:ascii="宋体" w:eastAsia="宋体" w:hAnsi="宋体"/>
          <w:sz w:val="24"/>
        </w:rPr>
        <w:t xml:space="preserve">7.3.1.5 </w:t>
      </w:r>
      <w:r>
        <w:rPr>
          <w:rFonts w:ascii="宋体" w:eastAsia="宋体" w:hAnsi="宋体" w:hint="eastAsia"/>
          <w:sz w:val="24"/>
        </w:rPr>
        <w:t>预测因子、预测时段、预测方案</w:t>
      </w:r>
      <w:bookmarkEnd w:id="492"/>
    </w:p>
    <w:p w14:paraId="222C9F4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）预测因子：等效连续</w:t>
      </w:r>
      <w:r>
        <w:rPr>
          <w:rFonts w:ascii="Times New Roman" w:eastAsia="宋体" w:hAnsi="Times New Roman" w:cs="Times New Roman"/>
          <w:sz w:val="24"/>
        </w:rPr>
        <w:t>A</w:t>
      </w:r>
      <w:r>
        <w:rPr>
          <w:rFonts w:ascii="Times New Roman" w:eastAsia="宋体" w:hAnsi="Times New Roman" w:cs="Times New Roman"/>
          <w:sz w:val="24"/>
        </w:rPr>
        <w:t>声级</w:t>
      </w:r>
      <w:r>
        <w:rPr>
          <w:rFonts w:ascii="Times New Roman" w:eastAsia="宋体" w:hAnsi="Times New Roman" w:cs="Times New Roman"/>
          <w:sz w:val="24"/>
        </w:rPr>
        <w:t>Leq</w:t>
      </w:r>
      <w:r>
        <w:rPr>
          <w:rFonts w:ascii="Times New Roman" w:eastAsia="宋体" w:hAnsi="Times New Roman" w:cs="Times New Roman"/>
          <w:sz w:val="24"/>
        </w:rPr>
        <w:t>（</w:t>
      </w:r>
      <w:r>
        <w:rPr>
          <w:rFonts w:ascii="Times New Roman" w:eastAsia="宋体" w:hAnsi="Times New Roman" w:cs="Times New Roman"/>
          <w:sz w:val="24"/>
        </w:rPr>
        <w:t>A</w:t>
      </w:r>
      <w:r>
        <w:rPr>
          <w:rFonts w:ascii="Times New Roman" w:eastAsia="宋体" w:hAnsi="Times New Roman" w:cs="Times New Roman"/>
          <w:sz w:val="24"/>
        </w:rPr>
        <w:t>）。</w:t>
      </w:r>
    </w:p>
    <w:p w14:paraId="24E689A9"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）评价水平年：项目建成投产运行年份。</w:t>
      </w:r>
    </w:p>
    <w:p w14:paraId="3B3BD45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）预测方案：本次预测按照最不利情况考虑，即所有设备昼间同时连续运行的情况进行预测，预测昼</w:t>
      </w:r>
      <w:r>
        <w:rPr>
          <w:rFonts w:ascii="Times New Roman" w:eastAsia="宋体" w:hAnsi="Times New Roman" w:cs="Times New Roman" w:hint="eastAsia"/>
          <w:sz w:val="24"/>
        </w:rPr>
        <w:t>夜间</w:t>
      </w:r>
      <w:r>
        <w:rPr>
          <w:rFonts w:ascii="Times New Roman" w:eastAsia="宋体" w:hAnsi="Times New Roman" w:cs="Times New Roman"/>
          <w:sz w:val="24"/>
        </w:rPr>
        <w:t>厂界达标情况。</w:t>
      </w:r>
    </w:p>
    <w:p w14:paraId="014DCD13"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93" w:name="_Toc57798935"/>
      <w:bookmarkStart w:id="494" w:name="_Toc121411774"/>
      <w:r>
        <w:rPr>
          <w:rFonts w:ascii="Times New Roman" w:eastAsia="黑体" w:hAnsi="Times New Roman" w:cs="Times New Roman"/>
          <w:b w:val="0"/>
          <w:sz w:val="24"/>
        </w:rPr>
        <w:t xml:space="preserve">7.3.2 </w:t>
      </w:r>
      <w:r>
        <w:rPr>
          <w:rFonts w:ascii="Times New Roman" w:eastAsia="黑体" w:hAnsi="Times New Roman" w:cs="Times New Roman" w:hint="eastAsia"/>
          <w:b w:val="0"/>
          <w:sz w:val="24"/>
        </w:rPr>
        <w:t>输入清单</w:t>
      </w:r>
      <w:bookmarkEnd w:id="493"/>
      <w:bookmarkEnd w:id="494"/>
    </w:p>
    <w:p w14:paraId="20C0FF9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①移动噪声源</w:t>
      </w:r>
    </w:p>
    <w:p w14:paraId="271AD5D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垃圾填埋场区作业设备均为移动设备，并且多为单独作业，作业时间为昼间一班制，作业地点为垃圾填埋场填埋区，本项目尽量选用低噪声设备，预测中考虑声波几何发散引起的衰减、填埋场区边界</w:t>
      </w:r>
      <w:r>
        <w:rPr>
          <w:rFonts w:ascii="Times New Roman" w:eastAsia="宋体" w:hAnsi="Times New Roman" w:cs="Times New Roman"/>
          <w:sz w:val="24"/>
        </w:rPr>
        <w:t>绿化带引起的声级衰减量，对空气</w:t>
      </w:r>
      <w:r>
        <w:rPr>
          <w:rFonts w:ascii="Times New Roman" w:eastAsia="宋体" w:hAnsi="Times New Roman" w:cs="Times New Roman" w:hint="eastAsia"/>
          <w:sz w:val="24"/>
        </w:rPr>
        <w:t>吸收引起的声级衰减量和附加衰减量忽略不计。根据垃圾填埋场平面布置，垃圾填埋区距离场界的距离为</w:t>
      </w:r>
      <w:r>
        <w:rPr>
          <w:rFonts w:ascii="Times New Roman" w:eastAsia="宋体" w:hAnsi="Times New Roman" w:cs="Times New Roman"/>
          <w:sz w:val="24"/>
        </w:rPr>
        <w:t xml:space="preserve">20~98m </w:t>
      </w:r>
      <w:r>
        <w:rPr>
          <w:rFonts w:ascii="Times New Roman" w:eastAsia="宋体" w:hAnsi="Times New Roman" w:cs="Times New Roman"/>
          <w:sz w:val="24"/>
        </w:rPr>
        <w:t>不等。根据《环境噪声与振动控制工程技术导则》（</w:t>
      </w:r>
      <w:r>
        <w:rPr>
          <w:rFonts w:ascii="Times New Roman" w:eastAsia="宋体" w:hAnsi="Times New Roman" w:cs="Times New Roman"/>
          <w:sz w:val="24"/>
        </w:rPr>
        <w:t>HJ2034-2013</w:t>
      </w:r>
      <w:r>
        <w:rPr>
          <w:rFonts w:ascii="Times New Roman" w:eastAsia="宋体" w:hAnsi="Times New Roman" w:cs="Times New Roman"/>
          <w:sz w:val="24"/>
        </w:rPr>
        <w:t>），各类施工机械噪声源强见表</w:t>
      </w:r>
      <w:r>
        <w:rPr>
          <w:rFonts w:ascii="Times New Roman" w:eastAsia="宋体" w:hAnsi="Times New Roman" w:cs="Times New Roman"/>
          <w:sz w:val="24"/>
        </w:rPr>
        <w:t>7.3-1</w:t>
      </w:r>
      <w:r>
        <w:rPr>
          <w:rFonts w:ascii="Times New Roman" w:eastAsia="宋体" w:hAnsi="Times New Roman" w:cs="Times New Roman"/>
          <w:sz w:val="24"/>
        </w:rPr>
        <w:t>。</w:t>
      </w:r>
    </w:p>
    <w:p w14:paraId="4B8B94F4" w14:textId="77777777" w:rsidR="00D12939" w:rsidRDefault="004F47F5">
      <w:pPr>
        <w:pStyle w:val="affffffffffffd"/>
        <w:spacing w:line="360" w:lineRule="auto"/>
        <w:jc w:val="right"/>
      </w:pPr>
      <w:r>
        <w:t>表</w:t>
      </w:r>
      <w:r>
        <w:t>7.3-1</w:t>
      </w:r>
      <w:r>
        <w:rPr>
          <w:rFonts w:hint="eastAsia"/>
        </w:rPr>
        <w:t xml:space="preserve">  </w:t>
      </w:r>
      <w:r>
        <w:t>项目主要施工设备噪声源噪声强度一览表</w:t>
      </w:r>
      <w:r>
        <w:rPr>
          <w:rFonts w:hint="eastAsia"/>
        </w:rPr>
        <w:t xml:space="preserve"> </w:t>
      </w:r>
      <w:r>
        <w:t xml:space="preserve">  </w:t>
      </w:r>
      <w:r>
        <w:t>单位：</w:t>
      </w:r>
      <w:r>
        <w:t>dB(A)</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3238"/>
        <w:gridCol w:w="3239"/>
        <w:gridCol w:w="3239"/>
      </w:tblGrid>
      <w:tr w:rsidR="00D12939" w14:paraId="75C6EAE9" w14:textId="77777777">
        <w:tc>
          <w:tcPr>
            <w:tcW w:w="1666" w:type="pct"/>
            <w:vAlign w:val="center"/>
          </w:tcPr>
          <w:p w14:paraId="44DE3B08"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施工设备</w:t>
            </w:r>
          </w:p>
        </w:tc>
        <w:tc>
          <w:tcPr>
            <w:tcW w:w="1667" w:type="pct"/>
            <w:vAlign w:val="center"/>
          </w:tcPr>
          <w:p w14:paraId="1C8B70BC"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距声源</w:t>
            </w:r>
            <w:r>
              <w:rPr>
                <w:rFonts w:ascii="Times New Roman" w:eastAsia="宋体" w:hAnsi="Times New Roman"/>
              </w:rPr>
              <w:t>5m</w:t>
            </w:r>
          </w:p>
        </w:tc>
        <w:tc>
          <w:tcPr>
            <w:tcW w:w="1667" w:type="pct"/>
            <w:vAlign w:val="center"/>
          </w:tcPr>
          <w:p w14:paraId="2C709312"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距声源</w:t>
            </w:r>
            <w:r>
              <w:rPr>
                <w:rFonts w:ascii="Times New Roman" w:eastAsia="宋体" w:hAnsi="Times New Roman"/>
              </w:rPr>
              <w:t>10m</w:t>
            </w:r>
          </w:p>
        </w:tc>
      </w:tr>
      <w:tr w:rsidR="00D12939" w14:paraId="09974108" w14:textId="77777777">
        <w:trPr>
          <w:trHeight w:val="95"/>
        </w:trPr>
        <w:tc>
          <w:tcPr>
            <w:tcW w:w="1666" w:type="pct"/>
            <w:vAlign w:val="center"/>
          </w:tcPr>
          <w:p w14:paraId="6B2ED086"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推土机</w:t>
            </w:r>
          </w:p>
        </w:tc>
        <w:tc>
          <w:tcPr>
            <w:tcW w:w="1667" w:type="pct"/>
            <w:vAlign w:val="center"/>
          </w:tcPr>
          <w:p w14:paraId="7E028376"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82~90</w:t>
            </w:r>
          </w:p>
        </w:tc>
        <w:tc>
          <w:tcPr>
            <w:tcW w:w="1667" w:type="pct"/>
            <w:vAlign w:val="center"/>
          </w:tcPr>
          <w:p w14:paraId="417A3D87"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78~86</w:t>
            </w:r>
          </w:p>
        </w:tc>
      </w:tr>
      <w:tr w:rsidR="00D12939" w14:paraId="425717B4" w14:textId="77777777">
        <w:trPr>
          <w:trHeight w:val="56"/>
        </w:trPr>
        <w:tc>
          <w:tcPr>
            <w:tcW w:w="1666" w:type="pct"/>
            <w:vAlign w:val="center"/>
          </w:tcPr>
          <w:p w14:paraId="0AA69358"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自卸卡车</w:t>
            </w:r>
          </w:p>
        </w:tc>
        <w:tc>
          <w:tcPr>
            <w:tcW w:w="1667" w:type="pct"/>
            <w:vAlign w:val="center"/>
          </w:tcPr>
          <w:p w14:paraId="336F5CBA"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82~90</w:t>
            </w:r>
          </w:p>
        </w:tc>
        <w:tc>
          <w:tcPr>
            <w:tcW w:w="1667" w:type="pct"/>
            <w:vAlign w:val="center"/>
          </w:tcPr>
          <w:p w14:paraId="52452988"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78~86</w:t>
            </w:r>
          </w:p>
        </w:tc>
      </w:tr>
      <w:tr w:rsidR="00D12939" w14:paraId="732F1337" w14:textId="77777777">
        <w:trPr>
          <w:trHeight w:val="54"/>
        </w:trPr>
        <w:tc>
          <w:tcPr>
            <w:tcW w:w="1666" w:type="pct"/>
            <w:vAlign w:val="center"/>
          </w:tcPr>
          <w:p w14:paraId="2235314E"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压实机</w:t>
            </w:r>
          </w:p>
        </w:tc>
        <w:tc>
          <w:tcPr>
            <w:tcW w:w="1667" w:type="pct"/>
            <w:vAlign w:val="center"/>
          </w:tcPr>
          <w:p w14:paraId="6DB139CD"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82~90</w:t>
            </w:r>
          </w:p>
        </w:tc>
        <w:tc>
          <w:tcPr>
            <w:tcW w:w="1667" w:type="pct"/>
            <w:vAlign w:val="center"/>
          </w:tcPr>
          <w:p w14:paraId="43035DB7"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78~86</w:t>
            </w:r>
          </w:p>
        </w:tc>
      </w:tr>
      <w:tr w:rsidR="00D12939" w14:paraId="11654190" w14:textId="77777777">
        <w:trPr>
          <w:trHeight w:val="54"/>
        </w:trPr>
        <w:tc>
          <w:tcPr>
            <w:tcW w:w="1666" w:type="pct"/>
            <w:vAlign w:val="center"/>
          </w:tcPr>
          <w:p w14:paraId="700107BC"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转载机</w:t>
            </w:r>
          </w:p>
        </w:tc>
        <w:tc>
          <w:tcPr>
            <w:tcW w:w="1667" w:type="pct"/>
            <w:vAlign w:val="center"/>
          </w:tcPr>
          <w:p w14:paraId="7292A0B8"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83~88</w:t>
            </w:r>
          </w:p>
        </w:tc>
        <w:tc>
          <w:tcPr>
            <w:tcW w:w="1667" w:type="pct"/>
            <w:vAlign w:val="center"/>
          </w:tcPr>
          <w:p w14:paraId="7E2CA28F"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80~85</w:t>
            </w:r>
          </w:p>
        </w:tc>
      </w:tr>
      <w:tr w:rsidR="00D12939" w14:paraId="1073EF17" w14:textId="77777777">
        <w:trPr>
          <w:trHeight w:val="70"/>
        </w:trPr>
        <w:tc>
          <w:tcPr>
            <w:tcW w:w="1666" w:type="pct"/>
            <w:vAlign w:val="center"/>
          </w:tcPr>
          <w:p w14:paraId="7490DD4B"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洒水车</w:t>
            </w:r>
          </w:p>
        </w:tc>
        <w:tc>
          <w:tcPr>
            <w:tcW w:w="1667" w:type="pct"/>
            <w:vAlign w:val="center"/>
          </w:tcPr>
          <w:p w14:paraId="748677FC" w14:textId="77777777" w:rsidR="00D12939" w:rsidRDefault="004F47F5">
            <w:pPr>
              <w:pStyle w:val="afffff8"/>
              <w:spacing w:before="0" w:after="0" w:line="240" w:lineRule="auto"/>
              <w:ind w:firstLineChars="0" w:firstLine="0"/>
              <w:jc w:val="center"/>
              <w:rPr>
                <w:rFonts w:ascii="Times New Roman" w:hAnsi="Times New Roman"/>
              </w:rPr>
            </w:pPr>
            <w:r>
              <w:rPr>
                <w:rFonts w:ascii="Times New Roman" w:hAnsi="Times New Roman"/>
              </w:rPr>
              <w:t>72~78</w:t>
            </w:r>
          </w:p>
        </w:tc>
        <w:tc>
          <w:tcPr>
            <w:tcW w:w="1667" w:type="pct"/>
            <w:vAlign w:val="center"/>
          </w:tcPr>
          <w:p w14:paraId="65B5F48F" w14:textId="77777777" w:rsidR="00D12939" w:rsidRDefault="004F47F5">
            <w:pPr>
              <w:pStyle w:val="afffff8"/>
              <w:spacing w:before="0" w:after="0" w:line="240" w:lineRule="auto"/>
              <w:ind w:firstLineChars="0" w:firstLine="0"/>
              <w:jc w:val="center"/>
              <w:rPr>
                <w:rFonts w:ascii="Times New Roman" w:hAnsi="Times New Roman"/>
              </w:rPr>
            </w:pPr>
            <w:r>
              <w:rPr>
                <w:rFonts w:ascii="Times New Roman" w:hAnsi="Times New Roman"/>
              </w:rPr>
              <w:t>70~75</w:t>
            </w:r>
          </w:p>
        </w:tc>
      </w:tr>
      <w:tr w:rsidR="00D12939" w14:paraId="24BB18DA" w14:textId="77777777">
        <w:trPr>
          <w:trHeight w:val="70"/>
        </w:trPr>
        <w:tc>
          <w:tcPr>
            <w:tcW w:w="1666" w:type="pct"/>
            <w:vAlign w:val="center"/>
          </w:tcPr>
          <w:p w14:paraId="4AA7F05D"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管理用车</w:t>
            </w:r>
          </w:p>
        </w:tc>
        <w:tc>
          <w:tcPr>
            <w:tcW w:w="1667" w:type="pct"/>
            <w:vAlign w:val="center"/>
          </w:tcPr>
          <w:p w14:paraId="27BD03AB" w14:textId="77777777" w:rsidR="00D12939" w:rsidRDefault="004F47F5">
            <w:pPr>
              <w:pStyle w:val="afffff8"/>
              <w:spacing w:before="0" w:after="0" w:line="240" w:lineRule="auto"/>
              <w:ind w:firstLineChars="0" w:firstLine="0"/>
              <w:jc w:val="center"/>
              <w:rPr>
                <w:rFonts w:ascii="Times New Roman" w:hAnsi="Times New Roman"/>
              </w:rPr>
            </w:pPr>
            <w:r>
              <w:rPr>
                <w:rFonts w:ascii="Times New Roman" w:hAnsi="Times New Roman"/>
              </w:rPr>
              <w:t>72~78</w:t>
            </w:r>
          </w:p>
        </w:tc>
        <w:tc>
          <w:tcPr>
            <w:tcW w:w="1667" w:type="pct"/>
            <w:vAlign w:val="center"/>
          </w:tcPr>
          <w:p w14:paraId="19426F78" w14:textId="77777777" w:rsidR="00D12939" w:rsidRDefault="004F47F5">
            <w:pPr>
              <w:pStyle w:val="afffff8"/>
              <w:spacing w:before="0" w:after="0" w:line="240" w:lineRule="auto"/>
              <w:ind w:firstLineChars="0" w:firstLine="0"/>
              <w:jc w:val="center"/>
              <w:rPr>
                <w:rFonts w:ascii="Times New Roman" w:hAnsi="Times New Roman"/>
              </w:rPr>
            </w:pPr>
            <w:r>
              <w:rPr>
                <w:rFonts w:ascii="Times New Roman" w:hAnsi="Times New Roman"/>
              </w:rPr>
              <w:t>70~75</w:t>
            </w:r>
          </w:p>
        </w:tc>
      </w:tr>
      <w:tr w:rsidR="00D12939" w14:paraId="3515FD92" w14:textId="77777777">
        <w:trPr>
          <w:trHeight w:val="70"/>
        </w:trPr>
        <w:tc>
          <w:tcPr>
            <w:tcW w:w="1666" w:type="pct"/>
            <w:vAlign w:val="center"/>
          </w:tcPr>
          <w:p w14:paraId="38B516E6"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槽罐车</w:t>
            </w:r>
          </w:p>
        </w:tc>
        <w:tc>
          <w:tcPr>
            <w:tcW w:w="1667" w:type="pct"/>
            <w:vAlign w:val="center"/>
          </w:tcPr>
          <w:p w14:paraId="163C35C5" w14:textId="77777777" w:rsidR="00D12939" w:rsidRDefault="004F47F5">
            <w:pPr>
              <w:pStyle w:val="afffff8"/>
              <w:spacing w:before="0" w:after="0" w:line="240" w:lineRule="auto"/>
              <w:ind w:firstLineChars="0" w:firstLine="0"/>
              <w:jc w:val="center"/>
              <w:rPr>
                <w:rFonts w:ascii="Times New Roman" w:hAnsi="Times New Roman"/>
              </w:rPr>
            </w:pPr>
            <w:r>
              <w:rPr>
                <w:rFonts w:ascii="Times New Roman" w:hAnsi="Times New Roman"/>
              </w:rPr>
              <w:t>72~78</w:t>
            </w:r>
          </w:p>
        </w:tc>
        <w:tc>
          <w:tcPr>
            <w:tcW w:w="1667" w:type="pct"/>
            <w:vAlign w:val="center"/>
          </w:tcPr>
          <w:p w14:paraId="1EE79398" w14:textId="77777777" w:rsidR="00D12939" w:rsidRDefault="004F47F5">
            <w:pPr>
              <w:pStyle w:val="afffff8"/>
              <w:spacing w:before="0" w:after="0" w:line="240" w:lineRule="auto"/>
              <w:ind w:firstLineChars="0" w:firstLine="0"/>
              <w:jc w:val="center"/>
              <w:rPr>
                <w:rFonts w:ascii="Times New Roman" w:hAnsi="Times New Roman"/>
              </w:rPr>
            </w:pPr>
            <w:r>
              <w:rPr>
                <w:rFonts w:ascii="Times New Roman" w:hAnsi="Times New Roman"/>
              </w:rPr>
              <w:t>70~75</w:t>
            </w:r>
          </w:p>
        </w:tc>
      </w:tr>
    </w:tbl>
    <w:p w14:paraId="27AD8B3A"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cs="宋体" w:hint="eastAsia"/>
          <w:kern w:val="0"/>
          <w:sz w:val="24"/>
          <w:szCs w:val="24"/>
        </w:rPr>
        <w:t>②固定噪声源</w:t>
      </w:r>
    </w:p>
    <w:p w14:paraId="47C30AF5" w14:textId="77777777" w:rsidR="00D12939" w:rsidRDefault="004F47F5">
      <w:pPr>
        <w:spacing w:line="360" w:lineRule="auto"/>
        <w:ind w:firstLineChars="200" w:firstLine="480"/>
        <w:rPr>
          <w:rFonts w:ascii="Times New Roman" w:eastAsia="宋体" w:hAnsi="Times New Roman" w:cs="Times New Roman"/>
          <w:sz w:val="24"/>
        </w:rPr>
      </w:pPr>
      <w:r>
        <w:rPr>
          <w:rFonts w:ascii="宋体" w:eastAsia="宋体" w:cs="宋体" w:hint="eastAsia"/>
          <w:kern w:val="0"/>
          <w:sz w:val="24"/>
          <w:szCs w:val="24"/>
        </w:rPr>
        <w:t>垃圾填埋场污水处理区设备噪声源强参数及距离厂界的距离见</w:t>
      </w:r>
      <w:r>
        <w:rPr>
          <w:rFonts w:ascii="Times New Roman" w:eastAsia="宋体" w:hAnsi="Times New Roman" w:cs="Times New Roman" w:hint="eastAsia"/>
          <w:sz w:val="24"/>
        </w:rPr>
        <w:t>表</w:t>
      </w:r>
      <w:r>
        <w:rPr>
          <w:rFonts w:ascii="Times New Roman" w:eastAsia="宋体" w:hAnsi="Times New Roman" w:cs="Times New Roman"/>
          <w:sz w:val="24"/>
        </w:rPr>
        <w:t>7.3-2</w:t>
      </w:r>
      <w:r>
        <w:rPr>
          <w:rFonts w:ascii="Times New Roman" w:eastAsia="宋体" w:hAnsi="Times New Roman" w:cs="Times New Roman" w:hint="eastAsia"/>
          <w:sz w:val="24"/>
        </w:rPr>
        <w:t>及表</w:t>
      </w:r>
      <w:r>
        <w:rPr>
          <w:rFonts w:ascii="Times New Roman" w:eastAsia="宋体" w:hAnsi="Times New Roman" w:cs="Times New Roman"/>
          <w:sz w:val="24"/>
        </w:rPr>
        <w:t>7.3-3</w:t>
      </w:r>
      <w:r>
        <w:rPr>
          <w:rFonts w:ascii="Times New Roman" w:eastAsia="宋体" w:hAnsi="Times New Roman" w:cs="Times New Roman" w:hint="eastAsia"/>
          <w:sz w:val="24"/>
        </w:rPr>
        <w:t>，厂界预测点位坐标见表</w:t>
      </w:r>
      <w:r>
        <w:rPr>
          <w:rFonts w:ascii="Times New Roman" w:eastAsia="宋体" w:hAnsi="Times New Roman" w:cs="Times New Roman"/>
          <w:sz w:val="24"/>
        </w:rPr>
        <w:t>7.3-4</w:t>
      </w:r>
      <w:r>
        <w:rPr>
          <w:rFonts w:ascii="Times New Roman" w:eastAsia="宋体" w:hAnsi="Times New Roman" w:cs="Times New Roman" w:hint="eastAsia"/>
          <w:sz w:val="24"/>
        </w:rPr>
        <w:t>。</w:t>
      </w:r>
    </w:p>
    <w:p w14:paraId="20883F82" w14:textId="77777777" w:rsidR="00D12939" w:rsidRDefault="00D12939">
      <w:pPr>
        <w:ind w:firstLine="480"/>
      </w:pPr>
    </w:p>
    <w:p w14:paraId="25F92449" w14:textId="77777777" w:rsidR="00D12939" w:rsidRDefault="00D12939">
      <w:pPr>
        <w:ind w:firstLine="480"/>
      </w:pPr>
    </w:p>
    <w:p w14:paraId="61F1D7FD" w14:textId="77777777" w:rsidR="00D12939" w:rsidRDefault="00D12939">
      <w:pPr>
        <w:ind w:firstLine="480"/>
      </w:pPr>
    </w:p>
    <w:p w14:paraId="15F7EC17" w14:textId="77777777" w:rsidR="00D12939" w:rsidRDefault="00D12939">
      <w:pPr>
        <w:ind w:firstLine="480"/>
      </w:pPr>
    </w:p>
    <w:p w14:paraId="6328E666" w14:textId="77777777" w:rsidR="00D12939" w:rsidRDefault="00D12939">
      <w:pPr>
        <w:ind w:firstLine="482"/>
        <w:rPr>
          <w:b/>
          <w:bCs/>
        </w:rPr>
        <w:sectPr w:rsidR="00D12939">
          <w:pgSz w:w="11906" w:h="16838"/>
          <w:pgMar w:top="1440" w:right="1080" w:bottom="1440" w:left="1080" w:header="851" w:footer="992" w:gutter="0"/>
          <w:cols w:space="720"/>
          <w:docGrid w:type="lines" w:linePitch="312"/>
        </w:sectPr>
      </w:pPr>
    </w:p>
    <w:p w14:paraId="331BD22A" w14:textId="77777777" w:rsidR="00D12939" w:rsidRDefault="004F47F5">
      <w:pPr>
        <w:pStyle w:val="affffffffffffd"/>
      </w:pPr>
      <w:r>
        <w:rPr>
          <w:rFonts w:hint="eastAsia"/>
        </w:rPr>
        <w:lastRenderedPageBreak/>
        <w:t>表</w:t>
      </w:r>
      <w:r>
        <w:t xml:space="preserve">7.3-2  </w:t>
      </w:r>
      <w:r>
        <w:rPr>
          <w:rFonts w:hint="eastAsia"/>
        </w:rPr>
        <w:t>工业企业噪声源强调查清单（室外声源）</w:t>
      </w:r>
    </w:p>
    <w:tbl>
      <w:tblPr>
        <w:tblW w:w="14376"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605"/>
        <w:gridCol w:w="2238"/>
        <w:gridCol w:w="903"/>
        <w:gridCol w:w="947"/>
        <w:gridCol w:w="845"/>
        <w:gridCol w:w="1115"/>
        <w:gridCol w:w="2116"/>
        <w:gridCol w:w="1099"/>
        <w:gridCol w:w="3309"/>
        <w:gridCol w:w="1199"/>
      </w:tblGrid>
      <w:tr w:rsidR="00D12939" w14:paraId="6B74AA8C" w14:textId="77777777">
        <w:trPr>
          <w:trHeight w:val="80"/>
          <w:jc w:val="center"/>
        </w:trPr>
        <w:tc>
          <w:tcPr>
            <w:tcW w:w="605" w:type="dxa"/>
            <w:vMerge w:val="restart"/>
            <w:tcBorders>
              <w:top w:val="single" w:sz="12" w:space="0" w:color="000000"/>
              <w:left w:val="single" w:sz="12" w:space="0" w:color="000000"/>
              <w:bottom w:val="single" w:sz="6" w:space="0" w:color="000000"/>
              <w:right w:val="single" w:sz="6" w:space="0" w:color="000000"/>
            </w:tcBorders>
            <w:vAlign w:val="center"/>
          </w:tcPr>
          <w:p w14:paraId="4D5A597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序号</w:t>
            </w:r>
          </w:p>
        </w:tc>
        <w:tc>
          <w:tcPr>
            <w:tcW w:w="2238" w:type="dxa"/>
            <w:vMerge w:val="restart"/>
            <w:tcBorders>
              <w:top w:val="single" w:sz="12" w:space="0" w:color="000000"/>
              <w:left w:val="single" w:sz="6" w:space="0" w:color="000000"/>
              <w:bottom w:val="single" w:sz="6" w:space="0" w:color="000000"/>
              <w:right w:val="single" w:sz="6" w:space="0" w:color="000000"/>
            </w:tcBorders>
            <w:vAlign w:val="center"/>
          </w:tcPr>
          <w:p w14:paraId="1E26292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声源名称</w:t>
            </w:r>
          </w:p>
        </w:tc>
        <w:tc>
          <w:tcPr>
            <w:tcW w:w="903" w:type="dxa"/>
            <w:vMerge w:val="restart"/>
            <w:tcBorders>
              <w:top w:val="single" w:sz="12" w:space="0" w:color="000000"/>
              <w:left w:val="single" w:sz="6" w:space="0" w:color="000000"/>
              <w:bottom w:val="single" w:sz="6" w:space="0" w:color="000000"/>
              <w:right w:val="single" w:sz="6" w:space="0" w:color="000000"/>
            </w:tcBorders>
            <w:vAlign w:val="center"/>
          </w:tcPr>
          <w:p w14:paraId="3904B21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型号</w:t>
            </w:r>
          </w:p>
        </w:tc>
        <w:tc>
          <w:tcPr>
            <w:tcW w:w="2907" w:type="dxa"/>
            <w:gridSpan w:val="3"/>
            <w:tcBorders>
              <w:top w:val="single" w:sz="12" w:space="0" w:color="000000"/>
              <w:left w:val="single" w:sz="6" w:space="0" w:color="000000"/>
              <w:bottom w:val="single" w:sz="6" w:space="0" w:color="000000"/>
              <w:right w:val="single" w:sz="6" w:space="0" w:color="000000"/>
            </w:tcBorders>
            <w:vAlign w:val="center"/>
          </w:tcPr>
          <w:p w14:paraId="0431647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空间相对位置</w:t>
            </w:r>
            <w:r>
              <w:rPr>
                <w:rFonts w:ascii="Times New Roman" w:eastAsia="宋体" w:hAnsi="Times New Roman"/>
                <w:sz w:val="21"/>
                <w:szCs w:val="21"/>
              </w:rPr>
              <w:t>/m</w:t>
            </w:r>
          </w:p>
        </w:tc>
        <w:tc>
          <w:tcPr>
            <w:tcW w:w="3215" w:type="dxa"/>
            <w:gridSpan w:val="2"/>
            <w:tcBorders>
              <w:top w:val="single" w:sz="12" w:space="0" w:color="000000"/>
              <w:left w:val="single" w:sz="6" w:space="0" w:color="000000"/>
              <w:bottom w:val="single" w:sz="6" w:space="0" w:color="000000"/>
              <w:right w:val="single" w:sz="6" w:space="0" w:color="000000"/>
            </w:tcBorders>
            <w:vAlign w:val="center"/>
          </w:tcPr>
          <w:p w14:paraId="75E8EF77"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声源源强（任选一种）</w:t>
            </w:r>
          </w:p>
        </w:tc>
        <w:tc>
          <w:tcPr>
            <w:tcW w:w="3309" w:type="dxa"/>
            <w:vMerge w:val="restart"/>
            <w:tcBorders>
              <w:top w:val="single" w:sz="12" w:space="0" w:color="000000"/>
              <w:left w:val="single" w:sz="6" w:space="0" w:color="000000"/>
              <w:bottom w:val="single" w:sz="6" w:space="0" w:color="000000"/>
              <w:right w:val="single" w:sz="6" w:space="0" w:color="000000"/>
            </w:tcBorders>
            <w:vAlign w:val="center"/>
          </w:tcPr>
          <w:p w14:paraId="0437A33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声源控制措施</w:t>
            </w:r>
          </w:p>
        </w:tc>
        <w:tc>
          <w:tcPr>
            <w:tcW w:w="1199" w:type="dxa"/>
            <w:vMerge w:val="restart"/>
            <w:tcBorders>
              <w:top w:val="single" w:sz="12" w:space="0" w:color="000000"/>
              <w:left w:val="single" w:sz="6" w:space="0" w:color="000000"/>
              <w:bottom w:val="single" w:sz="6" w:space="0" w:color="000000"/>
              <w:right w:val="single" w:sz="12" w:space="0" w:color="000000"/>
            </w:tcBorders>
            <w:vAlign w:val="center"/>
          </w:tcPr>
          <w:p w14:paraId="657C451F"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运行时段</w:t>
            </w:r>
          </w:p>
        </w:tc>
      </w:tr>
      <w:tr w:rsidR="00D12939" w14:paraId="3CD8E840" w14:textId="77777777">
        <w:trPr>
          <w:trHeight w:val="80"/>
          <w:jc w:val="center"/>
        </w:trPr>
        <w:tc>
          <w:tcPr>
            <w:tcW w:w="605" w:type="dxa"/>
            <w:vMerge/>
            <w:tcBorders>
              <w:top w:val="single" w:sz="12" w:space="0" w:color="000000"/>
              <w:left w:val="single" w:sz="12" w:space="0" w:color="000000"/>
              <w:bottom w:val="single" w:sz="6" w:space="0" w:color="000000"/>
              <w:right w:val="single" w:sz="6" w:space="0" w:color="000000"/>
            </w:tcBorders>
            <w:vAlign w:val="center"/>
          </w:tcPr>
          <w:p w14:paraId="75BFB97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2238" w:type="dxa"/>
            <w:vMerge/>
            <w:tcBorders>
              <w:top w:val="single" w:sz="12" w:space="0" w:color="000000"/>
              <w:left w:val="single" w:sz="6" w:space="0" w:color="000000"/>
              <w:bottom w:val="single" w:sz="6" w:space="0" w:color="000000"/>
              <w:right w:val="single" w:sz="6" w:space="0" w:color="000000"/>
            </w:tcBorders>
            <w:vAlign w:val="center"/>
          </w:tcPr>
          <w:p w14:paraId="573AE6C4"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903" w:type="dxa"/>
            <w:vMerge/>
            <w:tcBorders>
              <w:top w:val="single" w:sz="12" w:space="0" w:color="000000"/>
              <w:left w:val="single" w:sz="6" w:space="0" w:color="000000"/>
              <w:bottom w:val="single" w:sz="6" w:space="0" w:color="000000"/>
              <w:right w:val="single" w:sz="6" w:space="0" w:color="000000"/>
            </w:tcBorders>
            <w:vAlign w:val="center"/>
          </w:tcPr>
          <w:p w14:paraId="09B3D3A2"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947" w:type="dxa"/>
            <w:tcBorders>
              <w:top w:val="single" w:sz="6" w:space="0" w:color="000000"/>
              <w:left w:val="single" w:sz="6" w:space="0" w:color="000000"/>
              <w:bottom w:val="single" w:sz="6" w:space="0" w:color="000000"/>
              <w:right w:val="single" w:sz="6" w:space="0" w:color="000000"/>
            </w:tcBorders>
            <w:vAlign w:val="center"/>
          </w:tcPr>
          <w:p w14:paraId="52CAACF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X</w:t>
            </w:r>
          </w:p>
        </w:tc>
        <w:tc>
          <w:tcPr>
            <w:tcW w:w="845" w:type="dxa"/>
            <w:tcBorders>
              <w:top w:val="single" w:sz="6" w:space="0" w:color="000000"/>
              <w:left w:val="single" w:sz="6" w:space="0" w:color="000000"/>
              <w:bottom w:val="single" w:sz="6" w:space="0" w:color="000000"/>
              <w:right w:val="single" w:sz="6" w:space="0" w:color="000000"/>
            </w:tcBorders>
            <w:vAlign w:val="center"/>
          </w:tcPr>
          <w:p w14:paraId="4459712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Y</w:t>
            </w:r>
          </w:p>
        </w:tc>
        <w:tc>
          <w:tcPr>
            <w:tcW w:w="1115" w:type="dxa"/>
            <w:tcBorders>
              <w:top w:val="single" w:sz="6" w:space="0" w:color="000000"/>
              <w:left w:val="single" w:sz="6" w:space="0" w:color="000000"/>
              <w:bottom w:val="single" w:sz="6" w:space="0" w:color="000000"/>
              <w:right w:val="single" w:sz="6" w:space="0" w:color="000000"/>
            </w:tcBorders>
            <w:vAlign w:val="center"/>
          </w:tcPr>
          <w:p w14:paraId="365658E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Z</w:t>
            </w:r>
          </w:p>
        </w:tc>
        <w:tc>
          <w:tcPr>
            <w:tcW w:w="2116" w:type="dxa"/>
            <w:tcBorders>
              <w:top w:val="single" w:sz="6" w:space="0" w:color="000000"/>
              <w:left w:val="single" w:sz="6" w:space="0" w:color="000000"/>
              <w:bottom w:val="single" w:sz="6" w:space="0" w:color="000000"/>
              <w:right w:val="single" w:sz="6" w:space="0" w:color="000000"/>
            </w:tcBorders>
            <w:vAlign w:val="center"/>
          </w:tcPr>
          <w:p w14:paraId="299C91A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（声压级</w:t>
            </w:r>
            <w:r>
              <w:rPr>
                <w:rFonts w:ascii="Times New Roman" w:eastAsia="宋体" w:hAnsi="Times New Roman"/>
                <w:sz w:val="21"/>
                <w:szCs w:val="21"/>
              </w:rPr>
              <w:t>/</w:t>
            </w:r>
            <w:r>
              <w:rPr>
                <w:rFonts w:ascii="Times New Roman" w:eastAsia="宋体" w:hAnsi="Times New Roman"/>
                <w:sz w:val="21"/>
                <w:szCs w:val="21"/>
              </w:rPr>
              <w:t>距声源距离）</w:t>
            </w:r>
            <w:r>
              <w:rPr>
                <w:rFonts w:ascii="Times New Roman" w:eastAsia="宋体" w:hAnsi="Times New Roman"/>
                <w:sz w:val="21"/>
                <w:szCs w:val="21"/>
              </w:rPr>
              <w:t>/</w:t>
            </w:r>
            <w:r>
              <w:rPr>
                <w:rFonts w:ascii="Times New Roman" w:eastAsia="宋体" w:hAnsi="Times New Roman"/>
                <w:sz w:val="21"/>
                <w:szCs w:val="21"/>
              </w:rPr>
              <w:t>（</w:t>
            </w:r>
            <w:r>
              <w:rPr>
                <w:rFonts w:ascii="Times New Roman" w:eastAsia="宋体" w:hAnsi="Times New Roman"/>
                <w:sz w:val="21"/>
                <w:szCs w:val="21"/>
              </w:rPr>
              <w:t>dB(A)/m</w:t>
            </w:r>
            <w:r>
              <w:rPr>
                <w:rFonts w:ascii="Times New Roman" w:eastAsia="宋体" w:hAnsi="Times New Roman"/>
                <w:sz w:val="21"/>
                <w:szCs w:val="21"/>
              </w:rPr>
              <w:t>）</w:t>
            </w:r>
          </w:p>
        </w:tc>
        <w:tc>
          <w:tcPr>
            <w:tcW w:w="1099" w:type="dxa"/>
            <w:tcBorders>
              <w:top w:val="single" w:sz="6" w:space="0" w:color="000000"/>
              <w:left w:val="single" w:sz="6" w:space="0" w:color="000000"/>
              <w:bottom w:val="single" w:sz="6" w:space="0" w:color="000000"/>
              <w:right w:val="single" w:sz="6" w:space="0" w:color="000000"/>
            </w:tcBorders>
            <w:vAlign w:val="center"/>
          </w:tcPr>
          <w:p w14:paraId="768D3678"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声功率级</w:t>
            </w:r>
            <w:r>
              <w:rPr>
                <w:rFonts w:ascii="Times New Roman" w:eastAsia="宋体" w:hAnsi="Times New Roman"/>
                <w:sz w:val="21"/>
                <w:szCs w:val="21"/>
              </w:rPr>
              <w:t>/dB(A)</w:t>
            </w:r>
          </w:p>
        </w:tc>
        <w:tc>
          <w:tcPr>
            <w:tcW w:w="3309" w:type="dxa"/>
            <w:vMerge/>
            <w:tcBorders>
              <w:top w:val="single" w:sz="12" w:space="0" w:color="000000"/>
              <w:left w:val="single" w:sz="6" w:space="0" w:color="000000"/>
              <w:bottom w:val="single" w:sz="6" w:space="0" w:color="000000"/>
              <w:right w:val="single" w:sz="6" w:space="0" w:color="000000"/>
            </w:tcBorders>
            <w:vAlign w:val="center"/>
          </w:tcPr>
          <w:p w14:paraId="226F824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199" w:type="dxa"/>
            <w:vMerge/>
            <w:tcBorders>
              <w:top w:val="single" w:sz="12" w:space="0" w:color="000000"/>
              <w:left w:val="single" w:sz="6" w:space="0" w:color="000000"/>
              <w:bottom w:val="single" w:sz="6" w:space="0" w:color="000000"/>
              <w:right w:val="single" w:sz="12" w:space="0" w:color="000000"/>
            </w:tcBorders>
            <w:vAlign w:val="center"/>
          </w:tcPr>
          <w:p w14:paraId="2AE5617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r w:rsidR="00D12939" w14:paraId="6E5F77AD" w14:textId="77777777">
        <w:trPr>
          <w:trHeight w:val="80"/>
          <w:jc w:val="center"/>
        </w:trPr>
        <w:tc>
          <w:tcPr>
            <w:tcW w:w="605" w:type="dxa"/>
            <w:tcBorders>
              <w:top w:val="single" w:sz="6" w:space="0" w:color="000000"/>
              <w:left w:val="single" w:sz="12" w:space="0" w:color="000000"/>
              <w:bottom w:val="single" w:sz="6" w:space="0" w:color="000000"/>
              <w:right w:val="single" w:sz="6" w:space="0" w:color="000000"/>
            </w:tcBorders>
            <w:vAlign w:val="center"/>
          </w:tcPr>
          <w:p w14:paraId="6852A6C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w:t>
            </w:r>
          </w:p>
        </w:tc>
        <w:tc>
          <w:tcPr>
            <w:tcW w:w="2238" w:type="dxa"/>
            <w:tcBorders>
              <w:top w:val="single" w:sz="6" w:space="0" w:color="000000"/>
              <w:left w:val="single" w:sz="6" w:space="0" w:color="000000"/>
              <w:bottom w:val="single" w:sz="6" w:space="0" w:color="000000"/>
              <w:right w:val="single" w:sz="6" w:space="0" w:color="000000"/>
            </w:tcBorders>
            <w:vAlign w:val="center"/>
          </w:tcPr>
          <w:p w14:paraId="45D6189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风机</w:t>
            </w:r>
            <w:r>
              <w:rPr>
                <w:rFonts w:ascii="Times New Roman" w:eastAsia="宋体" w:hAnsi="Times New Roman" w:hint="eastAsia"/>
                <w:sz w:val="21"/>
                <w:szCs w:val="21"/>
              </w:rPr>
              <w:t>-</w:t>
            </w:r>
            <w:r>
              <w:rPr>
                <w:rFonts w:ascii="Times New Roman" w:eastAsia="宋体" w:hAnsi="Times New Roman"/>
                <w:sz w:val="21"/>
                <w:szCs w:val="21"/>
              </w:rPr>
              <w:t>1</w:t>
            </w:r>
          </w:p>
        </w:tc>
        <w:tc>
          <w:tcPr>
            <w:tcW w:w="903" w:type="dxa"/>
            <w:tcBorders>
              <w:top w:val="single" w:sz="6" w:space="0" w:color="000000"/>
              <w:left w:val="single" w:sz="6" w:space="0" w:color="000000"/>
              <w:bottom w:val="single" w:sz="6" w:space="0" w:color="000000"/>
              <w:right w:val="single" w:sz="6" w:space="0" w:color="000000"/>
            </w:tcBorders>
            <w:vAlign w:val="center"/>
          </w:tcPr>
          <w:p w14:paraId="4179ED9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w:t>
            </w:r>
          </w:p>
        </w:tc>
        <w:tc>
          <w:tcPr>
            <w:tcW w:w="947" w:type="dxa"/>
            <w:tcBorders>
              <w:top w:val="single" w:sz="6" w:space="0" w:color="000000"/>
              <w:left w:val="single" w:sz="6" w:space="0" w:color="000000"/>
              <w:bottom w:val="single" w:sz="6" w:space="0" w:color="000000"/>
              <w:right w:val="single" w:sz="6" w:space="0" w:color="000000"/>
            </w:tcBorders>
          </w:tcPr>
          <w:p w14:paraId="7D9D5F92" w14:textId="77777777" w:rsidR="00D12939" w:rsidRDefault="004F47F5">
            <w:pPr>
              <w:jc w:val="center"/>
              <w:rPr>
                <w:rFonts w:ascii="Times New Roman" w:hAnsi="Times New Roman" w:cs="Times New Roman"/>
              </w:rPr>
            </w:pPr>
            <w:r>
              <w:rPr>
                <w:rFonts w:ascii="Times New Roman" w:hAnsi="Times New Roman" w:cs="Times New Roman"/>
              </w:rPr>
              <w:t>-228</w:t>
            </w:r>
          </w:p>
        </w:tc>
        <w:tc>
          <w:tcPr>
            <w:tcW w:w="845" w:type="dxa"/>
            <w:tcBorders>
              <w:top w:val="single" w:sz="6" w:space="0" w:color="000000"/>
              <w:left w:val="single" w:sz="6" w:space="0" w:color="000000"/>
              <w:bottom w:val="single" w:sz="6" w:space="0" w:color="000000"/>
              <w:right w:val="single" w:sz="6" w:space="0" w:color="000000"/>
            </w:tcBorders>
          </w:tcPr>
          <w:p w14:paraId="19686571" w14:textId="77777777" w:rsidR="00D12939" w:rsidRDefault="004F47F5">
            <w:pPr>
              <w:jc w:val="center"/>
              <w:rPr>
                <w:rFonts w:ascii="Times New Roman" w:hAnsi="Times New Roman" w:cs="Times New Roman"/>
              </w:rPr>
            </w:pPr>
            <w:r>
              <w:rPr>
                <w:rFonts w:ascii="Times New Roman" w:hAnsi="Times New Roman" w:cs="Times New Roman"/>
              </w:rPr>
              <w:t>382</w:t>
            </w:r>
          </w:p>
        </w:tc>
        <w:tc>
          <w:tcPr>
            <w:tcW w:w="1115" w:type="dxa"/>
            <w:tcBorders>
              <w:top w:val="single" w:sz="6" w:space="0" w:color="000000"/>
              <w:left w:val="single" w:sz="6" w:space="0" w:color="000000"/>
              <w:bottom w:val="single" w:sz="6" w:space="0" w:color="000000"/>
              <w:right w:val="single" w:sz="6" w:space="0" w:color="000000"/>
            </w:tcBorders>
            <w:vAlign w:val="center"/>
          </w:tcPr>
          <w:p w14:paraId="55086E3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w:t>
            </w:r>
          </w:p>
        </w:tc>
        <w:tc>
          <w:tcPr>
            <w:tcW w:w="2116" w:type="dxa"/>
            <w:tcBorders>
              <w:top w:val="single" w:sz="6" w:space="0" w:color="000000"/>
              <w:left w:val="single" w:sz="6" w:space="0" w:color="000000"/>
              <w:bottom w:val="single" w:sz="6" w:space="0" w:color="000000"/>
              <w:right w:val="single" w:sz="6" w:space="0" w:color="000000"/>
            </w:tcBorders>
            <w:vAlign w:val="center"/>
          </w:tcPr>
          <w:p w14:paraId="3F7885A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75/1</w:t>
            </w:r>
          </w:p>
        </w:tc>
        <w:tc>
          <w:tcPr>
            <w:tcW w:w="1099" w:type="dxa"/>
            <w:tcBorders>
              <w:top w:val="single" w:sz="6" w:space="0" w:color="000000"/>
              <w:left w:val="single" w:sz="6" w:space="0" w:color="000000"/>
              <w:bottom w:val="single" w:sz="6" w:space="0" w:color="000000"/>
              <w:right w:val="single" w:sz="6" w:space="0" w:color="000000"/>
            </w:tcBorders>
            <w:vAlign w:val="center"/>
          </w:tcPr>
          <w:p w14:paraId="0DAD0DF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w:t>
            </w:r>
          </w:p>
        </w:tc>
        <w:tc>
          <w:tcPr>
            <w:tcW w:w="3309" w:type="dxa"/>
            <w:tcBorders>
              <w:top w:val="single" w:sz="6" w:space="0" w:color="000000"/>
              <w:left w:val="single" w:sz="6" w:space="0" w:color="000000"/>
              <w:bottom w:val="single" w:sz="6" w:space="0" w:color="000000"/>
              <w:right w:val="single" w:sz="6" w:space="0" w:color="000000"/>
            </w:tcBorders>
            <w:vAlign w:val="center"/>
          </w:tcPr>
          <w:p w14:paraId="42FCDD6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隔声罩、消声器、基础减振</w:t>
            </w:r>
          </w:p>
        </w:tc>
        <w:tc>
          <w:tcPr>
            <w:tcW w:w="1199" w:type="dxa"/>
            <w:tcBorders>
              <w:top w:val="single" w:sz="6" w:space="0" w:color="000000"/>
              <w:left w:val="single" w:sz="6" w:space="0" w:color="000000"/>
              <w:bottom w:val="single" w:sz="6" w:space="0" w:color="000000"/>
              <w:right w:val="single" w:sz="12" w:space="0" w:color="000000"/>
            </w:tcBorders>
            <w:vAlign w:val="center"/>
          </w:tcPr>
          <w:p w14:paraId="79C7504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全天</w:t>
            </w:r>
          </w:p>
        </w:tc>
      </w:tr>
      <w:tr w:rsidR="00D12939" w14:paraId="36217F98" w14:textId="77777777">
        <w:trPr>
          <w:trHeight w:val="80"/>
          <w:jc w:val="center"/>
        </w:trPr>
        <w:tc>
          <w:tcPr>
            <w:tcW w:w="605" w:type="dxa"/>
            <w:tcBorders>
              <w:top w:val="single" w:sz="6" w:space="0" w:color="000000"/>
              <w:left w:val="single" w:sz="12" w:space="0" w:color="000000"/>
              <w:bottom w:val="single" w:sz="6" w:space="0" w:color="000000"/>
              <w:right w:val="single" w:sz="6" w:space="0" w:color="000000"/>
            </w:tcBorders>
            <w:vAlign w:val="center"/>
          </w:tcPr>
          <w:p w14:paraId="5F7F179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2</w:t>
            </w:r>
          </w:p>
        </w:tc>
        <w:tc>
          <w:tcPr>
            <w:tcW w:w="2238" w:type="dxa"/>
            <w:tcBorders>
              <w:top w:val="single" w:sz="6" w:space="0" w:color="000000"/>
              <w:left w:val="single" w:sz="6" w:space="0" w:color="000000"/>
              <w:bottom w:val="single" w:sz="6" w:space="0" w:color="000000"/>
              <w:right w:val="single" w:sz="6" w:space="0" w:color="000000"/>
            </w:tcBorders>
            <w:vAlign w:val="center"/>
          </w:tcPr>
          <w:p w14:paraId="29B7E8E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风机</w:t>
            </w:r>
            <w:r>
              <w:rPr>
                <w:rFonts w:ascii="Times New Roman" w:eastAsia="宋体" w:hAnsi="Times New Roman" w:hint="eastAsia"/>
                <w:sz w:val="21"/>
                <w:szCs w:val="21"/>
              </w:rPr>
              <w:t>-</w:t>
            </w:r>
            <w:r>
              <w:rPr>
                <w:rFonts w:ascii="Times New Roman" w:eastAsia="宋体" w:hAnsi="Times New Roman"/>
                <w:sz w:val="21"/>
                <w:szCs w:val="21"/>
              </w:rPr>
              <w:t>2</w:t>
            </w:r>
          </w:p>
        </w:tc>
        <w:tc>
          <w:tcPr>
            <w:tcW w:w="903" w:type="dxa"/>
            <w:tcBorders>
              <w:top w:val="single" w:sz="6" w:space="0" w:color="000000"/>
              <w:left w:val="single" w:sz="6" w:space="0" w:color="000000"/>
              <w:bottom w:val="single" w:sz="6" w:space="0" w:color="000000"/>
              <w:right w:val="single" w:sz="6" w:space="0" w:color="000000"/>
            </w:tcBorders>
            <w:vAlign w:val="center"/>
          </w:tcPr>
          <w:p w14:paraId="0F6F780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w:t>
            </w:r>
          </w:p>
        </w:tc>
        <w:tc>
          <w:tcPr>
            <w:tcW w:w="947" w:type="dxa"/>
            <w:tcBorders>
              <w:top w:val="single" w:sz="6" w:space="0" w:color="000000"/>
              <w:left w:val="single" w:sz="6" w:space="0" w:color="000000"/>
              <w:bottom w:val="single" w:sz="6" w:space="0" w:color="000000"/>
              <w:right w:val="single" w:sz="6" w:space="0" w:color="000000"/>
            </w:tcBorders>
          </w:tcPr>
          <w:p w14:paraId="425BA923" w14:textId="77777777" w:rsidR="00D12939" w:rsidRDefault="004F47F5">
            <w:pPr>
              <w:jc w:val="center"/>
              <w:rPr>
                <w:rFonts w:ascii="Times New Roman" w:hAnsi="Times New Roman" w:cs="Times New Roman"/>
              </w:rPr>
            </w:pPr>
            <w:r>
              <w:rPr>
                <w:rFonts w:ascii="Times New Roman" w:hAnsi="Times New Roman" w:cs="Times New Roman"/>
              </w:rPr>
              <w:t>-231</w:t>
            </w:r>
          </w:p>
        </w:tc>
        <w:tc>
          <w:tcPr>
            <w:tcW w:w="845" w:type="dxa"/>
            <w:tcBorders>
              <w:top w:val="single" w:sz="6" w:space="0" w:color="000000"/>
              <w:left w:val="single" w:sz="6" w:space="0" w:color="000000"/>
              <w:bottom w:val="single" w:sz="6" w:space="0" w:color="000000"/>
              <w:right w:val="single" w:sz="6" w:space="0" w:color="000000"/>
            </w:tcBorders>
          </w:tcPr>
          <w:p w14:paraId="51747756" w14:textId="77777777" w:rsidR="00D12939" w:rsidRDefault="004F47F5">
            <w:pPr>
              <w:jc w:val="center"/>
              <w:rPr>
                <w:rFonts w:ascii="Times New Roman" w:hAnsi="Times New Roman" w:cs="Times New Roman"/>
              </w:rPr>
            </w:pPr>
            <w:r>
              <w:rPr>
                <w:rFonts w:ascii="Times New Roman" w:hAnsi="Times New Roman" w:cs="Times New Roman"/>
              </w:rPr>
              <w:t>326</w:t>
            </w:r>
          </w:p>
        </w:tc>
        <w:tc>
          <w:tcPr>
            <w:tcW w:w="1115" w:type="dxa"/>
            <w:tcBorders>
              <w:top w:val="single" w:sz="6" w:space="0" w:color="000000"/>
              <w:left w:val="single" w:sz="6" w:space="0" w:color="000000"/>
              <w:bottom w:val="single" w:sz="6" w:space="0" w:color="000000"/>
              <w:right w:val="single" w:sz="6" w:space="0" w:color="000000"/>
            </w:tcBorders>
            <w:vAlign w:val="center"/>
          </w:tcPr>
          <w:p w14:paraId="7C12ECF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w:t>
            </w:r>
          </w:p>
        </w:tc>
        <w:tc>
          <w:tcPr>
            <w:tcW w:w="2116" w:type="dxa"/>
            <w:tcBorders>
              <w:top w:val="single" w:sz="6" w:space="0" w:color="000000"/>
              <w:left w:val="single" w:sz="6" w:space="0" w:color="000000"/>
              <w:bottom w:val="single" w:sz="6" w:space="0" w:color="000000"/>
              <w:right w:val="single" w:sz="6" w:space="0" w:color="000000"/>
            </w:tcBorders>
            <w:vAlign w:val="center"/>
          </w:tcPr>
          <w:p w14:paraId="7D1AA27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75/1</w:t>
            </w:r>
          </w:p>
        </w:tc>
        <w:tc>
          <w:tcPr>
            <w:tcW w:w="1099" w:type="dxa"/>
            <w:tcBorders>
              <w:top w:val="single" w:sz="6" w:space="0" w:color="000000"/>
              <w:left w:val="single" w:sz="6" w:space="0" w:color="000000"/>
              <w:bottom w:val="single" w:sz="6" w:space="0" w:color="000000"/>
              <w:right w:val="single" w:sz="6" w:space="0" w:color="000000"/>
            </w:tcBorders>
            <w:vAlign w:val="center"/>
          </w:tcPr>
          <w:p w14:paraId="01D69EB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w:t>
            </w:r>
          </w:p>
        </w:tc>
        <w:tc>
          <w:tcPr>
            <w:tcW w:w="3309" w:type="dxa"/>
            <w:tcBorders>
              <w:top w:val="single" w:sz="6" w:space="0" w:color="000000"/>
              <w:left w:val="single" w:sz="6" w:space="0" w:color="000000"/>
              <w:bottom w:val="single" w:sz="6" w:space="0" w:color="000000"/>
              <w:right w:val="single" w:sz="6" w:space="0" w:color="000000"/>
            </w:tcBorders>
            <w:vAlign w:val="center"/>
          </w:tcPr>
          <w:p w14:paraId="2192DDD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隔声罩、消声器、基础减振</w:t>
            </w:r>
          </w:p>
        </w:tc>
        <w:tc>
          <w:tcPr>
            <w:tcW w:w="1199" w:type="dxa"/>
            <w:tcBorders>
              <w:top w:val="single" w:sz="6" w:space="0" w:color="000000"/>
              <w:left w:val="single" w:sz="6" w:space="0" w:color="000000"/>
              <w:bottom w:val="single" w:sz="6" w:space="0" w:color="000000"/>
              <w:right w:val="single" w:sz="12" w:space="0" w:color="000000"/>
            </w:tcBorders>
            <w:vAlign w:val="center"/>
          </w:tcPr>
          <w:p w14:paraId="1A547BE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全天</w:t>
            </w:r>
          </w:p>
        </w:tc>
      </w:tr>
    </w:tbl>
    <w:p w14:paraId="3E28B2AD" w14:textId="77777777" w:rsidR="00D12939" w:rsidRDefault="004F47F5">
      <w:pPr>
        <w:pStyle w:val="affffffffffffd"/>
      </w:pPr>
      <w:bookmarkStart w:id="495" w:name="_Hlk105415721"/>
      <w:r>
        <w:rPr>
          <w:rFonts w:hint="eastAsia"/>
        </w:rPr>
        <w:t>表</w:t>
      </w:r>
      <w:r>
        <w:t xml:space="preserve">7.3-3  </w:t>
      </w:r>
      <w:r>
        <w:rPr>
          <w:rFonts w:hint="eastAsia"/>
        </w:rPr>
        <w:t>工业企业噪声源强调查清单（室内声源）</w:t>
      </w:r>
    </w:p>
    <w:tbl>
      <w:tblPr>
        <w:tblW w:w="1428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478"/>
        <w:gridCol w:w="706"/>
        <w:gridCol w:w="1636"/>
        <w:gridCol w:w="342"/>
        <w:gridCol w:w="1283"/>
        <w:gridCol w:w="904"/>
        <w:gridCol w:w="1249"/>
        <w:gridCol w:w="802"/>
        <w:gridCol w:w="742"/>
        <w:gridCol w:w="714"/>
        <w:gridCol w:w="942"/>
        <w:gridCol w:w="1105"/>
        <w:gridCol w:w="703"/>
        <w:gridCol w:w="1020"/>
        <w:gridCol w:w="860"/>
        <w:gridCol w:w="794"/>
      </w:tblGrid>
      <w:tr w:rsidR="00D12939" w14:paraId="5A449D36" w14:textId="77777777">
        <w:trPr>
          <w:trHeight w:val="178"/>
          <w:jc w:val="center"/>
        </w:trPr>
        <w:tc>
          <w:tcPr>
            <w:tcW w:w="478" w:type="dxa"/>
            <w:vMerge w:val="restart"/>
            <w:tcBorders>
              <w:top w:val="single" w:sz="12" w:space="0" w:color="000000"/>
              <w:left w:val="single" w:sz="12" w:space="0" w:color="000000"/>
              <w:bottom w:val="single" w:sz="6" w:space="0" w:color="000000"/>
              <w:right w:val="single" w:sz="6" w:space="0" w:color="000000"/>
            </w:tcBorders>
            <w:vAlign w:val="center"/>
          </w:tcPr>
          <w:bookmarkEnd w:id="495"/>
          <w:p w14:paraId="3A5B632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序号</w:t>
            </w:r>
          </w:p>
        </w:tc>
        <w:tc>
          <w:tcPr>
            <w:tcW w:w="706" w:type="dxa"/>
            <w:vMerge w:val="restart"/>
            <w:tcBorders>
              <w:top w:val="single" w:sz="12" w:space="0" w:color="000000"/>
              <w:left w:val="single" w:sz="6" w:space="0" w:color="000000"/>
              <w:bottom w:val="single" w:sz="6" w:space="0" w:color="000000"/>
              <w:right w:val="single" w:sz="6" w:space="0" w:color="000000"/>
            </w:tcBorders>
            <w:vAlign w:val="center"/>
          </w:tcPr>
          <w:p w14:paraId="5EF6990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建筑物名称</w:t>
            </w:r>
          </w:p>
        </w:tc>
        <w:tc>
          <w:tcPr>
            <w:tcW w:w="1636" w:type="dxa"/>
            <w:vMerge w:val="restart"/>
            <w:tcBorders>
              <w:top w:val="single" w:sz="12" w:space="0" w:color="000000"/>
              <w:left w:val="single" w:sz="6" w:space="0" w:color="000000"/>
              <w:bottom w:val="single" w:sz="6" w:space="0" w:color="000000"/>
              <w:right w:val="single" w:sz="6" w:space="0" w:color="000000"/>
            </w:tcBorders>
            <w:vAlign w:val="center"/>
          </w:tcPr>
          <w:p w14:paraId="355918D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声源名称</w:t>
            </w:r>
          </w:p>
        </w:tc>
        <w:tc>
          <w:tcPr>
            <w:tcW w:w="342" w:type="dxa"/>
            <w:vMerge w:val="restart"/>
            <w:tcBorders>
              <w:top w:val="single" w:sz="12" w:space="0" w:color="000000"/>
              <w:left w:val="single" w:sz="6" w:space="0" w:color="000000"/>
              <w:bottom w:val="single" w:sz="6" w:space="0" w:color="000000"/>
              <w:right w:val="single" w:sz="6" w:space="0" w:color="000000"/>
            </w:tcBorders>
            <w:vAlign w:val="center"/>
          </w:tcPr>
          <w:p w14:paraId="361B3A5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型号</w:t>
            </w:r>
          </w:p>
        </w:tc>
        <w:tc>
          <w:tcPr>
            <w:tcW w:w="2187" w:type="dxa"/>
            <w:gridSpan w:val="2"/>
            <w:tcBorders>
              <w:top w:val="single" w:sz="12" w:space="0" w:color="000000"/>
              <w:left w:val="single" w:sz="6" w:space="0" w:color="000000"/>
              <w:bottom w:val="single" w:sz="6" w:space="0" w:color="000000"/>
              <w:right w:val="single" w:sz="6" w:space="0" w:color="000000"/>
            </w:tcBorders>
            <w:vAlign w:val="center"/>
          </w:tcPr>
          <w:p w14:paraId="4D99D899"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声源源强（任选一种）</w:t>
            </w:r>
          </w:p>
        </w:tc>
        <w:tc>
          <w:tcPr>
            <w:tcW w:w="1249" w:type="dxa"/>
            <w:vMerge w:val="restart"/>
            <w:tcBorders>
              <w:top w:val="single" w:sz="12" w:space="0" w:color="000000"/>
              <w:left w:val="single" w:sz="6" w:space="0" w:color="000000"/>
              <w:bottom w:val="single" w:sz="6" w:space="0" w:color="000000"/>
              <w:right w:val="single" w:sz="6" w:space="0" w:color="000000"/>
            </w:tcBorders>
            <w:vAlign w:val="center"/>
          </w:tcPr>
          <w:p w14:paraId="221739E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声源控制措施</w:t>
            </w:r>
          </w:p>
        </w:tc>
        <w:tc>
          <w:tcPr>
            <w:tcW w:w="2258" w:type="dxa"/>
            <w:gridSpan w:val="3"/>
            <w:tcBorders>
              <w:top w:val="single" w:sz="12" w:space="0" w:color="000000"/>
              <w:left w:val="single" w:sz="6" w:space="0" w:color="000000"/>
              <w:bottom w:val="single" w:sz="6" w:space="0" w:color="000000"/>
              <w:right w:val="single" w:sz="6" w:space="0" w:color="000000"/>
            </w:tcBorders>
            <w:vAlign w:val="center"/>
          </w:tcPr>
          <w:p w14:paraId="70142D79"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空间相对位置</w:t>
            </w:r>
            <w:r>
              <w:rPr>
                <w:rFonts w:ascii="Times New Roman" w:eastAsia="宋体" w:hAnsi="Times New Roman"/>
                <w:sz w:val="21"/>
                <w:szCs w:val="21"/>
              </w:rPr>
              <w:t>/m</w:t>
            </w:r>
          </w:p>
        </w:tc>
        <w:tc>
          <w:tcPr>
            <w:tcW w:w="942" w:type="dxa"/>
            <w:vMerge w:val="restart"/>
            <w:tcBorders>
              <w:top w:val="single" w:sz="12" w:space="0" w:color="000000"/>
              <w:left w:val="single" w:sz="6" w:space="0" w:color="000000"/>
              <w:bottom w:val="single" w:sz="6" w:space="0" w:color="000000"/>
              <w:right w:val="single" w:sz="6" w:space="0" w:color="000000"/>
            </w:tcBorders>
            <w:vAlign w:val="center"/>
          </w:tcPr>
          <w:p w14:paraId="512178C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距室内边界距离</w:t>
            </w:r>
            <w:r>
              <w:rPr>
                <w:rFonts w:ascii="Times New Roman" w:eastAsia="宋体" w:hAnsi="Times New Roman"/>
                <w:sz w:val="21"/>
                <w:szCs w:val="21"/>
              </w:rPr>
              <w:t>/m</w:t>
            </w:r>
          </w:p>
        </w:tc>
        <w:tc>
          <w:tcPr>
            <w:tcW w:w="1105" w:type="dxa"/>
            <w:vMerge w:val="restart"/>
            <w:tcBorders>
              <w:top w:val="single" w:sz="12" w:space="0" w:color="000000"/>
              <w:left w:val="single" w:sz="6" w:space="0" w:color="000000"/>
              <w:bottom w:val="single" w:sz="6" w:space="0" w:color="000000"/>
              <w:right w:val="single" w:sz="6" w:space="0" w:color="000000"/>
            </w:tcBorders>
            <w:vAlign w:val="center"/>
          </w:tcPr>
          <w:p w14:paraId="0C22A9C9"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室内边界声级</w:t>
            </w:r>
            <w:r>
              <w:rPr>
                <w:rFonts w:ascii="Times New Roman" w:eastAsia="宋体" w:hAnsi="Times New Roman"/>
                <w:sz w:val="21"/>
                <w:szCs w:val="21"/>
              </w:rPr>
              <w:t>/dB(A)</w:t>
            </w:r>
          </w:p>
        </w:tc>
        <w:tc>
          <w:tcPr>
            <w:tcW w:w="703" w:type="dxa"/>
            <w:vMerge w:val="restart"/>
            <w:tcBorders>
              <w:top w:val="single" w:sz="12" w:space="0" w:color="000000"/>
              <w:left w:val="single" w:sz="6" w:space="0" w:color="000000"/>
              <w:bottom w:val="single" w:sz="6" w:space="0" w:color="000000"/>
              <w:right w:val="single" w:sz="6" w:space="0" w:color="000000"/>
            </w:tcBorders>
            <w:vAlign w:val="center"/>
          </w:tcPr>
          <w:p w14:paraId="28D8287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运行时段</w:t>
            </w:r>
          </w:p>
        </w:tc>
        <w:tc>
          <w:tcPr>
            <w:tcW w:w="1020" w:type="dxa"/>
            <w:vMerge w:val="restart"/>
            <w:tcBorders>
              <w:top w:val="single" w:sz="12" w:space="0" w:color="000000"/>
              <w:left w:val="single" w:sz="6" w:space="0" w:color="000000"/>
              <w:bottom w:val="single" w:sz="6" w:space="0" w:color="000000"/>
              <w:right w:val="single" w:sz="6" w:space="0" w:color="000000"/>
            </w:tcBorders>
            <w:vAlign w:val="center"/>
          </w:tcPr>
          <w:p w14:paraId="07940ECF"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建筑物插入损失</w:t>
            </w:r>
            <w:r>
              <w:rPr>
                <w:rFonts w:ascii="Times New Roman" w:eastAsia="宋体" w:hAnsi="Times New Roman"/>
                <w:sz w:val="21"/>
                <w:szCs w:val="21"/>
              </w:rPr>
              <w:t>/</w:t>
            </w:r>
          </w:p>
          <w:p w14:paraId="5608BE9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dB(A)</w:t>
            </w:r>
          </w:p>
        </w:tc>
        <w:tc>
          <w:tcPr>
            <w:tcW w:w="1654" w:type="dxa"/>
            <w:gridSpan w:val="2"/>
            <w:tcBorders>
              <w:top w:val="single" w:sz="12" w:space="0" w:color="000000"/>
              <w:left w:val="single" w:sz="6" w:space="0" w:color="000000"/>
              <w:bottom w:val="single" w:sz="6" w:space="0" w:color="000000"/>
              <w:right w:val="single" w:sz="12" w:space="0" w:color="000000"/>
            </w:tcBorders>
            <w:vAlign w:val="center"/>
          </w:tcPr>
          <w:p w14:paraId="2883905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建筑物外噪声</w:t>
            </w:r>
          </w:p>
        </w:tc>
      </w:tr>
      <w:tr w:rsidR="00D12939" w14:paraId="1C8C96A9" w14:textId="77777777">
        <w:trPr>
          <w:trHeight w:val="178"/>
          <w:jc w:val="center"/>
        </w:trPr>
        <w:tc>
          <w:tcPr>
            <w:tcW w:w="478" w:type="dxa"/>
            <w:vMerge/>
            <w:tcBorders>
              <w:top w:val="single" w:sz="12" w:space="0" w:color="000000"/>
              <w:left w:val="single" w:sz="12" w:space="0" w:color="000000"/>
              <w:bottom w:val="single" w:sz="6" w:space="0" w:color="000000"/>
              <w:right w:val="single" w:sz="6" w:space="0" w:color="000000"/>
            </w:tcBorders>
            <w:vAlign w:val="center"/>
          </w:tcPr>
          <w:p w14:paraId="15501163"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706" w:type="dxa"/>
            <w:vMerge/>
            <w:tcBorders>
              <w:top w:val="single" w:sz="12" w:space="0" w:color="000000"/>
              <w:left w:val="single" w:sz="6" w:space="0" w:color="000000"/>
              <w:bottom w:val="single" w:sz="6" w:space="0" w:color="000000"/>
              <w:right w:val="single" w:sz="6" w:space="0" w:color="000000"/>
            </w:tcBorders>
            <w:vAlign w:val="center"/>
          </w:tcPr>
          <w:p w14:paraId="3BB7C49A"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vMerge/>
            <w:tcBorders>
              <w:top w:val="single" w:sz="12" w:space="0" w:color="000000"/>
              <w:left w:val="single" w:sz="6" w:space="0" w:color="000000"/>
              <w:bottom w:val="single" w:sz="6" w:space="0" w:color="000000"/>
              <w:right w:val="single" w:sz="6" w:space="0" w:color="000000"/>
            </w:tcBorders>
            <w:vAlign w:val="center"/>
          </w:tcPr>
          <w:p w14:paraId="13FE264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342" w:type="dxa"/>
            <w:vMerge/>
            <w:tcBorders>
              <w:top w:val="single" w:sz="12" w:space="0" w:color="000000"/>
              <w:left w:val="single" w:sz="6" w:space="0" w:color="000000"/>
              <w:bottom w:val="single" w:sz="6" w:space="0" w:color="000000"/>
              <w:right w:val="single" w:sz="6" w:space="0" w:color="000000"/>
            </w:tcBorders>
            <w:vAlign w:val="center"/>
          </w:tcPr>
          <w:p w14:paraId="180F65E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283" w:type="dxa"/>
            <w:tcBorders>
              <w:top w:val="single" w:sz="6" w:space="0" w:color="000000"/>
              <w:left w:val="single" w:sz="6" w:space="0" w:color="000000"/>
              <w:bottom w:val="single" w:sz="6" w:space="0" w:color="000000"/>
              <w:right w:val="single" w:sz="6" w:space="0" w:color="000000"/>
            </w:tcBorders>
            <w:vAlign w:val="center"/>
          </w:tcPr>
          <w:p w14:paraId="21C64A2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（声压级</w:t>
            </w:r>
            <w:r>
              <w:rPr>
                <w:rFonts w:ascii="Times New Roman" w:eastAsia="宋体" w:hAnsi="Times New Roman"/>
                <w:sz w:val="21"/>
                <w:szCs w:val="21"/>
              </w:rPr>
              <w:t>/</w:t>
            </w:r>
            <w:r>
              <w:rPr>
                <w:rFonts w:ascii="Times New Roman" w:eastAsia="宋体" w:hAnsi="Times New Roman"/>
                <w:sz w:val="21"/>
                <w:szCs w:val="21"/>
              </w:rPr>
              <w:t>距声源距离）</w:t>
            </w:r>
            <w:r>
              <w:rPr>
                <w:rFonts w:ascii="Times New Roman" w:eastAsia="宋体" w:hAnsi="Times New Roman"/>
                <w:sz w:val="21"/>
                <w:szCs w:val="21"/>
              </w:rPr>
              <w:t>/</w:t>
            </w:r>
            <w:r>
              <w:rPr>
                <w:rFonts w:ascii="Times New Roman" w:eastAsia="宋体" w:hAnsi="Times New Roman"/>
                <w:sz w:val="21"/>
                <w:szCs w:val="21"/>
              </w:rPr>
              <w:t>（</w:t>
            </w:r>
            <w:r>
              <w:rPr>
                <w:rFonts w:ascii="Times New Roman" w:eastAsia="宋体" w:hAnsi="Times New Roman"/>
                <w:sz w:val="21"/>
                <w:szCs w:val="21"/>
              </w:rPr>
              <w:t>dB(A)/m</w:t>
            </w:r>
            <w:r>
              <w:rPr>
                <w:rFonts w:ascii="Times New Roman" w:eastAsia="宋体" w:hAnsi="Times New Roman"/>
                <w:sz w:val="21"/>
                <w:szCs w:val="21"/>
              </w:rPr>
              <w:t>）</w:t>
            </w:r>
          </w:p>
        </w:tc>
        <w:tc>
          <w:tcPr>
            <w:tcW w:w="904" w:type="dxa"/>
            <w:tcBorders>
              <w:top w:val="single" w:sz="6" w:space="0" w:color="000000"/>
              <w:left w:val="single" w:sz="6" w:space="0" w:color="000000"/>
              <w:bottom w:val="single" w:sz="6" w:space="0" w:color="000000"/>
              <w:right w:val="single" w:sz="6" w:space="0" w:color="000000"/>
            </w:tcBorders>
            <w:vAlign w:val="center"/>
          </w:tcPr>
          <w:p w14:paraId="4F16B8B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声功率级</w:t>
            </w:r>
            <w:r>
              <w:rPr>
                <w:rFonts w:ascii="Times New Roman" w:eastAsia="宋体" w:hAnsi="Times New Roman"/>
                <w:sz w:val="21"/>
                <w:szCs w:val="21"/>
              </w:rPr>
              <w:t>/dB(A)</w:t>
            </w:r>
          </w:p>
        </w:tc>
        <w:tc>
          <w:tcPr>
            <w:tcW w:w="1249" w:type="dxa"/>
            <w:vMerge/>
            <w:tcBorders>
              <w:top w:val="single" w:sz="12" w:space="0" w:color="000000"/>
              <w:left w:val="single" w:sz="6" w:space="0" w:color="000000"/>
              <w:bottom w:val="single" w:sz="6" w:space="0" w:color="000000"/>
              <w:right w:val="single" w:sz="6" w:space="0" w:color="000000"/>
            </w:tcBorders>
            <w:vAlign w:val="center"/>
          </w:tcPr>
          <w:p w14:paraId="35B83CF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8068678"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X</w:t>
            </w:r>
          </w:p>
        </w:tc>
        <w:tc>
          <w:tcPr>
            <w:tcW w:w="742" w:type="dxa"/>
            <w:tcBorders>
              <w:top w:val="single" w:sz="6" w:space="0" w:color="000000"/>
              <w:left w:val="single" w:sz="6" w:space="0" w:color="000000"/>
              <w:bottom w:val="single" w:sz="6" w:space="0" w:color="000000"/>
              <w:right w:val="single" w:sz="6" w:space="0" w:color="000000"/>
            </w:tcBorders>
            <w:vAlign w:val="center"/>
          </w:tcPr>
          <w:p w14:paraId="2D61AE2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Y</w:t>
            </w:r>
          </w:p>
        </w:tc>
        <w:tc>
          <w:tcPr>
            <w:tcW w:w="714" w:type="dxa"/>
            <w:tcBorders>
              <w:top w:val="single" w:sz="6" w:space="0" w:color="000000"/>
              <w:left w:val="single" w:sz="6" w:space="0" w:color="000000"/>
              <w:bottom w:val="single" w:sz="6" w:space="0" w:color="000000"/>
              <w:right w:val="single" w:sz="6" w:space="0" w:color="000000"/>
            </w:tcBorders>
            <w:vAlign w:val="center"/>
          </w:tcPr>
          <w:p w14:paraId="1762815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Z</w:t>
            </w:r>
          </w:p>
        </w:tc>
        <w:tc>
          <w:tcPr>
            <w:tcW w:w="942" w:type="dxa"/>
            <w:vMerge/>
            <w:tcBorders>
              <w:top w:val="single" w:sz="12" w:space="0" w:color="000000"/>
              <w:left w:val="single" w:sz="6" w:space="0" w:color="000000"/>
              <w:bottom w:val="single" w:sz="6" w:space="0" w:color="000000"/>
              <w:right w:val="single" w:sz="6" w:space="0" w:color="000000"/>
            </w:tcBorders>
            <w:vAlign w:val="center"/>
          </w:tcPr>
          <w:p w14:paraId="39095793"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105" w:type="dxa"/>
            <w:vMerge/>
            <w:tcBorders>
              <w:top w:val="single" w:sz="12" w:space="0" w:color="000000"/>
              <w:left w:val="single" w:sz="6" w:space="0" w:color="000000"/>
              <w:bottom w:val="single" w:sz="6" w:space="0" w:color="000000"/>
              <w:right w:val="single" w:sz="6" w:space="0" w:color="000000"/>
            </w:tcBorders>
            <w:vAlign w:val="center"/>
          </w:tcPr>
          <w:p w14:paraId="3671823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703" w:type="dxa"/>
            <w:vMerge/>
            <w:tcBorders>
              <w:top w:val="single" w:sz="12" w:space="0" w:color="000000"/>
              <w:left w:val="single" w:sz="6" w:space="0" w:color="000000"/>
              <w:bottom w:val="single" w:sz="6" w:space="0" w:color="000000"/>
              <w:right w:val="single" w:sz="6" w:space="0" w:color="000000"/>
            </w:tcBorders>
            <w:vAlign w:val="center"/>
          </w:tcPr>
          <w:p w14:paraId="3B9E1DDA"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top w:val="single" w:sz="12" w:space="0" w:color="000000"/>
              <w:left w:val="single" w:sz="6" w:space="0" w:color="000000"/>
              <w:bottom w:val="single" w:sz="6" w:space="0" w:color="000000"/>
              <w:right w:val="single" w:sz="6" w:space="0" w:color="000000"/>
            </w:tcBorders>
            <w:vAlign w:val="center"/>
          </w:tcPr>
          <w:p w14:paraId="3BEBF6C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66682908"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声压级</w:t>
            </w:r>
          </w:p>
          <w:p w14:paraId="44FAFCD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/dB(A)</w:t>
            </w:r>
          </w:p>
        </w:tc>
        <w:tc>
          <w:tcPr>
            <w:tcW w:w="794" w:type="dxa"/>
            <w:tcBorders>
              <w:top w:val="single" w:sz="6" w:space="0" w:color="000000"/>
              <w:left w:val="single" w:sz="6" w:space="0" w:color="000000"/>
              <w:bottom w:val="single" w:sz="6" w:space="0" w:color="000000"/>
              <w:right w:val="single" w:sz="12" w:space="0" w:color="000000"/>
            </w:tcBorders>
            <w:vAlign w:val="center"/>
          </w:tcPr>
          <w:p w14:paraId="6BC26AE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建筑物外距离</w:t>
            </w:r>
          </w:p>
        </w:tc>
      </w:tr>
      <w:tr w:rsidR="00D12939" w14:paraId="263F84C7"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587C8A6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w:t>
            </w:r>
          </w:p>
        </w:tc>
        <w:tc>
          <w:tcPr>
            <w:tcW w:w="706" w:type="dxa"/>
            <w:vMerge w:val="restart"/>
            <w:tcBorders>
              <w:top w:val="single" w:sz="6" w:space="0" w:color="000000"/>
              <w:left w:val="single" w:sz="6" w:space="0" w:color="000000"/>
              <w:right w:val="single" w:sz="6" w:space="0" w:color="000000"/>
            </w:tcBorders>
            <w:vAlign w:val="center"/>
          </w:tcPr>
          <w:p w14:paraId="3CD6E71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渗滤液处理车间</w:t>
            </w:r>
          </w:p>
        </w:tc>
        <w:tc>
          <w:tcPr>
            <w:tcW w:w="1636" w:type="dxa"/>
            <w:tcBorders>
              <w:top w:val="single" w:sz="6" w:space="0" w:color="000000"/>
              <w:left w:val="single" w:sz="6" w:space="0" w:color="000000"/>
              <w:bottom w:val="single" w:sz="6" w:space="0" w:color="000000"/>
              <w:right w:val="single" w:sz="6" w:space="0" w:color="000000"/>
            </w:tcBorders>
            <w:vAlign w:val="center"/>
          </w:tcPr>
          <w:p w14:paraId="1B6D1EE0"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hint="eastAsia"/>
              </w:rPr>
              <w:t>污水提升泵</w:t>
            </w:r>
            <w:r>
              <w:rPr>
                <w:rFonts w:ascii="Times New Roman" w:eastAsia="宋体" w:hAnsi="Times New Roman" w:cs="Times New Roman" w:hint="eastAsia"/>
              </w:rPr>
              <w:t>-</w:t>
            </w:r>
            <w:r>
              <w:rPr>
                <w:rFonts w:ascii="Times New Roman" w:eastAsia="宋体" w:hAnsi="Times New Roman" w:cs="Times New Roman"/>
              </w:rPr>
              <w:t>1</w:t>
            </w:r>
          </w:p>
        </w:tc>
        <w:tc>
          <w:tcPr>
            <w:tcW w:w="342" w:type="dxa"/>
            <w:tcBorders>
              <w:top w:val="single" w:sz="6" w:space="0" w:color="000000"/>
              <w:left w:val="single" w:sz="6" w:space="0" w:color="000000"/>
              <w:bottom w:val="single" w:sz="6" w:space="0" w:color="000000"/>
              <w:right w:val="single" w:sz="6" w:space="0" w:color="000000"/>
            </w:tcBorders>
            <w:vAlign w:val="center"/>
          </w:tcPr>
          <w:p w14:paraId="44463AF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5550C31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16581289"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w:t>
            </w:r>
          </w:p>
        </w:tc>
        <w:tc>
          <w:tcPr>
            <w:tcW w:w="1249" w:type="dxa"/>
            <w:vMerge w:val="restart"/>
            <w:tcBorders>
              <w:top w:val="single" w:sz="6" w:space="0" w:color="000000"/>
              <w:left w:val="single" w:sz="6" w:space="0" w:color="000000"/>
              <w:right w:val="single" w:sz="6" w:space="0" w:color="000000"/>
            </w:tcBorders>
            <w:vAlign w:val="center"/>
          </w:tcPr>
          <w:p w14:paraId="4BCBBD7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置于池底、厂房隔声</w:t>
            </w:r>
          </w:p>
        </w:tc>
        <w:tc>
          <w:tcPr>
            <w:tcW w:w="802" w:type="dxa"/>
            <w:tcBorders>
              <w:top w:val="single" w:sz="6" w:space="0" w:color="000000"/>
              <w:left w:val="single" w:sz="6" w:space="0" w:color="000000"/>
              <w:bottom w:val="single" w:sz="6" w:space="0" w:color="000000"/>
              <w:right w:val="single" w:sz="6" w:space="0" w:color="000000"/>
            </w:tcBorders>
            <w:vAlign w:val="center"/>
          </w:tcPr>
          <w:p w14:paraId="622FE102" w14:textId="77777777" w:rsidR="00D12939" w:rsidRDefault="004F47F5">
            <w:pPr>
              <w:jc w:val="center"/>
              <w:rPr>
                <w:rFonts w:ascii="Times New Roman" w:hAnsi="Times New Roman" w:cs="Times New Roman"/>
              </w:rPr>
            </w:pPr>
            <w:r>
              <w:rPr>
                <w:rFonts w:ascii="Times New Roman" w:hAnsi="Times New Roman" w:cs="Times New Roman"/>
              </w:rPr>
              <w:t>-233</w:t>
            </w:r>
          </w:p>
        </w:tc>
        <w:tc>
          <w:tcPr>
            <w:tcW w:w="742" w:type="dxa"/>
            <w:tcBorders>
              <w:top w:val="single" w:sz="6" w:space="0" w:color="000000"/>
              <w:left w:val="single" w:sz="6" w:space="0" w:color="000000"/>
              <w:bottom w:val="single" w:sz="6" w:space="0" w:color="000000"/>
              <w:right w:val="single" w:sz="6" w:space="0" w:color="000000"/>
            </w:tcBorders>
            <w:vAlign w:val="center"/>
          </w:tcPr>
          <w:p w14:paraId="61D7E9B5" w14:textId="77777777" w:rsidR="00D12939" w:rsidRDefault="004F47F5">
            <w:pPr>
              <w:jc w:val="center"/>
              <w:rPr>
                <w:rFonts w:ascii="Times New Roman" w:hAnsi="Times New Roman" w:cs="Times New Roman"/>
              </w:rPr>
            </w:pPr>
            <w:r>
              <w:rPr>
                <w:rFonts w:ascii="Times New Roman" w:hAnsi="Times New Roman" w:cs="Times New Roman"/>
              </w:rPr>
              <w:t>346</w:t>
            </w:r>
          </w:p>
        </w:tc>
        <w:tc>
          <w:tcPr>
            <w:tcW w:w="714" w:type="dxa"/>
            <w:tcBorders>
              <w:top w:val="single" w:sz="6" w:space="0" w:color="000000"/>
              <w:left w:val="single" w:sz="6" w:space="0" w:color="000000"/>
              <w:bottom w:val="single" w:sz="6" w:space="0" w:color="000000"/>
              <w:right w:val="single" w:sz="6" w:space="0" w:color="000000"/>
            </w:tcBorders>
            <w:vAlign w:val="center"/>
          </w:tcPr>
          <w:p w14:paraId="332DB8B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7C1531C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5422A60F"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59.01</w:t>
            </w:r>
          </w:p>
        </w:tc>
        <w:tc>
          <w:tcPr>
            <w:tcW w:w="703" w:type="dxa"/>
            <w:vMerge w:val="restart"/>
            <w:tcBorders>
              <w:top w:val="single" w:sz="6" w:space="0" w:color="000000"/>
              <w:left w:val="single" w:sz="6" w:space="0" w:color="000000"/>
              <w:right w:val="single" w:sz="6" w:space="0" w:color="000000"/>
            </w:tcBorders>
            <w:vAlign w:val="center"/>
          </w:tcPr>
          <w:p w14:paraId="50496B7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全天</w:t>
            </w:r>
          </w:p>
        </w:tc>
        <w:tc>
          <w:tcPr>
            <w:tcW w:w="1020" w:type="dxa"/>
            <w:vMerge w:val="restart"/>
            <w:tcBorders>
              <w:top w:val="single" w:sz="6" w:space="0" w:color="000000"/>
              <w:left w:val="single" w:sz="6" w:space="0" w:color="000000"/>
              <w:right w:val="single" w:sz="6" w:space="0" w:color="000000"/>
            </w:tcBorders>
            <w:vAlign w:val="center"/>
          </w:tcPr>
          <w:p w14:paraId="2BAD4C50" w14:textId="77777777" w:rsidR="00D12939" w:rsidRDefault="004F47F5">
            <w:pPr>
              <w:pStyle w:val="afffff8"/>
              <w:spacing w:before="0" w:after="0" w:line="240" w:lineRule="auto"/>
              <w:ind w:firstLine="420"/>
              <w:jc w:val="center"/>
              <w:rPr>
                <w:rFonts w:ascii="Times New Roman" w:eastAsia="宋体" w:hAnsi="Times New Roman"/>
                <w:sz w:val="21"/>
                <w:szCs w:val="21"/>
              </w:rPr>
            </w:pPr>
            <w:r>
              <w:rPr>
                <w:rFonts w:ascii="Times New Roman" w:eastAsia="宋体" w:hAnsi="Times New Roman"/>
                <w:sz w:val="21"/>
                <w:szCs w:val="21"/>
              </w:rPr>
              <w:t>15</w:t>
            </w:r>
          </w:p>
        </w:tc>
        <w:tc>
          <w:tcPr>
            <w:tcW w:w="860" w:type="dxa"/>
            <w:tcBorders>
              <w:top w:val="single" w:sz="6" w:space="0" w:color="000000"/>
              <w:left w:val="single" w:sz="6" w:space="0" w:color="000000"/>
              <w:bottom w:val="single" w:sz="6" w:space="0" w:color="000000"/>
              <w:right w:val="single" w:sz="6" w:space="0" w:color="000000"/>
            </w:tcBorders>
            <w:vAlign w:val="center"/>
          </w:tcPr>
          <w:p w14:paraId="325571DB"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12FD9B67"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w:t>
            </w:r>
          </w:p>
        </w:tc>
      </w:tr>
      <w:tr w:rsidR="00D12939" w14:paraId="533A5CD5"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6DD58F4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2</w:t>
            </w:r>
          </w:p>
        </w:tc>
        <w:tc>
          <w:tcPr>
            <w:tcW w:w="706" w:type="dxa"/>
            <w:vMerge/>
            <w:tcBorders>
              <w:left w:val="single" w:sz="6" w:space="0" w:color="000000"/>
              <w:right w:val="single" w:sz="6" w:space="0" w:color="000000"/>
            </w:tcBorders>
            <w:vAlign w:val="center"/>
          </w:tcPr>
          <w:p w14:paraId="34E6471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01435040"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hint="eastAsia"/>
              </w:rPr>
              <w:t>污水提升泵</w:t>
            </w:r>
            <w:r>
              <w:rPr>
                <w:rFonts w:ascii="Times New Roman" w:eastAsia="宋体" w:hAnsi="Times New Roman" w:cs="Times New Roman" w:hint="eastAsia"/>
              </w:rPr>
              <w:t>-</w:t>
            </w:r>
            <w:r>
              <w:rPr>
                <w:rFonts w:ascii="Times New Roman" w:eastAsia="宋体" w:hAnsi="Times New Roman" w:cs="Times New Roman"/>
              </w:rPr>
              <w:t>2</w:t>
            </w:r>
          </w:p>
        </w:tc>
        <w:tc>
          <w:tcPr>
            <w:tcW w:w="342" w:type="dxa"/>
            <w:tcBorders>
              <w:top w:val="single" w:sz="6" w:space="0" w:color="000000"/>
              <w:left w:val="single" w:sz="6" w:space="0" w:color="000000"/>
              <w:bottom w:val="single" w:sz="6" w:space="0" w:color="000000"/>
              <w:right w:val="single" w:sz="6" w:space="0" w:color="000000"/>
            </w:tcBorders>
            <w:vAlign w:val="center"/>
          </w:tcPr>
          <w:p w14:paraId="0E6A4E84"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1F52D853"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4841BA3C"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bottom w:val="single" w:sz="6" w:space="0" w:color="000000"/>
              <w:right w:val="single" w:sz="6" w:space="0" w:color="000000"/>
            </w:tcBorders>
            <w:vAlign w:val="center"/>
          </w:tcPr>
          <w:p w14:paraId="1C927C5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3AB893A8" w14:textId="77777777" w:rsidR="00D12939" w:rsidRDefault="004F47F5">
            <w:pPr>
              <w:jc w:val="center"/>
              <w:rPr>
                <w:rFonts w:ascii="Times New Roman" w:hAnsi="Times New Roman" w:cs="Times New Roman"/>
              </w:rPr>
            </w:pPr>
            <w:r>
              <w:rPr>
                <w:rFonts w:ascii="Times New Roman" w:hAnsi="Times New Roman" w:cs="Times New Roman"/>
              </w:rPr>
              <w:t>-226</w:t>
            </w:r>
          </w:p>
        </w:tc>
        <w:tc>
          <w:tcPr>
            <w:tcW w:w="742" w:type="dxa"/>
            <w:tcBorders>
              <w:top w:val="single" w:sz="6" w:space="0" w:color="000000"/>
              <w:left w:val="single" w:sz="6" w:space="0" w:color="000000"/>
              <w:bottom w:val="single" w:sz="6" w:space="0" w:color="000000"/>
              <w:right w:val="single" w:sz="6" w:space="0" w:color="000000"/>
            </w:tcBorders>
            <w:vAlign w:val="center"/>
          </w:tcPr>
          <w:p w14:paraId="56057882" w14:textId="77777777" w:rsidR="00D12939" w:rsidRDefault="004F47F5">
            <w:pPr>
              <w:jc w:val="center"/>
              <w:rPr>
                <w:rFonts w:ascii="Times New Roman" w:hAnsi="Times New Roman" w:cs="Times New Roman"/>
              </w:rPr>
            </w:pPr>
            <w:r>
              <w:rPr>
                <w:rFonts w:ascii="Times New Roman" w:hAnsi="Times New Roman" w:cs="Times New Roman"/>
              </w:rPr>
              <w:t>347</w:t>
            </w:r>
          </w:p>
        </w:tc>
        <w:tc>
          <w:tcPr>
            <w:tcW w:w="714" w:type="dxa"/>
            <w:tcBorders>
              <w:top w:val="single" w:sz="6" w:space="0" w:color="000000"/>
              <w:left w:val="single" w:sz="6" w:space="0" w:color="000000"/>
              <w:bottom w:val="single" w:sz="6" w:space="0" w:color="000000"/>
              <w:right w:val="single" w:sz="6" w:space="0" w:color="000000"/>
            </w:tcBorders>
            <w:vAlign w:val="center"/>
          </w:tcPr>
          <w:p w14:paraId="2AED0352"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61A53070"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194015C0"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4A8F3127"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725D8D2A"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09FD88F6"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5E7BECDA" w14:textId="77777777" w:rsidR="00D12939" w:rsidRDefault="004F47F5">
            <w:pPr>
              <w:jc w:val="center"/>
            </w:pPr>
            <w:r>
              <w:rPr>
                <w:rFonts w:ascii="Times New Roman" w:eastAsia="宋体" w:hAnsi="Times New Roman"/>
                <w:szCs w:val="21"/>
              </w:rPr>
              <w:t>/</w:t>
            </w:r>
          </w:p>
        </w:tc>
      </w:tr>
      <w:tr w:rsidR="00D12939" w14:paraId="6C657C3D"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010837F7"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3</w:t>
            </w:r>
          </w:p>
        </w:tc>
        <w:tc>
          <w:tcPr>
            <w:tcW w:w="706" w:type="dxa"/>
            <w:vMerge/>
            <w:tcBorders>
              <w:left w:val="single" w:sz="6" w:space="0" w:color="000000"/>
              <w:right w:val="single" w:sz="6" w:space="0" w:color="000000"/>
            </w:tcBorders>
            <w:vAlign w:val="center"/>
          </w:tcPr>
          <w:p w14:paraId="3357B76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4722C401"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曝气风机</w:t>
            </w:r>
            <w:r>
              <w:rPr>
                <w:rFonts w:ascii="Times New Roman" w:eastAsia="宋体" w:hAnsi="Times New Roman" w:cs="Times New Roman" w:hint="eastAsia"/>
              </w:rPr>
              <w:t>-</w:t>
            </w:r>
            <w:r>
              <w:rPr>
                <w:rFonts w:ascii="Times New Roman" w:eastAsia="宋体" w:hAnsi="Times New Roman" w:cs="Times New Roman"/>
              </w:rPr>
              <w:t>1</w:t>
            </w:r>
          </w:p>
        </w:tc>
        <w:tc>
          <w:tcPr>
            <w:tcW w:w="342" w:type="dxa"/>
            <w:tcBorders>
              <w:top w:val="single" w:sz="6" w:space="0" w:color="000000"/>
              <w:left w:val="single" w:sz="6" w:space="0" w:color="000000"/>
              <w:bottom w:val="single" w:sz="6" w:space="0" w:color="000000"/>
              <w:right w:val="single" w:sz="6" w:space="0" w:color="000000"/>
            </w:tcBorders>
            <w:vAlign w:val="center"/>
          </w:tcPr>
          <w:p w14:paraId="1BC62F72"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1D16F8BD"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155139B6" w14:textId="77777777" w:rsidR="00D12939" w:rsidRDefault="004F47F5">
            <w:pPr>
              <w:jc w:val="center"/>
            </w:pPr>
            <w:r>
              <w:rPr>
                <w:rFonts w:ascii="Times New Roman" w:eastAsia="宋体" w:hAnsi="Times New Roman" w:cs="Times New Roman"/>
                <w:szCs w:val="21"/>
              </w:rPr>
              <w:t>/</w:t>
            </w:r>
          </w:p>
        </w:tc>
        <w:tc>
          <w:tcPr>
            <w:tcW w:w="1249" w:type="dxa"/>
            <w:vMerge w:val="restart"/>
            <w:tcBorders>
              <w:top w:val="single" w:sz="6" w:space="0" w:color="000000"/>
              <w:left w:val="single" w:sz="6" w:space="0" w:color="000000"/>
              <w:right w:val="single" w:sz="6" w:space="0" w:color="000000"/>
            </w:tcBorders>
            <w:vAlign w:val="center"/>
          </w:tcPr>
          <w:p w14:paraId="681FC6CB"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厂房隔声、基础减振</w:t>
            </w:r>
          </w:p>
        </w:tc>
        <w:tc>
          <w:tcPr>
            <w:tcW w:w="802" w:type="dxa"/>
            <w:tcBorders>
              <w:top w:val="single" w:sz="6" w:space="0" w:color="000000"/>
              <w:left w:val="single" w:sz="6" w:space="0" w:color="000000"/>
              <w:bottom w:val="single" w:sz="6" w:space="0" w:color="000000"/>
              <w:right w:val="single" w:sz="6" w:space="0" w:color="000000"/>
            </w:tcBorders>
            <w:vAlign w:val="center"/>
          </w:tcPr>
          <w:p w14:paraId="261A451F" w14:textId="77777777" w:rsidR="00D12939" w:rsidRDefault="004F47F5">
            <w:pPr>
              <w:jc w:val="center"/>
              <w:rPr>
                <w:rFonts w:ascii="Times New Roman" w:hAnsi="Times New Roman" w:cs="Times New Roman"/>
              </w:rPr>
            </w:pPr>
            <w:r>
              <w:rPr>
                <w:rFonts w:ascii="Times New Roman" w:hAnsi="Times New Roman" w:cs="Times New Roman"/>
              </w:rPr>
              <w:t>-224</w:t>
            </w:r>
          </w:p>
        </w:tc>
        <w:tc>
          <w:tcPr>
            <w:tcW w:w="742" w:type="dxa"/>
            <w:tcBorders>
              <w:top w:val="single" w:sz="6" w:space="0" w:color="000000"/>
              <w:left w:val="single" w:sz="6" w:space="0" w:color="000000"/>
              <w:bottom w:val="single" w:sz="6" w:space="0" w:color="000000"/>
              <w:right w:val="single" w:sz="6" w:space="0" w:color="000000"/>
            </w:tcBorders>
            <w:vAlign w:val="center"/>
          </w:tcPr>
          <w:p w14:paraId="58DA74E7" w14:textId="77777777" w:rsidR="00D12939" w:rsidRDefault="004F47F5">
            <w:pPr>
              <w:jc w:val="center"/>
              <w:rPr>
                <w:rFonts w:ascii="Times New Roman" w:hAnsi="Times New Roman" w:cs="Times New Roman"/>
              </w:rPr>
            </w:pPr>
            <w:r>
              <w:rPr>
                <w:rFonts w:ascii="Times New Roman" w:hAnsi="Times New Roman" w:cs="Times New Roman"/>
              </w:rPr>
              <w:t>345</w:t>
            </w:r>
          </w:p>
        </w:tc>
        <w:tc>
          <w:tcPr>
            <w:tcW w:w="714" w:type="dxa"/>
            <w:tcBorders>
              <w:top w:val="single" w:sz="6" w:space="0" w:color="000000"/>
              <w:left w:val="single" w:sz="6" w:space="0" w:color="000000"/>
              <w:bottom w:val="single" w:sz="6" w:space="0" w:color="000000"/>
              <w:right w:val="single" w:sz="6" w:space="0" w:color="000000"/>
            </w:tcBorders>
            <w:vAlign w:val="center"/>
          </w:tcPr>
          <w:p w14:paraId="4FC39610"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1D60BCFB"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233EA281"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34ED06FB"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0431960A"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7D55C2B7"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5E1BD273" w14:textId="77777777" w:rsidR="00D12939" w:rsidRDefault="004F47F5">
            <w:pPr>
              <w:jc w:val="center"/>
            </w:pPr>
            <w:r>
              <w:rPr>
                <w:rFonts w:ascii="Times New Roman" w:eastAsia="宋体" w:hAnsi="Times New Roman"/>
                <w:szCs w:val="21"/>
              </w:rPr>
              <w:t>/</w:t>
            </w:r>
          </w:p>
        </w:tc>
      </w:tr>
      <w:tr w:rsidR="00D12939" w14:paraId="1D898EB1"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0C5C10A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p>
        </w:tc>
        <w:tc>
          <w:tcPr>
            <w:tcW w:w="706" w:type="dxa"/>
            <w:vMerge/>
            <w:tcBorders>
              <w:left w:val="single" w:sz="6" w:space="0" w:color="000000"/>
              <w:right w:val="single" w:sz="6" w:space="0" w:color="000000"/>
            </w:tcBorders>
            <w:vAlign w:val="center"/>
          </w:tcPr>
          <w:p w14:paraId="42F84829"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49F53724" w14:textId="77777777" w:rsidR="00D12939" w:rsidRDefault="004F47F5">
            <w:pPr>
              <w:jc w:val="cente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曝气风机</w:t>
            </w:r>
            <w:r>
              <w:rPr>
                <w:rFonts w:ascii="Times New Roman" w:eastAsia="宋体" w:hAnsi="Times New Roman" w:cs="Times New Roman" w:hint="eastAsia"/>
              </w:rPr>
              <w:t>-</w:t>
            </w:r>
            <w:r>
              <w:rPr>
                <w:rFonts w:ascii="Times New Roman" w:eastAsia="宋体" w:hAnsi="Times New Roman" w:cs="Times New Roman"/>
              </w:rPr>
              <w:t>2</w:t>
            </w:r>
          </w:p>
        </w:tc>
        <w:tc>
          <w:tcPr>
            <w:tcW w:w="342" w:type="dxa"/>
            <w:tcBorders>
              <w:top w:val="single" w:sz="6" w:space="0" w:color="000000"/>
              <w:left w:val="single" w:sz="6" w:space="0" w:color="000000"/>
              <w:bottom w:val="single" w:sz="6" w:space="0" w:color="000000"/>
              <w:right w:val="single" w:sz="6" w:space="0" w:color="000000"/>
            </w:tcBorders>
            <w:vAlign w:val="center"/>
          </w:tcPr>
          <w:p w14:paraId="5F514FA5"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4D69588A"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5D7679AD"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2526CFF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5D061D90" w14:textId="77777777" w:rsidR="00D12939" w:rsidRDefault="004F47F5">
            <w:pPr>
              <w:jc w:val="center"/>
              <w:rPr>
                <w:rFonts w:ascii="Times New Roman" w:hAnsi="Times New Roman" w:cs="Times New Roman"/>
              </w:rPr>
            </w:pPr>
            <w:r>
              <w:rPr>
                <w:rFonts w:ascii="Times New Roman" w:hAnsi="Times New Roman" w:cs="Times New Roman"/>
              </w:rPr>
              <w:t>-222</w:t>
            </w:r>
          </w:p>
        </w:tc>
        <w:tc>
          <w:tcPr>
            <w:tcW w:w="742" w:type="dxa"/>
            <w:tcBorders>
              <w:top w:val="single" w:sz="6" w:space="0" w:color="000000"/>
              <w:left w:val="single" w:sz="6" w:space="0" w:color="000000"/>
              <w:bottom w:val="single" w:sz="6" w:space="0" w:color="000000"/>
              <w:right w:val="single" w:sz="6" w:space="0" w:color="000000"/>
            </w:tcBorders>
            <w:vAlign w:val="center"/>
          </w:tcPr>
          <w:p w14:paraId="4EA8F26E" w14:textId="77777777" w:rsidR="00D12939" w:rsidRDefault="004F47F5">
            <w:pPr>
              <w:jc w:val="center"/>
              <w:rPr>
                <w:rFonts w:ascii="Times New Roman" w:hAnsi="Times New Roman" w:cs="Times New Roman"/>
              </w:rPr>
            </w:pPr>
            <w:r>
              <w:rPr>
                <w:rFonts w:ascii="Times New Roman" w:hAnsi="Times New Roman" w:cs="Times New Roman"/>
              </w:rPr>
              <w:t>348</w:t>
            </w:r>
          </w:p>
        </w:tc>
        <w:tc>
          <w:tcPr>
            <w:tcW w:w="714" w:type="dxa"/>
            <w:tcBorders>
              <w:top w:val="single" w:sz="6" w:space="0" w:color="000000"/>
              <w:left w:val="single" w:sz="6" w:space="0" w:color="000000"/>
              <w:bottom w:val="single" w:sz="6" w:space="0" w:color="000000"/>
              <w:right w:val="single" w:sz="6" w:space="0" w:color="000000"/>
            </w:tcBorders>
            <w:vAlign w:val="center"/>
          </w:tcPr>
          <w:p w14:paraId="42694CFD"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5CBB5662"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19EDCA97"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5281C64A"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57A0F101"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544A9153"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4BB5EE73" w14:textId="77777777" w:rsidR="00D12939" w:rsidRDefault="004F47F5">
            <w:pPr>
              <w:jc w:val="center"/>
            </w:pPr>
            <w:r>
              <w:rPr>
                <w:rFonts w:ascii="Times New Roman" w:eastAsia="宋体" w:hAnsi="Times New Roman"/>
                <w:szCs w:val="21"/>
              </w:rPr>
              <w:t>/</w:t>
            </w:r>
          </w:p>
        </w:tc>
      </w:tr>
      <w:tr w:rsidR="00D12939" w14:paraId="3572112C"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4133D8C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p>
        </w:tc>
        <w:tc>
          <w:tcPr>
            <w:tcW w:w="706" w:type="dxa"/>
            <w:vMerge/>
            <w:tcBorders>
              <w:left w:val="single" w:sz="6" w:space="0" w:color="000000"/>
              <w:right w:val="single" w:sz="6" w:space="0" w:color="000000"/>
            </w:tcBorders>
            <w:vAlign w:val="center"/>
          </w:tcPr>
          <w:p w14:paraId="7D0FC77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61633DFF" w14:textId="77777777" w:rsidR="00D12939" w:rsidRDefault="004F47F5">
            <w:pPr>
              <w:jc w:val="cente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曝气风机</w:t>
            </w:r>
            <w:r>
              <w:rPr>
                <w:rFonts w:ascii="Times New Roman" w:eastAsia="宋体" w:hAnsi="Times New Roman" w:cs="Times New Roman"/>
              </w:rPr>
              <w:t>-3</w:t>
            </w:r>
          </w:p>
        </w:tc>
        <w:tc>
          <w:tcPr>
            <w:tcW w:w="342" w:type="dxa"/>
            <w:tcBorders>
              <w:top w:val="single" w:sz="6" w:space="0" w:color="000000"/>
              <w:left w:val="single" w:sz="6" w:space="0" w:color="000000"/>
              <w:bottom w:val="single" w:sz="6" w:space="0" w:color="000000"/>
              <w:right w:val="single" w:sz="6" w:space="0" w:color="000000"/>
            </w:tcBorders>
            <w:vAlign w:val="center"/>
          </w:tcPr>
          <w:p w14:paraId="374E5AE5"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5401D550"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65613AE6"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5E1D656A"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28C887E0" w14:textId="77777777" w:rsidR="00D12939" w:rsidRDefault="004F47F5">
            <w:pPr>
              <w:jc w:val="center"/>
              <w:rPr>
                <w:rFonts w:ascii="Times New Roman" w:hAnsi="Times New Roman" w:cs="Times New Roman"/>
              </w:rPr>
            </w:pPr>
            <w:r>
              <w:rPr>
                <w:rFonts w:ascii="Times New Roman" w:hAnsi="Times New Roman" w:cs="Times New Roman"/>
              </w:rPr>
              <w:t>-216</w:t>
            </w:r>
          </w:p>
        </w:tc>
        <w:tc>
          <w:tcPr>
            <w:tcW w:w="742" w:type="dxa"/>
            <w:tcBorders>
              <w:top w:val="single" w:sz="6" w:space="0" w:color="000000"/>
              <w:left w:val="single" w:sz="6" w:space="0" w:color="000000"/>
              <w:bottom w:val="single" w:sz="6" w:space="0" w:color="000000"/>
              <w:right w:val="single" w:sz="6" w:space="0" w:color="000000"/>
            </w:tcBorders>
            <w:vAlign w:val="center"/>
          </w:tcPr>
          <w:p w14:paraId="30115339" w14:textId="77777777" w:rsidR="00D12939" w:rsidRDefault="004F47F5">
            <w:pPr>
              <w:jc w:val="center"/>
              <w:rPr>
                <w:rFonts w:ascii="Times New Roman" w:hAnsi="Times New Roman" w:cs="Times New Roman"/>
              </w:rPr>
            </w:pPr>
            <w:r>
              <w:rPr>
                <w:rFonts w:ascii="Times New Roman" w:hAnsi="Times New Roman" w:cs="Times New Roman"/>
              </w:rPr>
              <w:t>346</w:t>
            </w:r>
          </w:p>
        </w:tc>
        <w:tc>
          <w:tcPr>
            <w:tcW w:w="714" w:type="dxa"/>
            <w:tcBorders>
              <w:top w:val="single" w:sz="6" w:space="0" w:color="000000"/>
              <w:left w:val="single" w:sz="6" w:space="0" w:color="000000"/>
              <w:bottom w:val="single" w:sz="6" w:space="0" w:color="000000"/>
              <w:right w:val="single" w:sz="6" w:space="0" w:color="000000"/>
            </w:tcBorders>
            <w:vAlign w:val="center"/>
          </w:tcPr>
          <w:p w14:paraId="23B28A0D"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1366CE1F"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69FE33FB"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581D1147"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6E2CBC9D"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454CBB7C"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2BC165FB" w14:textId="77777777" w:rsidR="00D12939" w:rsidRDefault="004F47F5">
            <w:pPr>
              <w:jc w:val="center"/>
            </w:pPr>
            <w:r>
              <w:rPr>
                <w:rFonts w:ascii="Times New Roman" w:eastAsia="宋体" w:hAnsi="Times New Roman"/>
                <w:szCs w:val="21"/>
              </w:rPr>
              <w:t>/</w:t>
            </w:r>
          </w:p>
        </w:tc>
      </w:tr>
      <w:tr w:rsidR="00D12939" w14:paraId="52C3FC7F"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7409874B"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6</w:t>
            </w:r>
          </w:p>
        </w:tc>
        <w:tc>
          <w:tcPr>
            <w:tcW w:w="706" w:type="dxa"/>
            <w:vMerge/>
            <w:tcBorders>
              <w:left w:val="single" w:sz="6" w:space="0" w:color="000000"/>
              <w:right w:val="single" w:sz="6" w:space="0" w:color="000000"/>
            </w:tcBorders>
            <w:vAlign w:val="center"/>
          </w:tcPr>
          <w:p w14:paraId="2C983EE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67B325DF" w14:textId="77777777" w:rsidR="00D12939" w:rsidRDefault="004F47F5">
            <w:pPr>
              <w:jc w:val="cente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曝气风机</w:t>
            </w:r>
            <w:r>
              <w:rPr>
                <w:rFonts w:ascii="Times New Roman" w:eastAsia="宋体" w:hAnsi="Times New Roman" w:cs="Times New Roman" w:hint="eastAsia"/>
              </w:rPr>
              <w:t>-</w:t>
            </w:r>
            <w:r>
              <w:rPr>
                <w:rFonts w:ascii="Times New Roman" w:eastAsia="宋体" w:hAnsi="Times New Roman" w:cs="Times New Roman"/>
              </w:rPr>
              <w:t>4</w:t>
            </w:r>
          </w:p>
        </w:tc>
        <w:tc>
          <w:tcPr>
            <w:tcW w:w="342" w:type="dxa"/>
            <w:tcBorders>
              <w:top w:val="single" w:sz="6" w:space="0" w:color="000000"/>
              <w:left w:val="single" w:sz="6" w:space="0" w:color="000000"/>
              <w:bottom w:val="single" w:sz="6" w:space="0" w:color="000000"/>
              <w:right w:val="single" w:sz="6" w:space="0" w:color="000000"/>
            </w:tcBorders>
            <w:vAlign w:val="center"/>
          </w:tcPr>
          <w:p w14:paraId="5EC0CE0D"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5ADB419"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13E2E1BA"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bottom w:val="single" w:sz="6" w:space="0" w:color="000000"/>
              <w:right w:val="single" w:sz="6" w:space="0" w:color="000000"/>
            </w:tcBorders>
            <w:vAlign w:val="center"/>
          </w:tcPr>
          <w:p w14:paraId="01FA4A5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A0337DB" w14:textId="77777777" w:rsidR="00D12939" w:rsidRDefault="004F47F5">
            <w:pPr>
              <w:jc w:val="center"/>
              <w:rPr>
                <w:rFonts w:ascii="Times New Roman" w:hAnsi="Times New Roman" w:cs="Times New Roman"/>
              </w:rPr>
            </w:pPr>
            <w:r>
              <w:rPr>
                <w:rFonts w:ascii="Times New Roman" w:hAnsi="Times New Roman" w:cs="Times New Roman"/>
              </w:rPr>
              <w:t>-212</w:t>
            </w:r>
          </w:p>
        </w:tc>
        <w:tc>
          <w:tcPr>
            <w:tcW w:w="742" w:type="dxa"/>
            <w:tcBorders>
              <w:top w:val="single" w:sz="6" w:space="0" w:color="000000"/>
              <w:left w:val="single" w:sz="6" w:space="0" w:color="000000"/>
              <w:bottom w:val="single" w:sz="6" w:space="0" w:color="000000"/>
              <w:right w:val="single" w:sz="6" w:space="0" w:color="000000"/>
            </w:tcBorders>
            <w:vAlign w:val="center"/>
          </w:tcPr>
          <w:p w14:paraId="6882D29B" w14:textId="77777777" w:rsidR="00D12939" w:rsidRDefault="004F47F5">
            <w:pPr>
              <w:jc w:val="center"/>
              <w:rPr>
                <w:rFonts w:ascii="Times New Roman" w:hAnsi="Times New Roman" w:cs="Times New Roman"/>
              </w:rPr>
            </w:pPr>
            <w:r>
              <w:rPr>
                <w:rFonts w:ascii="Times New Roman" w:hAnsi="Times New Roman" w:cs="Times New Roman"/>
              </w:rPr>
              <w:t>347</w:t>
            </w:r>
          </w:p>
        </w:tc>
        <w:tc>
          <w:tcPr>
            <w:tcW w:w="714" w:type="dxa"/>
            <w:tcBorders>
              <w:top w:val="single" w:sz="6" w:space="0" w:color="000000"/>
              <w:left w:val="single" w:sz="6" w:space="0" w:color="000000"/>
              <w:bottom w:val="single" w:sz="6" w:space="0" w:color="000000"/>
              <w:right w:val="single" w:sz="6" w:space="0" w:color="000000"/>
            </w:tcBorders>
            <w:vAlign w:val="center"/>
          </w:tcPr>
          <w:p w14:paraId="7DD6736C"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271704C0"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391DFFCF"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4EEB7BAB"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3AF4364C"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45D3E005"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6C45F48F" w14:textId="77777777" w:rsidR="00D12939" w:rsidRDefault="004F47F5">
            <w:pPr>
              <w:jc w:val="center"/>
            </w:pPr>
            <w:r>
              <w:rPr>
                <w:rFonts w:ascii="Times New Roman" w:eastAsia="宋体" w:hAnsi="Times New Roman"/>
                <w:szCs w:val="21"/>
              </w:rPr>
              <w:t>/</w:t>
            </w:r>
          </w:p>
        </w:tc>
      </w:tr>
      <w:tr w:rsidR="00D12939" w14:paraId="79498A4E"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43BA795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7</w:t>
            </w:r>
          </w:p>
        </w:tc>
        <w:tc>
          <w:tcPr>
            <w:tcW w:w="706" w:type="dxa"/>
            <w:vMerge/>
            <w:tcBorders>
              <w:left w:val="single" w:sz="6" w:space="0" w:color="000000"/>
              <w:right w:val="single" w:sz="6" w:space="0" w:color="000000"/>
            </w:tcBorders>
            <w:vAlign w:val="center"/>
          </w:tcPr>
          <w:p w14:paraId="63CECDD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0FBB578C"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膜抽吸泵</w:t>
            </w:r>
            <w:r>
              <w:rPr>
                <w:rFonts w:ascii="Times New Roman" w:eastAsia="宋体" w:hAnsi="Times New Roman" w:cs="Times New Roman" w:hint="eastAsia"/>
              </w:rPr>
              <w:t>-</w:t>
            </w:r>
            <w:r>
              <w:rPr>
                <w:rFonts w:ascii="Times New Roman" w:eastAsia="宋体" w:hAnsi="Times New Roman" w:cs="Times New Roman"/>
              </w:rPr>
              <w:t>1</w:t>
            </w:r>
          </w:p>
        </w:tc>
        <w:tc>
          <w:tcPr>
            <w:tcW w:w="342" w:type="dxa"/>
            <w:tcBorders>
              <w:top w:val="single" w:sz="6" w:space="0" w:color="000000"/>
              <w:left w:val="single" w:sz="6" w:space="0" w:color="000000"/>
              <w:bottom w:val="single" w:sz="6" w:space="0" w:color="000000"/>
              <w:right w:val="single" w:sz="6" w:space="0" w:color="000000"/>
            </w:tcBorders>
            <w:vAlign w:val="center"/>
          </w:tcPr>
          <w:p w14:paraId="211A504E"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09878DE4"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305B173B" w14:textId="77777777" w:rsidR="00D12939" w:rsidRDefault="004F47F5">
            <w:pPr>
              <w:jc w:val="center"/>
            </w:pPr>
            <w:r>
              <w:rPr>
                <w:rFonts w:ascii="Times New Roman" w:eastAsia="宋体" w:hAnsi="Times New Roman" w:cs="Times New Roman"/>
                <w:szCs w:val="21"/>
              </w:rPr>
              <w:t>/</w:t>
            </w:r>
          </w:p>
        </w:tc>
        <w:tc>
          <w:tcPr>
            <w:tcW w:w="1249" w:type="dxa"/>
            <w:vMerge w:val="restart"/>
            <w:tcBorders>
              <w:top w:val="single" w:sz="6" w:space="0" w:color="000000"/>
              <w:left w:val="single" w:sz="6" w:space="0" w:color="000000"/>
              <w:right w:val="single" w:sz="6" w:space="0" w:color="000000"/>
            </w:tcBorders>
            <w:vAlign w:val="center"/>
          </w:tcPr>
          <w:p w14:paraId="3196FD2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置于池底、厂房隔声</w:t>
            </w:r>
          </w:p>
        </w:tc>
        <w:tc>
          <w:tcPr>
            <w:tcW w:w="802" w:type="dxa"/>
            <w:tcBorders>
              <w:top w:val="single" w:sz="6" w:space="0" w:color="000000"/>
              <w:left w:val="single" w:sz="6" w:space="0" w:color="000000"/>
              <w:bottom w:val="single" w:sz="6" w:space="0" w:color="000000"/>
              <w:right w:val="single" w:sz="6" w:space="0" w:color="000000"/>
            </w:tcBorders>
            <w:vAlign w:val="center"/>
          </w:tcPr>
          <w:p w14:paraId="087A053B" w14:textId="77777777" w:rsidR="00D12939" w:rsidRDefault="004F47F5">
            <w:pPr>
              <w:jc w:val="center"/>
              <w:rPr>
                <w:rFonts w:ascii="Times New Roman" w:hAnsi="Times New Roman" w:cs="Times New Roman"/>
              </w:rPr>
            </w:pPr>
            <w:r>
              <w:rPr>
                <w:rFonts w:ascii="Times New Roman" w:hAnsi="Times New Roman" w:cs="Times New Roman"/>
              </w:rPr>
              <w:t>-228</w:t>
            </w:r>
          </w:p>
        </w:tc>
        <w:tc>
          <w:tcPr>
            <w:tcW w:w="742" w:type="dxa"/>
            <w:tcBorders>
              <w:top w:val="single" w:sz="6" w:space="0" w:color="000000"/>
              <w:left w:val="single" w:sz="6" w:space="0" w:color="000000"/>
              <w:bottom w:val="single" w:sz="6" w:space="0" w:color="000000"/>
              <w:right w:val="single" w:sz="6" w:space="0" w:color="000000"/>
            </w:tcBorders>
            <w:vAlign w:val="center"/>
          </w:tcPr>
          <w:p w14:paraId="4C274FEC" w14:textId="77777777" w:rsidR="00D12939" w:rsidRDefault="004F47F5">
            <w:pPr>
              <w:jc w:val="center"/>
              <w:rPr>
                <w:rFonts w:ascii="Times New Roman" w:hAnsi="Times New Roman" w:cs="Times New Roman"/>
              </w:rPr>
            </w:pPr>
            <w:r>
              <w:rPr>
                <w:rFonts w:ascii="Times New Roman" w:hAnsi="Times New Roman" w:cs="Times New Roman"/>
              </w:rPr>
              <w:t>339</w:t>
            </w:r>
          </w:p>
        </w:tc>
        <w:tc>
          <w:tcPr>
            <w:tcW w:w="714" w:type="dxa"/>
            <w:tcBorders>
              <w:top w:val="single" w:sz="6" w:space="0" w:color="000000"/>
              <w:left w:val="single" w:sz="6" w:space="0" w:color="000000"/>
              <w:bottom w:val="single" w:sz="6" w:space="0" w:color="000000"/>
              <w:right w:val="single" w:sz="6" w:space="0" w:color="000000"/>
            </w:tcBorders>
            <w:vAlign w:val="center"/>
          </w:tcPr>
          <w:p w14:paraId="1B31E003"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636B8D4F"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3018EEB6"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478A7BE2"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26BF56AF"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156D394A"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1A3B8AD3" w14:textId="77777777" w:rsidR="00D12939" w:rsidRDefault="004F47F5">
            <w:pPr>
              <w:jc w:val="center"/>
            </w:pPr>
            <w:r>
              <w:rPr>
                <w:rFonts w:ascii="Times New Roman" w:eastAsia="宋体" w:hAnsi="Times New Roman"/>
                <w:szCs w:val="21"/>
              </w:rPr>
              <w:t>/</w:t>
            </w:r>
          </w:p>
        </w:tc>
      </w:tr>
      <w:tr w:rsidR="00D12939" w14:paraId="0FCCCAF1"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154BC16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8</w:t>
            </w:r>
          </w:p>
        </w:tc>
        <w:tc>
          <w:tcPr>
            <w:tcW w:w="706" w:type="dxa"/>
            <w:vMerge/>
            <w:tcBorders>
              <w:left w:val="single" w:sz="6" w:space="0" w:color="000000"/>
              <w:right w:val="single" w:sz="6" w:space="0" w:color="000000"/>
            </w:tcBorders>
            <w:vAlign w:val="center"/>
          </w:tcPr>
          <w:p w14:paraId="16468793"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2ACBC402" w14:textId="77777777" w:rsidR="00D12939" w:rsidRDefault="004F47F5">
            <w:pPr>
              <w:jc w:val="cente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膜抽吸泵</w:t>
            </w:r>
            <w:r>
              <w:rPr>
                <w:rFonts w:ascii="Times New Roman" w:eastAsia="宋体" w:hAnsi="Times New Roman" w:cs="Times New Roman" w:hint="eastAsia"/>
              </w:rPr>
              <w:t>-</w:t>
            </w:r>
            <w:r>
              <w:rPr>
                <w:rFonts w:ascii="Times New Roman" w:eastAsia="宋体" w:hAnsi="Times New Roman" w:cs="Times New Roman"/>
              </w:rPr>
              <w:t>2</w:t>
            </w:r>
          </w:p>
        </w:tc>
        <w:tc>
          <w:tcPr>
            <w:tcW w:w="342" w:type="dxa"/>
            <w:tcBorders>
              <w:top w:val="single" w:sz="6" w:space="0" w:color="000000"/>
              <w:left w:val="single" w:sz="6" w:space="0" w:color="000000"/>
              <w:bottom w:val="single" w:sz="6" w:space="0" w:color="000000"/>
              <w:right w:val="single" w:sz="6" w:space="0" w:color="000000"/>
            </w:tcBorders>
            <w:vAlign w:val="center"/>
          </w:tcPr>
          <w:p w14:paraId="662B3DA4"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3E8B045"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30BF0BED"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2C395A2A"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2F44D9A5" w14:textId="77777777" w:rsidR="00D12939" w:rsidRDefault="004F47F5">
            <w:pPr>
              <w:jc w:val="center"/>
              <w:rPr>
                <w:rFonts w:ascii="Times New Roman" w:hAnsi="Times New Roman" w:cs="Times New Roman"/>
              </w:rPr>
            </w:pPr>
            <w:r>
              <w:rPr>
                <w:rFonts w:ascii="Times New Roman" w:hAnsi="Times New Roman" w:cs="Times New Roman"/>
              </w:rPr>
              <w:t>-224</w:t>
            </w:r>
          </w:p>
        </w:tc>
        <w:tc>
          <w:tcPr>
            <w:tcW w:w="742" w:type="dxa"/>
            <w:tcBorders>
              <w:top w:val="single" w:sz="6" w:space="0" w:color="000000"/>
              <w:left w:val="single" w:sz="6" w:space="0" w:color="000000"/>
              <w:bottom w:val="single" w:sz="6" w:space="0" w:color="000000"/>
              <w:right w:val="single" w:sz="6" w:space="0" w:color="000000"/>
            </w:tcBorders>
            <w:vAlign w:val="center"/>
          </w:tcPr>
          <w:p w14:paraId="7F5E675A" w14:textId="77777777" w:rsidR="00D12939" w:rsidRDefault="004F47F5">
            <w:pPr>
              <w:jc w:val="center"/>
              <w:rPr>
                <w:rFonts w:ascii="Times New Roman" w:hAnsi="Times New Roman" w:cs="Times New Roman"/>
              </w:rPr>
            </w:pPr>
            <w:r>
              <w:rPr>
                <w:rFonts w:ascii="Times New Roman" w:hAnsi="Times New Roman" w:cs="Times New Roman"/>
              </w:rPr>
              <w:t>343</w:t>
            </w:r>
          </w:p>
        </w:tc>
        <w:tc>
          <w:tcPr>
            <w:tcW w:w="714" w:type="dxa"/>
            <w:tcBorders>
              <w:top w:val="single" w:sz="6" w:space="0" w:color="000000"/>
              <w:left w:val="single" w:sz="6" w:space="0" w:color="000000"/>
              <w:bottom w:val="single" w:sz="6" w:space="0" w:color="000000"/>
              <w:right w:val="single" w:sz="6" w:space="0" w:color="000000"/>
            </w:tcBorders>
            <w:vAlign w:val="center"/>
          </w:tcPr>
          <w:p w14:paraId="63AFF4C9"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704E9E0E"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13127387"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45E6C002"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4060EEE2"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61B92BFE"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17D98B96" w14:textId="77777777" w:rsidR="00D12939" w:rsidRDefault="004F47F5">
            <w:pPr>
              <w:jc w:val="center"/>
            </w:pPr>
            <w:r>
              <w:rPr>
                <w:rFonts w:ascii="Times New Roman" w:eastAsia="宋体" w:hAnsi="Times New Roman"/>
                <w:szCs w:val="21"/>
              </w:rPr>
              <w:t>/</w:t>
            </w:r>
          </w:p>
        </w:tc>
      </w:tr>
      <w:tr w:rsidR="00D12939" w14:paraId="4B9C0BF9"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3E924409"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9</w:t>
            </w:r>
          </w:p>
        </w:tc>
        <w:tc>
          <w:tcPr>
            <w:tcW w:w="706" w:type="dxa"/>
            <w:vMerge/>
            <w:tcBorders>
              <w:left w:val="single" w:sz="6" w:space="0" w:color="000000"/>
              <w:right w:val="single" w:sz="6" w:space="0" w:color="000000"/>
            </w:tcBorders>
            <w:vAlign w:val="center"/>
          </w:tcPr>
          <w:p w14:paraId="0C48E7DC"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63F3AD8C" w14:textId="77777777" w:rsidR="00D12939" w:rsidRDefault="004F47F5">
            <w:pPr>
              <w:jc w:val="cente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膜抽吸泵</w:t>
            </w:r>
            <w:r>
              <w:rPr>
                <w:rFonts w:ascii="Times New Roman" w:eastAsia="宋体" w:hAnsi="Times New Roman" w:cs="Times New Roman" w:hint="eastAsia"/>
              </w:rPr>
              <w:t>-</w:t>
            </w:r>
            <w:r>
              <w:rPr>
                <w:rFonts w:ascii="Times New Roman" w:eastAsia="宋体" w:hAnsi="Times New Roman" w:cs="Times New Roman"/>
              </w:rPr>
              <w:t>3</w:t>
            </w:r>
          </w:p>
        </w:tc>
        <w:tc>
          <w:tcPr>
            <w:tcW w:w="342" w:type="dxa"/>
            <w:tcBorders>
              <w:top w:val="single" w:sz="6" w:space="0" w:color="000000"/>
              <w:left w:val="single" w:sz="6" w:space="0" w:color="000000"/>
              <w:bottom w:val="single" w:sz="6" w:space="0" w:color="000000"/>
              <w:right w:val="single" w:sz="6" w:space="0" w:color="000000"/>
            </w:tcBorders>
            <w:vAlign w:val="center"/>
          </w:tcPr>
          <w:p w14:paraId="1655D0C5"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7536C12C"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509DAA3F"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4B99171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4B16BB65" w14:textId="77777777" w:rsidR="00D12939" w:rsidRDefault="004F47F5">
            <w:pPr>
              <w:jc w:val="center"/>
              <w:rPr>
                <w:rFonts w:ascii="Times New Roman" w:hAnsi="Times New Roman" w:cs="Times New Roman"/>
              </w:rPr>
            </w:pPr>
            <w:r>
              <w:rPr>
                <w:rFonts w:ascii="Times New Roman" w:hAnsi="Times New Roman" w:cs="Times New Roman"/>
              </w:rPr>
              <w:t>-220</w:t>
            </w:r>
          </w:p>
        </w:tc>
        <w:tc>
          <w:tcPr>
            <w:tcW w:w="742" w:type="dxa"/>
            <w:tcBorders>
              <w:top w:val="single" w:sz="6" w:space="0" w:color="000000"/>
              <w:left w:val="single" w:sz="6" w:space="0" w:color="000000"/>
              <w:bottom w:val="single" w:sz="6" w:space="0" w:color="000000"/>
              <w:right w:val="single" w:sz="6" w:space="0" w:color="000000"/>
            </w:tcBorders>
            <w:vAlign w:val="center"/>
          </w:tcPr>
          <w:p w14:paraId="421FF1D3" w14:textId="77777777" w:rsidR="00D12939" w:rsidRDefault="004F47F5">
            <w:pPr>
              <w:jc w:val="center"/>
              <w:rPr>
                <w:rFonts w:ascii="Times New Roman" w:hAnsi="Times New Roman" w:cs="Times New Roman"/>
              </w:rPr>
            </w:pPr>
            <w:r>
              <w:rPr>
                <w:rFonts w:ascii="Times New Roman" w:hAnsi="Times New Roman" w:cs="Times New Roman"/>
              </w:rPr>
              <w:t>340</w:t>
            </w:r>
          </w:p>
        </w:tc>
        <w:tc>
          <w:tcPr>
            <w:tcW w:w="714" w:type="dxa"/>
            <w:tcBorders>
              <w:top w:val="single" w:sz="6" w:space="0" w:color="000000"/>
              <w:left w:val="single" w:sz="6" w:space="0" w:color="000000"/>
              <w:bottom w:val="single" w:sz="6" w:space="0" w:color="000000"/>
              <w:right w:val="single" w:sz="6" w:space="0" w:color="000000"/>
            </w:tcBorders>
            <w:vAlign w:val="center"/>
          </w:tcPr>
          <w:p w14:paraId="5E8D0737"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635AA178"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26F1664A"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15EDFBBA"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65DED60D"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30C69581"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4D62351A" w14:textId="77777777" w:rsidR="00D12939" w:rsidRDefault="004F47F5">
            <w:pPr>
              <w:jc w:val="center"/>
            </w:pPr>
            <w:r>
              <w:rPr>
                <w:rFonts w:ascii="Times New Roman" w:eastAsia="宋体" w:hAnsi="Times New Roman"/>
                <w:szCs w:val="21"/>
              </w:rPr>
              <w:t>/</w:t>
            </w:r>
          </w:p>
        </w:tc>
      </w:tr>
      <w:tr w:rsidR="00D12939" w14:paraId="44B8A32E"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3C842E0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1</w:t>
            </w:r>
            <w:r>
              <w:rPr>
                <w:rFonts w:ascii="Times New Roman" w:eastAsia="宋体" w:hAnsi="Times New Roman"/>
                <w:sz w:val="21"/>
                <w:szCs w:val="21"/>
              </w:rPr>
              <w:t>0</w:t>
            </w:r>
          </w:p>
        </w:tc>
        <w:tc>
          <w:tcPr>
            <w:tcW w:w="706" w:type="dxa"/>
            <w:vMerge/>
            <w:tcBorders>
              <w:left w:val="single" w:sz="6" w:space="0" w:color="000000"/>
              <w:right w:val="single" w:sz="6" w:space="0" w:color="000000"/>
            </w:tcBorders>
            <w:vAlign w:val="center"/>
          </w:tcPr>
          <w:p w14:paraId="35E63222"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5B1E24A8" w14:textId="77777777" w:rsidR="00D12939" w:rsidRDefault="004F47F5">
            <w:pPr>
              <w:jc w:val="cente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膜抽吸泵</w:t>
            </w:r>
            <w:r>
              <w:rPr>
                <w:rFonts w:ascii="Times New Roman" w:eastAsia="宋体" w:hAnsi="Times New Roman" w:cs="Times New Roman" w:hint="eastAsia"/>
              </w:rPr>
              <w:t>-</w:t>
            </w:r>
            <w:r>
              <w:rPr>
                <w:rFonts w:ascii="Times New Roman" w:eastAsia="宋体" w:hAnsi="Times New Roman" w:cs="Times New Roman"/>
              </w:rPr>
              <w:t>4</w:t>
            </w:r>
          </w:p>
        </w:tc>
        <w:tc>
          <w:tcPr>
            <w:tcW w:w="342" w:type="dxa"/>
            <w:tcBorders>
              <w:top w:val="single" w:sz="6" w:space="0" w:color="000000"/>
              <w:left w:val="single" w:sz="6" w:space="0" w:color="000000"/>
              <w:bottom w:val="single" w:sz="6" w:space="0" w:color="000000"/>
              <w:right w:val="single" w:sz="6" w:space="0" w:color="000000"/>
            </w:tcBorders>
            <w:vAlign w:val="center"/>
          </w:tcPr>
          <w:p w14:paraId="2E7126DC"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45EC99FE"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20DC7779"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44E01A6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646192CB" w14:textId="77777777" w:rsidR="00D12939" w:rsidRDefault="004F47F5">
            <w:pPr>
              <w:jc w:val="center"/>
              <w:rPr>
                <w:rFonts w:ascii="Times New Roman" w:hAnsi="Times New Roman" w:cs="Times New Roman"/>
              </w:rPr>
            </w:pPr>
            <w:r>
              <w:rPr>
                <w:rFonts w:ascii="Times New Roman" w:hAnsi="Times New Roman" w:cs="Times New Roman"/>
              </w:rPr>
              <w:t>-217</w:t>
            </w:r>
          </w:p>
        </w:tc>
        <w:tc>
          <w:tcPr>
            <w:tcW w:w="742" w:type="dxa"/>
            <w:tcBorders>
              <w:top w:val="single" w:sz="6" w:space="0" w:color="000000"/>
              <w:left w:val="single" w:sz="6" w:space="0" w:color="000000"/>
              <w:bottom w:val="single" w:sz="6" w:space="0" w:color="000000"/>
              <w:right w:val="single" w:sz="6" w:space="0" w:color="000000"/>
            </w:tcBorders>
            <w:vAlign w:val="center"/>
          </w:tcPr>
          <w:p w14:paraId="0E496A7D" w14:textId="77777777" w:rsidR="00D12939" w:rsidRDefault="004F47F5">
            <w:pPr>
              <w:jc w:val="center"/>
              <w:rPr>
                <w:rFonts w:ascii="Times New Roman" w:hAnsi="Times New Roman" w:cs="Times New Roman"/>
              </w:rPr>
            </w:pPr>
            <w:r>
              <w:rPr>
                <w:rFonts w:ascii="Times New Roman" w:hAnsi="Times New Roman" w:cs="Times New Roman"/>
              </w:rPr>
              <w:t>344</w:t>
            </w:r>
          </w:p>
        </w:tc>
        <w:tc>
          <w:tcPr>
            <w:tcW w:w="714" w:type="dxa"/>
            <w:tcBorders>
              <w:top w:val="single" w:sz="6" w:space="0" w:color="000000"/>
              <w:left w:val="single" w:sz="6" w:space="0" w:color="000000"/>
              <w:bottom w:val="single" w:sz="6" w:space="0" w:color="000000"/>
              <w:right w:val="single" w:sz="6" w:space="0" w:color="000000"/>
            </w:tcBorders>
            <w:vAlign w:val="center"/>
          </w:tcPr>
          <w:p w14:paraId="3186F0BD"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20CE4666"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246F7253"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6281A7A0" w14:textId="77777777" w:rsidR="00D12939" w:rsidRDefault="00D12939">
            <w:pPr>
              <w:pStyle w:val="afffff8"/>
              <w:spacing w:before="0" w:after="0" w:line="240" w:lineRule="auto"/>
              <w:ind w:firstLine="480"/>
              <w:jc w:val="center"/>
            </w:pPr>
          </w:p>
        </w:tc>
        <w:tc>
          <w:tcPr>
            <w:tcW w:w="1020" w:type="dxa"/>
            <w:vMerge/>
            <w:tcBorders>
              <w:left w:val="single" w:sz="6" w:space="0" w:color="000000"/>
              <w:right w:val="single" w:sz="6" w:space="0" w:color="000000"/>
            </w:tcBorders>
            <w:vAlign w:val="center"/>
          </w:tcPr>
          <w:p w14:paraId="23089E49" w14:textId="77777777" w:rsidR="00D12939" w:rsidRDefault="00D12939">
            <w:pPr>
              <w:pStyle w:val="afffff8"/>
              <w:spacing w:before="0" w:after="0" w:line="240" w:lineRule="auto"/>
              <w:ind w:firstLine="42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1CAD2559"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397E7E1B" w14:textId="77777777" w:rsidR="00D12939" w:rsidRDefault="004F47F5">
            <w:pPr>
              <w:jc w:val="center"/>
            </w:pPr>
            <w:r>
              <w:rPr>
                <w:rFonts w:ascii="Times New Roman" w:eastAsia="宋体" w:hAnsi="Times New Roman"/>
                <w:szCs w:val="21"/>
              </w:rPr>
              <w:t>/</w:t>
            </w:r>
          </w:p>
        </w:tc>
      </w:tr>
      <w:tr w:rsidR="00D12939" w14:paraId="56A6288D"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7A58FF9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11</w:t>
            </w:r>
          </w:p>
        </w:tc>
        <w:tc>
          <w:tcPr>
            <w:tcW w:w="706" w:type="dxa"/>
            <w:vMerge/>
            <w:tcBorders>
              <w:left w:val="single" w:sz="6" w:space="0" w:color="000000"/>
              <w:right w:val="single" w:sz="6" w:space="0" w:color="000000"/>
            </w:tcBorders>
            <w:vAlign w:val="center"/>
          </w:tcPr>
          <w:p w14:paraId="4352229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4104DEEE"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膜吸水泵</w:t>
            </w:r>
            <w:r>
              <w:rPr>
                <w:rFonts w:ascii="Times New Roman" w:eastAsia="宋体" w:hAnsi="Times New Roman" w:cs="Times New Roman" w:hint="eastAsia"/>
              </w:rPr>
              <w:t>-</w:t>
            </w:r>
            <w:r>
              <w:rPr>
                <w:rFonts w:ascii="Times New Roman" w:eastAsia="宋体" w:hAnsi="Times New Roman" w:cs="Times New Roman"/>
              </w:rPr>
              <w:t>1</w:t>
            </w:r>
          </w:p>
        </w:tc>
        <w:tc>
          <w:tcPr>
            <w:tcW w:w="342" w:type="dxa"/>
            <w:tcBorders>
              <w:top w:val="single" w:sz="6" w:space="0" w:color="000000"/>
              <w:left w:val="single" w:sz="6" w:space="0" w:color="000000"/>
              <w:bottom w:val="single" w:sz="6" w:space="0" w:color="000000"/>
              <w:right w:val="single" w:sz="6" w:space="0" w:color="000000"/>
            </w:tcBorders>
            <w:vAlign w:val="center"/>
          </w:tcPr>
          <w:p w14:paraId="72E92A86"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76113D41"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0E67DA15"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412607A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6B00A26D" w14:textId="77777777" w:rsidR="00D12939" w:rsidRDefault="004F47F5">
            <w:pPr>
              <w:jc w:val="center"/>
              <w:rPr>
                <w:rFonts w:ascii="Times New Roman" w:hAnsi="Times New Roman" w:cs="Times New Roman"/>
              </w:rPr>
            </w:pPr>
            <w:r>
              <w:rPr>
                <w:rFonts w:ascii="Times New Roman" w:hAnsi="Times New Roman" w:cs="Times New Roman"/>
              </w:rPr>
              <w:t>-219</w:t>
            </w:r>
          </w:p>
        </w:tc>
        <w:tc>
          <w:tcPr>
            <w:tcW w:w="742" w:type="dxa"/>
            <w:tcBorders>
              <w:top w:val="single" w:sz="6" w:space="0" w:color="000000"/>
              <w:left w:val="single" w:sz="6" w:space="0" w:color="000000"/>
              <w:bottom w:val="single" w:sz="6" w:space="0" w:color="000000"/>
              <w:right w:val="single" w:sz="6" w:space="0" w:color="000000"/>
            </w:tcBorders>
            <w:vAlign w:val="center"/>
          </w:tcPr>
          <w:p w14:paraId="12642D1B" w14:textId="77777777" w:rsidR="00D12939" w:rsidRDefault="004F47F5">
            <w:pPr>
              <w:jc w:val="center"/>
              <w:rPr>
                <w:rFonts w:ascii="Times New Roman" w:hAnsi="Times New Roman" w:cs="Times New Roman"/>
              </w:rPr>
            </w:pPr>
            <w:r>
              <w:rPr>
                <w:rFonts w:ascii="Times New Roman" w:hAnsi="Times New Roman" w:cs="Times New Roman"/>
              </w:rPr>
              <w:t>343</w:t>
            </w:r>
          </w:p>
        </w:tc>
        <w:tc>
          <w:tcPr>
            <w:tcW w:w="714" w:type="dxa"/>
            <w:tcBorders>
              <w:top w:val="single" w:sz="6" w:space="0" w:color="000000"/>
              <w:left w:val="single" w:sz="6" w:space="0" w:color="000000"/>
              <w:bottom w:val="single" w:sz="6" w:space="0" w:color="000000"/>
              <w:right w:val="single" w:sz="6" w:space="0" w:color="000000"/>
            </w:tcBorders>
            <w:vAlign w:val="center"/>
          </w:tcPr>
          <w:p w14:paraId="282321E0"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66D769A3"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70FC7531"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2028D6F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59CC308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096E809D"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6F48CB24" w14:textId="77777777" w:rsidR="00D12939" w:rsidRDefault="004F47F5">
            <w:pPr>
              <w:jc w:val="center"/>
            </w:pPr>
            <w:r>
              <w:rPr>
                <w:rFonts w:ascii="Times New Roman" w:eastAsia="宋体" w:hAnsi="Times New Roman"/>
                <w:szCs w:val="21"/>
              </w:rPr>
              <w:t>/</w:t>
            </w:r>
          </w:p>
        </w:tc>
      </w:tr>
      <w:tr w:rsidR="00D12939" w14:paraId="744CBC6A"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3F6E887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1</w:t>
            </w:r>
            <w:r>
              <w:rPr>
                <w:rFonts w:ascii="Times New Roman" w:eastAsia="宋体" w:hAnsi="Times New Roman"/>
                <w:sz w:val="21"/>
                <w:szCs w:val="21"/>
              </w:rPr>
              <w:t>2</w:t>
            </w:r>
          </w:p>
        </w:tc>
        <w:tc>
          <w:tcPr>
            <w:tcW w:w="706" w:type="dxa"/>
            <w:vMerge/>
            <w:tcBorders>
              <w:left w:val="single" w:sz="6" w:space="0" w:color="000000"/>
              <w:right w:val="single" w:sz="6" w:space="0" w:color="000000"/>
            </w:tcBorders>
            <w:vAlign w:val="center"/>
          </w:tcPr>
          <w:p w14:paraId="0E75C52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571A0C90"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M</w:t>
            </w:r>
            <w:r>
              <w:rPr>
                <w:rFonts w:ascii="Times New Roman" w:eastAsia="宋体" w:hAnsi="Times New Roman" w:cs="Times New Roman"/>
              </w:rPr>
              <w:t>BR</w:t>
            </w:r>
            <w:r>
              <w:rPr>
                <w:rFonts w:ascii="Times New Roman" w:eastAsia="宋体" w:hAnsi="Times New Roman" w:cs="Times New Roman" w:hint="eastAsia"/>
              </w:rPr>
              <w:t>膜吸水泵</w:t>
            </w:r>
            <w:r>
              <w:rPr>
                <w:rFonts w:ascii="Times New Roman" w:eastAsia="宋体" w:hAnsi="Times New Roman" w:cs="Times New Roman" w:hint="eastAsia"/>
              </w:rPr>
              <w:t>-</w:t>
            </w:r>
            <w:r>
              <w:rPr>
                <w:rFonts w:ascii="Times New Roman" w:eastAsia="宋体" w:hAnsi="Times New Roman" w:cs="Times New Roman"/>
              </w:rPr>
              <w:t>2</w:t>
            </w:r>
          </w:p>
        </w:tc>
        <w:tc>
          <w:tcPr>
            <w:tcW w:w="342" w:type="dxa"/>
            <w:tcBorders>
              <w:top w:val="single" w:sz="6" w:space="0" w:color="000000"/>
              <w:left w:val="single" w:sz="6" w:space="0" w:color="000000"/>
              <w:bottom w:val="single" w:sz="6" w:space="0" w:color="000000"/>
              <w:right w:val="single" w:sz="6" w:space="0" w:color="000000"/>
            </w:tcBorders>
            <w:vAlign w:val="center"/>
          </w:tcPr>
          <w:p w14:paraId="1D60D984"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7855154"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408DDC15"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1D40DFE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5CDB802E" w14:textId="77777777" w:rsidR="00D12939" w:rsidRDefault="004F47F5">
            <w:pPr>
              <w:jc w:val="center"/>
              <w:rPr>
                <w:rFonts w:ascii="Times New Roman" w:hAnsi="Times New Roman" w:cs="Times New Roman"/>
              </w:rPr>
            </w:pPr>
            <w:r>
              <w:rPr>
                <w:rFonts w:ascii="Times New Roman" w:hAnsi="Times New Roman" w:cs="Times New Roman"/>
              </w:rPr>
              <w:t>-230</w:t>
            </w:r>
          </w:p>
        </w:tc>
        <w:tc>
          <w:tcPr>
            <w:tcW w:w="742" w:type="dxa"/>
            <w:tcBorders>
              <w:top w:val="single" w:sz="6" w:space="0" w:color="000000"/>
              <w:left w:val="single" w:sz="6" w:space="0" w:color="000000"/>
              <w:bottom w:val="single" w:sz="6" w:space="0" w:color="000000"/>
              <w:right w:val="single" w:sz="6" w:space="0" w:color="000000"/>
            </w:tcBorders>
            <w:vAlign w:val="center"/>
          </w:tcPr>
          <w:p w14:paraId="6BD152EE" w14:textId="77777777" w:rsidR="00D12939" w:rsidRDefault="004F47F5">
            <w:pPr>
              <w:jc w:val="center"/>
              <w:rPr>
                <w:rFonts w:ascii="Times New Roman" w:hAnsi="Times New Roman" w:cs="Times New Roman"/>
              </w:rPr>
            </w:pPr>
            <w:r>
              <w:rPr>
                <w:rFonts w:ascii="Times New Roman" w:hAnsi="Times New Roman" w:cs="Times New Roman"/>
              </w:rPr>
              <w:t>338</w:t>
            </w:r>
          </w:p>
        </w:tc>
        <w:tc>
          <w:tcPr>
            <w:tcW w:w="714" w:type="dxa"/>
            <w:tcBorders>
              <w:top w:val="single" w:sz="6" w:space="0" w:color="000000"/>
              <w:left w:val="single" w:sz="6" w:space="0" w:color="000000"/>
              <w:bottom w:val="single" w:sz="6" w:space="0" w:color="000000"/>
              <w:right w:val="single" w:sz="6" w:space="0" w:color="000000"/>
            </w:tcBorders>
            <w:vAlign w:val="center"/>
          </w:tcPr>
          <w:p w14:paraId="586755B7"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0F5044FF"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15739340"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0DE4C2F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1C18208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64A38CC3"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715C12DE" w14:textId="77777777" w:rsidR="00D12939" w:rsidRDefault="004F47F5">
            <w:pPr>
              <w:jc w:val="center"/>
            </w:pPr>
            <w:r>
              <w:rPr>
                <w:rFonts w:ascii="Times New Roman" w:eastAsia="宋体" w:hAnsi="Times New Roman"/>
                <w:szCs w:val="21"/>
              </w:rPr>
              <w:t>/</w:t>
            </w:r>
          </w:p>
        </w:tc>
      </w:tr>
      <w:tr w:rsidR="00D12939" w14:paraId="7CD86FC6"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3EE532C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13</w:t>
            </w:r>
          </w:p>
        </w:tc>
        <w:tc>
          <w:tcPr>
            <w:tcW w:w="706" w:type="dxa"/>
            <w:vMerge/>
            <w:tcBorders>
              <w:left w:val="single" w:sz="6" w:space="0" w:color="000000"/>
              <w:right w:val="single" w:sz="6" w:space="0" w:color="000000"/>
            </w:tcBorders>
            <w:vAlign w:val="center"/>
          </w:tcPr>
          <w:p w14:paraId="79D906E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15E9CDBE"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回流泵</w:t>
            </w:r>
            <w:r>
              <w:rPr>
                <w:rFonts w:ascii="Times New Roman" w:eastAsia="宋体" w:hAnsi="Times New Roman" w:cs="Times New Roman" w:hint="eastAsia"/>
              </w:rPr>
              <w:t>-</w:t>
            </w:r>
            <w:r>
              <w:rPr>
                <w:rFonts w:ascii="Times New Roman" w:eastAsia="宋体" w:hAnsi="Times New Roman" w:cs="Times New Roman"/>
              </w:rPr>
              <w:t>1</w:t>
            </w:r>
          </w:p>
        </w:tc>
        <w:tc>
          <w:tcPr>
            <w:tcW w:w="342" w:type="dxa"/>
            <w:tcBorders>
              <w:top w:val="single" w:sz="6" w:space="0" w:color="000000"/>
              <w:left w:val="single" w:sz="6" w:space="0" w:color="000000"/>
              <w:bottom w:val="single" w:sz="6" w:space="0" w:color="000000"/>
              <w:right w:val="single" w:sz="6" w:space="0" w:color="000000"/>
            </w:tcBorders>
            <w:vAlign w:val="center"/>
          </w:tcPr>
          <w:p w14:paraId="4586A9FF"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5A346969"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27BCCFD1"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117D434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0D8A6657" w14:textId="77777777" w:rsidR="00D12939" w:rsidRDefault="004F47F5">
            <w:pPr>
              <w:jc w:val="center"/>
              <w:rPr>
                <w:rFonts w:ascii="Times New Roman" w:hAnsi="Times New Roman" w:cs="Times New Roman"/>
              </w:rPr>
            </w:pPr>
            <w:r>
              <w:rPr>
                <w:rFonts w:ascii="Times New Roman" w:hAnsi="Times New Roman" w:cs="Times New Roman"/>
              </w:rPr>
              <w:t>-223</w:t>
            </w:r>
          </w:p>
        </w:tc>
        <w:tc>
          <w:tcPr>
            <w:tcW w:w="742" w:type="dxa"/>
            <w:tcBorders>
              <w:top w:val="single" w:sz="6" w:space="0" w:color="000000"/>
              <w:left w:val="single" w:sz="6" w:space="0" w:color="000000"/>
              <w:bottom w:val="single" w:sz="6" w:space="0" w:color="000000"/>
              <w:right w:val="single" w:sz="6" w:space="0" w:color="000000"/>
            </w:tcBorders>
            <w:vAlign w:val="center"/>
          </w:tcPr>
          <w:p w14:paraId="1184DAE5" w14:textId="77777777" w:rsidR="00D12939" w:rsidRDefault="004F47F5">
            <w:pPr>
              <w:jc w:val="center"/>
              <w:rPr>
                <w:rFonts w:ascii="Times New Roman" w:hAnsi="Times New Roman" w:cs="Times New Roman"/>
              </w:rPr>
            </w:pPr>
            <w:r>
              <w:rPr>
                <w:rFonts w:ascii="Times New Roman" w:hAnsi="Times New Roman" w:cs="Times New Roman"/>
              </w:rPr>
              <w:t>341</w:t>
            </w:r>
          </w:p>
        </w:tc>
        <w:tc>
          <w:tcPr>
            <w:tcW w:w="714" w:type="dxa"/>
            <w:tcBorders>
              <w:top w:val="single" w:sz="6" w:space="0" w:color="000000"/>
              <w:left w:val="single" w:sz="6" w:space="0" w:color="000000"/>
              <w:bottom w:val="single" w:sz="6" w:space="0" w:color="000000"/>
              <w:right w:val="single" w:sz="6" w:space="0" w:color="000000"/>
            </w:tcBorders>
            <w:vAlign w:val="center"/>
          </w:tcPr>
          <w:p w14:paraId="30CE3B04"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72BAC84A"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02A2B5CC"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372510C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2401689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6515CEC7"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10AAA068" w14:textId="77777777" w:rsidR="00D12939" w:rsidRDefault="004F47F5">
            <w:pPr>
              <w:jc w:val="center"/>
            </w:pPr>
            <w:r>
              <w:rPr>
                <w:rFonts w:ascii="Times New Roman" w:eastAsia="宋体" w:hAnsi="Times New Roman"/>
                <w:szCs w:val="21"/>
              </w:rPr>
              <w:t>/</w:t>
            </w:r>
          </w:p>
        </w:tc>
      </w:tr>
      <w:tr w:rsidR="00D12939" w14:paraId="54B518E8"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1644EF6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1</w:t>
            </w:r>
            <w:r>
              <w:rPr>
                <w:rFonts w:ascii="Times New Roman" w:eastAsia="宋体" w:hAnsi="Times New Roman"/>
                <w:sz w:val="21"/>
                <w:szCs w:val="21"/>
              </w:rPr>
              <w:t>4</w:t>
            </w:r>
          </w:p>
        </w:tc>
        <w:tc>
          <w:tcPr>
            <w:tcW w:w="706" w:type="dxa"/>
            <w:vMerge/>
            <w:tcBorders>
              <w:left w:val="single" w:sz="6" w:space="0" w:color="000000"/>
              <w:right w:val="single" w:sz="6" w:space="0" w:color="000000"/>
            </w:tcBorders>
            <w:vAlign w:val="center"/>
          </w:tcPr>
          <w:p w14:paraId="6DA0E84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50FAFB66" w14:textId="77777777" w:rsidR="00D12939" w:rsidRDefault="004F47F5">
            <w:pPr>
              <w:jc w:val="center"/>
            </w:pPr>
            <w:r>
              <w:rPr>
                <w:rFonts w:ascii="Times New Roman" w:eastAsia="宋体" w:hAnsi="Times New Roman" w:cs="Times New Roman" w:hint="eastAsia"/>
              </w:rPr>
              <w:t>回流泵</w:t>
            </w:r>
            <w:r>
              <w:rPr>
                <w:rFonts w:ascii="Times New Roman" w:eastAsia="宋体" w:hAnsi="Times New Roman" w:cs="Times New Roman" w:hint="eastAsia"/>
              </w:rPr>
              <w:t>-</w:t>
            </w:r>
            <w:r>
              <w:rPr>
                <w:rFonts w:ascii="Times New Roman" w:eastAsia="宋体" w:hAnsi="Times New Roman" w:cs="Times New Roman"/>
              </w:rPr>
              <w:t>2</w:t>
            </w:r>
          </w:p>
        </w:tc>
        <w:tc>
          <w:tcPr>
            <w:tcW w:w="342" w:type="dxa"/>
            <w:tcBorders>
              <w:top w:val="single" w:sz="6" w:space="0" w:color="000000"/>
              <w:left w:val="single" w:sz="6" w:space="0" w:color="000000"/>
              <w:bottom w:val="single" w:sz="6" w:space="0" w:color="000000"/>
              <w:right w:val="single" w:sz="6" w:space="0" w:color="000000"/>
            </w:tcBorders>
            <w:vAlign w:val="center"/>
          </w:tcPr>
          <w:p w14:paraId="478B6693"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49EAEC2B"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5473147F"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5DE63509"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638D7F7F" w14:textId="77777777" w:rsidR="00D12939" w:rsidRDefault="004F47F5">
            <w:pPr>
              <w:jc w:val="center"/>
              <w:rPr>
                <w:rFonts w:ascii="Times New Roman" w:hAnsi="Times New Roman" w:cs="Times New Roman"/>
              </w:rPr>
            </w:pPr>
            <w:r>
              <w:rPr>
                <w:rFonts w:ascii="Times New Roman" w:hAnsi="Times New Roman" w:cs="Times New Roman"/>
              </w:rPr>
              <w:t>-218</w:t>
            </w:r>
          </w:p>
        </w:tc>
        <w:tc>
          <w:tcPr>
            <w:tcW w:w="742" w:type="dxa"/>
            <w:tcBorders>
              <w:top w:val="single" w:sz="6" w:space="0" w:color="000000"/>
              <w:left w:val="single" w:sz="6" w:space="0" w:color="000000"/>
              <w:bottom w:val="single" w:sz="6" w:space="0" w:color="000000"/>
              <w:right w:val="single" w:sz="6" w:space="0" w:color="000000"/>
            </w:tcBorders>
            <w:vAlign w:val="center"/>
          </w:tcPr>
          <w:p w14:paraId="46611430" w14:textId="77777777" w:rsidR="00D12939" w:rsidRDefault="004F47F5">
            <w:pPr>
              <w:jc w:val="center"/>
              <w:rPr>
                <w:rFonts w:ascii="Times New Roman" w:hAnsi="Times New Roman" w:cs="Times New Roman"/>
              </w:rPr>
            </w:pPr>
            <w:r>
              <w:rPr>
                <w:rFonts w:ascii="Times New Roman" w:hAnsi="Times New Roman" w:cs="Times New Roman"/>
              </w:rPr>
              <w:t>337</w:t>
            </w:r>
          </w:p>
        </w:tc>
        <w:tc>
          <w:tcPr>
            <w:tcW w:w="714" w:type="dxa"/>
            <w:tcBorders>
              <w:top w:val="single" w:sz="6" w:space="0" w:color="000000"/>
              <w:left w:val="single" w:sz="6" w:space="0" w:color="000000"/>
              <w:bottom w:val="single" w:sz="6" w:space="0" w:color="000000"/>
              <w:right w:val="single" w:sz="6" w:space="0" w:color="000000"/>
            </w:tcBorders>
            <w:vAlign w:val="center"/>
          </w:tcPr>
          <w:p w14:paraId="1550423E"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4309FEF8"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71873DA4"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6C54BCB4"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09D8369C"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46B3C3D5"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796C8EF4" w14:textId="77777777" w:rsidR="00D12939" w:rsidRDefault="004F47F5">
            <w:pPr>
              <w:jc w:val="center"/>
            </w:pPr>
            <w:r>
              <w:rPr>
                <w:rFonts w:ascii="Times New Roman" w:eastAsia="宋体" w:hAnsi="Times New Roman"/>
                <w:szCs w:val="21"/>
              </w:rPr>
              <w:t>/</w:t>
            </w:r>
          </w:p>
        </w:tc>
      </w:tr>
      <w:tr w:rsidR="00D12939" w14:paraId="75C365FB"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4289564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lastRenderedPageBreak/>
              <w:t>1</w:t>
            </w:r>
            <w:r>
              <w:rPr>
                <w:rFonts w:ascii="Times New Roman" w:eastAsia="宋体" w:hAnsi="Times New Roman"/>
                <w:sz w:val="21"/>
                <w:szCs w:val="21"/>
              </w:rPr>
              <w:t>5</w:t>
            </w:r>
          </w:p>
        </w:tc>
        <w:tc>
          <w:tcPr>
            <w:tcW w:w="706" w:type="dxa"/>
            <w:vMerge/>
            <w:tcBorders>
              <w:left w:val="single" w:sz="6" w:space="0" w:color="000000"/>
              <w:right w:val="single" w:sz="6" w:space="0" w:color="000000"/>
            </w:tcBorders>
            <w:vAlign w:val="center"/>
          </w:tcPr>
          <w:p w14:paraId="29BF74A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30EBE1FF" w14:textId="77777777" w:rsidR="00D12939" w:rsidRDefault="004F47F5">
            <w:pPr>
              <w:jc w:val="center"/>
            </w:pPr>
            <w:r>
              <w:rPr>
                <w:rFonts w:ascii="Times New Roman" w:eastAsia="宋体" w:hAnsi="Times New Roman" w:cs="Times New Roman" w:hint="eastAsia"/>
              </w:rPr>
              <w:t>回流泵</w:t>
            </w:r>
            <w:r>
              <w:rPr>
                <w:rFonts w:ascii="Times New Roman" w:eastAsia="宋体" w:hAnsi="Times New Roman" w:cs="Times New Roman" w:hint="eastAsia"/>
              </w:rPr>
              <w:t>-</w:t>
            </w:r>
            <w:r>
              <w:rPr>
                <w:rFonts w:ascii="Times New Roman" w:eastAsia="宋体" w:hAnsi="Times New Roman" w:cs="Times New Roman"/>
              </w:rPr>
              <w:t>3</w:t>
            </w:r>
          </w:p>
        </w:tc>
        <w:tc>
          <w:tcPr>
            <w:tcW w:w="342" w:type="dxa"/>
            <w:tcBorders>
              <w:top w:val="single" w:sz="6" w:space="0" w:color="000000"/>
              <w:left w:val="single" w:sz="6" w:space="0" w:color="000000"/>
              <w:bottom w:val="single" w:sz="6" w:space="0" w:color="000000"/>
              <w:right w:val="single" w:sz="6" w:space="0" w:color="000000"/>
            </w:tcBorders>
            <w:vAlign w:val="center"/>
          </w:tcPr>
          <w:p w14:paraId="6449C29C"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7CBBC5BE"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4A9DF984"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297A219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4D6728CB" w14:textId="77777777" w:rsidR="00D12939" w:rsidRDefault="004F47F5">
            <w:pPr>
              <w:jc w:val="center"/>
              <w:rPr>
                <w:rFonts w:ascii="Times New Roman" w:hAnsi="Times New Roman" w:cs="Times New Roman"/>
              </w:rPr>
            </w:pPr>
            <w:r>
              <w:rPr>
                <w:rFonts w:ascii="Times New Roman" w:hAnsi="Times New Roman" w:cs="Times New Roman"/>
              </w:rPr>
              <w:t>-215</w:t>
            </w:r>
          </w:p>
        </w:tc>
        <w:tc>
          <w:tcPr>
            <w:tcW w:w="742" w:type="dxa"/>
            <w:tcBorders>
              <w:top w:val="single" w:sz="6" w:space="0" w:color="000000"/>
              <w:left w:val="single" w:sz="6" w:space="0" w:color="000000"/>
              <w:bottom w:val="single" w:sz="6" w:space="0" w:color="000000"/>
              <w:right w:val="single" w:sz="6" w:space="0" w:color="000000"/>
            </w:tcBorders>
            <w:vAlign w:val="center"/>
          </w:tcPr>
          <w:p w14:paraId="0994E185" w14:textId="77777777" w:rsidR="00D12939" w:rsidRDefault="004F47F5">
            <w:pPr>
              <w:jc w:val="center"/>
              <w:rPr>
                <w:rFonts w:ascii="Times New Roman" w:hAnsi="Times New Roman" w:cs="Times New Roman"/>
              </w:rPr>
            </w:pPr>
            <w:r>
              <w:rPr>
                <w:rFonts w:ascii="Times New Roman" w:hAnsi="Times New Roman" w:cs="Times New Roman"/>
              </w:rPr>
              <w:t>337</w:t>
            </w:r>
          </w:p>
        </w:tc>
        <w:tc>
          <w:tcPr>
            <w:tcW w:w="714" w:type="dxa"/>
            <w:tcBorders>
              <w:top w:val="single" w:sz="6" w:space="0" w:color="000000"/>
              <w:left w:val="single" w:sz="6" w:space="0" w:color="000000"/>
              <w:bottom w:val="single" w:sz="6" w:space="0" w:color="000000"/>
              <w:right w:val="single" w:sz="6" w:space="0" w:color="000000"/>
            </w:tcBorders>
            <w:vAlign w:val="center"/>
          </w:tcPr>
          <w:p w14:paraId="2F9C62C4"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1D85BC91"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2E9FC578"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4267485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0F4DF5F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3CE2A4FB"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5DE00241" w14:textId="77777777" w:rsidR="00D12939" w:rsidRDefault="004F47F5">
            <w:pPr>
              <w:jc w:val="center"/>
            </w:pPr>
            <w:r>
              <w:rPr>
                <w:rFonts w:ascii="Times New Roman" w:eastAsia="宋体" w:hAnsi="Times New Roman"/>
                <w:szCs w:val="21"/>
              </w:rPr>
              <w:t>/</w:t>
            </w:r>
          </w:p>
        </w:tc>
      </w:tr>
      <w:tr w:rsidR="00D12939" w14:paraId="53A4F6D6"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642C3D6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lastRenderedPageBreak/>
              <w:t>1</w:t>
            </w:r>
            <w:r>
              <w:rPr>
                <w:rFonts w:ascii="Times New Roman" w:eastAsia="宋体" w:hAnsi="Times New Roman"/>
                <w:sz w:val="21"/>
                <w:szCs w:val="21"/>
              </w:rPr>
              <w:t>6</w:t>
            </w:r>
          </w:p>
        </w:tc>
        <w:tc>
          <w:tcPr>
            <w:tcW w:w="706" w:type="dxa"/>
            <w:vMerge/>
            <w:tcBorders>
              <w:left w:val="single" w:sz="6" w:space="0" w:color="000000"/>
              <w:right w:val="single" w:sz="6" w:space="0" w:color="000000"/>
            </w:tcBorders>
            <w:vAlign w:val="center"/>
          </w:tcPr>
          <w:p w14:paraId="103B7AF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54EA4A6C" w14:textId="77777777" w:rsidR="00D12939" w:rsidRDefault="004F47F5">
            <w:pPr>
              <w:jc w:val="center"/>
            </w:pPr>
            <w:r>
              <w:rPr>
                <w:rFonts w:ascii="Times New Roman" w:eastAsia="宋体" w:hAnsi="Times New Roman" w:cs="Times New Roman" w:hint="eastAsia"/>
              </w:rPr>
              <w:t>回流泵</w:t>
            </w:r>
            <w:r>
              <w:rPr>
                <w:rFonts w:ascii="Times New Roman" w:eastAsia="宋体" w:hAnsi="Times New Roman" w:cs="Times New Roman" w:hint="eastAsia"/>
              </w:rPr>
              <w:t>-</w:t>
            </w:r>
            <w:r>
              <w:rPr>
                <w:rFonts w:ascii="Times New Roman" w:eastAsia="宋体" w:hAnsi="Times New Roman" w:cs="Times New Roman"/>
              </w:rPr>
              <w:t>4</w:t>
            </w:r>
          </w:p>
        </w:tc>
        <w:tc>
          <w:tcPr>
            <w:tcW w:w="342" w:type="dxa"/>
            <w:tcBorders>
              <w:top w:val="single" w:sz="6" w:space="0" w:color="000000"/>
              <w:left w:val="single" w:sz="6" w:space="0" w:color="000000"/>
              <w:bottom w:val="single" w:sz="6" w:space="0" w:color="000000"/>
              <w:right w:val="single" w:sz="6" w:space="0" w:color="000000"/>
            </w:tcBorders>
            <w:vAlign w:val="center"/>
          </w:tcPr>
          <w:p w14:paraId="3B35FD82"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14B29C3"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5B8DE6E5"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6DDFBCD9"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3B5CD2FC" w14:textId="77777777" w:rsidR="00D12939" w:rsidRDefault="004F47F5">
            <w:pPr>
              <w:jc w:val="center"/>
              <w:rPr>
                <w:rFonts w:ascii="Times New Roman" w:hAnsi="Times New Roman" w:cs="Times New Roman"/>
              </w:rPr>
            </w:pPr>
            <w:r>
              <w:rPr>
                <w:rFonts w:ascii="Times New Roman" w:hAnsi="Times New Roman" w:cs="Times New Roman"/>
              </w:rPr>
              <w:t>-233</w:t>
            </w:r>
          </w:p>
        </w:tc>
        <w:tc>
          <w:tcPr>
            <w:tcW w:w="742" w:type="dxa"/>
            <w:tcBorders>
              <w:top w:val="single" w:sz="6" w:space="0" w:color="000000"/>
              <w:left w:val="single" w:sz="6" w:space="0" w:color="000000"/>
              <w:bottom w:val="single" w:sz="6" w:space="0" w:color="000000"/>
              <w:right w:val="single" w:sz="6" w:space="0" w:color="000000"/>
            </w:tcBorders>
            <w:vAlign w:val="center"/>
          </w:tcPr>
          <w:p w14:paraId="7316D4A7" w14:textId="77777777" w:rsidR="00D12939" w:rsidRDefault="004F47F5">
            <w:pPr>
              <w:jc w:val="center"/>
              <w:rPr>
                <w:rFonts w:ascii="Times New Roman" w:hAnsi="Times New Roman" w:cs="Times New Roman"/>
              </w:rPr>
            </w:pPr>
            <w:r>
              <w:rPr>
                <w:rFonts w:ascii="Times New Roman" w:hAnsi="Times New Roman" w:cs="Times New Roman"/>
              </w:rPr>
              <w:t>346</w:t>
            </w:r>
          </w:p>
        </w:tc>
        <w:tc>
          <w:tcPr>
            <w:tcW w:w="714" w:type="dxa"/>
            <w:tcBorders>
              <w:top w:val="single" w:sz="6" w:space="0" w:color="000000"/>
              <w:left w:val="single" w:sz="6" w:space="0" w:color="000000"/>
              <w:bottom w:val="single" w:sz="6" w:space="0" w:color="000000"/>
              <w:right w:val="single" w:sz="6" w:space="0" w:color="000000"/>
            </w:tcBorders>
            <w:vAlign w:val="center"/>
          </w:tcPr>
          <w:p w14:paraId="4DE8F2F8"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7CBDE7EF"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1C77C5D8"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39EDB96C"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6FEF48C9"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49C83E15"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2202773C" w14:textId="77777777" w:rsidR="00D12939" w:rsidRDefault="004F47F5">
            <w:pPr>
              <w:jc w:val="center"/>
            </w:pPr>
            <w:r>
              <w:rPr>
                <w:rFonts w:ascii="Times New Roman" w:eastAsia="宋体" w:hAnsi="Times New Roman"/>
                <w:szCs w:val="21"/>
              </w:rPr>
              <w:t>/</w:t>
            </w:r>
          </w:p>
        </w:tc>
      </w:tr>
      <w:tr w:rsidR="00D12939" w14:paraId="56D7EFE0"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7A9E58D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1</w:t>
            </w:r>
            <w:r>
              <w:rPr>
                <w:rFonts w:ascii="Times New Roman" w:eastAsia="宋体" w:hAnsi="Times New Roman"/>
                <w:sz w:val="21"/>
                <w:szCs w:val="21"/>
              </w:rPr>
              <w:t>7</w:t>
            </w:r>
          </w:p>
        </w:tc>
        <w:tc>
          <w:tcPr>
            <w:tcW w:w="706" w:type="dxa"/>
            <w:vMerge/>
            <w:tcBorders>
              <w:left w:val="single" w:sz="6" w:space="0" w:color="000000"/>
              <w:right w:val="single" w:sz="6" w:space="0" w:color="000000"/>
            </w:tcBorders>
            <w:vAlign w:val="center"/>
          </w:tcPr>
          <w:p w14:paraId="27C4106C"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27B6B5B6" w14:textId="77777777" w:rsidR="00D12939" w:rsidRDefault="004F47F5">
            <w:pPr>
              <w:jc w:val="center"/>
            </w:pPr>
            <w:r>
              <w:rPr>
                <w:rFonts w:ascii="Times New Roman" w:eastAsia="宋体" w:hAnsi="Times New Roman" w:cs="Times New Roman" w:hint="eastAsia"/>
              </w:rPr>
              <w:t>回流泵</w:t>
            </w:r>
            <w:r>
              <w:rPr>
                <w:rFonts w:ascii="Times New Roman" w:eastAsia="宋体" w:hAnsi="Times New Roman" w:cs="Times New Roman" w:hint="eastAsia"/>
              </w:rPr>
              <w:t>-</w:t>
            </w:r>
            <w:r>
              <w:rPr>
                <w:rFonts w:ascii="Times New Roman" w:eastAsia="宋体" w:hAnsi="Times New Roman" w:cs="Times New Roman"/>
              </w:rPr>
              <w:t>5</w:t>
            </w:r>
          </w:p>
        </w:tc>
        <w:tc>
          <w:tcPr>
            <w:tcW w:w="342" w:type="dxa"/>
            <w:tcBorders>
              <w:top w:val="single" w:sz="6" w:space="0" w:color="000000"/>
              <w:left w:val="single" w:sz="6" w:space="0" w:color="000000"/>
              <w:bottom w:val="single" w:sz="6" w:space="0" w:color="000000"/>
              <w:right w:val="single" w:sz="6" w:space="0" w:color="000000"/>
            </w:tcBorders>
            <w:vAlign w:val="center"/>
          </w:tcPr>
          <w:p w14:paraId="2765BC9E"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0501C767"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304B7144"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5945160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4A6B83C1" w14:textId="77777777" w:rsidR="00D12939" w:rsidRDefault="004F47F5">
            <w:pPr>
              <w:jc w:val="center"/>
              <w:rPr>
                <w:rFonts w:ascii="Times New Roman" w:hAnsi="Times New Roman" w:cs="Times New Roman"/>
              </w:rPr>
            </w:pPr>
            <w:r>
              <w:rPr>
                <w:rFonts w:ascii="Times New Roman" w:hAnsi="Times New Roman" w:cs="Times New Roman"/>
              </w:rPr>
              <w:t>-219</w:t>
            </w:r>
          </w:p>
        </w:tc>
        <w:tc>
          <w:tcPr>
            <w:tcW w:w="742" w:type="dxa"/>
            <w:tcBorders>
              <w:top w:val="single" w:sz="6" w:space="0" w:color="000000"/>
              <w:left w:val="single" w:sz="6" w:space="0" w:color="000000"/>
              <w:bottom w:val="single" w:sz="6" w:space="0" w:color="000000"/>
              <w:right w:val="single" w:sz="6" w:space="0" w:color="000000"/>
            </w:tcBorders>
            <w:vAlign w:val="center"/>
          </w:tcPr>
          <w:p w14:paraId="19AA6233" w14:textId="77777777" w:rsidR="00D12939" w:rsidRDefault="004F47F5">
            <w:pPr>
              <w:jc w:val="center"/>
              <w:rPr>
                <w:rFonts w:ascii="Times New Roman" w:hAnsi="Times New Roman" w:cs="Times New Roman"/>
              </w:rPr>
            </w:pPr>
            <w:r>
              <w:rPr>
                <w:rFonts w:ascii="Times New Roman" w:hAnsi="Times New Roman" w:cs="Times New Roman"/>
              </w:rPr>
              <w:t>340</w:t>
            </w:r>
          </w:p>
        </w:tc>
        <w:tc>
          <w:tcPr>
            <w:tcW w:w="714" w:type="dxa"/>
            <w:tcBorders>
              <w:top w:val="single" w:sz="6" w:space="0" w:color="000000"/>
              <w:left w:val="single" w:sz="6" w:space="0" w:color="000000"/>
              <w:bottom w:val="single" w:sz="6" w:space="0" w:color="000000"/>
              <w:right w:val="single" w:sz="6" w:space="0" w:color="000000"/>
            </w:tcBorders>
            <w:vAlign w:val="center"/>
          </w:tcPr>
          <w:p w14:paraId="38860543"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0884A0CD"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63199A8F"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684B41BA"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2A257E59"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7B6CE6E2"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1BE2620B" w14:textId="77777777" w:rsidR="00D12939" w:rsidRDefault="004F47F5">
            <w:pPr>
              <w:jc w:val="center"/>
            </w:pPr>
            <w:r>
              <w:rPr>
                <w:rFonts w:ascii="Times New Roman" w:eastAsia="宋体" w:hAnsi="Times New Roman"/>
                <w:szCs w:val="21"/>
              </w:rPr>
              <w:t>/</w:t>
            </w:r>
          </w:p>
        </w:tc>
      </w:tr>
      <w:tr w:rsidR="00D12939" w14:paraId="30B5680F"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351A40D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1</w:t>
            </w:r>
            <w:r>
              <w:rPr>
                <w:rFonts w:ascii="Times New Roman" w:eastAsia="宋体" w:hAnsi="Times New Roman"/>
                <w:sz w:val="21"/>
                <w:szCs w:val="21"/>
              </w:rPr>
              <w:t>8</w:t>
            </w:r>
          </w:p>
        </w:tc>
        <w:tc>
          <w:tcPr>
            <w:tcW w:w="706" w:type="dxa"/>
            <w:vMerge/>
            <w:tcBorders>
              <w:left w:val="single" w:sz="6" w:space="0" w:color="000000"/>
              <w:right w:val="single" w:sz="6" w:space="0" w:color="000000"/>
            </w:tcBorders>
            <w:vAlign w:val="center"/>
          </w:tcPr>
          <w:p w14:paraId="4B36312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79077B3A" w14:textId="77777777" w:rsidR="00D12939" w:rsidRDefault="004F47F5">
            <w:pPr>
              <w:jc w:val="center"/>
            </w:pPr>
            <w:r>
              <w:rPr>
                <w:rFonts w:ascii="Times New Roman" w:eastAsia="宋体" w:hAnsi="Times New Roman" w:cs="Times New Roman" w:hint="eastAsia"/>
              </w:rPr>
              <w:t>回流泵</w:t>
            </w:r>
            <w:r>
              <w:rPr>
                <w:rFonts w:ascii="Times New Roman" w:eastAsia="宋体" w:hAnsi="Times New Roman" w:cs="Times New Roman" w:hint="eastAsia"/>
              </w:rPr>
              <w:t>-</w:t>
            </w:r>
            <w:r>
              <w:rPr>
                <w:rFonts w:ascii="Times New Roman" w:eastAsia="宋体" w:hAnsi="Times New Roman" w:cs="Times New Roman"/>
              </w:rPr>
              <w:t>6</w:t>
            </w:r>
          </w:p>
        </w:tc>
        <w:tc>
          <w:tcPr>
            <w:tcW w:w="342" w:type="dxa"/>
            <w:tcBorders>
              <w:top w:val="single" w:sz="6" w:space="0" w:color="000000"/>
              <w:left w:val="single" w:sz="6" w:space="0" w:color="000000"/>
              <w:bottom w:val="single" w:sz="6" w:space="0" w:color="000000"/>
              <w:right w:val="single" w:sz="6" w:space="0" w:color="000000"/>
            </w:tcBorders>
            <w:vAlign w:val="center"/>
          </w:tcPr>
          <w:p w14:paraId="2F0F61C6"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7C26AC96"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72B7F784"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169F7B1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F40F53E" w14:textId="77777777" w:rsidR="00D12939" w:rsidRDefault="004F47F5">
            <w:pPr>
              <w:jc w:val="center"/>
              <w:rPr>
                <w:rFonts w:ascii="Times New Roman" w:hAnsi="Times New Roman" w:cs="Times New Roman"/>
              </w:rPr>
            </w:pPr>
            <w:r>
              <w:rPr>
                <w:rFonts w:ascii="Times New Roman" w:hAnsi="Times New Roman" w:cs="Times New Roman"/>
              </w:rPr>
              <w:t>-210</w:t>
            </w:r>
          </w:p>
        </w:tc>
        <w:tc>
          <w:tcPr>
            <w:tcW w:w="742" w:type="dxa"/>
            <w:tcBorders>
              <w:top w:val="single" w:sz="6" w:space="0" w:color="000000"/>
              <w:left w:val="single" w:sz="6" w:space="0" w:color="000000"/>
              <w:bottom w:val="single" w:sz="6" w:space="0" w:color="000000"/>
              <w:right w:val="single" w:sz="6" w:space="0" w:color="000000"/>
            </w:tcBorders>
            <w:vAlign w:val="center"/>
          </w:tcPr>
          <w:p w14:paraId="7A0D42F5" w14:textId="77777777" w:rsidR="00D12939" w:rsidRDefault="004F47F5">
            <w:pPr>
              <w:jc w:val="center"/>
              <w:rPr>
                <w:rFonts w:ascii="Times New Roman" w:hAnsi="Times New Roman" w:cs="Times New Roman"/>
              </w:rPr>
            </w:pPr>
            <w:r>
              <w:rPr>
                <w:rFonts w:ascii="Times New Roman" w:hAnsi="Times New Roman" w:cs="Times New Roman"/>
              </w:rPr>
              <w:t>339</w:t>
            </w:r>
          </w:p>
        </w:tc>
        <w:tc>
          <w:tcPr>
            <w:tcW w:w="714" w:type="dxa"/>
            <w:tcBorders>
              <w:top w:val="single" w:sz="6" w:space="0" w:color="000000"/>
              <w:left w:val="single" w:sz="6" w:space="0" w:color="000000"/>
              <w:bottom w:val="single" w:sz="6" w:space="0" w:color="000000"/>
              <w:right w:val="single" w:sz="6" w:space="0" w:color="000000"/>
            </w:tcBorders>
            <w:vAlign w:val="center"/>
          </w:tcPr>
          <w:p w14:paraId="69CE9F85"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36CAAE86"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1896122A"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504393AC"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4B85131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4B3A1885"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0ECB84E1" w14:textId="77777777" w:rsidR="00D12939" w:rsidRDefault="004F47F5">
            <w:pPr>
              <w:jc w:val="center"/>
            </w:pPr>
            <w:r>
              <w:rPr>
                <w:rFonts w:ascii="Times New Roman" w:eastAsia="宋体" w:hAnsi="Times New Roman"/>
                <w:szCs w:val="21"/>
              </w:rPr>
              <w:t>/</w:t>
            </w:r>
          </w:p>
        </w:tc>
      </w:tr>
      <w:tr w:rsidR="00D12939" w14:paraId="27FB0A6C"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3A65C36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1</w:t>
            </w:r>
            <w:r>
              <w:rPr>
                <w:rFonts w:ascii="Times New Roman" w:eastAsia="宋体" w:hAnsi="Times New Roman"/>
                <w:sz w:val="21"/>
                <w:szCs w:val="21"/>
              </w:rPr>
              <w:t>9</w:t>
            </w:r>
          </w:p>
        </w:tc>
        <w:tc>
          <w:tcPr>
            <w:tcW w:w="706" w:type="dxa"/>
            <w:vMerge/>
            <w:tcBorders>
              <w:left w:val="single" w:sz="6" w:space="0" w:color="000000"/>
              <w:right w:val="single" w:sz="6" w:space="0" w:color="000000"/>
            </w:tcBorders>
            <w:vAlign w:val="center"/>
          </w:tcPr>
          <w:p w14:paraId="6D05B92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0F9D079B" w14:textId="77777777" w:rsidR="00D12939" w:rsidRDefault="004F47F5">
            <w:pPr>
              <w:jc w:val="center"/>
            </w:pPr>
            <w:r>
              <w:rPr>
                <w:rFonts w:ascii="Times New Roman" w:eastAsia="宋体" w:hAnsi="Times New Roman" w:cs="Times New Roman" w:hint="eastAsia"/>
              </w:rPr>
              <w:t>回流泵</w:t>
            </w:r>
            <w:r>
              <w:rPr>
                <w:rFonts w:ascii="Times New Roman" w:eastAsia="宋体" w:hAnsi="Times New Roman" w:cs="Times New Roman" w:hint="eastAsia"/>
              </w:rPr>
              <w:t>-</w:t>
            </w:r>
            <w:r>
              <w:rPr>
                <w:rFonts w:ascii="Times New Roman" w:eastAsia="宋体" w:hAnsi="Times New Roman" w:cs="Times New Roman"/>
              </w:rPr>
              <w:t>7</w:t>
            </w:r>
          </w:p>
        </w:tc>
        <w:tc>
          <w:tcPr>
            <w:tcW w:w="342" w:type="dxa"/>
            <w:tcBorders>
              <w:top w:val="single" w:sz="6" w:space="0" w:color="000000"/>
              <w:left w:val="single" w:sz="6" w:space="0" w:color="000000"/>
              <w:bottom w:val="single" w:sz="6" w:space="0" w:color="000000"/>
              <w:right w:val="single" w:sz="6" w:space="0" w:color="000000"/>
            </w:tcBorders>
            <w:vAlign w:val="center"/>
          </w:tcPr>
          <w:p w14:paraId="1639714B"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34BC15A0"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2E966AA0"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5B854B3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23A4A8E6" w14:textId="77777777" w:rsidR="00D12939" w:rsidRDefault="004F47F5">
            <w:pPr>
              <w:jc w:val="center"/>
              <w:rPr>
                <w:rFonts w:ascii="Times New Roman" w:hAnsi="Times New Roman" w:cs="Times New Roman"/>
              </w:rPr>
            </w:pPr>
            <w:r>
              <w:rPr>
                <w:rFonts w:ascii="Times New Roman" w:hAnsi="Times New Roman" w:cs="Times New Roman"/>
              </w:rPr>
              <w:t>-213</w:t>
            </w:r>
          </w:p>
        </w:tc>
        <w:tc>
          <w:tcPr>
            <w:tcW w:w="742" w:type="dxa"/>
            <w:tcBorders>
              <w:top w:val="single" w:sz="6" w:space="0" w:color="000000"/>
              <w:left w:val="single" w:sz="6" w:space="0" w:color="000000"/>
              <w:bottom w:val="single" w:sz="6" w:space="0" w:color="000000"/>
              <w:right w:val="single" w:sz="6" w:space="0" w:color="000000"/>
            </w:tcBorders>
            <w:vAlign w:val="center"/>
          </w:tcPr>
          <w:p w14:paraId="7EF04070" w14:textId="77777777" w:rsidR="00D12939" w:rsidRDefault="004F47F5">
            <w:pPr>
              <w:jc w:val="center"/>
              <w:rPr>
                <w:rFonts w:ascii="Times New Roman" w:hAnsi="Times New Roman" w:cs="Times New Roman"/>
              </w:rPr>
            </w:pPr>
            <w:r>
              <w:rPr>
                <w:rFonts w:ascii="Times New Roman" w:hAnsi="Times New Roman" w:cs="Times New Roman"/>
              </w:rPr>
              <w:t>336</w:t>
            </w:r>
          </w:p>
        </w:tc>
        <w:tc>
          <w:tcPr>
            <w:tcW w:w="714" w:type="dxa"/>
            <w:tcBorders>
              <w:top w:val="single" w:sz="6" w:space="0" w:color="000000"/>
              <w:left w:val="single" w:sz="6" w:space="0" w:color="000000"/>
              <w:bottom w:val="single" w:sz="6" w:space="0" w:color="000000"/>
              <w:right w:val="single" w:sz="6" w:space="0" w:color="000000"/>
            </w:tcBorders>
            <w:vAlign w:val="center"/>
          </w:tcPr>
          <w:p w14:paraId="61E5146D"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2C4D90A9"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36B36EEC"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1CB3312C"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21722BD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3409B70B"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73C00134" w14:textId="77777777" w:rsidR="00D12939" w:rsidRDefault="004F47F5">
            <w:pPr>
              <w:jc w:val="center"/>
            </w:pPr>
            <w:r>
              <w:rPr>
                <w:rFonts w:ascii="Times New Roman" w:eastAsia="宋体" w:hAnsi="Times New Roman"/>
                <w:szCs w:val="21"/>
              </w:rPr>
              <w:t>/</w:t>
            </w:r>
          </w:p>
        </w:tc>
      </w:tr>
      <w:tr w:rsidR="00D12939" w14:paraId="43C50839"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64CBA5A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2</w:t>
            </w:r>
            <w:r>
              <w:rPr>
                <w:rFonts w:ascii="Times New Roman" w:eastAsia="宋体" w:hAnsi="Times New Roman"/>
                <w:sz w:val="21"/>
                <w:szCs w:val="21"/>
              </w:rPr>
              <w:t>0</w:t>
            </w:r>
          </w:p>
        </w:tc>
        <w:tc>
          <w:tcPr>
            <w:tcW w:w="706" w:type="dxa"/>
            <w:vMerge/>
            <w:tcBorders>
              <w:left w:val="single" w:sz="6" w:space="0" w:color="000000"/>
              <w:right w:val="single" w:sz="6" w:space="0" w:color="000000"/>
            </w:tcBorders>
            <w:vAlign w:val="center"/>
          </w:tcPr>
          <w:p w14:paraId="739FD2E2"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556A1DAA" w14:textId="77777777" w:rsidR="00D12939" w:rsidRDefault="004F47F5">
            <w:pPr>
              <w:jc w:val="center"/>
            </w:pPr>
            <w:r>
              <w:rPr>
                <w:rFonts w:ascii="Times New Roman" w:eastAsia="宋体" w:hAnsi="Times New Roman" w:cs="Times New Roman" w:hint="eastAsia"/>
              </w:rPr>
              <w:t>回流泵</w:t>
            </w:r>
            <w:r>
              <w:rPr>
                <w:rFonts w:ascii="Times New Roman" w:eastAsia="宋体" w:hAnsi="Times New Roman" w:cs="Times New Roman"/>
              </w:rPr>
              <w:t>8</w:t>
            </w:r>
          </w:p>
        </w:tc>
        <w:tc>
          <w:tcPr>
            <w:tcW w:w="342" w:type="dxa"/>
            <w:tcBorders>
              <w:top w:val="single" w:sz="6" w:space="0" w:color="000000"/>
              <w:left w:val="single" w:sz="6" w:space="0" w:color="000000"/>
              <w:bottom w:val="single" w:sz="6" w:space="0" w:color="000000"/>
              <w:right w:val="single" w:sz="6" w:space="0" w:color="000000"/>
            </w:tcBorders>
            <w:vAlign w:val="center"/>
          </w:tcPr>
          <w:p w14:paraId="6300DC72"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3315EB83"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6AF8E238"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690B722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7284804" w14:textId="77777777" w:rsidR="00D12939" w:rsidRDefault="004F47F5">
            <w:pPr>
              <w:jc w:val="center"/>
              <w:rPr>
                <w:rFonts w:ascii="Times New Roman" w:hAnsi="Times New Roman" w:cs="Times New Roman"/>
              </w:rPr>
            </w:pPr>
            <w:r>
              <w:rPr>
                <w:rFonts w:ascii="Times New Roman" w:hAnsi="Times New Roman" w:cs="Times New Roman"/>
              </w:rPr>
              <w:t>-219</w:t>
            </w:r>
          </w:p>
        </w:tc>
        <w:tc>
          <w:tcPr>
            <w:tcW w:w="742" w:type="dxa"/>
            <w:tcBorders>
              <w:top w:val="single" w:sz="6" w:space="0" w:color="000000"/>
              <w:left w:val="single" w:sz="6" w:space="0" w:color="000000"/>
              <w:bottom w:val="single" w:sz="6" w:space="0" w:color="000000"/>
              <w:right w:val="single" w:sz="6" w:space="0" w:color="000000"/>
            </w:tcBorders>
            <w:vAlign w:val="center"/>
          </w:tcPr>
          <w:p w14:paraId="5F5FC493" w14:textId="77777777" w:rsidR="00D12939" w:rsidRDefault="004F47F5">
            <w:pPr>
              <w:jc w:val="center"/>
              <w:rPr>
                <w:rFonts w:ascii="Times New Roman" w:hAnsi="Times New Roman" w:cs="Times New Roman"/>
              </w:rPr>
            </w:pPr>
            <w:r>
              <w:rPr>
                <w:rFonts w:ascii="Times New Roman" w:hAnsi="Times New Roman" w:cs="Times New Roman"/>
              </w:rPr>
              <w:t>335</w:t>
            </w:r>
          </w:p>
        </w:tc>
        <w:tc>
          <w:tcPr>
            <w:tcW w:w="714" w:type="dxa"/>
            <w:tcBorders>
              <w:top w:val="single" w:sz="6" w:space="0" w:color="000000"/>
              <w:left w:val="single" w:sz="6" w:space="0" w:color="000000"/>
              <w:bottom w:val="single" w:sz="6" w:space="0" w:color="000000"/>
              <w:right w:val="single" w:sz="6" w:space="0" w:color="000000"/>
            </w:tcBorders>
            <w:vAlign w:val="center"/>
          </w:tcPr>
          <w:p w14:paraId="780536CE"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7B148341"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5CFC4FB8"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568B307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34CF314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0BA247CA"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6BA8BF6F" w14:textId="77777777" w:rsidR="00D12939" w:rsidRDefault="004F47F5">
            <w:pPr>
              <w:jc w:val="center"/>
            </w:pPr>
            <w:r>
              <w:rPr>
                <w:rFonts w:ascii="Times New Roman" w:eastAsia="宋体" w:hAnsi="Times New Roman"/>
                <w:szCs w:val="21"/>
              </w:rPr>
              <w:t>/</w:t>
            </w:r>
          </w:p>
        </w:tc>
      </w:tr>
      <w:tr w:rsidR="00D12939" w14:paraId="7D88D742"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78D9592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21</w:t>
            </w:r>
          </w:p>
        </w:tc>
        <w:tc>
          <w:tcPr>
            <w:tcW w:w="706" w:type="dxa"/>
            <w:vMerge/>
            <w:tcBorders>
              <w:left w:val="single" w:sz="6" w:space="0" w:color="000000"/>
              <w:right w:val="single" w:sz="6" w:space="0" w:color="000000"/>
            </w:tcBorders>
            <w:vAlign w:val="center"/>
          </w:tcPr>
          <w:p w14:paraId="453D52C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5C9E8093"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污泥泵</w:t>
            </w:r>
            <w:r>
              <w:rPr>
                <w:rFonts w:ascii="Times New Roman" w:eastAsia="宋体" w:hAnsi="Times New Roman" w:cs="Times New Roman" w:hint="eastAsia"/>
              </w:rPr>
              <w:t>-</w:t>
            </w:r>
            <w:r>
              <w:rPr>
                <w:rFonts w:ascii="Times New Roman" w:eastAsia="宋体" w:hAnsi="Times New Roman" w:cs="Times New Roman"/>
              </w:rPr>
              <w:t>1</w:t>
            </w:r>
          </w:p>
        </w:tc>
        <w:tc>
          <w:tcPr>
            <w:tcW w:w="342" w:type="dxa"/>
            <w:tcBorders>
              <w:top w:val="single" w:sz="6" w:space="0" w:color="000000"/>
              <w:left w:val="single" w:sz="6" w:space="0" w:color="000000"/>
              <w:bottom w:val="single" w:sz="6" w:space="0" w:color="000000"/>
              <w:right w:val="single" w:sz="6" w:space="0" w:color="000000"/>
            </w:tcBorders>
            <w:vAlign w:val="center"/>
          </w:tcPr>
          <w:p w14:paraId="47B77C24"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65224AC4"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6F9B2B4D"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2ED90A9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5778A9DC" w14:textId="77777777" w:rsidR="00D12939" w:rsidRDefault="004F47F5">
            <w:pPr>
              <w:jc w:val="center"/>
              <w:rPr>
                <w:rFonts w:ascii="Times New Roman" w:hAnsi="Times New Roman" w:cs="Times New Roman"/>
              </w:rPr>
            </w:pPr>
            <w:r>
              <w:rPr>
                <w:rFonts w:ascii="Times New Roman" w:hAnsi="Times New Roman" w:cs="Times New Roman"/>
              </w:rPr>
              <w:t>-220</w:t>
            </w:r>
          </w:p>
        </w:tc>
        <w:tc>
          <w:tcPr>
            <w:tcW w:w="742" w:type="dxa"/>
            <w:tcBorders>
              <w:top w:val="single" w:sz="6" w:space="0" w:color="000000"/>
              <w:left w:val="single" w:sz="6" w:space="0" w:color="000000"/>
              <w:bottom w:val="single" w:sz="6" w:space="0" w:color="000000"/>
              <w:right w:val="single" w:sz="6" w:space="0" w:color="000000"/>
            </w:tcBorders>
            <w:vAlign w:val="center"/>
          </w:tcPr>
          <w:p w14:paraId="4B1936B0" w14:textId="77777777" w:rsidR="00D12939" w:rsidRDefault="004F47F5">
            <w:pPr>
              <w:jc w:val="center"/>
              <w:rPr>
                <w:rFonts w:ascii="Times New Roman" w:hAnsi="Times New Roman" w:cs="Times New Roman"/>
              </w:rPr>
            </w:pPr>
            <w:r>
              <w:rPr>
                <w:rFonts w:ascii="Times New Roman" w:hAnsi="Times New Roman" w:cs="Times New Roman"/>
              </w:rPr>
              <w:t>338</w:t>
            </w:r>
          </w:p>
        </w:tc>
        <w:tc>
          <w:tcPr>
            <w:tcW w:w="714" w:type="dxa"/>
            <w:tcBorders>
              <w:top w:val="single" w:sz="6" w:space="0" w:color="000000"/>
              <w:left w:val="single" w:sz="6" w:space="0" w:color="000000"/>
              <w:bottom w:val="single" w:sz="6" w:space="0" w:color="000000"/>
              <w:right w:val="single" w:sz="6" w:space="0" w:color="000000"/>
            </w:tcBorders>
            <w:vAlign w:val="center"/>
          </w:tcPr>
          <w:p w14:paraId="2153C8A5"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26451917"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43E05535"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1031A18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5B0E98A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5A021122"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1C582B7B" w14:textId="77777777" w:rsidR="00D12939" w:rsidRDefault="004F47F5">
            <w:pPr>
              <w:jc w:val="center"/>
            </w:pPr>
            <w:r>
              <w:rPr>
                <w:rFonts w:ascii="Times New Roman" w:eastAsia="宋体" w:hAnsi="Times New Roman"/>
                <w:szCs w:val="21"/>
              </w:rPr>
              <w:t>/</w:t>
            </w:r>
          </w:p>
        </w:tc>
      </w:tr>
      <w:tr w:rsidR="00D12939" w14:paraId="302D3F3C"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05B70D6B"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2</w:t>
            </w:r>
            <w:r>
              <w:rPr>
                <w:rFonts w:ascii="Times New Roman" w:eastAsia="宋体" w:hAnsi="Times New Roman"/>
                <w:sz w:val="21"/>
                <w:szCs w:val="21"/>
              </w:rPr>
              <w:t>2</w:t>
            </w:r>
          </w:p>
        </w:tc>
        <w:tc>
          <w:tcPr>
            <w:tcW w:w="706" w:type="dxa"/>
            <w:vMerge/>
            <w:tcBorders>
              <w:left w:val="single" w:sz="6" w:space="0" w:color="000000"/>
              <w:right w:val="single" w:sz="6" w:space="0" w:color="000000"/>
            </w:tcBorders>
            <w:vAlign w:val="center"/>
          </w:tcPr>
          <w:p w14:paraId="5A8A80E2"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0E7F5517" w14:textId="77777777" w:rsidR="00D12939" w:rsidRDefault="004F47F5">
            <w:pPr>
              <w:jc w:val="center"/>
            </w:pPr>
            <w:r>
              <w:rPr>
                <w:rFonts w:ascii="Times New Roman" w:eastAsia="宋体" w:hAnsi="Times New Roman" w:cs="Times New Roman" w:hint="eastAsia"/>
              </w:rPr>
              <w:t>污泥泵</w:t>
            </w:r>
            <w:r>
              <w:rPr>
                <w:rFonts w:ascii="Times New Roman" w:eastAsia="宋体" w:hAnsi="Times New Roman" w:cs="Times New Roman" w:hint="eastAsia"/>
              </w:rPr>
              <w:t>-</w:t>
            </w:r>
            <w:r>
              <w:rPr>
                <w:rFonts w:ascii="Times New Roman" w:eastAsia="宋体" w:hAnsi="Times New Roman" w:cs="Times New Roman"/>
              </w:rPr>
              <w:t>2</w:t>
            </w:r>
          </w:p>
        </w:tc>
        <w:tc>
          <w:tcPr>
            <w:tcW w:w="342" w:type="dxa"/>
            <w:tcBorders>
              <w:top w:val="single" w:sz="6" w:space="0" w:color="000000"/>
              <w:left w:val="single" w:sz="6" w:space="0" w:color="000000"/>
              <w:bottom w:val="single" w:sz="6" w:space="0" w:color="000000"/>
              <w:right w:val="single" w:sz="6" w:space="0" w:color="000000"/>
            </w:tcBorders>
            <w:vAlign w:val="center"/>
          </w:tcPr>
          <w:p w14:paraId="45F017EA"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6D24D91"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6CF67A2E"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46BA33F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06965B9" w14:textId="77777777" w:rsidR="00D12939" w:rsidRDefault="004F47F5">
            <w:pPr>
              <w:jc w:val="center"/>
              <w:rPr>
                <w:rFonts w:ascii="Times New Roman" w:hAnsi="Times New Roman" w:cs="Times New Roman"/>
              </w:rPr>
            </w:pPr>
            <w:r>
              <w:rPr>
                <w:rFonts w:ascii="Times New Roman" w:hAnsi="Times New Roman" w:cs="Times New Roman"/>
              </w:rPr>
              <w:t>-221</w:t>
            </w:r>
          </w:p>
        </w:tc>
        <w:tc>
          <w:tcPr>
            <w:tcW w:w="742" w:type="dxa"/>
            <w:tcBorders>
              <w:top w:val="single" w:sz="6" w:space="0" w:color="000000"/>
              <w:left w:val="single" w:sz="6" w:space="0" w:color="000000"/>
              <w:bottom w:val="single" w:sz="6" w:space="0" w:color="000000"/>
              <w:right w:val="single" w:sz="6" w:space="0" w:color="000000"/>
            </w:tcBorders>
            <w:vAlign w:val="center"/>
          </w:tcPr>
          <w:p w14:paraId="16704ADE" w14:textId="77777777" w:rsidR="00D12939" w:rsidRDefault="004F47F5">
            <w:pPr>
              <w:jc w:val="center"/>
              <w:rPr>
                <w:rFonts w:ascii="Times New Roman" w:hAnsi="Times New Roman" w:cs="Times New Roman"/>
              </w:rPr>
            </w:pPr>
            <w:r>
              <w:rPr>
                <w:rFonts w:ascii="Times New Roman" w:hAnsi="Times New Roman" w:cs="Times New Roman"/>
              </w:rPr>
              <w:t>336</w:t>
            </w:r>
          </w:p>
        </w:tc>
        <w:tc>
          <w:tcPr>
            <w:tcW w:w="714" w:type="dxa"/>
            <w:tcBorders>
              <w:top w:val="single" w:sz="6" w:space="0" w:color="000000"/>
              <w:left w:val="single" w:sz="6" w:space="0" w:color="000000"/>
              <w:bottom w:val="single" w:sz="6" w:space="0" w:color="000000"/>
              <w:right w:val="single" w:sz="6" w:space="0" w:color="000000"/>
            </w:tcBorders>
            <w:vAlign w:val="center"/>
          </w:tcPr>
          <w:p w14:paraId="6CF4E669"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0A383A17"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2A194638"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26A79F39"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07940F2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5614E1B1"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7A231D70" w14:textId="77777777" w:rsidR="00D12939" w:rsidRDefault="004F47F5">
            <w:pPr>
              <w:jc w:val="center"/>
            </w:pPr>
            <w:r>
              <w:rPr>
                <w:rFonts w:ascii="Times New Roman" w:eastAsia="宋体" w:hAnsi="Times New Roman"/>
                <w:szCs w:val="21"/>
              </w:rPr>
              <w:t>/</w:t>
            </w:r>
          </w:p>
        </w:tc>
      </w:tr>
      <w:tr w:rsidR="00D12939" w14:paraId="5F90DEBB"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52DFA9D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2</w:t>
            </w:r>
            <w:r>
              <w:rPr>
                <w:rFonts w:ascii="Times New Roman" w:eastAsia="宋体" w:hAnsi="Times New Roman"/>
                <w:sz w:val="21"/>
                <w:szCs w:val="21"/>
              </w:rPr>
              <w:t>3</w:t>
            </w:r>
          </w:p>
        </w:tc>
        <w:tc>
          <w:tcPr>
            <w:tcW w:w="706" w:type="dxa"/>
            <w:vMerge/>
            <w:tcBorders>
              <w:left w:val="single" w:sz="6" w:space="0" w:color="000000"/>
              <w:right w:val="single" w:sz="6" w:space="0" w:color="000000"/>
            </w:tcBorders>
            <w:vAlign w:val="center"/>
          </w:tcPr>
          <w:p w14:paraId="6983EDDA"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0548C65A" w14:textId="77777777" w:rsidR="00D12939" w:rsidRDefault="004F47F5">
            <w:pPr>
              <w:jc w:val="center"/>
            </w:pPr>
            <w:r>
              <w:rPr>
                <w:rFonts w:ascii="Times New Roman" w:eastAsia="宋体" w:hAnsi="Times New Roman" w:cs="Times New Roman" w:hint="eastAsia"/>
              </w:rPr>
              <w:t>污泥泵</w:t>
            </w:r>
            <w:r>
              <w:rPr>
                <w:rFonts w:ascii="Times New Roman" w:eastAsia="宋体" w:hAnsi="Times New Roman" w:cs="Times New Roman" w:hint="eastAsia"/>
              </w:rPr>
              <w:t>-</w:t>
            </w:r>
            <w:r>
              <w:rPr>
                <w:rFonts w:ascii="Times New Roman" w:eastAsia="宋体" w:hAnsi="Times New Roman" w:cs="Times New Roman"/>
              </w:rPr>
              <w:t>3</w:t>
            </w:r>
          </w:p>
        </w:tc>
        <w:tc>
          <w:tcPr>
            <w:tcW w:w="342" w:type="dxa"/>
            <w:tcBorders>
              <w:top w:val="single" w:sz="6" w:space="0" w:color="000000"/>
              <w:left w:val="single" w:sz="6" w:space="0" w:color="000000"/>
              <w:bottom w:val="single" w:sz="6" w:space="0" w:color="000000"/>
              <w:right w:val="single" w:sz="6" w:space="0" w:color="000000"/>
            </w:tcBorders>
            <w:vAlign w:val="center"/>
          </w:tcPr>
          <w:p w14:paraId="53EE0B5D"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6E36D01D"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47DAE6DD"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33D78FB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6FB13ABE" w14:textId="77777777" w:rsidR="00D12939" w:rsidRDefault="004F47F5">
            <w:pPr>
              <w:jc w:val="center"/>
              <w:rPr>
                <w:rFonts w:ascii="Times New Roman" w:hAnsi="Times New Roman" w:cs="Times New Roman"/>
              </w:rPr>
            </w:pPr>
            <w:r>
              <w:rPr>
                <w:rFonts w:ascii="Times New Roman" w:hAnsi="Times New Roman" w:cs="Times New Roman"/>
              </w:rPr>
              <w:t>-219</w:t>
            </w:r>
          </w:p>
        </w:tc>
        <w:tc>
          <w:tcPr>
            <w:tcW w:w="742" w:type="dxa"/>
            <w:tcBorders>
              <w:top w:val="single" w:sz="6" w:space="0" w:color="000000"/>
              <w:left w:val="single" w:sz="6" w:space="0" w:color="000000"/>
              <w:bottom w:val="single" w:sz="6" w:space="0" w:color="000000"/>
              <w:right w:val="single" w:sz="6" w:space="0" w:color="000000"/>
            </w:tcBorders>
            <w:vAlign w:val="center"/>
          </w:tcPr>
          <w:p w14:paraId="7D276E00" w14:textId="77777777" w:rsidR="00D12939" w:rsidRDefault="004F47F5">
            <w:pPr>
              <w:jc w:val="center"/>
              <w:rPr>
                <w:rFonts w:ascii="Times New Roman" w:hAnsi="Times New Roman" w:cs="Times New Roman"/>
              </w:rPr>
            </w:pPr>
            <w:r>
              <w:rPr>
                <w:rFonts w:ascii="Times New Roman" w:hAnsi="Times New Roman" w:cs="Times New Roman"/>
              </w:rPr>
              <w:t>337</w:t>
            </w:r>
          </w:p>
        </w:tc>
        <w:tc>
          <w:tcPr>
            <w:tcW w:w="714" w:type="dxa"/>
            <w:tcBorders>
              <w:top w:val="single" w:sz="6" w:space="0" w:color="000000"/>
              <w:left w:val="single" w:sz="6" w:space="0" w:color="000000"/>
              <w:bottom w:val="single" w:sz="6" w:space="0" w:color="000000"/>
              <w:right w:val="single" w:sz="6" w:space="0" w:color="000000"/>
            </w:tcBorders>
            <w:vAlign w:val="center"/>
          </w:tcPr>
          <w:p w14:paraId="6CB3F440"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4EAE3E00"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0D8D5E7E"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036ECF1C"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4D0C15A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63A76F26"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295FE996" w14:textId="77777777" w:rsidR="00D12939" w:rsidRDefault="004F47F5">
            <w:pPr>
              <w:jc w:val="center"/>
            </w:pPr>
            <w:r>
              <w:rPr>
                <w:rFonts w:ascii="Times New Roman" w:eastAsia="宋体" w:hAnsi="Times New Roman"/>
                <w:szCs w:val="21"/>
              </w:rPr>
              <w:t>/</w:t>
            </w:r>
          </w:p>
        </w:tc>
      </w:tr>
      <w:tr w:rsidR="00D12939" w14:paraId="439555DB"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53BD917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2</w:t>
            </w:r>
            <w:r>
              <w:rPr>
                <w:rFonts w:ascii="Times New Roman" w:eastAsia="宋体" w:hAnsi="Times New Roman"/>
                <w:sz w:val="21"/>
                <w:szCs w:val="21"/>
              </w:rPr>
              <w:t>4</w:t>
            </w:r>
          </w:p>
        </w:tc>
        <w:tc>
          <w:tcPr>
            <w:tcW w:w="706" w:type="dxa"/>
            <w:vMerge/>
            <w:tcBorders>
              <w:left w:val="single" w:sz="6" w:space="0" w:color="000000"/>
              <w:right w:val="single" w:sz="6" w:space="0" w:color="000000"/>
            </w:tcBorders>
            <w:vAlign w:val="center"/>
          </w:tcPr>
          <w:p w14:paraId="2A823A6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61084A47" w14:textId="77777777" w:rsidR="00D12939" w:rsidRDefault="004F47F5">
            <w:pPr>
              <w:jc w:val="center"/>
            </w:pPr>
            <w:r>
              <w:rPr>
                <w:rFonts w:ascii="Times New Roman" w:eastAsia="宋体" w:hAnsi="Times New Roman" w:cs="Times New Roman" w:hint="eastAsia"/>
              </w:rPr>
              <w:t>污泥泵</w:t>
            </w:r>
            <w:r>
              <w:rPr>
                <w:rFonts w:ascii="Times New Roman" w:eastAsia="宋体" w:hAnsi="Times New Roman" w:cs="Times New Roman" w:hint="eastAsia"/>
              </w:rPr>
              <w:t>-</w:t>
            </w:r>
            <w:r>
              <w:rPr>
                <w:rFonts w:ascii="Times New Roman" w:eastAsia="宋体" w:hAnsi="Times New Roman" w:cs="Times New Roman"/>
              </w:rPr>
              <w:t>4</w:t>
            </w:r>
          </w:p>
        </w:tc>
        <w:tc>
          <w:tcPr>
            <w:tcW w:w="342" w:type="dxa"/>
            <w:tcBorders>
              <w:top w:val="single" w:sz="6" w:space="0" w:color="000000"/>
              <w:left w:val="single" w:sz="6" w:space="0" w:color="000000"/>
              <w:bottom w:val="single" w:sz="6" w:space="0" w:color="000000"/>
              <w:right w:val="single" w:sz="6" w:space="0" w:color="000000"/>
            </w:tcBorders>
            <w:vAlign w:val="center"/>
          </w:tcPr>
          <w:p w14:paraId="1616681A"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74A46CE8"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62F2FAB6"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1E8910D4"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0B576066" w14:textId="77777777" w:rsidR="00D12939" w:rsidRDefault="004F47F5">
            <w:pPr>
              <w:jc w:val="center"/>
              <w:rPr>
                <w:rFonts w:ascii="Times New Roman" w:hAnsi="Times New Roman" w:cs="Times New Roman"/>
              </w:rPr>
            </w:pPr>
            <w:r>
              <w:rPr>
                <w:rFonts w:ascii="Times New Roman" w:hAnsi="Times New Roman" w:cs="Times New Roman"/>
              </w:rPr>
              <w:t>-220</w:t>
            </w:r>
          </w:p>
        </w:tc>
        <w:tc>
          <w:tcPr>
            <w:tcW w:w="742" w:type="dxa"/>
            <w:tcBorders>
              <w:top w:val="single" w:sz="6" w:space="0" w:color="000000"/>
              <w:left w:val="single" w:sz="6" w:space="0" w:color="000000"/>
              <w:bottom w:val="single" w:sz="6" w:space="0" w:color="000000"/>
              <w:right w:val="single" w:sz="6" w:space="0" w:color="000000"/>
            </w:tcBorders>
            <w:vAlign w:val="center"/>
          </w:tcPr>
          <w:p w14:paraId="3219D231" w14:textId="77777777" w:rsidR="00D12939" w:rsidRDefault="004F47F5">
            <w:pPr>
              <w:jc w:val="center"/>
              <w:rPr>
                <w:rFonts w:ascii="Times New Roman" w:hAnsi="Times New Roman" w:cs="Times New Roman"/>
              </w:rPr>
            </w:pPr>
            <w:r>
              <w:rPr>
                <w:rFonts w:ascii="Times New Roman" w:hAnsi="Times New Roman" w:cs="Times New Roman"/>
              </w:rPr>
              <w:t>338</w:t>
            </w:r>
          </w:p>
        </w:tc>
        <w:tc>
          <w:tcPr>
            <w:tcW w:w="714" w:type="dxa"/>
            <w:tcBorders>
              <w:top w:val="single" w:sz="6" w:space="0" w:color="000000"/>
              <w:left w:val="single" w:sz="6" w:space="0" w:color="000000"/>
              <w:bottom w:val="single" w:sz="6" w:space="0" w:color="000000"/>
              <w:right w:val="single" w:sz="6" w:space="0" w:color="000000"/>
            </w:tcBorders>
            <w:vAlign w:val="center"/>
          </w:tcPr>
          <w:p w14:paraId="23A170ED"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037606BF"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61ED8E46"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7177F8C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2290EDD3"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2D007C37"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06AA052D" w14:textId="77777777" w:rsidR="00D12939" w:rsidRDefault="004F47F5">
            <w:pPr>
              <w:jc w:val="center"/>
            </w:pPr>
            <w:r>
              <w:rPr>
                <w:rFonts w:ascii="Times New Roman" w:eastAsia="宋体" w:hAnsi="Times New Roman"/>
                <w:szCs w:val="21"/>
              </w:rPr>
              <w:t>/</w:t>
            </w:r>
          </w:p>
        </w:tc>
      </w:tr>
      <w:tr w:rsidR="00D12939" w14:paraId="28CE5E83"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530B8979"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25</w:t>
            </w:r>
          </w:p>
        </w:tc>
        <w:tc>
          <w:tcPr>
            <w:tcW w:w="706" w:type="dxa"/>
            <w:vMerge/>
            <w:tcBorders>
              <w:left w:val="single" w:sz="6" w:space="0" w:color="000000"/>
              <w:right w:val="single" w:sz="6" w:space="0" w:color="000000"/>
            </w:tcBorders>
            <w:vAlign w:val="center"/>
          </w:tcPr>
          <w:p w14:paraId="7CA5DBC4"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01ECF53A"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1</w:t>
            </w:r>
          </w:p>
        </w:tc>
        <w:tc>
          <w:tcPr>
            <w:tcW w:w="342" w:type="dxa"/>
            <w:tcBorders>
              <w:top w:val="single" w:sz="6" w:space="0" w:color="000000"/>
              <w:left w:val="single" w:sz="6" w:space="0" w:color="000000"/>
              <w:bottom w:val="single" w:sz="6" w:space="0" w:color="000000"/>
              <w:right w:val="single" w:sz="6" w:space="0" w:color="000000"/>
            </w:tcBorders>
            <w:vAlign w:val="center"/>
          </w:tcPr>
          <w:p w14:paraId="7A8871D5"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5F83E853"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627490F1"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2CE950C2"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0DCBE8D6" w14:textId="77777777" w:rsidR="00D12939" w:rsidRDefault="004F47F5">
            <w:pPr>
              <w:jc w:val="center"/>
              <w:rPr>
                <w:rFonts w:ascii="Times New Roman" w:hAnsi="Times New Roman" w:cs="Times New Roman"/>
              </w:rPr>
            </w:pPr>
            <w:r>
              <w:rPr>
                <w:rFonts w:ascii="Times New Roman" w:hAnsi="Times New Roman" w:cs="Times New Roman"/>
              </w:rPr>
              <w:t>-216</w:t>
            </w:r>
          </w:p>
        </w:tc>
        <w:tc>
          <w:tcPr>
            <w:tcW w:w="742" w:type="dxa"/>
            <w:tcBorders>
              <w:top w:val="single" w:sz="6" w:space="0" w:color="000000"/>
              <w:left w:val="single" w:sz="6" w:space="0" w:color="000000"/>
              <w:bottom w:val="single" w:sz="6" w:space="0" w:color="000000"/>
              <w:right w:val="single" w:sz="6" w:space="0" w:color="000000"/>
            </w:tcBorders>
            <w:vAlign w:val="center"/>
          </w:tcPr>
          <w:p w14:paraId="62B022B8" w14:textId="77777777" w:rsidR="00D12939" w:rsidRDefault="004F47F5">
            <w:pPr>
              <w:jc w:val="center"/>
              <w:rPr>
                <w:rFonts w:ascii="Times New Roman" w:hAnsi="Times New Roman" w:cs="Times New Roman"/>
              </w:rPr>
            </w:pPr>
            <w:r>
              <w:rPr>
                <w:rFonts w:ascii="Times New Roman" w:hAnsi="Times New Roman" w:cs="Times New Roman"/>
              </w:rPr>
              <w:t>335</w:t>
            </w:r>
          </w:p>
        </w:tc>
        <w:tc>
          <w:tcPr>
            <w:tcW w:w="714" w:type="dxa"/>
            <w:tcBorders>
              <w:top w:val="single" w:sz="6" w:space="0" w:color="000000"/>
              <w:left w:val="single" w:sz="6" w:space="0" w:color="000000"/>
              <w:bottom w:val="single" w:sz="6" w:space="0" w:color="000000"/>
              <w:right w:val="single" w:sz="6" w:space="0" w:color="000000"/>
            </w:tcBorders>
            <w:vAlign w:val="center"/>
          </w:tcPr>
          <w:p w14:paraId="1A30E9E7"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6189FC76"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05A727E4"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78B2145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62C253F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541D3F1E"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010B47CE" w14:textId="77777777" w:rsidR="00D12939" w:rsidRDefault="004F47F5">
            <w:pPr>
              <w:jc w:val="center"/>
            </w:pPr>
            <w:r>
              <w:rPr>
                <w:rFonts w:ascii="Times New Roman" w:eastAsia="宋体" w:hAnsi="Times New Roman"/>
                <w:szCs w:val="21"/>
              </w:rPr>
              <w:t>/</w:t>
            </w:r>
          </w:p>
        </w:tc>
      </w:tr>
      <w:tr w:rsidR="00D12939" w14:paraId="5226970B"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100C95AB"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26</w:t>
            </w:r>
          </w:p>
        </w:tc>
        <w:tc>
          <w:tcPr>
            <w:tcW w:w="706" w:type="dxa"/>
            <w:vMerge/>
            <w:tcBorders>
              <w:left w:val="single" w:sz="6" w:space="0" w:color="000000"/>
              <w:right w:val="single" w:sz="6" w:space="0" w:color="000000"/>
            </w:tcBorders>
            <w:vAlign w:val="center"/>
          </w:tcPr>
          <w:p w14:paraId="4DD68A7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3A89CD8E"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2</w:t>
            </w:r>
          </w:p>
        </w:tc>
        <w:tc>
          <w:tcPr>
            <w:tcW w:w="342" w:type="dxa"/>
            <w:tcBorders>
              <w:top w:val="single" w:sz="6" w:space="0" w:color="000000"/>
              <w:left w:val="single" w:sz="6" w:space="0" w:color="000000"/>
              <w:bottom w:val="single" w:sz="6" w:space="0" w:color="000000"/>
              <w:right w:val="single" w:sz="6" w:space="0" w:color="000000"/>
            </w:tcBorders>
            <w:vAlign w:val="center"/>
          </w:tcPr>
          <w:p w14:paraId="539FA118"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DF3EDC3"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01F515BB"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324F49C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26CE1C88" w14:textId="77777777" w:rsidR="00D12939" w:rsidRDefault="004F47F5">
            <w:pPr>
              <w:jc w:val="center"/>
              <w:rPr>
                <w:rFonts w:ascii="Times New Roman" w:hAnsi="Times New Roman" w:cs="Times New Roman"/>
              </w:rPr>
            </w:pPr>
            <w:r>
              <w:rPr>
                <w:rFonts w:ascii="Times New Roman" w:hAnsi="Times New Roman" w:cs="Times New Roman"/>
              </w:rPr>
              <w:t>-217</w:t>
            </w:r>
          </w:p>
        </w:tc>
        <w:tc>
          <w:tcPr>
            <w:tcW w:w="742" w:type="dxa"/>
            <w:tcBorders>
              <w:top w:val="single" w:sz="6" w:space="0" w:color="000000"/>
              <w:left w:val="single" w:sz="6" w:space="0" w:color="000000"/>
              <w:bottom w:val="single" w:sz="6" w:space="0" w:color="000000"/>
              <w:right w:val="single" w:sz="6" w:space="0" w:color="000000"/>
            </w:tcBorders>
            <w:vAlign w:val="center"/>
          </w:tcPr>
          <w:p w14:paraId="4C295197" w14:textId="77777777" w:rsidR="00D12939" w:rsidRDefault="004F47F5">
            <w:pPr>
              <w:jc w:val="center"/>
              <w:rPr>
                <w:rFonts w:ascii="Times New Roman" w:hAnsi="Times New Roman" w:cs="Times New Roman"/>
              </w:rPr>
            </w:pPr>
            <w:r>
              <w:rPr>
                <w:rFonts w:ascii="Times New Roman" w:hAnsi="Times New Roman" w:cs="Times New Roman"/>
              </w:rPr>
              <w:t>334</w:t>
            </w:r>
          </w:p>
        </w:tc>
        <w:tc>
          <w:tcPr>
            <w:tcW w:w="714" w:type="dxa"/>
            <w:tcBorders>
              <w:top w:val="single" w:sz="6" w:space="0" w:color="000000"/>
              <w:left w:val="single" w:sz="6" w:space="0" w:color="000000"/>
              <w:bottom w:val="single" w:sz="6" w:space="0" w:color="000000"/>
              <w:right w:val="single" w:sz="6" w:space="0" w:color="000000"/>
            </w:tcBorders>
            <w:vAlign w:val="center"/>
          </w:tcPr>
          <w:p w14:paraId="682BF2EE"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791395EF"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7F6BED3A"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6A78D09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37E6265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1358AA86"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4B9299E4" w14:textId="77777777" w:rsidR="00D12939" w:rsidRDefault="004F47F5">
            <w:pPr>
              <w:jc w:val="center"/>
            </w:pPr>
            <w:r>
              <w:rPr>
                <w:rFonts w:ascii="Times New Roman" w:eastAsia="宋体" w:hAnsi="Times New Roman"/>
                <w:szCs w:val="21"/>
              </w:rPr>
              <w:t>/</w:t>
            </w:r>
          </w:p>
        </w:tc>
      </w:tr>
      <w:tr w:rsidR="00D12939" w14:paraId="3F4D91BD"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2D7D6B5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2</w:t>
            </w:r>
            <w:r>
              <w:rPr>
                <w:rFonts w:ascii="Times New Roman" w:eastAsia="宋体" w:hAnsi="Times New Roman"/>
                <w:sz w:val="21"/>
                <w:szCs w:val="21"/>
              </w:rPr>
              <w:t>7</w:t>
            </w:r>
          </w:p>
        </w:tc>
        <w:tc>
          <w:tcPr>
            <w:tcW w:w="706" w:type="dxa"/>
            <w:vMerge/>
            <w:tcBorders>
              <w:left w:val="single" w:sz="6" w:space="0" w:color="000000"/>
              <w:right w:val="single" w:sz="6" w:space="0" w:color="000000"/>
            </w:tcBorders>
            <w:vAlign w:val="center"/>
          </w:tcPr>
          <w:p w14:paraId="3F8AF8F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517DDCD8"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3</w:t>
            </w:r>
          </w:p>
        </w:tc>
        <w:tc>
          <w:tcPr>
            <w:tcW w:w="342" w:type="dxa"/>
            <w:tcBorders>
              <w:top w:val="single" w:sz="6" w:space="0" w:color="000000"/>
              <w:left w:val="single" w:sz="6" w:space="0" w:color="000000"/>
              <w:bottom w:val="single" w:sz="6" w:space="0" w:color="000000"/>
              <w:right w:val="single" w:sz="6" w:space="0" w:color="000000"/>
            </w:tcBorders>
            <w:vAlign w:val="center"/>
          </w:tcPr>
          <w:p w14:paraId="648E1E63"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3B30A697"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5473B48A"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75E1E91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6B9460A" w14:textId="77777777" w:rsidR="00D12939" w:rsidRDefault="004F47F5">
            <w:pPr>
              <w:jc w:val="center"/>
              <w:rPr>
                <w:rFonts w:ascii="Times New Roman" w:hAnsi="Times New Roman" w:cs="Times New Roman"/>
              </w:rPr>
            </w:pPr>
            <w:r>
              <w:rPr>
                <w:rFonts w:ascii="Times New Roman" w:hAnsi="Times New Roman" w:cs="Times New Roman"/>
              </w:rPr>
              <w:t>-221</w:t>
            </w:r>
          </w:p>
        </w:tc>
        <w:tc>
          <w:tcPr>
            <w:tcW w:w="742" w:type="dxa"/>
            <w:tcBorders>
              <w:top w:val="single" w:sz="6" w:space="0" w:color="000000"/>
              <w:left w:val="single" w:sz="6" w:space="0" w:color="000000"/>
              <w:bottom w:val="single" w:sz="6" w:space="0" w:color="000000"/>
              <w:right w:val="single" w:sz="6" w:space="0" w:color="000000"/>
            </w:tcBorders>
            <w:vAlign w:val="center"/>
          </w:tcPr>
          <w:p w14:paraId="3CC0F088" w14:textId="77777777" w:rsidR="00D12939" w:rsidRDefault="004F47F5">
            <w:pPr>
              <w:jc w:val="center"/>
              <w:rPr>
                <w:rFonts w:ascii="Times New Roman" w:hAnsi="Times New Roman" w:cs="Times New Roman"/>
              </w:rPr>
            </w:pPr>
            <w:r>
              <w:rPr>
                <w:rFonts w:ascii="Times New Roman" w:hAnsi="Times New Roman" w:cs="Times New Roman"/>
              </w:rPr>
              <w:t>335</w:t>
            </w:r>
          </w:p>
        </w:tc>
        <w:tc>
          <w:tcPr>
            <w:tcW w:w="714" w:type="dxa"/>
            <w:tcBorders>
              <w:top w:val="single" w:sz="6" w:space="0" w:color="000000"/>
              <w:left w:val="single" w:sz="6" w:space="0" w:color="000000"/>
              <w:bottom w:val="single" w:sz="6" w:space="0" w:color="000000"/>
              <w:right w:val="single" w:sz="6" w:space="0" w:color="000000"/>
            </w:tcBorders>
            <w:vAlign w:val="center"/>
          </w:tcPr>
          <w:p w14:paraId="50D877D5"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1B7A0BD6"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3424C1F9"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01322DE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7D178C1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0B676A9E"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1971D6E3" w14:textId="77777777" w:rsidR="00D12939" w:rsidRDefault="004F47F5">
            <w:pPr>
              <w:jc w:val="center"/>
            </w:pPr>
            <w:r>
              <w:rPr>
                <w:rFonts w:ascii="Times New Roman" w:eastAsia="宋体" w:hAnsi="Times New Roman"/>
                <w:szCs w:val="21"/>
              </w:rPr>
              <w:t>/</w:t>
            </w:r>
          </w:p>
        </w:tc>
      </w:tr>
      <w:tr w:rsidR="00D12939" w14:paraId="36039F59"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1DDCE03F"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2</w:t>
            </w:r>
            <w:r>
              <w:rPr>
                <w:rFonts w:ascii="Times New Roman" w:eastAsia="宋体" w:hAnsi="Times New Roman"/>
                <w:sz w:val="21"/>
                <w:szCs w:val="21"/>
              </w:rPr>
              <w:t>8</w:t>
            </w:r>
          </w:p>
        </w:tc>
        <w:tc>
          <w:tcPr>
            <w:tcW w:w="706" w:type="dxa"/>
            <w:vMerge/>
            <w:tcBorders>
              <w:left w:val="single" w:sz="6" w:space="0" w:color="000000"/>
              <w:right w:val="single" w:sz="6" w:space="0" w:color="000000"/>
            </w:tcBorders>
            <w:vAlign w:val="center"/>
          </w:tcPr>
          <w:p w14:paraId="3D93898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60100C88"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4</w:t>
            </w:r>
          </w:p>
        </w:tc>
        <w:tc>
          <w:tcPr>
            <w:tcW w:w="342" w:type="dxa"/>
            <w:tcBorders>
              <w:top w:val="single" w:sz="6" w:space="0" w:color="000000"/>
              <w:left w:val="single" w:sz="6" w:space="0" w:color="000000"/>
              <w:bottom w:val="single" w:sz="6" w:space="0" w:color="000000"/>
              <w:right w:val="single" w:sz="6" w:space="0" w:color="000000"/>
            </w:tcBorders>
            <w:vAlign w:val="center"/>
          </w:tcPr>
          <w:p w14:paraId="62BDAD59"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1B01769"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7B7ED615"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4BE7D3A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17AF5010" w14:textId="77777777" w:rsidR="00D12939" w:rsidRDefault="004F47F5">
            <w:pPr>
              <w:jc w:val="center"/>
              <w:rPr>
                <w:rFonts w:ascii="Times New Roman" w:hAnsi="Times New Roman" w:cs="Times New Roman"/>
              </w:rPr>
            </w:pPr>
            <w:r>
              <w:rPr>
                <w:rFonts w:ascii="Times New Roman" w:hAnsi="Times New Roman" w:cs="Times New Roman"/>
              </w:rPr>
              <w:t>-212</w:t>
            </w:r>
          </w:p>
        </w:tc>
        <w:tc>
          <w:tcPr>
            <w:tcW w:w="742" w:type="dxa"/>
            <w:tcBorders>
              <w:top w:val="single" w:sz="6" w:space="0" w:color="000000"/>
              <w:left w:val="single" w:sz="6" w:space="0" w:color="000000"/>
              <w:bottom w:val="single" w:sz="6" w:space="0" w:color="000000"/>
              <w:right w:val="single" w:sz="6" w:space="0" w:color="000000"/>
            </w:tcBorders>
            <w:vAlign w:val="center"/>
          </w:tcPr>
          <w:p w14:paraId="3B9F379A" w14:textId="77777777" w:rsidR="00D12939" w:rsidRDefault="004F47F5">
            <w:pPr>
              <w:jc w:val="center"/>
              <w:rPr>
                <w:rFonts w:ascii="Times New Roman" w:hAnsi="Times New Roman" w:cs="Times New Roman"/>
              </w:rPr>
            </w:pPr>
            <w:r>
              <w:rPr>
                <w:rFonts w:ascii="Times New Roman" w:hAnsi="Times New Roman" w:cs="Times New Roman"/>
              </w:rPr>
              <w:t>336</w:t>
            </w:r>
          </w:p>
        </w:tc>
        <w:tc>
          <w:tcPr>
            <w:tcW w:w="714" w:type="dxa"/>
            <w:tcBorders>
              <w:top w:val="single" w:sz="6" w:space="0" w:color="000000"/>
              <w:left w:val="single" w:sz="6" w:space="0" w:color="000000"/>
              <w:bottom w:val="single" w:sz="6" w:space="0" w:color="000000"/>
              <w:right w:val="single" w:sz="6" w:space="0" w:color="000000"/>
            </w:tcBorders>
            <w:vAlign w:val="center"/>
          </w:tcPr>
          <w:p w14:paraId="6624D4DA"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2E069B18"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4E78B0C6"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0722799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509F71A4"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0FD78DFA"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5B6E6ACA" w14:textId="77777777" w:rsidR="00D12939" w:rsidRDefault="004F47F5">
            <w:pPr>
              <w:jc w:val="center"/>
            </w:pPr>
            <w:r>
              <w:rPr>
                <w:rFonts w:ascii="Times New Roman" w:eastAsia="宋体" w:hAnsi="Times New Roman"/>
                <w:szCs w:val="21"/>
              </w:rPr>
              <w:t>/</w:t>
            </w:r>
          </w:p>
        </w:tc>
      </w:tr>
      <w:tr w:rsidR="00D12939" w14:paraId="2EFC0DFC"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4404FC9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2</w:t>
            </w:r>
            <w:r>
              <w:rPr>
                <w:rFonts w:ascii="Times New Roman" w:eastAsia="宋体" w:hAnsi="Times New Roman"/>
                <w:sz w:val="21"/>
                <w:szCs w:val="21"/>
              </w:rPr>
              <w:t>9</w:t>
            </w:r>
          </w:p>
        </w:tc>
        <w:tc>
          <w:tcPr>
            <w:tcW w:w="706" w:type="dxa"/>
            <w:vMerge/>
            <w:tcBorders>
              <w:left w:val="single" w:sz="6" w:space="0" w:color="000000"/>
              <w:right w:val="single" w:sz="6" w:space="0" w:color="000000"/>
            </w:tcBorders>
            <w:vAlign w:val="center"/>
          </w:tcPr>
          <w:p w14:paraId="0E5BE05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75BB14A4"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5</w:t>
            </w:r>
          </w:p>
        </w:tc>
        <w:tc>
          <w:tcPr>
            <w:tcW w:w="342" w:type="dxa"/>
            <w:tcBorders>
              <w:top w:val="single" w:sz="6" w:space="0" w:color="000000"/>
              <w:left w:val="single" w:sz="6" w:space="0" w:color="000000"/>
              <w:bottom w:val="single" w:sz="6" w:space="0" w:color="000000"/>
              <w:right w:val="single" w:sz="6" w:space="0" w:color="000000"/>
            </w:tcBorders>
            <w:vAlign w:val="center"/>
          </w:tcPr>
          <w:p w14:paraId="2513D503"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04DF8A44"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0EC812B2"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2C81EEC9"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0FB270BC" w14:textId="77777777" w:rsidR="00D12939" w:rsidRDefault="004F47F5">
            <w:pPr>
              <w:jc w:val="center"/>
              <w:rPr>
                <w:rFonts w:ascii="Times New Roman" w:hAnsi="Times New Roman" w:cs="Times New Roman"/>
              </w:rPr>
            </w:pPr>
            <w:r>
              <w:rPr>
                <w:rFonts w:ascii="Times New Roman" w:hAnsi="Times New Roman" w:cs="Times New Roman"/>
              </w:rPr>
              <w:t>-217</w:t>
            </w:r>
          </w:p>
        </w:tc>
        <w:tc>
          <w:tcPr>
            <w:tcW w:w="742" w:type="dxa"/>
            <w:tcBorders>
              <w:top w:val="single" w:sz="6" w:space="0" w:color="000000"/>
              <w:left w:val="single" w:sz="6" w:space="0" w:color="000000"/>
              <w:bottom w:val="single" w:sz="6" w:space="0" w:color="000000"/>
              <w:right w:val="single" w:sz="6" w:space="0" w:color="000000"/>
            </w:tcBorders>
            <w:vAlign w:val="center"/>
          </w:tcPr>
          <w:p w14:paraId="4B9B9C5C" w14:textId="77777777" w:rsidR="00D12939" w:rsidRDefault="004F47F5">
            <w:pPr>
              <w:jc w:val="center"/>
              <w:rPr>
                <w:rFonts w:ascii="Times New Roman" w:hAnsi="Times New Roman" w:cs="Times New Roman"/>
              </w:rPr>
            </w:pPr>
            <w:r>
              <w:rPr>
                <w:rFonts w:ascii="Times New Roman" w:hAnsi="Times New Roman" w:cs="Times New Roman"/>
              </w:rPr>
              <w:t>334</w:t>
            </w:r>
          </w:p>
        </w:tc>
        <w:tc>
          <w:tcPr>
            <w:tcW w:w="714" w:type="dxa"/>
            <w:tcBorders>
              <w:top w:val="single" w:sz="6" w:space="0" w:color="000000"/>
              <w:left w:val="single" w:sz="6" w:space="0" w:color="000000"/>
              <w:bottom w:val="single" w:sz="6" w:space="0" w:color="000000"/>
              <w:right w:val="single" w:sz="6" w:space="0" w:color="000000"/>
            </w:tcBorders>
            <w:vAlign w:val="center"/>
          </w:tcPr>
          <w:p w14:paraId="2BCA5AE0"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0D0D1AF8"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4AD05C88"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367AAF5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1BA55F9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32510C88"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6A5A8DBA" w14:textId="77777777" w:rsidR="00D12939" w:rsidRDefault="004F47F5">
            <w:pPr>
              <w:jc w:val="center"/>
            </w:pPr>
            <w:r>
              <w:rPr>
                <w:rFonts w:ascii="Times New Roman" w:eastAsia="宋体" w:hAnsi="Times New Roman"/>
                <w:szCs w:val="21"/>
              </w:rPr>
              <w:t>/</w:t>
            </w:r>
          </w:p>
        </w:tc>
      </w:tr>
      <w:tr w:rsidR="00D12939" w14:paraId="40B53063"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16B1483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0</w:t>
            </w:r>
          </w:p>
        </w:tc>
        <w:tc>
          <w:tcPr>
            <w:tcW w:w="706" w:type="dxa"/>
            <w:vMerge/>
            <w:tcBorders>
              <w:left w:val="single" w:sz="6" w:space="0" w:color="000000"/>
              <w:right w:val="single" w:sz="6" w:space="0" w:color="000000"/>
            </w:tcBorders>
            <w:vAlign w:val="center"/>
          </w:tcPr>
          <w:p w14:paraId="2A2C9E1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0CB94A46"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6</w:t>
            </w:r>
          </w:p>
        </w:tc>
        <w:tc>
          <w:tcPr>
            <w:tcW w:w="342" w:type="dxa"/>
            <w:tcBorders>
              <w:top w:val="single" w:sz="6" w:space="0" w:color="000000"/>
              <w:left w:val="single" w:sz="6" w:space="0" w:color="000000"/>
              <w:bottom w:val="single" w:sz="6" w:space="0" w:color="000000"/>
              <w:right w:val="single" w:sz="6" w:space="0" w:color="000000"/>
            </w:tcBorders>
            <w:vAlign w:val="center"/>
          </w:tcPr>
          <w:p w14:paraId="3B630D36"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61FEA9C8"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01C43D58"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60720AB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12122611" w14:textId="77777777" w:rsidR="00D12939" w:rsidRDefault="004F47F5">
            <w:pPr>
              <w:jc w:val="center"/>
              <w:rPr>
                <w:rFonts w:ascii="Times New Roman" w:hAnsi="Times New Roman" w:cs="Times New Roman"/>
              </w:rPr>
            </w:pPr>
            <w:r>
              <w:rPr>
                <w:rFonts w:ascii="Times New Roman" w:hAnsi="Times New Roman" w:cs="Times New Roman"/>
              </w:rPr>
              <w:t>-204</w:t>
            </w:r>
          </w:p>
        </w:tc>
        <w:tc>
          <w:tcPr>
            <w:tcW w:w="742" w:type="dxa"/>
            <w:tcBorders>
              <w:top w:val="single" w:sz="6" w:space="0" w:color="000000"/>
              <w:left w:val="single" w:sz="6" w:space="0" w:color="000000"/>
              <w:bottom w:val="single" w:sz="6" w:space="0" w:color="000000"/>
              <w:right w:val="single" w:sz="6" w:space="0" w:color="000000"/>
            </w:tcBorders>
            <w:vAlign w:val="center"/>
          </w:tcPr>
          <w:p w14:paraId="5D4B0FE6" w14:textId="77777777" w:rsidR="00D12939" w:rsidRDefault="004F47F5">
            <w:pPr>
              <w:jc w:val="center"/>
              <w:rPr>
                <w:rFonts w:ascii="Times New Roman" w:hAnsi="Times New Roman" w:cs="Times New Roman"/>
              </w:rPr>
            </w:pPr>
            <w:r>
              <w:rPr>
                <w:rFonts w:ascii="Times New Roman" w:hAnsi="Times New Roman" w:cs="Times New Roman"/>
              </w:rPr>
              <w:t>338</w:t>
            </w:r>
          </w:p>
        </w:tc>
        <w:tc>
          <w:tcPr>
            <w:tcW w:w="714" w:type="dxa"/>
            <w:tcBorders>
              <w:top w:val="single" w:sz="6" w:space="0" w:color="000000"/>
              <w:left w:val="single" w:sz="6" w:space="0" w:color="000000"/>
              <w:bottom w:val="single" w:sz="6" w:space="0" w:color="000000"/>
              <w:right w:val="single" w:sz="6" w:space="0" w:color="000000"/>
            </w:tcBorders>
            <w:vAlign w:val="center"/>
          </w:tcPr>
          <w:p w14:paraId="23ADCD76"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5DAFF8B7"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42E55DF2"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7451E21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045C13C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5B709230"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08A518CD" w14:textId="77777777" w:rsidR="00D12939" w:rsidRDefault="004F47F5">
            <w:pPr>
              <w:jc w:val="center"/>
            </w:pPr>
            <w:r>
              <w:rPr>
                <w:rFonts w:ascii="Times New Roman" w:eastAsia="宋体" w:hAnsi="Times New Roman"/>
                <w:szCs w:val="21"/>
              </w:rPr>
              <w:t>/</w:t>
            </w:r>
          </w:p>
        </w:tc>
      </w:tr>
      <w:tr w:rsidR="00D12939" w14:paraId="7EAD0BC9"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020E1D7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1</w:t>
            </w:r>
          </w:p>
        </w:tc>
        <w:tc>
          <w:tcPr>
            <w:tcW w:w="706" w:type="dxa"/>
            <w:vMerge/>
            <w:tcBorders>
              <w:left w:val="single" w:sz="6" w:space="0" w:color="000000"/>
              <w:right w:val="single" w:sz="6" w:space="0" w:color="000000"/>
            </w:tcBorders>
            <w:vAlign w:val="center"/>
          </w:tcPr>
          <w:p w14:paraId="728DD784"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4691C902"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7</w:t>
            </w:r>
          </w:p>
        </w:tc>
        <w:tc>
          <w:tcPr>
            <w:tcW w:w="342" w:type="dxa"/>
            <w:tcBorders>
              <w:top w:val="single" w:sz="6" w:space="0" w:color="000000"/>
              <w:left w:val="single" w:sz="6" w:space="0" w:color="000000"/>
              <w:bottom w:val="single" w:sz="6" w:space="0" w:color="000000"/>
              <w:right w:val="single" w:sz="6" w:space="0" w:color="000000"/>
            </w:tcBorders>
            <w:vAlign w:val="center"/>
          </w:tcPr>
          <w:p w14:paraId="61D92B6A"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63636B9B"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7823FAF0"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175EBD0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2886887E" w14:textId="77777777" w:rsidR="00D12939" w:rsidRDefault="004F47F5">
            <w:pPr>
              <w:jc w:val="center"/>
              <w:rPr>
                <w:rFonts w:ascii="Times New Roman" w:hAnsi="Times New Roman" w:cs="Times New Roman"/>
              </w:rPr>
            </w:pPr>
            <w:r>
              <w:rPr>
                <w:rFonts w:ascii="Times New Roman" w:hAnsi="Times New Roman" w:cs="Times New Roman"/>
              </w:rPr>
              <w:t>-204</w:t>
            </w:r>
          </w:p>
        </w:tc>
        <w:tc>
          <w:tcPr>
            <w:tcW w:w="742" w:type="dxa"/>
            <w:tcBorders>
              <w:top w:val="single" w:sz="6" w:space="0" w:color="000000"/>
              <w:left w:val="single" w:sz="6" w:space="0" w:color="000000"/>
              <w:bottom w:val="single" w:sz="6" w:space="0" w:color="000000"/>
              <w:right w:val="single" w:sz="6" w:space="0" w:color="000000"/>
            </w:tcBorders>
            <w:vAlign w:val="center"/>
          </w:tcPr>
          <w:p w14:paraId="4C2F002C" w14:textId="77777777" w:rsidR="00D12939" w:rsidRDefault="004F47F5">
            <w:pPr>
              <w:jc w:val="center"/>
              <w:rPr>
                <w:rFonts w:ascii="Times New Roman" w:hAnsi="Times New Roman" w:cs="Times New Roman"/>
              </w:rPr>
            </w:pPr>
            <w:r>
              <w:rPr>
                <w:rFonts w:ascii="Times New Roman" w:hAnsi="Times New Roman" w:cs="Times New Roman"/>
              </w:rPr>
              <w:t>339</w:t>
            </w:r>
          </w:p>
        </w:tc>
        <w:tc>
          <w:tcPr>
            <w:tcW w:w="714" w:type="dxa"/>
            <w:tcBorders>
              <w:top w:val="single" w:sz="6" w:space="0" w:color="000000"/>
              <w:left w:val="single" w:sz="6" w:space="0" w:color="000000"/>
              <w:bottom w:val="single" w:sz="6" w:space="0" w:color="000000"/>
              <w:right w:val="single" w:sz="6" w:space="0" w:color="000000"/>
            </w:tcBorders>
            <w:vAlign w:val="center"/>
          </w:tcPr>
          <w:p w14:paraId="42266CE1"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572BC5DC"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455265C2"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05169F5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4FEB9A9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1C970986"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69550BA8" w14:textId="77777777" w:rsidR="00D12939" w:rsidRDefault="004F47F5">
            <w:pPr>
              <w:jc w:val="center"/>
            </w:pPr>
            <w:r>
              <w:rPr>
                <w:rFonts w:ascii="Times New Roman" w:eastAsia="宋体" w:hAnsi="Times New Roman"/>
                <w:szCs w:val="21"/>
              </w:rPr>
              <w:t>/</w:t>
            </w:r>
          </w:p>
        </w:tc>
      </w:tr>
      <w:tr w:rsidR="00D12939" w14:paraId="0989365A"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4FAA2377"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2</w:t>
            </w:r>
          </w:p>
        </w:tc>
        <w:tc>
          <w:tcPr>
            <w:tcW w:w="706" w:type="dxa"/>
            <w:vMerge/>
            <w:tcBorders>
              <w:left w:val="single" w:sz="6" w:space="0" w:color="000000"/>
              <w:right w:val="single" w:sz="6" w:space="0" w:color="000000"/>
            </w:tcBorders>
            <w:vAlign w:val="center"/>
          </w:tcPr>
          <w:p w14:paraId="4D1F796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4B8130D8"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8</w:t>
            </w:r>
          </w:p>
        </w:tc>
        <w:tc>
          <w:tcPr>
            <w:tcW w:w="342" w:type="dxa"/>
            <w:tcBorders>
              <w:top w:val="single" w:sz="6" w:space="0" w:color="000000"/>
              <w:left w:val="single" w:sz="6" w:space="0" w:color="000000"/>
              <w:bottom w:val="single" w:sz="6" w:space="0" w:color="000000"/>
              <w:right w:val="single" w:sz="6" w:space="0" w:color="000000"/>
            </w:tcBorders>
            <w:vAlign w:val="center"/>
          </w:tcPr>
          <w:p w14:paraId="363BB2CC"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B471E44"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6260EE98"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3BAE198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211647DB" w14:textId="77777777" w:rsidR="00D12939" w:rsidRDefault="004F47F5">
            <w:pPr>
              <w:jc w:val="center"/>
              <w:rPr>
                <w:rFonts w:ascii="Times New Roman" w:hAnsi="Times New Roman" w:cs="Times New Roman"/>
              </w:rPr>
            </w:pPr>
            <w:r>
              <w:rPr>
                <w:rFonts w:ascii="Times New Roman" w:hAnsi="Times New Roman" w:cs="Times New Roman"/>
              </w:rPr>
              <w:t>-200</w:t>
            </w:r>
          </w:p>
        </w:tc>
        <w:tc>
          <w:tcPr>
            <w:tcW w:w="742" w:type="dxa"/>
            <w:tcBorders>
              <w:top w:val="single" w:sz="6" w:space="0" w:color="000000"/>
              <w:left w:val="single" w:sz="6" w:space="0" w:color="000000"/>
              <w:bottom w:val="single" w:sz="6" w:space="0" w:color="000000"/>
              <w:right w:val="single" w:sz="6" w:space="0" w:color="000000"/>
            </w:tcBorders>
            <w:vAlign w:val="center"/>
          </w:tcPr>
          <w:p w14:paraId="6ECF610A" w14:textId="77777777" w:rsidR="00D12939" w:rsidRDefault="004F47F5">
            <w:pPr>
              <w:jc w:val="center"/>
              <w:rPr>
                <w:rFonts w:ascii="Times New Roman" w:hAnsi="Times New Roman" w:cs="Times New Roman"/>
              </w:rPr>
            </w:pPr>
            <w:r>
              <w:rPr>
                <w:rFonts w:ascii="Times New Roman" w:hAnsi="Times New Roman" w:cs="Times New Roman"/>
              </w:rPr>
              <w:t>338</w:t>
            </w:r>
          </w:p>
        </w:tc>
        <w:tc>
          <w:tcPr>
            <w:tcW w:w="714" w:type="dxa"/>
            <w:tcBorders>
              <w:top w:val="single" w:sz="6" w:space="0" w:color="000000"/>
              <w:left w:val="single" w:sz="6" w:space="0" w:color="000000"/>
              <w:bottom w:val="single" w:sz="6" w:space="0" w:color="000000"/>
              <w:right w:val="single" w:sz="6" w:space="0" w:color="000000"/>
            </w:tcBorders>
            <w:vAlign w:val="center"/>
          </w:tcPr>
          <w:p w14:paraId="24CABD96"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10D7EE33"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46D9D1AD"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2D4DA7B3"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17274D4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59CD638E"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37711D99" w14:textId="77777777" w:rsidR="00D12939" w:rsidRDefault="004F47F5">
            <w:pPr>
              <w:jc w:val="center"/>
            </w:pPr>
            <w:r>
              <w:rPr>
                <w:rFonts w:ascii="Times New Roman" w:eastAsia="宋体" w:hAnsi="Times New Roman"/>
                <w:szCs w:val="21"/>
              </w:rPr>
              <w:t>/</w:t>
            </w:r>
          </w:p>
        </w:tc>
      </w:tr>
      <w:tr w:rsidR="00D12939" w14:paraId="0AE98FC8"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6FF6BDE9"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3</w:t>
            </w:r>
          </w:p>
        </w:tc>
        <w:tc>
          <w:tcPr>
            <w:tcW w:w="706" w:type="dxa"/>
            <w:vMerge/>
            <w:tcBorders>
              <w:left w:val="single" w:sz="6" w:space="0" w:color="000000"/>
              <w:right w:val="single" w:sz="6" w:space="0" w:color="000000"/>
            </w:tcBorders>
            <w:vAlign w:val="center"/>
          </w:tcPr>
          <w:p w14:paraId="67E07BB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29F72739"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9</w:t>
            </w:r>
          </w:p>
        </w:tc>
        <w:tc>
          <w:tcPr>
            <w:tcW w:w="342" w:type="dxa"/>
            <w:tcBorders>
              <w:top w:val="single" w:sz="6" w:space="0" w:color="000000"/>
              <w:left w:val="single" w:sz="6" w:space="0" w:color="000000"/>
              <w:bottom w:val="single" w:sz="6" w:space="0" w:color="000000"/>
              <w:right w:val="single" w:sz="6" w:space="0" w:color="000000"/>
            </w:tcBorders>
            <w:vAlign w:val="center"/>
          </w:tcPr>
          <w:p w14:paraId="09A88655"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1362F71"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36C6BD3F"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0156E06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CEB599B" w14:textId="77777777" w:rsidR="00D12939" w:rsidRDefault="004F47F5">
            <w:pPr>
              <w:jc w:val="center"/>
              <w:rPr>
                <w:rFonts w:ascii="Times New Roman" w:hAnsi="Times New Roman" w:cs="Times New Roman"/>
              </w:rPr>
            </w:pPr>
            <w:r>
              <w:rPr>
                <w:rFonts w:ascii="Times New Roman" w:hAnsi="Times New Roman" w:cs="Times New Roman"/>
              </w:rPr>
              <w:t>-206</w:t>
            </w:r>
          </w:p>
        </w:tc>
        <w:tc>
          <w:tcPr>
            <w:tcW w:w="742" w:type="dxa"/>
            <w:tcBorders>
              <w:top w:val="single" w:sz="6" w:space="0" w:color="000000"/>
              <w:left w:val="single" w:sz="6" w:space="0" w:color="000000"/>
              <w:bottom w:val="single" w:sz="6" w:space="0" w:color="000000"/>
              <w:right w:val="single" w:sz="6" w:space="0" w:color="000000"/>
            </w:tcBorders>
            <w:vAlign w:val="center"/>
          </w:tcPr>
          <w:p w14:paraId="6BD9841F" w14:textId="77777777" w:rsidR="00D12939" w:rsidRDefault="004F47F5">
            <w:pPr>
              <w:jc w:val="center"/>
              <w:rPr>
                <w:rFonts w:ascii="Times New Roman" w:hAnsi="Times New Roman" w:cs="Times New Roman"/>
              </w:rPr>
            </w:pPr>
            <w:r>
              <w:rPr>
                <w:rFonts w:ascii="Times New Roman" w:hAnsi="Times New Roman" w:cs="Times New Roman"/>
              </w:rPr>
              <w:t>340</w:t>
            </w:r>
          </w:p>
        </w:tc>
        <w:tc>
          <w:tcPr>
            <w:tcW w:w="714" w:type="dxa"/>
            <w:tcBorders>
              <w:top w:val="single" w:sz="6" w:space="0" w:color="000000"/>
              <w:left w:val="single" w:sz="6" w:space="0" w:color="000000"/>
              <w:bottom w:val="single" w:sz="6" w:space="0" w:color="000000"/>
              <w:right w:val="single" w:sz="6" w:space="0" w:color="000000"/>
            </w:tcBorders>
            <w:vAlign w:val="center"/>
          </w:tcPr>
          <w:p w14:paraId="12AE8589"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4C459E61"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25D9BF43"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2D8B46E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532B01E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33F4BE6E"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4F3A4EB0" w14:textId="77777777" w:rsidR="00D12939" w:rsidRDefault="004F47F5">
            <w:pPr>
              <w:jc w:val="center"/>
            </w:pPr>
            <w:r>
              <w:rPr>
                <w:rFonts w:ascii="Times New Roman" w:eastAsia="宋体" w:hAnsi="Times New Roman"/>
                <w:szCs w:val="21"/>
              </w:rPr>
              <w:t>/</w:t>
            </w:r>
          </w:p>
        </w:tc>
      </w:tr>
      <w:tr w:rsidR="00D12939" w14:paraId="67D73EC8"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3D3D96F7"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4</w:t>
            </w:r>
          </w:p>
        </w:tc>
        <w:tc>
          <w:tcPr>
            <w:tcW w:w="706" w:type="dxa"/>
            <w:vMerge/>
            <w:tcBorders>
              <w:left w:val="single" w:sz="6" w:space="0" w:color="000000"/>
              <w:right w:val="single" w:sz="6" w:space="0" w:color="000000"/>
            </w:tcBorders>
            <w:vAlign w:val="center"/>
          </w:tcPr>
          <w:p w14:paraId="7ED55B1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5A15827C"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10</w:t>
            </w:r>
          </w:p>
        </w:tc>
        <w:tc>
          <w:tcPr>
            <w:tcW w:w="342" w:type="dxa"/>
            <w:tcBorders>
              <w:top w:val="single" w:sz="6" w:space="0" w:color="000000"/>
              <w:left w:val="single" w:sz="6" w:space="0" w:color="000000"/>
              <w:bottom w:val="single" w:sz="6" w:space="0" w:color="000000"/>
              <w:right w:val="single" w:sz="6" w:space="0" w:color="000000"/>
            </w:tcBorders>
            <w:vAlign w:val="center"/>
          </w:tcPr>
          <w:p w14:paraId="063BC12B"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3D6E343C"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47D6C2AE"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14F761BC"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16D1893" w14:textId="77777777" w:rsidR="00D12939" w:rsidRDefault="004F47F5">
            <w:pPr>
              <w:jc w:val="center"/>
              <w:rPr>
                <w:rFonts w:ascii="Times New Roman" w:hAnsi="Times New Roman" w:cs="Times New Roman"/>
              </w:rPr>
            </w:pPr>
            <w:r>
              <w:rPr>
                <w:rFonts w:ascii="Times New Roman" w:hAnsi="Times New Roman" w:cs="Times New Roman"/>
              </w:rPr>
              <w:t>-205</w:t>
            </w:r>
          </w:p>
        </w:tc>
        <w:tc>
          <w:tcPr>
            <w:tcW w:w="742" w:type="dxa"/>
            <w:tcBorders>
              <w:top w:val="single" w:sz="6" w:space="0" w:color="000000"/>
              <w:left w:val="single" w:sz="6" w:space="0" w:color="000000"/>
              <w:bottom w:val="single" w:sz="6" w:space="0" w:color="000000"/>
              <w:right w:val="single" w:sz="6" w:space="0" w:color="000000"/>
            </w:tcBorders>
            <w:vAlign w:val="center"/>
          </w:tcPr>
          <w:p w14:paraId="0154B0D9" w14:textId="77777777" w:rsidR="00D12939" w:rsidRDefault="004F47F5">
            <w:pPr>
              <w:jc w:val="center"/>
              <w:rPr>
                <w:rFonts w:ascii="Times New Roman" w:hAnsi="Times New Roman" w:cs="Times New Roman"/>
              </w:rPr>
            </w:pPr>
            <w:r>
              <w:rPr>
                <w:rFonts w:ascii="Times New Roman" w:hAnsi="Times New Roman" w:cs="Times New Roman"/>
              </w:rPr>
              <w:t>337</w:t>
            </w:r>
          </w:p>
        </w:tc>
        <w:tc>
          <w:tcPr>
            <w:tcW w:w="714" w:type="dxa"/>
            <w:tcBorders>
              <w:top w:val="single" w:sz="6" w:space="0" w:color="000000"/>
              <w:left w:val="single" w:sz="6" w:space="0" w:color="000000"/>
              <w:bottom w:val="single" w:sz="6" w:space="0" w:color="000000"/>
              <w:right w:val="single" w:sz="6" w:space="0" w:color="000000"/>
            </w:tcBorders>
            <w:vAlign w:val="center"/>
          </w:tcPr>
          <w:p w14:paraId="2911289C"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124FAFDC"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161A38F8"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07083A1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61A9DBE3"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4C656CE4"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6A0F4BAE" w14:textId="77777777" w:rsidR="00D12939" w:rsidRDefault="004F47F5">
            <w:pPr>
              <w:jc w:val="center"/>
            </w:pPr>
            <w:r>
              <w:rPr>
                <w:rFonts w:ascii="Times New Roman" w:eastAsia="宋体" w:hAnsi="Times New Roman"/>
                <w:szCs w:val="21"/>
              </w:rPr>
              <w:t>/</w:t>
            </w:r>
          </w:p>
        </w:tc>
      </w:tr>
      <w:tr w:rsidR="00D12939" w14:paraId="2CF3E615"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4790601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5</w:t>
            </w:r>
          </w:p>
        </w:tc>
        <w:tc>
          <w:tcPr>
            <w:tcW w:w="706" w:type="dxa"/>
            <w:vMerge/>
            <w:tcBorders>
              <w:left w:val="single" w:sz="6" w:space="0" w:color="000000"/>
              <w:right w:val="single" w:sz="6" w:space="0" w:color="000000"/>
            </w:tcBorders>
            <w:vAlign w:val="center"/>
          </w:tcPr>
          <w:p w14:paraId="08C224C0"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1B08928C"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11</w:t>
            </w:r>
          </w:p>
        </w:tc>
        <w:tc>
          <w:tcPr>
            <w:tcW w:w="342" w:type="dxa"/>
            <w:tcBorders>
              <w:top w:val="single" w:sz="6" w:space="0" w:color="000000"/>
              <w:left w:val="single" w:sz="6" w:space="0" w:color="000000"/>
              <w:bottom w:val="single" w:sz="6" w:space="0" w:color="000000"/>
              <w:right w:val="single" w:sz="6" w:space="0" w:color="000000"/>
            </w:tcBorders>
            <w:vAlign w:val="center"/>
          </w:tcPr>
          <w:p w14:paraId="32EAD290"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759C9FA6"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14A58C22"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2DFDAC53"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7C8B9ED" w14:textId="77777777" w:rsidR="00D12939" w:rsidRDefault="004F47F5">
            <w:pPr>
              <w:jc w:val="center"/>
              <w:rPr>
                <w:rFonts w:ascii="Times New Roman" w:hAnsi="Times New Roman" w:cs="Times New Roman"/>
              </w:rPr>
            </w:pPr>
            <w:r>
              <w:rPr>
                <w:rFonts w:ascii="Times New Roman" w:hAnsi="Times New Roman" w:cs="Times New Roman"/>
              </w:rPr>
              <w:t>-208</w:t>
            </w:r>
          </w:p>
        </w:tc>
        <w:tc>
          <w:tcPr>
            <w:tcW w:w="742" w:type="dxa"/>
            <w:tcBorders>
              <w:top w:val="single" w:sz="6" w:space="0" w:color="000000"/>
              <w:left w:val="single" w:sz="6" w:space="0" w:color="000000"/>
              <w:bottom w:val="single" w:sz="6" w:space="0" w:color="000000"/>
              <w:right w:val="single" w:sz="6" w:space="0" w:color="000000"/>
            </w:tcBorders>
            <w:vAlign w:val="center"/>
          </w:tcPr>
          <w:p w14:paraId="6A91A7C4" w14:textId="77777777" w:rsidR="00D12939" w:rsidRDefault="004F47F5">
            <w:pPr>
              <w:jc w:val="center"/>
              <w:rPr>
                <w:rFonts w:ascii="Times New Roman" w:hAnsi="Times New Roman" w:cs="Times New Roman"/>
              </w:rPr>
            </w:pPr>
            <w:r>
              <w:rPr>
                <w:rFonts w:ascii="Times New Roman" w:hAnsi="Times New Roman" w:cs="Times New Roman"/>
              </w:rPr>
              <w:t>338</w:t>
            </w:r>
          </w:p>
        </w:tc>
        <w:tc>
          <w:tcPr>
            <w:tcW w:w="714" w:type="dxa"/>
            <w:tcBorders>
              <w:top w:val="single" w:sz="6" w:space="0" w:color="000000"/>
              <w:left w:val="single" w:sz="6" w:space="0" w:color="000000"/>
              <w:bottom w:val="single" w:sz="6" w:space="0" w:color="000000"/>
              <w:right w:val="single" w:sz="6" w:space="0" w:color="000000"/>
            </w:tcBorders>
            <w:vAlign w:val="center"/>
          </w:tcPr>
          <w:p w14:paraId="70DDEEFB"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0D25F8CA"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04C61C8D"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3F42056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62D6BC8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630C4F87"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6A53D3DE" w14:textId="77777777" w:rsidR="00D12939" w:rsidRDefault="004F47F5">
            <w:pPr>
              <w:jc w:val="center"/>
            </w:pPr>
            <w:r>
              <w:rPr>
                <w:rFonts w:ascii="Times New Roman" w:eastAsia="宋体" w:hAnsi="Times New Roman"/>
                <w:szCs w:val="21"/>
              </w:rPr>
              <w:t>/</w:t>
            </w:r>
          </w:p>
        </w:tc>
      </w:tr>
      <w:tr w:rsidR="00D12939" w14:paraId="1F0625EA"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23CE85D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6</w:t>
            </w:r>
          </w:p>
        </w:tc>
        <w:tc>
          <w:tcPr>
            <w:tcW w:w="706" w:type="dxa"/>
            <w:vMerge/>
            <w:tcBorders>
              <w:left w:val="single" w:sz="6" w:space="0" w:color="000000"/>
              <w:right w:val="single" w:sz="6" w:space="0" w:color="000000"/>
            </w:tcBorders>
            <w:vAlign w:val="center"/>
          </w:tcPr>
          <w:p w14:paraId="44F0D375"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65ED073E"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12</w:t>
            </w:r>
          </w:p>
        </w:tc>
        <w:tc>
          <w:tcPr>
            <w:tcW w:w="342" w:type="dxa"/>
            <w:tcBorders>
              <w:top w:val="single" w:sz="6" w:space="0" w:color="000000"/>
              <w:left w:val="single" w:sz="6" w:space="0" w:color="000000"/>
              <w:bottom w:val="single" w:sz="6" w:space="0" w:color="000000"/>
              <w:right w:val="single" w:sz="6" w:space="0" w:color="000000"/>
            </w:tcBorders>
            <w:vAlign w:val="center"/>
          </w:tcPr>
          <w:p w14:paraId="513BCA43"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7DCB4607"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7A4A64A3"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right w:val="single" w:sz="6" w:space="0" w:color="000000"/>
            </w:tcBorders>
            <w:vAlign w:val="center"/>
          </w:tcPr>
          <w:p w14:paraId="1303C93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134AEA2C" w14:textId="77777777" w:rsidR="00D12939" w:rsidRDefault="004F47F5">
            <w:pPr>
              <w:jc w:val="center"/>
              <w:rPr>
                <w:rFonts w:ascii="Times New Roman" w:hAnsi="Times New Roman" w:cs="Times New Roman"/>
              </w:rPr>
            </w:pPr>
            <w:r>
              <w:rPr>
                <w:rFonts w:ascii="Times New Roman" w:hAnsi="Times New Roman" w:cs="Times New Roman"/>
              </w:rPr>
              <w:t>-213</w:t>
            </w:r>
          </w:p>
        </w:tc>
        <w:tc>
          <w:tcPr>
            <w:tcW w:w="742" w:type="dxa"/>
            <w:tcBorders>
              <w:top w:val="single" w:sz="6" w:space="0" w:color="000000"/>
              <w:left w:val="single" w:sz="6" w:space="0" w:color="000000"/>
              <w:bottom w:val="single" w:sz="6" w:space="0" w:color="000000"/>
              <w:right w:val="single" w:sz="6" w:space="0" w:color="000000"/>
            </w:tcBorders>
            <w:vAlign w:val="center"/>
          </w:tcPr>
          <w:p w14:paraId="3C064D63" w14:textId="77777777" w:rsidR="00D12939" w:rsidRDefault="004F47F5">
            <w:pPr>
              <w:jc w:val="center"/>
              <w:rPr>
                <w:rFonts w:ascii="Times New Roman" w:hAnsi="Times New Roman" w:cs="Times New Roman"/>
              </w:rPr>
            </w:pPr>
            <w:r>
              <w:rPr>
                <w:rFonts w:ascii="Times New Roman" w:hAnsi="Times New Roman" w:cs="Times New Roman"/>
              </w:rPr>
              <w:t>334</w:t>
            </w:r>
          </w:p>
        </w:tc>
        <w:tc>
          <w:tcPr>
            <w:tcW w:w="714" w:type="dxa"/>
            <w:tcBorders>
              <w:top w:val="single" w:sz="6" w:space="0" w:color="000000"/>
              <w:left w:val="single" w:sz="6" w:space="0" w:color="000000"/>
              <w:bottom w:val="single" w:sz="6" w:space="0" w:color="000000"/>
              <w:right w:val="single" w:sz="6" w:space="0" w:color="000000"/>
            </w:tcBorders>
            <w:vAlign w:val="center"/>
          </w:tcPr>
          <w:p w14:paraId="58D399AB"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48BB12A2"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4BC69EB4"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right w:val="single" w:sz="6" w:space="0" w:color="000000"/>
            </w:tcBorders>
            <w:vAlign w:val="center"/>
          </w:tcPr>
          <w:p w14:paraId="1DC32EA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63E2105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7299B89D"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0E4C452A" w14:textId="77777777" w:rsidR="00D12939" w:rsidRDefault="004F47F5">
            <w:pPr>
              <w:jc w:val="center"/>
            </w:pPr>
            <w:r>
              <w:rPr>
                <w:rFonts w:ascii="Times New Roman" w:eastAsia="宋体" w:hAnsi="Times New Roman"/>
                <w:szCs w:val="21"/>
              </w:rPr>
              <w:t>/</w:t>
            </w:r>
          </w:p>
        </w:tc>
      </w:tr>
      <w:tr w:rsidR="00D12939" w14:paraId="5E09B309"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49E94AB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7</w:t>
            </w:r>
          </w:p>
        </w:tc>
        <w:tc>
          <w:tcPr>
            <w:tcW w:w="706" w:type="dxa"/>
            <w:vMerge/>
            <w:tcBorders>
              <w:left w:val="single" w:sz="6" w:space="0" w:color="000000"/>
              <w:right w:val="single" w:sz="6" w:space="0" w:color="000000"/>
            </w:tcBorders>
            <w:vAlign w:val="center"/>
          </w:tcPr>
          <w:p w14:paraId="15E3231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45C7264A" w14:textId="77777777" w:rsidR="00D12939" w:rsidRDefault="004F47F5">
            <w:pPr>
              <w:jc w:val="center"/>
            </w:pPr>
            <w:r>
              <w:rPr>
                <w:rFonts w:ascii="Times New Roman" w:eastAsia="宋体" w:hAnsi="Times New Roman" w:cs="Times New Roman" w:hint="eastAsia"/>
              </w:rPr>
              <w:t>加药计量泵</w:t>
            </w:r>
            <w:r>
              <w:rPr>
                <w:rFonts w:ascii="Times New Roman" w:eastAsia="宋体" w:hAnsi="Times New Roman" w:cs="Times New Roman" w:hint="eastAsia"/>
              </w:rPr>
              <w:t>-</w:t>
            </w:r>
            <w:r>
              <w:rPr>
                <w:rFonts w:ascii="Times New Roman" w:eastAsia="宋体" w:hAnsi="Times New Roman" w:cs="Times New Roman"/>
              </w:rPr>
              <w:t>13</w:t>
            </w:r>
          </w:p>
        </w:tc>
        <w:tc>
          <w:tcPr>
            <w:tcW w:w="342" w:type="dxa"/>
            <w:tcBorders>
              <w:top w:val="single" w:sz="6" w:space="0" w:color="000000"/>
              <w:left w:val="single" w:sz="6" w:space="0" w:color="000000"/>
              <w:bottom w:val="single" w:sz="6" w:space="0" w:color="000000"/>
              <w:right w:val="single" w:sz="6" w:space="0" w:color="000000"/>
            </w:tcBorders>
            <w:vAlign w:val="center"/>
          </w:tcPr>
          <w:p w14:paraId="0414D069"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2D8BF25C" w14:textId="77777777" w:rsidR="00D12939" w:rsidRDefault="004F47F5">
            <w:pPr>
              <w:jc w:val="center"/>
            </w:pPr>
            <w:r>
              <w:rPr>
                <w:rFonts w:ascii="Times New Roman" w:eastAsia="宋体" w:hAnsi="Times New Roman" w:cs="Times New Roman"/>
                <w:szCs w:val="21"/>
              </w:rPr>
              <w:t>70/1</w:t>
            </w:r>
          </w:p>
        </w:tc>
        <w:tc>
          <w:tcPr>
            <w:tcW w:w="904" w:type="dxa"/>
            <w:tcBorders>
              <w:top w:val="single" w:sz="6" w:space="0" w:color="000000"/>
              <w:left w:val="single" w:sz="6" w:space="0" w:color="000000"/>
              <w:bottom w:val="single" w:sz="6" w:space="0" w:color="000000"/>
              <w:right w:val="single" w:sz="6" w:space="0" w:color="000000"/>
            </w:tcBorders>
            <w:vAlign w:val="center"/>
          </w:tcPr>
          <w:p w14:paraId="6CDD7F52" w14:textId="77777777" w:rsidR="00D12939" w:rsidRDefault="004F47F5">
            <w:pPr>
              <w:jc w:val="center"/>
            </w:pPr>
            <w:r>
              <w:rPr>
                <w:rFonts w:ascii="Times New Roman" w:eastAsia="宋体" w:hAnsi="Times New Roman" w:cs="Times New Roman"/>
                <w:szCs w:val="21"/>
              </w:rPr>
              <w:t>/</w:t>
            </w:r>
          </w:p>
        </w:tc>
        <w:tc>
          <w:tcPr>
            <w:tcW w:w="1249" w:type="dxa"/>
            <w:vMerge/>
            <w:tcBorders>
              <w:left w:val="single" w:sz="6" w:space="0" w:color="000000"/>
              <w:bottom w:val="single" w:sz="6" w:space="0" w:color="000000"/>
              <w:right w:val="single" w:sz="6" w:space="0" w:color="000000"/>
            </w:tcBorders>
            <w:vAlign w:val="center"/>
          </w:tcPr>
          <w:p w14:paraId="086A6D12"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02" w:type="dxa"/>
            <w:tcBorders>
              <w:top w:val="single" w:sz="6" w:space="0" w:color="000000"/>
              <w:left w:val="single" w:sz="6" w:space="0" w:color="000000"/>
              <w:bottom w:val="single" w:sz="6" w:space="0" w:color="000000"/>
              <w:right w:val="single" w:sz="6" w:space="0" w:color="000000"/>
            </w:tcBorders>
            <w:vAlign w:val="center"/>
          </w:tcPr>
          <w:p w14:paraId="75E6FDD0" w14:textId="77777777" w:rsidR="00D12939" w:rsidRDefault="004F47F5">
            <w:pPr>
              <w:jc w:val="center"/>
              <w:rPr>
                <w:rFonts w:ascii="Times New Roman" w:hAnsi="Times New Roman" w:cs="Times New Roman"/>
              </w:rPr>
            </w:pPr>
            <w:r>
              <w:rPr>
                <w:rFonts w:ascii="Times New Roman" w:hAnsi="Times New Roman" w:cs="Times New Roman"/>
              </w:rPr>
              <w:t>-213</w:t>
            </w:r>
          </w:p>
        </w:tc>
        <w:tc>
          <w:tcPr>
            <w:tcW w:w="742" w:type="dxa"/>
            <w:tcBorders>
              <w:top w:val="single" w:sz="6" w:space="0" w:color="000000"/>
              <w:left w:val="single" w:sz="6" w:space="0" w:color="000000"/>
              <w:bottom w:val="single" w:sz="6" w:space="0" w:color="000000"/>
              <w:right w:val="single" w:sz="6" w:space="0" w:color="000000"/>
            </w:tcBorders>
            <w:vAlign w:val="center"/>
          </w:tcPr>
          <w:p w14:paraId="39A41032" w14:textId="77777777" w:rsidR="00D12939" w:rsidRDefault="004F47F5">
            <w:pPr>
              <w:jc w:val="center"/>
              <w:rPr>
                <w:rFonts w:ascii="Times New Roman" w:hAnsi="Times New Roman" w:cs="Times New Roman"/>
              </w:rPr>
            </w:pPr>
            <w:r>
              <w:rPr>
                <w:rFonts w:ascii="Times New Roman" w:hAnsi="Times New Roman" w:cs="Times New Roman"/>
              </w:rPr>
              <w:t>333</w:t>
            </w:r>
          </w:p>
        </w:tc>
        <w:tc>
          <w:tcPr>
            <w:tcW w:w="714" w:type="dxa"/>
            <w:tcBorders>
              <w:top w:val="single" w:sz="6" w:space="0" w:color="000000"/>
              <w:left w:val="single" w:sz="6" w:space="0" w:color="000000"/>
              <w:bottom w:val="single" w:sz="6" w:space="0" w:color="000000"/>
              <w:right w:val="single" w:sz="6" w:space="0" w:color="000000"/>
            </w:tcBorders>
            <w:vAlign w:val="center"/>
          </w:tcPr>
          <w:p w14:paraId="660E1CE9"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4678132D" w14:textId="77777777" w:rsidR="00D12939" w:rsidRDefault="004F47F5">
            <w:pPr>
              <w:jc w:val="center"/>
            </w:pPr>
            <w:r>
              <w:rPr>
                <w:rFonts w:ascii="Times New Roman" w:eastAsia="宋体" w:hAnsi="Times New Roman"/>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07847AD8" w14:textId="77777777" w:rsidR="00D12939" w:rsidRDefault="004F47F5">
            <w:pPr>
              <w:jc w:val="center"/>
            </w:pPr>
            <w:r>
              <w:rPr>
                <w:rFonts w:ascii="Times New Roman" w:eastAsia="宋体" w:hAnsi="Times New Roman"/>
                <w:szCs w:val="21"/>
              </w:rPr>
              <w:t>59.01</w:t>
            </w:r>
          </w:p>
        </w:tc>
        <w:tc>
          <w:tcPr>
            <w:tcW w:w="703" w:type="dxa"/>
            <w:vMerge/>
            <w:tcBorders>
              <w:left w:val="single" w:sz="6" w:space="0" w:color="000000"/>
              <w:bottom w:val="single" w:sz="6" w:space="0" w:color="000000"/>
              <w:right w:val="single" w:sz="6" w:space="0" w:color="000000"/>
            </w:tcBorders>
            <w:vAlign w:val="center"/>
          </w:tcPr>
          <w:p w14:paraId="00696D9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20" w:type="dxa"/>
            <w:vMerge/>
            <w:tcBorders>
              <w:left w:val="single" w:sz="6" w:space="0" w:color="000000"/>
              <w:right w:val="single" w:sz="6" w:space="0" w:color="000000"/>
            </w:tcBorders>
            <w:vAlign w:val="center"/>
          </w:tcPr>
          <w:p w14:paraId="679EDBE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54670BC7" w14:textId="77777777" w:rsidR="00D12939" w:rsidRDefault="004F47F5">
            <w:pPr>
              <w:jc w:val="center"/>
            </w:pPr>
            <w:r>
              <w:rPr>
                <w:rFonts w:ascii="Times New Roman" w:eastAsia="宋体" w:hAnsi="Times New Roman"/>
                <w:szCs w:val="21"/>
              </w:rPr>
              <w:t>38.01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103BB7DF" w14:textId="77777777" w:rsidR="00D12939" w:rsidRDefault="004F47F5">
            <w:pPr>
              <w:jc w:val="center"/>
            </w:pPr>
            <w:r>
              <w:rPr>
                <w:rFonts w:ascii="Times New Roman" w:eastAsia="宋体" w:hAnsi="Times New Roman"/>
                <w:szCs w:val="21"/>
              </w:rPr>
              <w:t>/</w:t>
            </w:r>
          </w:p>
        </w:tc>
      </w:tr>
      <w:tr w:rsidR="00D12939" w14:paraId="31842E3D" w14:textId="77777777">
        <w:trPr>
          <w:trHeight w:val="178"/>
          <w:jc w:val="center"/>
        </w:trPr>
        <w:tc>
          <w:tcPr>
            <w:tcW w:w="478" w:type="dxa"/>
            <w:tcBorders>
              <w:top w:val="single" w:sz="6" w:space="0" w:color="000000"/>
              <w:left w:val="single" w:sz="12" w:space="0" w:color="000000"/>
              <w:bottom w:val="single" w:sz="6" w:space="0" w:color="000000"/>
              <w:right w:val="single" w:sz="6" w:space="0" w:color="000000"/>
            </w:tcBorders>
            <w:vAlign w:val="center"/>
          </w:tcPr>
          <w:p w14:paraId="352655F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3</w:t>
            </w:r>
            <w:r>
              <w:rPr>
                <w:rFonts w:ascii="Times New Roman" w:eastAsia="宋体" w:hAnsi="Times New Roman"/>
                <w:sz w:val="21"/>
                <w:szCs w:val="21"/>
              </w:rPr>
              <w:t>8</w:t>
            </w:r>
          </w:p>
        </w:tc>
        <w:tc>
          <w:tcPr>
            <w:tcW w:w="706" w:type="dxa"/>
            <w:vMerge/>
            <w:tcBorders>
              <w:left w:val="single" w:sz="6" w:space="0" w:color="000000"/>
              <w:bottom w:val="single" w:sz="6" w:space="0" w:color="000000"/>
              <w:right w:val="single" w:sz="6" w:space="0" w:color="000000"/>
            </w:tcBorders>
            <w:vAlign w:val="center"/>
          </w:tcPr>
          <w:p w14:paraId="1ABD65B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636" w:type="dxa"/>
            <w:tcBorders>
              <w:top w:val="single" w:sz="6" w:space="0" w:color="000000"/>
              <w:left w:val="single" w:sz="6" w:space="0" w:color="000000"/>
              <w:bottom w:val="single" w:sz="6" w:space="0" w:color="000000"/>
              <w:right w:val="single" w:sz="6" w:space="0" w:color="000000"/>
            </w:tcBorders>
            <w:vAlign w:val="center"/>
          </w:tcPr>
          <w:p w14:paraId="6EF4B82F" w14:textId="77777777" w:rsidR="00D12939" w:rsidRDefault="004F47F5">
            <w:pPr>
              <w:pStyle w:val="affffd"/>
              <w:rPr>
                <w:rFonts w:ascii="Times New Roman" w:eastAsia="宋体" w:hAnsi="Times New Roman" w:cs="Times New Roman"/>
              </w:rPr>
            </w:pPr>
            <w:r>
              <w:rPr>
                <w:rFonts w:ascii="Times New Roman" w:eastAsia="宋体" w:hAnsi="Times New Roman" w:cs="Times New Roman" w:hint="eastAsia"/>
              </w:rPr>
              <w:t>叠螺压滤机</w:t>
            </w:r>
          </w:p>
        </w:tc>
        <w:tc>
          <w:tcPr>
            <w:tcW w:w="342" w:type="dxa"/>
            <w:tcBorders>
              <w:top w:val="single" w:sz="6" w:space="0" w:color="000000"/>
              <w:left w:val="single" w:sz="6" w:space="0" w:color="000000"/>
              <w:bottom w:val="single" w:sz="6" w:space="0" w:color="000000"/>
              <w:right w:val="single" w:sz="6" w:space="0" w:color="000000"/>
            </w:tcBorders>
            <w:vAlign w:val="center"/>
          </w:tcPr>
          <w:p w14:paraId="3D4AC994" w14:textId="77777777" w:rsidR="00D12939" w:rsidRDefault="004F47F5">
            <w:pPr>
              <w:jc w:val="center"/>
            </w:pPr>
            <w:r>
              <w:rPr>
                <w:rFonts w:ascii="Times New Roman" w:eastAsia="宋体" w:hAnsi="Times New Roman" w:cs="Times New Roman"/>
                <w:szCs w:val="21"/>
              </w:rPr>
              <w:t>/</w:t>
            </w:r>
          </w:p>
        </w:tc>
        <w:tc>
          <w:tcPr>
            <w:tcW w:w="1283" w:type="dxa"/>
            <w:tcBorders>
              <w:top w:val="single" w:sz="6" w:space="0" w:color="000000"/>
              <w:left w:val="single" w:sz="6" w:space="0" w:color="000000"/>
              <w:bottom w:val="single" w:sz="6" w:space="0" w:color="000000"/>
              <w:right w:val="single" w:sz="6" w:space="0" w:color="000000"/>
            </w:tcBorders>
            <w:vAlign w:val="center"/>
          </w:tcPr>
          <w:p w14:paraId="7923F8D2" w14:textId="77777777" w:rsidR="00D12939" w:rsidRDefault="004F47F5">
            <w:pPr>
              <w:jc w:val="center"/>
            </w:pPr>
            <w:r>
              <w:rPr>
                <w:rFonts w:ascii="Times New Roman" w:eastAsia="宋体" w:hAnsi="Times New Roman" w:cs="Times New Roman"/>
                <w:szCs w:val="21"/>
              </w:rPr>
              <w:t>75/1</w:t>
            </w:r>
          </w:p>
        </w:tc>
        <w:tc>
          <w:tcPr>
            <w:tcW w:w="904" w:type="dxa"/>
            <w:tcBorders>
              <w:top w:val="single" w:sz="6" w:space="0" w:color="000000"/>
              <w:left w:val="single" w:sz="6" w:space="0" w:color="000000"/>
              <w:bottom w:val="single" w:sz="6" w:space="0" w:color="000000"/>
              <w:right w:val="single" w:sz="6" w:space="0" w:color="000000"/>
            </w:tcBorders>
            <w:vAlign w:val="center"/>
          </w:tcPr>
          <w:p w14:paraId="740D8A1F" w14:textId="77777777" w:rsidR="00D12939" w:rsidRDefault="004F47F5">
            <w:pPr>
              <w:jc w:val="center"/>
            </w:pPr>
            <w:r>
              <w:rPr>
                <w:rFonts w:ascii="Times New Roman" w:eastAsia="宋体" w:hAnsi="Times New Roman" w:cs="Times New Roman"/>
                <w:szCs w:val="21"/>
              </w:rPr>
              <w:t>/</w:t>
            </w:r>
          </w:p>
        </w:tc>
        <w:tc>
          <w:tcPr>
            <w:tcW w:w="1249" w:type="dxa"/>
            <w:tcBorders>
              <w:top w:val="single" w:sz="6" w:space="0" w:color="000000"/>
              <w:left w:val="single" w:sz="6" w:space="0" w:color="000000"/>
              <w:bottom w:val="single" w:sz="6" w:space="0" w:color="000000"/>
              <w:right w:val="single" w:sz="6" w:space="0" w:color="000000"/>
            </w:tcBorders>
            <w:vAlign w:val="center"/>
          </w:tcPr>
          <w:p w14:paraId="4678AE9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厂房隔声、基础减振</w:t>
            </w:r>
          </w:p>
        </w:tc>
        <w:tc>
          <w:tcPr>
            <w:tcW w:w="802" w:type="dxa"/>
            <w:tcBorders>
              <w:top w:val="single" w:sz="6" w:space="0" w:color="000000"/>
              <w:left w:val="single" w:sz="6" w:space="0" w:color="000000"/>
              <w:bottom w:val="single" w:sz="6" w:space="0" w:color="000000"/>
              <w:right w:val="single" w:sz="6" w:space="0" w:color="000000"/>
            </w:tcBorders>
            <w:vAlign w:val="center"/>
          </w:tcPr>
          <w:p w14:paraId="1ECE9CEA" w14:textId="77777777" w:rsidR="00D12939" w:rsidRDefault="004F47F5">
            <w:pPr>
              <w:jc w:val="center"/>
              <w:rPr>
                <w:rFonts w:ascii="Times New Roman" w:hAnsi="Times New Roman" w:cs="Times New Roman"/>
              </w:rPr>
            </w:pPr>
            <w:r>
              <w:rPr>
                <w:rFonts w:ascii="Times New Roman" w:hAnsi="Times New Roman" w:cs="Times New Roman"/>
              </w:rPr>
              <w:t>-212</w:t>
            </w:r>
          </w:p>
        </w:tc>
        <w:tc>
          <w:tcPr>
            <w:tcW w:w="742" w:type="dxa"/>
            <w:tcBorders>
              <w:top w:val="single" w:sz="6" w:space="0" w:color="000000"/>
              <w:left w:val="single" w:sz="6" w:space="0" w:color="000000"/>
              <w:bottom w:val="single" w:sz="6" w:space="0" w:color="000000"/>
              <w:right w:val="single" w:sz="6" w:space="0" w:color="000000"/>
            </w:tcBorders>
            <w:vAlign w:val="center"/>
          </w:tcPr>
          <w:p w14:paraId="7766907A" w14:textId="77777777" w:rsidR="00D12939" w:rsidRDefault="004F47F5">
            <w:pPr>
              <w:jc w:val="center"/>
              <w:rPr>
                <w:rFonts w:ascii="Times New Roman" w:hAnsi="Times New Roman" w:cs="Times New Roman"/>
              </w:rPr>
            </w:pPr>
            <w:r>
              <w:rPr>
                <w:rFonts w:ascii="Times New Roman" w:hAnsi="Times New Roman" w:cs="Times New Roman"/>
              </w:rPr>
              <w:t>334</w:t>
            </w:r>
          </w:p>
        </w:tc>
        <w:tc>
          <w:tcPr>
            <w:tcW w:w="714" w:type="dxa"/>
            <w:tcBorders>
              <w:top w:val="single" w:sz="6" w:space="0" w:color="000000"/>
              <w:left w:val="single" w:sz="6" w:space="0" w:color="000000"/>
              <w:bottom w:val="single" w:sz="6" w:space="0" w:color="000000"/>
              <w:right w:val="single" w:sz="6" w:space="0" w:color="000000"/>
            </w:tcBorders>
            <w:vAlign w:val="center"/>
          </w:tcPr>
          <w:p w14:paraId="34C17F7F" w14:textId="77777777" w:rsidR="00D12939" w:rsidRDefault="004F47F5">
            <w:pPr>
              <w:jc w:val="center"/>
            </w:pPr>
            <w:r>
              <w:rPr>
                <w:rFonts w:ascii="Times New Roman" w:eastAsia="宋体" w:hAnsi="Times New Roman"/>
                <w:szCs w:val="21"/>
              </w:rPr>
              <w:t>1</w:t>
            </w:r>
          </w:p>
        </w:tc>
        <w:tc>
          <w:tcPr>
            <w:tcW w:w="942" w:type="dxa"/>
            <w:tcBorders>
              <w:top w:val="single" w:sz="6" w:space="0" w:color="000000"/>
              <w:left w:val="single" w:sz="6" w:space="0" w:color="000000"/>
              <w:bottom w:val="single" w:sz="6" w:space="0" w:color="000000"/>
              <w:right w:val="single" w:sz="6" w:space="0" w:color="000000"/>
            </w:tcBorders>
            <w:vAlign w:val="center"/>
          </w:tcPr>
          <w:p w14:paraId="7E45099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1</w:t>
            </w:r>
          </w:p>
        </w:tc>
        <w:tc>
          <w:tcPr>
            <w:tcW w:w="1105" w:type="dxa"/>
            <w:tcBorders>
              <w:top w:val="single" w:sz="6" w:space="0" w:color="000000"/>
              <w:left w:val="single" w:sz="6" w:space="0" w:color="000000"/>
              <w:bottom w:val="single" w:sz="6" w:space="0" w:color="000000"/>
              <w:right w:val="single" w:sz="6" w:space="0" w:color="000000"/>
            </w:tcBorders>
            <w:vAlign w:val="center"/>
          </w:tcPr>
          <w:p w14:paraId="398EF47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6</w:t>
            </w:r>
            <w:r>
              <w:rPr>
                <w:rFonts w:ascii="Times New Roman" w:eastAsia="宋体" w:hAnsi="Times New Roman"/>
                <w:sz w:val="21"/>
                <w:szCs w:val="21"/>
              </w:rPr>
              <w:t>9.01</w:t>
            </w:r>
          </w:p>
        </w:tc>
        <w:tc>
          <w:tcPr>
            <w:tcW w:w="703" w:type="dxa"/>
            <w:tcBorders>
              <w:top w:val="single" w:sz="6" w:space="0" w:color="000000"/>
              <w:left w:val="single" w:sz="6" w:space="0" w:color="000000"/>
              <w:bottom w:val="single" w:sz="6" w:space="0" w:color="000000"/>
              <w:right w:val="single" w:sz="6" w:space="0" w:color="000000"/>
            </w:tcBorders>
            <w:vAlign w:val="center"/>
          </w:tcPr>
          <w:p w14:paraId="3C45AC6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全天</w:t>
            </w:r>
          </w:p>
        </w:tc>
        <w:tc>
          <w:tcPr>
            <w:tcW w:w="1020" w:type="dxa"/>
            <w:vMerge/>
            <w:tcBorders>
              <w:left w:val="single" w:sz="6" w:space="0" w:color="000000"/>
              <w:bottom w:val="single" w:sz="6" w:space="0" w:color="000000"/>
              <w:right w:val="single" w:sz="6" w:space="0" w:color="000000"/>
            </w:tcBorders>
            <w:vAlign w:val="center"/>
          </w:tcPr>
          <w:p w14:paraId="57F3110E"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60" w:type="dxa"/>
            <w:tcBorders>
              <w:top w:val="single" w:sz="6" w:space="0" w:color="000000"/>
              <w:left w:val="single" w:sz="6" w:space="0" w:color="000000"/>
              <w:bottom w:val="single" w:sz="6" w:space="0" w:color="000000"/>
              <w:right w:val="single" w:sz="6" w:space="0" w:color="000000"/>
            </w:tcBorders>
            <w:vAlign w:val="center"/>
          </w:tcPr>
          <w:p w14:paraId="22E21DA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8.01</w:t>
            </w:r>
          </w:p>
        </w:tc>
        <w:tc>
          <w:tcPr>
            <w:tcW w:w="794" w:type="dxa"/>
            <w:tcBorders>
              <w:top w:val="single" w:sz="6" w:space="0" w:color="000000"/>
              <w:left w:val="single" w:sz="6" w:space="0" w:color="000000"/>
              <w:bottom w:val="single" w:sz="6" w:space="0" w:color="000000"/>
              <w:right w:val="single" w:sz="12" w:space="0" w:color="000000"/>
            </w:tcBorders>
            <w:vAlign w:val="center"/>
          </w:tcPr>
          <w:p w14:paraId="57995CA6" w14:textId="77777777" w:rsidR="00D12939" w:rsidRDefault="004F47F5">
            <w:pPr>
              <w:jc w:val="center"/>
            </w:pPr>
            <w:r>
              <w:rPr>
                <w:rFonts w:ascii="Times New Roman" w:eastAsia="宋体" w:hAnsi="Times New Roman"/>
                <w:szCs w:val="21"/>
              </w:rPr>
              <w:t>/</w:t>
            </w:r>
          </w:p>
        </w:tc>
      </w:tr>
    </w:tbl>
    <w:p w14:paraId="36EE9D26" w14:textId="77777777" w:rsidR="00D12939" w:rsidRDefault="004F47F5">
      <w:pPr>
        <w:pStyle w:val="affffffffffffd"/>
      </w:pPr>
      <w:r>
        <w:rPr>
          <w:rFonts w:hint="eastAsia"/>
        </w:rPr>
        <w:lastRenderedPageBreak/>
        <w:t>表</w:t>
      </w:r>
      <w:r>
        <w:t xml:space="preserve">7.3-4   </w:t>
      </w:r>
      <w:r>
        <w:rPr>
          <w:rFonts w:hint="eastAsia"/>
        </w:rPr>
        <w:t>厂界噪声预测点坐标</w:t>
      </w:r>
    </w:p>
    <w:tbl>
      <w:tblPr>
        <w:tblW w:w="14825"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1364"/>
        <w:gridCol w:w="1329"/>
        <w:gridCol w:w="1616"/>
        <w:gridCol w:w="1486"/>
        <w:gridCol w:w="1505"/>
        <w:gridCol w:w="1505"/>
        <w:gridCol w:w="1505"/>
        <w:gridCol w:w="1505"/>
        <w:gridCol w:w="1505"/>
        <w:gridCol w:w="1505"/>
      </w:tblGrid>
      <w:tr w:rsidR="00D12939" w14:paraId="401F9574" w14:textId="77777777">
        <w:trPr>
          <w:trHeight w:val="254"/>
          <w:jc w:val="center"/>
        </w:trPr>
        <w:tc>
          <w:tcPr>
            <w:tcW w:w="1364" w:type="dxa"/>
            <w:tcBorders>
              <w:top w:val="single" w:sz="12" w:space="0" w:color="000000"/>
              <w:left w:val="single" w:sz="12" w:space="0" w:color="000000"/>
              <w:bottom w:val="single" w:sz="6" w:space="0" w:color="000000"/>
              <w:right w:val="single" w:sz="6" w:space="0" w:color="000000"/>
            </w:tcBorders>
            <w:vAlign w:val="center"/>
          </w:tcPr>
          <w:p w14:paraId="7B0F7D1D"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预测点</w:t>
            </w:r>
          </w:p>
        </w:tc>
        <w:tc>
          <w:tcPr>
            <w:tcW w:w="1329" w:type="dxa"/>
            <w:tcBorders>
              <w:top w:val="single" w:sz="12" w:space="0" w:color="000000"/>
              <w:left w:val="single" w:sz="6" w:space="0" w:color="000000"/>
              <w:bottom w:val="single" w:sz="6" w:space="0" w:color="000000"/>
              <w:right w:val="single" w:sz="6" w:space="0" w:color="000000"/>
            </w:tcBorders>
            <w:vAlign w:val="center"/>
          </w:tcPr>
          <w:p w14:paraId="1C3FB839"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东厂界</w:t>
            </w:r>
            <w:r>
              <w:rPr>
                <w:rFonts w:ascii="Times New Roman" w:eastAsia="宋体" w:hAnsi="Times New Roman"/>
              </w:rPr>
              <w:t>1</w:t>
            </w:r>
          </w:p>
        </w:tc>
        <w:tc>
          <w:tcPr>
            <w:tcW w:w="1616" w:type="dxa"/>
            <w:tcBorders>
              <w:top w:val="single" w:sz="12" w:space="0" w:color="000000"/>
              <w:left w:val="single" w:sz="6" w:space="0" w:color="000000"/>
              <w:bottom w:val="single" w:sz="6" w:space="0" w:color="000000"/>
              <w:right w:val="single" w:sz="6" w:space="0" w:color="000000"/>
            </w:tcBorders>
            <w:vAlign w:val="center"/>
          </w:tcPr>
          <w:p w14:paraId="538B31C1"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东厂界</w:t>
            </w:r>
            <w:r>
              <w:rPr>
                <w:rFonts w:ascii="Times New Roman" w:eastAsia="宋体" w:hAnsi="Times New Roman"/>
              </w:rPr>
              <w:t>2</w:t>
            </w:r>
          </w:p>
        </w:tc>
        <w:tc>
          <w:tcPr>
            <w:tcW w:w="1486" w:type="dxa"/>
            <w:tcBorders>
              <w:top w:val="single" w:sz="12" w:space="0" w:color="000000"/>
              <w:left w:val="single" w:sz="6" w:space="0" w:color="000000"/>
              <w:bottom w:val="single" w:sz="6" w:space="0" w:color="000000"/>
              <w:right w:val="single" w:sz="6" w:space="0" w:color="000000"/>
            </w:tcBorders>
            <w:vAlign w:val="center"/>
          </w:tcPr>
          <w:p w14:paraId="1E00AB28"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南厂界</w:t>
            </w:r>
            <w:r>
              <w:rPr>
                <w:rFonts w:ascii="Times New Roman" w:eastAsia="宋体" w:hAnsi="Times New Roman"/>
              </w:rPr>
              <w:t>1</w:t>
            </w:r>
          </w:p>
        </w:tc>
        <w:tc>
          <w:tcPr>
            <w:tcW w:w="1505" w:type="dxa"/>
            <w:tcBorders>
              <w:top w:val="single" w:sz="12" w:space="0" w:color="000000"/>
              <w:left w:val="single" w:sz="6" w:space="0" w:color="000000"/>
              <w:bottom w:val="single" w:sz="6" w:space="0" w:color="000000"/>
              <w:right w:val="single" w:sz="6" w:space="0" w:color="000000"/>
            </w:tcBorders>
            <w:vAlign w:val="center"/>
          </w:tcPr>
          <w:p w14:paraId="1AB2E28B"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南厂界</w:t>
            </w:r>
            <w:r>
              <w:rPr>
                <w:rFonts w:ascii="Times New Roman" w:eastAsia="宋体" w:hAnsi="Times New Roman"/>
              </w:rPr>
              <w:t>2</w:t>
            </w:r>
          </w:p>
        </w:tc>
        <w:tc>
          <w:tcPr>
            <w:tcW w:w="1505" w:type="dxa"/>
            <w:tcBorders>
              <w:top w:val="single" w:sz="12" w:space="0" w:color="000000"/>
              <w:left w:val="single" w:sz="6" w:space="0" w:color="000000"/>
              <w:bottom w:val="single" w:sz="6" w:space="0" w:color="000000"/>
              <w:right w:val="single" w:sz="6" w:space="0" w:color="000000"/>
            </w:tcBorders>
            <w:vAlign w:val="center"/>
          </w:tcPr>
          <w:p w14:paraId="5BA9AD23"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西厂界</w:t>
            </w:r>
            <w:r>
              <w:rPr>
                <w:rFonts w:ascii="Times New Roman" w:eastAsia="宋体" w:hAnsi="Times New Roman"/>
              </w:rPr>
              <w:t>1</w:t>
            </w:r>
          </w:p>
        </w:tc>
        <w:tc>
          <w:tcPr>
            <w:tcW w:w="1505" w:type="dxa"/>
            <w:tcBorders>
              <w:top w:val="single" w:sz="12" w:space="0" w:color="000000"/>
              <w:left w:val="single" w:sz="6" w:space="0" w:color="000000"/>
              <w:bottom w:val="single" w:sz="6" w:space="0" w:color="000000"/>
              <w:right w:val="single" w:sz="6" w:space="0" w:color="000000"/>
            </w:tcBorders>
            <w:vAlign w:val="center"/>
          </w:tcPr>
          <w:p w14:paraId="1763EBDD"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西厂界</w:t>
            </w:r>
            <w:r>
              <w:rPr>
                <w:rFonts w:ascii="Times New Roman" w:eastAsia="宋体" w:hAnsi="Times New Roman"/>
              </w:rPr>
              <w:t>2</w:t>
            </w:r>
          </w:p>
        </w:tc>
        <w:tc>
          <w:tcPr>
            <w:tcW w:w="1505" w:type="dxa"/>
            <w:tcBorders>
              <w:top w:val="single" w:sz="12" w:space="0" w:color="000000"/>
              <w:left w:val="single" w:sz="6" w:space="0" w:color="000000"/>
              <w:bottom w:val="single" w:sz="6" w:space="0" w:color="000000"/>
              <w:right w:val="single" w:sz="6" w:space="0" w:color="000000"/>
            </w:tcBorders>
            <w:vAlign w:val="center"/>
          </w:tcPr>
          <w:p w14:paraId="6F5C3015"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西厂界</w:t>
            </w:r>
            <w:r>
              <w:rPr>
                <w:rFonts w:ascii="Times New Roman" w:eastAsia="宋体" w:hAnsi="Times New Roman"/>
              </w:rPr>
              <w:t>3</w:t>
            </w:r>
          </w:p>
        </w:tc>
        <w:tc>
          <w:tcPr>
            <w:tcW w:w="1505" w:type="dxa"/>
            <w:tcBorders>
              <w:top w:val="single" w:sz="12" w:space="0" w:color="000000"/>
              <w:left w:val="single" w:sz="6" w:space="0" w:color="000000"/>
              <w:bottom w:val="single" w:sz="6" w:space="0" w:color="000000"/>
              <w:right w:val="single" w:sz="12" w:space="0" w:color="000000"/>
            </w:tcBorders>
            <w:vAlign w:val="center"/>
          </w:tcPr>
          <w:p w14:paraId="3EAD9BAD"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北厂界</w:t>
            </w:r>
            <w:r>
              <w:rPr>
                <w:rFonts w:ascii="Times New Roman" w:eastAsia="宋体" w:hAnsi="Times New Roman"/>
              </w:rPr>
              <w:t>1</w:t>
            </w:r>
          </w:p>
        </w:tc>
        <w:tc>
          <w:tcPr>
            <w:tcW w:w="1505" w:type="dxa"/>
            <w:tcBorders>
              <w:top w:val="single" w:sz="12" w:space="0" w:color="000000"/>
              <w:left w:val="single" w:sz="6" w:space="0" w:color="000000"/>
              <w:bottom w:val="single" w:sz="6" w:space="0" w:color="000000"/>
              <w:right w:val="single" w:sz="12" w:space="0" w:color="000000"/>
            </w:tcBorders>
          </w:tcPr>
          <w:p w14:paraId="253A140A"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北厂界</w:t>
            </w:r>
            <w:r>
              <w:rPr>
                <w:rFonts w:ascii="Times New Roman" w:eastAsia="宋体" w:hAnsi="Times New Roman"/>
              </w:rPr>
              <w:t>2</w:t>
            </w:r>
          </w:p>
        </w:tc>
      </w:tr>
      <w:tr w:rsidR="00D12939" w14:paraId="13ACF2A2" w14:textId="77777777">
        <w:trPr>
          <w:trHeight w:val="60"/>
          <w:jc w:val="center"/>
        </w:trPr>
        <w:tc>
          <w:tcPr>
            <w:tcW w:w="1364" w:type="dxa"/>
            <w:tcBorders>
              <w:top w:val="single" w:sz="6" w:space="0" w:color="000000"/>
              <w:left w:val="single" w:sz="12" w:space="0" w:color="000000"/>
              <w:bottom w:val="single" w:sz="6" w:space="0" w:color="000000"/>
              <w:right w:val="single" w:sz="6" w:space="0" w:color="000000"/>
            </w:tcBorders>
            <w:vAlign w:val="center"/>
          </w:tcPr>
          <w:p w14:paraId="16B56A78"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X</w:t>
            </w:r>
            <w:r>
              <w:rPr>
                <w:rFonts w:ascii="Times New Roman" w:eastAsia="宋体" w:hAnsi="Times New Roman"/>
              </w:rPr>
              <w:t>坐标</w:t>
            </w:r>
          </w:p>
        </w:tc>
        <w:tc>
          <w:tcPr>
            <w:tcW w:w="1329" w:type="dxa"/>
            <w:tcBorders>
              <w:top w:val="single" w:sz="6" w:space="0" w:color="000000"/>
              <w:left w:val="single" w:sz="6" w:space="0" w:color="000000"/>
              <w:bottom w:val="single" w:sz="6" w:space="0" w:color="000000"/>
              <w:right w:val="single" w:sz="6" w:space="0" w:color="000000"/>
            </w:tcBorders>
            <w:vAlign w:val="center"/>
          </w:tcPr>
          <w:p w14:paraId="48C24394"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-454</w:t>
            </w:r>
          </w:p>
        </w:tc>
        <w:tc>
          <w:tcPr>
            <w:tcW w:w="1616" w:type="dxa"/>
            <w:tcBorders>
              <w:top w:val="single" w:sz="6" w:space="0" w:color="000000"/>
              <w:left w:val="single" w:sz="6" w:space="0" w:color="000000"/>
              <w:bottom w:val="single" w:sz="6" w:space="0" w:color="000000"/>
              <w:right w:val="single" w:sz="6" w:space="0" w:color="000000"/>
            </w:tcBorders>
            <w:vAlign w:val="center"/>
          </w:tcPr>
          <w:p w14:paraId="5FA75144"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-162</w:t>
            </w:r>
          </w:p>
        </w:tc>
        <w:tc>
          <w:tcPr>
            <w:tcW w:w="1486" w:type="dxa"/>
            <w:tcBorders>
              <w:top w:val="single" w:sz="6" w:space="0" w:color="000000"/>
              <w:left w:val="single" w:sz="6" w:space="0" w:color="000000"/>
              <w:bottom w:val="single" w:sz="6" w:space="0" w:color="000000"/>
              <w:right w:val="single" w:sz="6" w:space="0" w:color="000000"/>
            </w:tcBorders>
            <w:vAlign w:val="center"/>
          </w:tcPr>
          <w:p w14:paraId="30E58900"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-48</w:t>
            </w:r>
          </w:p>
        </w:tc>
        <w:tc>
          <w:tcPr>
            <w:tcW w:w="1505" w:type="dxa"/>
            <w:tcBorders>
              <w:top w:val="single" w:sz="6" w:space="0" w:color="000000"/>
              <w:left w:val="single" w:sz="6" w:space="0" w:color="000000"/>
              <w:bottom w:val="single" w:sz="6" w:space="0" w:color="000000"/>
              <w:right w:val="single" w:sz="6" w:space="0" w:color="000000"/>
            </w:tcBorders>
            <w:vAlign w:val="center"/>
          </w:tcPr>
          <w:p w14:paraId="70C5A308"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-61</w:t>
            </w:r>
          </w:p>
        </w:tc>
        <w:tc>
          <w:tcPr>
            <w:tcW w:w="1505" w:type="dxa"/>
            <w:tcBorders>
              <w:top w:val="single" w:sz="6" w:space="0" w:color="000000"/>
              <w:left w:val="single" w:sz="6" w:space="0" w:color="000000"/>
              <w:bottom w:val="single" w:sz="6" w:space="0" w:color="000000"/>
              <w:right w:val="single" w:sz="6" w:space="0" w:color="000000"/>
            </w:tcBorders>
            <w:vAlign w:val="center"/>
          </w:tcPr>
          <w:p w14:paraId="690C6888"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-257</w:t>
            </w:r>
          </w:p>
        </w:tc>
        <w:tc>
          <w:tcPr>
            <w:tcW w:w="1505" w:type="dxa"/>
            <w:tcBorders>
              <w:top w:val="single" w:sz="6" w:space="0" w:color="000000"/>
              <w:left w:val="single" w:sz="6" w:space="0" w:color="000000"/>
              <w:bottom w:val="single" w:sz="6" w:space="0" w:color="000000"/>
              <w:right w:val="single" w:sz="6" w:space="0" w:color="000000"/>
            </w:tcBorders>
            <w:vAlign w:val="center"/>
          </w:tcPr>
          <w:p w14:paraId="1C1328B6"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-496</w:t>
            </w:r>
          </w:p>
        </w:tc>
        <w:tc>
          <w:tcPr>
            <w:tcW w:w="1505" w:type="dxa"/>
            <w:tcBorders>
              <w:top w:val="single" w:sz="6" w:space="0" w:color="000000"/>
              <w:left w:val="single" w:sz="6" w:space="0" w:color="000000"/>
              <w:bottom w:val="single" w:sz="6" w:space="0" w:color="000000"/>
              <w:right w:val="single" w:sz="6" w:space="0" w:color="000000"/>
            </w:tcBorders>
            <w:vAlign w:val="center"/>
          </w:tcPr>
          <w:p w14:paraId="260D98E6"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-576</w:t>
            </w:r>
          </w:p>
        </w:tc>
        <w:tc>
          <w:tcPr>
            <w:tcW w:w="1505" w:type="dxa"/>
            <w:tcBorders>
              <w:top w:val="single" w:sz="6" w:space="0" w:color="000000"/>
              <w:left w:val="single" w:sz="6" w:space="0" w:color="000000"/>
              <w:bottom w:val="single" w:sz="6" w:space="0" w:color="000000"/>
              <w:right w:val="single" w:sz="12" w:space="0" w:color="000000"/>
            </w:tcBorders>
            <w:vAlign w:val="center"/>
          </w:tcPr>
          <w:p w14:paraId="72AF6DAB"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-570</w:t>
            </w:r>
          </w:p>
        </w:tc>
        <w:tc>
          <w:tcPr>
            <w:tcW w:w="1505" w:type="dxa"/>
            <w:tcBorders>
              <w:top w:val="single" w:sz="6" w:space="0" w:color="000000"/>
              <w:left w:val="single" w:sz="6" w:space="0" w:color="000000"/>
              <w:bottom w:val="single" w:sz="6" w:space="0" w:color="000000"/>
              <w:right w:val="single" w:sz="12" w:space="0" w:color="000000"/>
            </w:tcBorders>
          </w:tcPr>
          <w:p w14:paraId="4F0F2937"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-619</w:t>
            </w:r>
          </w:p>
        </w:tc>
      </w:tr>
      <w:tr w:rsidR="00D12939" w14:paraId="661C69A9" w14:textId="77777777">
        <w:trPr>
          <w:trHeight w:val="75"/>
          <w:jc w:val="center"/>
        </w:trPr>
        <w:tc>
          <w:tcPr>
            <w:tcW w:w="1364" w:type="dxa"/>
            <w:tcBorders>
              <w:top w:val="single" w:sz="6" w:space="0" w:color="000000"/>
              <w:left w:val="single" w:sz="12" w:space="0" w:color="000000"/>
              <w:bottom w:val="single" w:sz="12" w:space="0" w:color="000000"/>
              <w:right w:val="single" w:sz="6" w:space="0" w:color="000000"/>
            </w:tcBorders>
            <w:vAlign w:val="center"/>
          </w:tcPr>
          <w:p w14:paraId="6CE4E78C"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Y</w:t>
            </w:r>
            <w:r>
              <w:rPr>
                <w:rFonts w:ascii="Times New Roman" w:eastAsia="宋体" w:hAnsi="Times New Roman"/>
              </w:rPr>
              <w:t>坐标</w:t>
            </w:r>
          </w:p>
        </w:tc>
        <w:tc>
          <w:tcPr>
            <w:tcW w:w="1329" w:type="dxa"/>
            <w:tcBorders>
              <w:top w:val="single" w:sz="6" w:space="0" w:color="000000"/>
              <w:left w:val="single" w:sz="6" w:space="0" w:color="000000"/>
              <w:bottom w:val="single" w:sz="12" w:space="0" w:color="000000"/>
              <w:right w:val="single" w:sz="6" w:space="0" w:color="000000"/>
            </w:tcBorders>
            <w:vAlign w:val="center"/>
          </w:tcPr>
          <w:p w14:paraId="2493D6A1"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590</w:t>
            </w:r>
          </w:p>
        </w:tc>
        <w:tc>
          <w:tcPr>
            <w:tcW w:w="1616" w:type="dxa"/>
            <w:tcBorders>
              <w:top w:val="single" w:sz="6" w:space="0" w:color="000000"/>
              <w:left w:val="single" w:sz="6" w:space="0" w:color="000000"/>
              <w:bottom w:val="single" w:sz="12" w:space="0" w:color="000000"/>
              <w:right w:val="single" w:sz="6" w:space="0" w:color="000000"/>
            </w:tcBorders>
            <w:vAlign w:val="center"/>
          </w:tcPr>
          <w:p w14:paraId="569DA033"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420</w:t>
            </w:r>
          </w:p>
        </w:tc>
        <w:tc>
          <w:tcPr>
            <w:tcW w:w="1486" w:type="dxa"/>
            <w:tcBorders>
              <w:top w:val="single" w:sz="6" w:space="0" w:color="000000"/>
              <w:left w:val="single" w:sz="6" w:space="0" w:color="000000"/>
              <w:bottom w:val="single" w:sz="12" w:space="0" w:color="000000"/>
              <w:right w:val="single" w:sz="6" w:space="0" w:color="000000"/>
            </w:tcBorders>
            <w:vAlign w:val="center"/>
          </w:tcPr>
          <w:p w14:paraId="7817A9D4"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243</w:t>
            </w:r>
          </w:p>
        </w:tc>
        <w:tc>
          <w:tcPr>
            <w:tcW w:w="1505" w:type="dxa"/>
            <w:tcBorders>
              <w:top w:val="single" w:sz="6" w:space="0" w:color="000000"/>
              <w:left w:val="single" w:sz="6" w:space="0" w:color="000000"/>
              <w:bottom w:val="single" w:sz="12" w:space="0" w:color="000000"/>
              <w:right w:val="single" w:sz="6" w:space="0" w:color="000000"/>
            </w:tcBorders>
            <w:vAlign w:val="center"/>
          </w:tcPr>
          <w:p w14:paraId="3EDB1A09"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102</w:t>
            </w:r>
          </w:p>
        </w:tc>
        <w:tc>
          <w:tcPr>
            <w:tcW w:w="1505" w:type="dxa"/>
            <w:tcBorders>
              <w:top w:val="single" w:sz="6" w:space="0" w:color="000000"/>
              <w:left w:val="single" w:sz="6" w:space="0" w:color="000000"/>
              <w:bottom w:val="single" w:sz="12" w:space="0" w:color="000000"/>
              <w:right w:val="single" w:sz="6" w:space="0" w:color="000000"/>
            </w:tcBorders>
            <w:vAlign w:val="center"/>
          </w:tcPr>
          <w:p w14:paraId="76829406"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232</w:t>
            </w:r>
          </w:p>
        </w:tc>
        <w:tc>
          <w:tcPr>
            <w:tcW w:w="1505" w:type="dxa"/>
            <w:tcBorders>
              <w:top w:val="single" w:sz="6" w:space="0" w:color="000000"/>
              <w:left w:val="single" w:sz="6" w:space="0" w:color="000000"/>
              <w:bottom w:val="single" w:sz="12" w:space="0" w:color="000000"/>
              <w:right w:val="single" w:sz="6" w:space="0" w:color="000000"/>
            </w:tcBorders>
            <w:vAlign w:val="center"/>
          </w:tcPr>
          <w:p w14:paraId="0A759255"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96</w:t>
            </w:r>
          </w:p>
        </w:tc>
        <w:tc>
          <w:tcPr>
            <w:tcW w:w="1505" w:type="dxa"/>
            <w:tcBorders>
              <w:top w:val="single" w:sz="6" w:space="0" w:color="000000"/>
              <w:left w:val="single" w:sz="6" w:space="0" w:color="000000"/>
              <w:bottom w:val="single" w:sz="12" w:space="0" w:color="000000"/>
              <w:right w:val="single" w:sz="6" w:space="0" w:color="000000"/>
            </w:tcBorders>
            <w:vAlign w:val="center"/>
          </w:tcPr>
          <w:p w14:paraId="5B7B8CEF"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313</w:t>
            </w:r>
          </w:p>
        </w:tc>
        <w:tc>
          <w:tcPr>
            <w:tcW w:w="1505" w:type="dxa"/>
            <w:tcBorders>
              <w:top w:val="single" w:sz="6" w:space="0" w:color="000000"/>
              <w:left w:val="single" w:sz="6" w:space="0" w:color="000000"/>
              <w:bottom w:val="single" w:sz="12" w:space="0" w:color="000000"/>
              <w:right w:val="single" w:sz="12" w:space="0" w:color="000000"/>
            </w:tcBorders>
            <w:vAlign w:val="center"/>
          </w:tcPr>
          <w:p w14:paraId="2DDAA6A9"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479</w:t>
            </w:r>
          </w:p>
        </w:tc>
        <w:tc>
          <w:tcPr>
            <w:tcW w:w="1505" w:type="dxa"/>
            <w:tcBorders>
              <w:top w:val="single" w:sz="6" w:space="0" w:color="000000"/>
              <w:left w:val="single" w:sz="6" w:space="0" w:color="000000"/>
              <w:bottom w:val="single" w:sz="12" w:space="0" w:color="000000"/>
              <w:right w:val="single" w:sz="12" w:space="0" w:color="000000"/>
            </w:tcBorders>
          </w:tcPr>
          <w:p w14:paraId="38386235" w14:textId="77777777" w:rsidR="00D12939" w:rsidRDefault="004F47F5">
            <w:pPr>
              <w:pStyle w:val="afffff8"/>
              <w:spacing w:before="0" w:after="0" w:line="240" w:lineRule="auto"/>
              <w:ind w:firstLineChars="0" w:firstLine="0"/>
              <w:jc w:val="center"/>
              <w:rPr>
                <w:rFonts w:ascii="Times New Roman" w:eastAsia="宋体" w:hAnsi="Times New Roman"/>
              </w:rPr>
            </w:pPr>
            <w:r>
              <w:rPr>
                <w:rFonts w:ascii="Times New Roman" w:eastAsia="宋体" w:hAnsi="Times New Roman"/>
              </w:rPr>
              <w:t>635</w:t>
            </w:r>
          </w:p>
        </w:tc>
      </w:tr>
    </w:tbl>
    <w:p w14:paraId="6B0E7380" w14:textId="77777777" w:rsidR="00D12939" w:rsidRDefault="00D12939">
      <w:pPr>
        <w:ind w:firstLine="482"/>
        <w:rPr>
          <w:b/>
          <w:bCs/>
        </w:rPr>
      </w:pPr>
    </w:p>
    <w:p w14:paraId="2471E00D" w14:textId="77777777" w:rsidR="00D12939" w:rsidRDefault="00D12939">
      <w:pPr>
        <w:ind w:firstLine="482"/>
        <w:rPr>
          <w:b/>
          <w:bCs/>
        </w:rPr>
      </w:pPr>
    </w:p>
    <w:p w14:paraId="3FAD1196" w14:textId="77777777" w:rsidR="00D12939" w:rsidRDefault="00D12939">
      <w:pPr>
        <w:ind w:firstLine="482"/>
        <w:rPr>
          <w:b/>
          <w:bCs/>
        </w:rPr>
        <w:sectPr w:rsidR="00D12939">
          <w:pgSz w:w="16838" w:h="11906" w:orient="landscape"/>
          <w:pgMar w:top="1800" w:right="1440" w:bottom="1800" w:left="1440" w:header="851" w:footer="992" w:gutter="0"/>
          <w:cols w:space="720"/>
          <w:docGrid w:type="lines" w:linePitch="312"/>
        </w:sectPr>
      </w:pPr>
    </w:p>
    <w:p w14:paraId="6D88908A"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96" w:name="_Toc121411775"/>
      <w:bookmarkStart w:id="497" w:name="_Toc57798936"/>
      <w:r>
        <w:rPr>
          <w:rFonts w:ascii="Times New Roman" w:eastAsia="黑体" w:hAnsi="Times New Roman" w:cs="Times New Roman"/>
          <w:b w:val="0"/>
          <w:sz w:val="24"/>
        </w:rPr>
        <w:lastRenderedPageBreak/>
        <w:t xml:space="preserve">7.3.3 </w:t>
      </w:r>
      <w:r>
        <w:rPr>
          <w:rFonts w:ascii="Times New Roman" w:eastAsia="黑体" w:hAnsi="Times New Roman" w:cs="Times New Roman" w:hint="eastAsia"/>
          <w:b w:val="0"/>
          <w:sz w:val="24"/>
        </w:rPr>
        <w:t>预测结果及评价</w:t>
      </w:r>
      <w:bookmarkEnd w:id="496"/>
      <w:bookmarkEnd w:id="497"/>
    </w:p>
    <w:p w14:paraId="2B1DF14D"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hint="eastAsia"/>
          <w:sz w:val="24"/>
        </w:rPr>
        <w:t>移动噪声源预测结果见表</w:t>
      </w:r>
      <w:r>
        <w:rPr>
          <w:rFonts w:ascii="Times New Roman" w:eastAsia="宋体" w:hAnsi="Times New Roman" w:cs="Times New Roman"/>
          <w:sz w:val="24"/>
        </w:rPr>
        <w:t>7.3-5</w:t>
      </w:r>
      <w:r>
        <w:rPr>
          <w:rFonts w:ascii="Times New Roman" w:eastAsia="宋体" w:hAnsi="Times New Roman" w:cs="Times New Roman" w:hint="eastAsia"/>
          <w:sz w:val="24"/>
        </w:rPr>
        <w:t>，固定噪声源对</w:t>
      </w:r>
      <w:r>
        <w:rPr>
          <w:rFonts w:ascii="Times New Roman" w:eastAsia="宋体" w:hAnsi="Times New Roman" w:cs="Times New Roman"/>
          <w:sz w:val="24"/>
        </w:rPr>
        <w:t>厂界声环境影响预测结果见表</w:t>
      </w:r>
      <w:r>
        <w:rPr>
          <w:rFonts w:ascii="Times New Roman" w:eastAsia="宋体" w:hAnsi="Times New Roman" w:cs="Times New Roman"/>
          <w:sz w:val="24"/>
        </w:rPr>
        <w:t>7.3-6</w:t>
      </w:r>
      <w:r>
        <w:rPr>
          <w:rFonts w:ascii="Times New Roman" w:eastAsia="宋体" w:hAnsi="Times New Roman" w:cs="Times New Roman" w:hint="eastAsia"/>
          <w:sz w:val="24"/>
        </w:rPr>
        <w:t>。</w:t>
      </w:r>
    </w:p>
    <w:p w14:paraId="36BED17E" w14:textId="77777777" w:rsidR="00D12939" w:rsidRDefault="004F47F5">
      <w:pPr>
        <w:pStyle w:val="affffffffffffd"/>
        <w:spacing w:line="360" w:lineRule="auto"/>
        <w:jc w:val="right"/>
        <w:outlineLvl w:val="9"/>
      </w:pPr>
      <w:r>
        <w:t>表</w:t>
      </w:r>
      <w:r>
        <w:t xml:space="preserve">7.3-5  </w:t>
      </w:r>
      <w:r>
        <w:t>施工设备噪声随距离衰减预测结果一览表</w:t>
      </w:r>
      <w:r>
        <w:rPr>
          <w:rFonts w:hint="eastAsia"/>
        </w:rPr>
        <w:t xml:space="preserve"> </w:t>
      </w:r>
      <w:r>
        <w:t xml:space="preserve">  </w:t>
      </w:r>
      <w:r>
        <w:t>单位：</w:t>
      </w:r>
      <w:r>
        <w:t>dB(A)</w:t>
      </w:r>
    </w:p>
    <w:tbl>
      <w:tblPr>
        <w:tblStyle w:val="afff8"/>
        <w:tblW w:w="9339" w:type="dxa"/>
        <w:jc w:val="center"/>
        <w:tblLook w:val="04A0" w:firstRow="1" w:lastRow="0" w:firstColumn="1" w:lastColumn="0" w:noHBand="0" w:noVBand="1"/>
      </w:tblPr>
      <w:tblGrid>
        <w:gridCol w:w="700"/>
        <w:gridCol w:w="1191"/>
        <w:gridCol w:w="1144"/>
        <w:gridCol w:w="999"/>
        <w:gridCol w:w="885"/>
        <w:gridCol w:w="884"/>
        <w:gridCol w:w="884"/>
        <w:gridCol w:w="884"/>
        <w:gridCol w:w="884"/>
        <w:gridCol w:w="884"/>
      </w:tblGrid>
      <w:tr w:rsidR="00D12939" w14:paraId="68DF7FA5" w14:textId="77777777">
        <w:trPr>
          <w:trHeight w:val="215"/>
          <w:jc w:val="center"/>
        </w:trPr>
        <w:tc>
          <w:tcPr>
            <w:tcW w:w="700" w:type="dxa"/>
            <w:vMerge w:val="restart"/>
            <w:vAlign w:val="center"/>
          </w:tcPr>
          <w:p w14:paraId="5177A34B" w14:textId="77777777" w:rsidR="00D12939" w:rsidRDefault="004F47F5">
            <w:pPr>
              <w:pStyle w:val="affffffffffffd"/>
              <w:outlineLvl w:val="9"/>
              <w:rPr>
                <w:rFonts w:eastAsia="宋体"/>
                <w:kern w:val="0"/>
                <w:sz w:val="21"/>
                <w:szCs w:val="21"/>
              </w:rPr>
            </w:pPr>
            <w:r>
              <w:rPr>
                <w:rFonts w:eastAsia="宋体"/>
                <w:kern w:val="0"/>
                <w:sz w:val="21"/>
                <w:szCs w:val="21"/>
              </w:rPr>
              <w:t>序号</w:t>
            </w:r>
          </w:p>
        </w:tc>
        <w:tc>
          <w:tcPr>
            <w:tcW w:w="1191" w:type="dxa"/>
            <w:vMerge w:val="restart"/>
            <w:vAlign w:val="center"/>
          </w:tcPr>
          <w:p w14:paraId="75C049E3" w14:textId="77777777" w:rsidR="00D12939" w:rsidRDefault="004F47F5">
            <w:pPr>
              <w:pStyle w:val="affffffffffffd"/>
              <w:outlineLvl w:val="9"/>
              <w:rPr>
                <w:rFonts w:eastAsia="宋体"/>
                <w:kern w:val="0"/>
                <w:sz w:val="21"/>
                <w:szCs w:val="21"/>
              </w:rPr>
            </w:pPr>
            <w:r>
              <w:rPr>
                <w:rFonts w:eastAsia="宋体"/>
                <w:kern w:val="0"/>
                <w:sz w:val="21"/>
                <w:szCs w:val="21"/>
              </w:rPr>
              <w:t>机械名称</w:t>
            </w:r>
          </w:p>
        </w:tc>
        <w:tc>
          <w:tcPr>
            <w:tcW w:w="1144" w:type="dxa"/>
            <w:vMerge w:val="restart"/>
            <w:vAlign w:val="center"/>
          </w:tcPr>
          <w:p w14:paraId="6CDF7AE7" w14:textId="77777777" w:rsidR="00D12939" w:rsidRDefault="004F47F5">
            <w:pPr>
              <w:pStyle w:val="affffffffffffd"/>
              <w:outlineLvl w:val="9"/>
              <w:rPr>
                <w:rFonts w:eastAsia="宋体"/>
                <w:kern w:val="0"/>
                <w:sz w:val="21"/>
                <w:szCs w:val="21"/>
              </w:rPr>
            </w:pPr>
            <w:r>
              <w:rPr>
                <w:rFonts w:eastAsia="宋体" w:hint="eastAsia"/>
                <w:kern w:val="0"/>
                <w:sz w:val="21"/>
                <w:szCs w:val="21"/>
              </w:rPr>
              <w:t>测点距机械距离（</w:t>
            </w:r>
            <w:r>
              <w:rPr>
                <w:rFonts w:eastAsia="宋体" w:hint="eastAsia"/>
                <w:kern w:val="0"/>
                <w:sz w:val="21"/>
                <w:szCs w:val="21"/>
              </w:rPr>
              <w:t>m</w:t>
            </w:r>
            <w:r>
              <w:rPr>
                <w:rFonts w:eastAsia="宋体" w:hint="eastAsia"/>
                <w:kern w:val="0"/>
                <w:sz w:val="21"/>
                <w:szCs w:val="21"/>
              </w:rPr>
              <w:t>）</w:t>
            </w:r>
          </w:p>
        </w:tc>
        <w:tc>
          <w:tcPr>
            <w:tcW w:w="999" w:type="dxa"/>
            <w:vMerge w:val="restart"/>
            <w:vAlign w:val="center"/>
          </w:tcPr>
          <w:p w14:paraId="547AF06B" w14:textId="77777777" w:rsidR="00D12939" w:rsidRDefault="004F47F5">
            <w:pPr>
              <w:pStyle w:val="affffffffffffd"/>
              <w:outlineLvl w:val="9"/>
              <w:rPr>
                <w:rFonts w:eastAsia="宋体"/>
                <w:kern w:val="0"/>
                <w:sz w:val="21"/>
                <w:szCs w:val="21"/>
              </w:rPr>
            </w:pPr>
            <w:r>
              <w:rPr>
                <w:rFonts w:eastAsia="宋体" w:hint="eastAsia"/>
                <w:kern w:val="0"/>
                <w:sz w:val="21"/>
                <w:szCs w:val="21"/>
              </w:rPr>
              <w:t>最大声级</w:t>
            </w:r>
          </w:p>
        </w:tc>
        <w:tc>
          <w:tcPr>
            <w:tcW w:w="5305" w:type="dxa"/>
            <w:gridSpan w:val="6"/>
            <w:vAlign w:val="center"/>
          </w:tcPr>
          <w:p w14:paraId="0B66267F" w14:textId="77777777" w:rsidR="00D12939" w:rsidRDefault="004F47F5">
            <w:pPr>
              <w:pStyle w:val="affffffffffffd"/>
              <w:outlineLvl w:val="9"/>
              <w:rPr>
                <w:rFonts w:eastAsia="宋体"/>
                <w:kern w:val="0"/>
                <w:sz w:val="21"/>
                <w:szCs w:val="21"/>
              </w:rPr>
            </w:pPr>
            <w:r>
              <w:rPr>
                <w:rFonts w:eastAsia="宋体" w:hint="eastAsia"/>
                <w:kern w:val="0"/>
                <w:sz w:val="21"/>
                <w:szCs w:val="21"/>
              </w:rPr>
              <w:t>距机械不同距离的噪声级值</w:t>
            </w:r>
          </w:p>
        </w:tc>
      </w:tr>
      <w:tr w:rsidR="00D12939" w14:paraId="0CDA51C1" w14:textId="77777777">
        <w:trPr>
          <w:trHeight w:val="226"/>
          <w:jc w:val="center"/>
        </w:trPr>
        <w:tc>
          <w:tcPr>
            <w:tcW w:w="700" w:type="dxa"/>
            <w:vMerge/>
            <w:vAlign w:val="center"/>
          </w:tcPr>
          <w:p w14:paraId="6130CEE8" w14:textId="77777777" w:rsidR="00D12939" w:rsidRDefault="00D12939">
            <w:pPr>
              <w:pStyle w:val="affffffffffffd"/>
              <w:outlineLvl w:val="9"/>
              <w:rPr>
                <w:rFonts w:eastAsia="宋体"/>
                <w:kern w:val="0"/>
                <w:sz w:val="21"/>
                <w:szCs w:val="21"/>
              </w:rPr>
            </w:pPr>
          </w:p>
        </w:tc>
        <w:tc>
          <w:tcPr>
            <w:tcW w:w="1191" w:type="dxa"/>
            <w:vMerge/>
            <w:vAlign w:val="center"/>
          </w:tcPr>
          <w:p w14:paraId="287E7EB0" w14:textId="77777777" w:rsidR="00D12939" w:rsidRDefault="00D12939">
            <w:pPr>
              <w:pStyle w:val="affffffffffffd"/>
              <w:outlineLvl w:val="9"/>
              <w:rPr>
                <w:rFonts w:eastAsia="宋体"/>
                <w:kern w:val="0"/>
                <w:sz w:val="21"/>
                <w:szCs w:val="21"/>
              </w:rPr>
            </w:pPr>
          </w:p>
        </w:tc>
        <w:tc>
          <w:tcPr>
            <w:tcW w:w="1144" w:type="dxa"/>
            <w:vMerge/>
            <w:vAlign w:val="center"/>
          </w:tcPr>
          <w:p w14:paraId="17CEE8B4" w14:textId="77777777" w:rsidR="00D12939" w:rsidRDefault="00D12939">
            <w:pPr>
              <w:pStyle w:val="affffffffffffd"/>
              <w:outlineLvl w:val="9"/>
              <w:rPr>
                <w:rFonts w:eastAsia="宋体"/>
                <w:kern w:val="0"/>
                <w:sz w:val="21"/>
                <w:szCs w:val="21"/>
              </w:rPr>
            </w:pPr>
          </w:p>
        </w:tc>
        <w:tc>
          <w:tcPr>
            <w:tcW w:w="999" w:type="dxa"/>
            <w:vMerge/>
            <w:vAlign w:val="center"/>
          </w:tcPr>
          <w:p w14:paraId="77C1EECB" w14:textId="77777777" w:rsidR="00D12939" w:rsidRDefault="00D12939">
            <w:pPr>
              <w:pStyle w:val="affffffffffffd"/>
              <w:outlineLvl w:val="9"/>
              <w:rPr>
                <w:rFonts w:eastAsia="宋体"/>
                <w:kern w:val="0"/>
                <w:sz w:val="21"/>
                <w:szCs w:val="21"/>
              </w:rPr>
            </w:pPr>
          </w:p>
        </w:tc>
        <w:tc>
          <w:tcPr>
            <w:tcW w:w="885" w:type="dxa"/>
            <w:vAlign w:val="center"/>
          </w:tcPr>
          <w:p w14:paraId="65F2E4CB" w14:textId="77777777" w:rsidR="00D12939" w:rsidRDefault="004F47F5">
            <w:pPr>
              <w:pStyle w:val="affffffffffffd"/>
              <w:outlineLvl w:val="9"/>
              <w:rPr>
                <w:rFonts w:eastAsia="宋体"/>
                <w:kern w:val="0"/>
                <w:sz w:val="21"/>
                <w:szCs w:val="21"/>
              </w:rPr>
            </w:pPr>
            <w:r>
              <w:rPr>
                <w:rFonts w:eastAsia="宋体" w:hint="eastAsia"/>
                <w:kern w:val="0"/>
                <w:sz w:val="21"/>
                <w:szCs w:val="21"/>
              </w:rPr>
              <w:t>1</w:t>
            </w:r>
            <w:r>
              <w:rPr>
                <w:rFonts w:eastAsia="宋体"/>
                <w:kern w:val="0"/>
                <w:sz w:val="21"/>
                <w:szCs w:val="21"/>
              </w:rPr>
              <w:t>0</w:t>
            </w:r>
            <w:r>
              <w:rPr>
                <w:rFonts w:eastAsia="宋体" w:hint="eastAsia"/>
                <w:kern w:val="0"/>
                <w:sz w:val="21"/>
                <w:szCs w:val="21"/>
              </w:rPr>
              <w:t>m</w:t>
            </w:r>
          </w:p>
        </w:tc>
        <w:tc>
          <w:tcPr>
            <w:tcW w:w="884" w:type="dxa"/>
            <w:vAlign w:val="center"/>
          </w:tcPr>
          <w:p w14:paraId="3240341C" w14:textId="77777777" w:rsidR="00D12939" w:rsidRDefault="004F47F5">
            <w:pPr>
              <w:pStyle w:val="affffffffffffd"/>
              <w:outlineLvl w:val="9"/>
              <w:rPr>
                <w:rFonts w:eastAsia="宋体"/>
                <w:kern w:val="0"/>
                <w:sz w:val="21"/>
                <w:szCs w:val="21"/>
              </w:rPr>
            </w:pPr>
            <w:r>
              <w:rPr>
                <w:rFonts w:eastAsia="宋体"/>
                <w:kern w:val="0"/>
                <w:sz w:val="21"/>
                <w:szCs w:val="21"/>
              </w:rPr>
              <w:t>20</w:t>
            </w:r>
            <w:r>
              <w:rPr>
                <w:rFonts w:eastAsia="宋体" w:hint="eastAsia"/>
                <w:kern w:val="0"/>
                <w:sz w:val="21"/>
                <w:szCs w:val="21"/>
              </w:rPr>
              <w:t>m</w:t>
            </w:r>
          </w:p>
        </w:tc>
        <w:tc>
          <w:tcPr>
            <w:tcW w:w="884" w:type="dxa"/>
            <w:vAlign w:val="center"/>
          </w:tcPr>
          <w:p w14:paraId="641BF361" w14:textId="77777777" w:rsidR="00D12939" w:rsidRDefault="004F47F5">
            <w:pPr>
              <w:pStyle w:val="affffffffffffd"/>
              <w:outlineLvl w:val="9"/>
              <w:rPr>
                <w:rFonts w:eastAsia="宋体"/>
                <w:kern w:val="0"/>
                <w:sz w:val="21"/>
                <w:szCs w:val="21"/>
              </w:rPr>
            </w:pPr>
            <w:r>
              <w:rPr>
                <w:rFonts w:eastAsia="宋体"/>
                <w:kern w:val="0"/>
                <w:sz w:val="21"/>
                <w:szCs w:val="21"/>
              </w:rPr>
              <w:t>30</w:t>
            </w:r>
            <w:r>
              <w:rPr>
                <w:rFonts w:eastAsia="宋体" w:hint="eastAsia"/>
                <w:kern w:val="0"/>
                <w:sz w:val="21"/>
                <w:szCs w:val="21"/>
              </w:rPr>
              <w:t>m</w:t>
            </w:r>
          </w:p>
        </w:tc>
        <w:tc>
          <w:tcPr>
            <w:tcW w:w="884" w:type="dxa"/>
            <w:vAlign w:val="center"/>
          </w:tcPr>
          <w:p w14:paraId="1F54CEF2" w14:textId="77777777" w:rsidR="00D12939" w:rsidRDefault="004F47F5">
            <w:pPr>
              <w:pStyle w:val="affffffffffffd"/>
              <w:outlineLvl w:val="9"/>
              <w:rPr>
                <w:rFonts w:eastAsia="宋体"/>
                <w:kern w:val="0"/>
                <w:sz w:val="21"/>
                <w:szCs w:val="21"/>
              </w:rPr>
            </w:pPr>
            <w:r>
              <w:rPr>
                <w:rFonts w:eastAsia="宋体"/>
                <w:kern w:val="0"/>
                <w:sz w:val="21"/>
                <w:szCs w:val="21"/>
              </w:rPr>
              <w:t>50</w:t>
            </w:r>
            <w:r>
              <w:rPr>
                <w:rFonts w:eastAsia="宋体" w:hint="eastAsia"/>
                <w:kern w:val="0"/>
                <w:sz w:val="21"/>
                <w:szCs w:val="21"/>
              </w:rPr>
              <w:t>m</w:t>
            </w:r>
          </w:p>
        </w:tc>
        <w:tc>
          <w:tcPr>
            <w:tcW w:w="884" w:type="dxa"/>
            <w:vAlign w:val="center"/>
          </w:tcPr>
          <w:p w14:paraId="1393D350" w14:textId="77777777" w:rsidR="00D12939" w:rsidRDefault="004F47F5">
            <w:pPr>
              <w:pStyle w:val="affffffffffffd"/>
              <w:outlineLvl w:val="9"/>
              <w:rPr>
                <w:rFonts w:eastAsia="宋体"/>
                <w:kern w:val="0"/>
                <w:sz w:val="21"/>
                <w:szCs w:val="21"/>
              </w:rPr>
            </w:pPr>
            <w:r>
              <w:rPr>
                <w:rFonts w:eastAsia="宋体" w:hint="eastAsia"/>
                <w:kern w:val="0"/>
                <w:sz w:val="21"/>
                <w:szCs w:val="21"/>
              </w:rPr>
              <w:t>1</w:t>
            </w:r>
            <w:r>
              <w:rPr>
                <w:rFonts w:eastAsia="宋体"/>
                <w:kern w:val="0"/>
                <w:sz w:val="21"/>
                <w:szCs w:val="21"/>
              </w:rPr>
              <w:t>00</w:t>
            </w:r>
            <w:r>
              <w:rPr>
                <w:rFonts w:eastAsia="宋体" w:hint="eastAsia"/>
                <w:kern w:val="0"/>
                <w:sz w:val="21"/>
                <w:szCs w:val="21"/>
              </w:rPr>
              <w:t>m</w:t>
            </w:r>
          </w:p>
        </w:tc>
        <w:tc>
          <w:tcPr>
            <w:tcW w:w="884" w:type="dxa"/>
            <w:vAlign w:val="center"/>
          </w:tcPr>
          <w:p w14:paraId="291E5CC9" w14:textId="77777777" w:rsidR="00D12939" w:rsidRDefault="004F47F5">
            <w:pPr>
              <w:pStyle w:val="affffffffffffd"/>
              <w:outlineLvl w:val="9"/>
              <w:rPr>
                <w:rFonts w:eastAsia="宋体"/>
                <w:kern w:val="0"/>
                <w:sz w:val="21"/>
                <w:szCs w:val="21"/>
              </w:rPr>
            </w:pPr>
            <w:r>
              <w:rPr>
                <w:rFonts w:eastAsia="宋体" w:hint="eastAsia"/>
                <w:kern w:val="0"/>
                <w:sz w:val="21"/>
                <w:szCs w:val="21"/>
              </w:rPr>
              <w:t>1</w:t>
            </w:r>
            <w:r>
              <w:rPr>
                <w:rFonts w:eastAsia="宋体"/>
                <w:kern w:val="0"/>
                <w:sz w:val="21"/>
                <w:szCs w:val="21"/>
              </w:rPr>
              <w:t>50</w:t>
            </w:r>
            <w:r>
              <w:rPr>
                <w:rFonts w:eastAsia="宋体" w:hint="eastAsia"/>
                <w:kern w:val="0"/>
                <w:sz w:val="21"/>
                <w:szCs w:val="21"/>
              </w:rPr>
              <w:t>m</w:t>
            </w:r>
          </w:p>
        </w:tc>
      </w:tr>
      <w:tr w:rsidR="00D12939" w14:paraId="430C3A2F" w14:textId="77777777">
        <w:trPr>
          <w:trHeight w:val="215"/>
          <w:jc w:val="center"/>
        </w:trPr>
        <w:tc>
          <w:tcPr>
            <w:tcW w:w="700" w:type="dxa"/>
            <w:vAlign w:val="center"/>
          </w:tcPr>
          <w:p w14:paraId="2E7F1E93" w14:textId="77777777" w:rsidR="00D12939" w:rsidRDefault="004F47F5">
            <w:pPr>
              <w:pStyle w:val="affffffffffffd"/>
              <w:outlineLvl w:val="9"/>
              <w:rPr>
                <w:rFonts w:eastAsia="宋体"/>
                <w:kern w:val="0"/>
                <w:sz w:val="21"/>
                <w:szCs w:val="21"/>
              </w:rPr>
            </w:pPr>
            <w:r>
              <w:rPr>
                <w:rFonts w:eastAsia="宋体" w:hint="eastAsia"/>
                <w:kern w:val="0"/>
                <w:sz w:val="21"/>
                <w:szCs w:val="21"/>
              </w:rPr>
              <w:t>1</w:t>
            </w:r>
          </w:p>
        </w:tc>
        <w:tc>
          <w:tcPr>
            <w:tcW w:w="1191" w:type="dxa"/>
            <w:vAlign w:val="center"/>
          </w:tcPr>
          <w:p w14:paraId="5DC4AF7D" w14:textId="77777777" w:rsidR="00D12939" w:rsidRDefault="004F47F5">
            <w:pPr>
              <w:widowControl/>
              <w:adjustRightInd w:val="0"/>
              <w:snapToGrid w:val="0"/>
              <w:jc w:val="center"/>
              <w:rPr>
                <w:rFonts w:ascii="Times New Roman" w:eastAsia="宋体" w:hAnsi="Times New Roman" w:cs="Times New Roman"/>
                <w:kern w:val="0"/>
                <w:szCs w:val="20"/>
              </w:rPr>
            </w:pPr>
            <w:r>
              <w:rPr>
                <w:rFonts w:ascii="Times New Roman" w:eastAsia="宋体" w:hAnsi="Times New Roman" w:cs="Times New Roman"/>
                <w:kern w:val="0"/>
                <w:szCs w:val="20"/>
              </w:rPr>
              <w:t>推土机</w:t>
            </w:r>
          </w:p>
        </w:tc>
        <w:tc>
          <w:tcPr>
            <w:tcW w:w="1144" w:type="dxa"/>
            <w:vAlign w:val="center"/>
          </w:tcPr>
          <w:p w14:paraId="5D8D3031" w14:textId="77777777" w:rsidR="00D12939" w:rsidRDefault="004F47F5">
            <w:pPr>
              <w:pStyle w:val="affffffffffffd"/>
              <w:outlineLvl w:val="9"/>
              <w:rPr>
                <w:rFonts w:eastAsia="宋体"/>
                <w:kern w:val="0"/>
                <w:sz w:val="21"/>
                <w:szCs w:val="21"/>
              </w:rPr>
            </w:pPr>
            <w:r>
              <w:rPr>
                <w:rFonts w:eastAsia="宋体" w:hint="eastAsia"/>
                <w:kern w:val="0"/>
                <w:sz w:val="21"/>
                <w:szCs w:val="21"/>
              </w:rPr>
              <w:t>5</w:t>
            </w:r>
          </w:p>
        </w:tc>
        <w:tc>
          <w:tcPr>
            <w:tcW w:w="999" w:type="dxa"/>
            <w:vAlign w:val="center"/>
          </w:tcPr>
          <w:p w14:paraId="0C7EA337" w14:textId="77777777" w:rsidR="00D12939" w:rsidRDefault="004F47F5">
            <w:pPr>
              <w:pStyle w:val="affffffffffffd"/>
              <w:outlineLvl w:val="9"/>
              <w:rPr>
                <w:rFonts w:eastAsia="宋体"/>
                <w:kern w:val="0"/>
                <w:sz w:val="21"/>
                <w:szCs w:val="21"/>
              </w:rPr>
            </w:pPr>
            <w:r>
              <w:rPr>
                <w:rFonts w:eastAsia="宋体"/>
                <w:kern w:val="0"/>
                <w:sz w:val="21"/>
                <w:szCs w:val="21"/>
              </w:rPr>
              <w:t>86</w:t>
            </w:r>
          </w:p>
        </w:tc>
        <w:tc>
          <w:tcPr>
            <w:tcW w:w="885" w:type="dxa"/>
            <w:vAlign w:val="center"/>
          </w:tcPr>
          <w:p w14:paraId="71483F88" w14:textId="77777777" w:rsidR="00D12939" w:rsidRDefault="004F47F5">
            <w:pPr>
              <w:pStyle w:val="affffffffffffd"/>
              <w:outlineLvl w:val="9"/>
              <w:rPr>
                <w:rFonts w:eastAsia="宋体"/>
                <w:kern w:val="0"/>
                <w:sz w:val="21"/>
                <w:szCs w:val="21"/>
              </w:rPr>
            </w:pPr>
            <w:r>
              <w:rPr>
                <w:rFonts w:eastAsia="宋体" w:hint="eastAsia"/>
                <w:kern w:val="0"/>
                <w:sz w:val="21"/>
                <w:szCs w:val="21"/>
              </w:rPr>
              <w:t>8</w:t>
            </w:r>
            <w:r>
              <w:rPr>
                <w:rFonts w:eastAsia="宋体"/>
                <w:kern w:val="0"/>
                <w:sz w:val="21"/>
                <w:szCs w:val="21"/>
              </w:rPr>
              <w:t>0</w:t>
            </w:r>
          </w:p>
        </w:tc>
        <w:tc>
          <w:tcPr>
            <w:tcW w:w="884" w:type="dxa"/>
            <w:vAlign w:val="center"/>
          </w:tcPr>
          <w:p w14:paraId="7BBA3A57"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4</w:t>
            </w:r>
          </w:p>
        </w:tc>
        <w:tc>
          <w:tcPr>
            <w:tcW w:w="884" w:type="dxa"/>
            <w:vAlign w:val="center"/>
          </w:tcPr>
          <w:p w14:paraId="325D1836"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0.5</w:t>
            </w:r>
          </w:p>
        </w:tc>
        <w:tc>
          <w:tcPr>
            <w:tcW w:w="884" w:type="dxa"/>
            <w:vAlign w:val="center"/>
          </w:tcPr>
          <w:p w14:paraId="3876AC28"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6</w:t>
            </w:r>
          </w:p>
        </w:tc>
        <w:tc>
          <w:tcPr>
            <w:tcW w:w="884" w:type="dxa"/>
            <w:vAlign w:val="center"/>
          </w:tcPr>
          <w:p w14:paraId="3BB73A85"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0</w:t>
            </w:r>
          </w:p>
        </w:tc>
        <w:tc>
          <w:tcPr>
            <w:tcW w:w="884" w:type="dxa"/>
            <w:vAlign w:val="center"/>
          </w:tcPr>
          <w:p w14:paraId="7F4CDECC"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6.6</w:t>
            </w:r>
          </w:p>
        </w:tc>
      </w:tr>
      <w:tr w:rsidR="00D12939" w14:paraId="6E2B17D8" w14:textId="77777777">
        <w:trPr>
          <w:trHeight w:val="226"/>
          <w:jc w:val="center"/>
        </w:trPr>
        <w:tc>
          <w:tcPr>
            <w:tcW w:w="700" w:type="dxa"/>
            <w:vAlign w:val="center"/>
          </w:tcPr>
          <w:p w14:paraId="47210380" w14:textId="77777777" w:rsidR="00D12939" w:rsidRDefault="004F47F5">
            <w:pPr>
              <w:pStyle w:val="affffffffffffd"/>
              <w:outlineLvl w:val="9"/>
              <w:rPr>
                <w:rFonts w:eastAsia="宋体"/>
                <w:kern w:val="0"/>
                <w:sz w:val="21"/>
                <w:szCs w:val="21"/>
              </w:rPr>
            </w:pPr>
            <w:r>
              <w:rPr>
                <w:rFonts w:eastAsia="宋体" w:hint="eastAsia"/>
                <w:kern w:val="0"/>
                <w:sz w:val="21"/>
                <w:szCs w:val="21"/>
              </w:rPr>
              <w:t>2</w:t>
            </w:r>
          </w:p>
        </w:tc>
        <w:tc>
          <w:tcPr>
            <w:tcW w:w="1191" w:type="dxa"/>
            <w:vAlign w:val="center"/>
          </w:tcPr>
          <w:p w14:paraId="58902AF4" w14:textId="77777777" w:rsidR="00D12939" w:rsidRDefault="004F47F5">
            <w:pPr>
              <w:widowControl/>
              <w:adjustRightInd w:val="0"/>
              <w:snapToGrid w:val="0"/>
              <w:jc w:val="center"/>
              <w:rPr>
                <w:rFonts w:ascii="Times New Roman" w:eastAsia="宋体" w:hAnsi="Times New Roman" w:cs="Times New Roman"/>
                <w:kern w:val="0"/>
                <w:szCs w:val="20"/>
              </w:rPr>
            </w:pPr>
            <w:r>
              <w:rPr>
                <w:rFonts w:ascii="Times New Roman" w:eastAsia="宋体" w:hAnsi="Times New Roman" w:cs="Times New Roman"/>
                <w:kern w:val="0"/>
                <w:szCs w:val="20"/>
              </w:rPr>
              <w:t>自卸卡车</w:t>
            </w:r>
          </w:p>
        </w:tc>
        <w:tc>
          <w:tcPr>
            <w:tcW w:w="1144" w:type="dxa"/>
            <w:vAlign w:val="center"/>
          </w:tcPr>
          <w:p w14:paraId="2DCCAA3C" w14:textId="77777777" w:rsidR="00D12939" w:rsidRDefault="004F47F5">
            <w:pPr>
              <w:jc w:val="center"/>
              <w:rPr>
                <w:rFonts w:ascii="Times New Roman" w:eastAsia="宋体" w:hAnsi="Times New Roman" w:cs="Times New Roman"/>
                <w:kern w:val="0"/>
                <w:sz w:val="20"/>
                <w:szCs w:val="20"/>
              </w:rPr>
            </w:pPr>
            <w:r>
              <w:rPr>
                <w:rFonts w:ascii="Times New Roman" w:eastAsia="宋体" w:hAnsi="Times New Roman" w:cs="Times New Roman" w:hint="eastAsia"/>
                <w:kern w:val="0"/>
                <w:szCs w:val="21"/>
              </w:rPr>
              <w:t>5</w:t>
            </w:r>
          </w:p>
        </w:tc>
        <w:tc>
          <w:tcPr>
            <w:tcW w:w="999" w:type="dxa"/>
            <w:vAlign w:val="center"/>
          </w:tcPr>
          <w:p w14:paraId="1FAB803D" w14:textId="77777777" w:rsidR="00D12939" w:rsidRDefault="004F47F5">
            <w:pPr>
              <w:pStyle w:val="affffffffffffd"/>
              <w:outlineLvl w:val="9"/>
              <w:rPr>
                <w:rFonts w:eastAsia="宋体"/>
                <w:kern w:val="0"/>
                <w:sz w:val="21"/>
                <w:szCs w:val="21"/>
              </w:rPr>
            </w:pPr>
            <w:r>
              <w:rPr>
                <w:rFonts w:eastAsia="宋体"/>
                <w:kern w:val="0"/>
                <w:sz w:val="21"/>
                <w:szCs w:val="21"/>
              </w:rPr>
              <w:t>86</w:t>
            </w:r>
          </w:p>
        </w:tc>
        <w:tc>
          <w:tcPr>
            <w:tcW w:w="885" w:type="dxa"/>
            <w:vAlign w:val="center"/>
          </w:tcPr>
          <w:p w14:paraId="11635FBB" w14:textId="77777777" w:rsidR="00D12939" w:rsidRDefault="004F47F5">
            <w:pPr>
              <w:pStyle w:val="affffffffffffd"/>
              <w:outlineLvl w:val="9"/>
              <w:rPr>
                <w:rFonts w:eastAsia="宋体"/>
                <w:kern w:val="0"/>
                <w:sz w:val="21"/>
                <w:szCs w:val="21"/>
              </w:rPr>
            </w:pPr>
            <w:r>
              <w:rPr>
                <w:rFonts w:eastAsia="宋体" w:hint="eastAsia"/>
                <w:kern w:val="0"/>
                <w:sz w:val="21"/>
                <w:szCs w:val="21"/>
              </w:rPr>
              <w:t>8</w:t>
            </w:r>
            <w:r>
              <w:rPr>
                <w:rFonts w:eastAsia="宋体"/>
                <w:kern w:val="0"/>
                <w:sz w:val="21"/>
                <w:szCs w:val="21"/>
              </w:rPr>
              <w:t>0</w:t>
            </w:r>
          </w:p>
        </w:tc>
        <w:tc>
          <w:tcPr>
            <w:tcW w:w="884" w:type="dxa"/>
            <w:vAlign w:val="center"/>
          </w:tcPr>
          <w:p w14:paraId="2C5C4BEC"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4</w:t>
            </w:r>
          </w:p>
        </w:tc>
        <w:tc>
          <w:tcPr>
            <w:tcW w:w="884" w:type="dxa"/>
            <w:vAlign w:val="center"/>
          </w:tcPr>
          <w:p w14:paraId="6BD95F0B"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0.5</w:t>
            </w:r>
          </w:p>
        </w:tc>
        <w:tc>
          <w:tcPr>
            <w:tcW w:w="884" w:type="dxa"/>
            <w:vAlign w:val="center"/>
          </w:tcPr>
          <w:p w14:paraId="0D201FB0"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6</w:t>
            </w:r>
          </w:p>
        </w:tc>
        <w:tc>
          <w:tcPr>
            <w:tcW w:w="884" w:type="dxa"/>
            <w:vAlign w:val="center"/>
          </w:tcPr>
          <w:p w14:paraId="246C4BA0"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0</w:t>
            </w:r>
          </w:p>
        </w:tc>
        <w:tc>
          <w:tcPr>
            <w:tcW w:w="884" w:type="dxa"/>
            <w:vAlign w:val="center"/>
          </w:tcPr>
          <w:p w14:paraId="699E04CD"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6.6</w:t>
            </w:r>
          </w:p>
        </w:tc>
      </w:tr>
      <w:tr w:rsidR="00D12939" w14:paraId="19852190" w14:textId="77777777">
        <w:trPr>
          <w:trHeight w:val="215"/>
          <w:jc w:val="center"/>
        </w:trPr>
        <w:tc>
          <w:tcPr>
            <w:tcW w:w="700" w:type="dxa"/>
            <w:vAlign w:val="center"/>
          </w:tcPr>
          <w:p w14:paraId="063E9E7A" w14:textId="77777777" w:rsidR="00D12939" w:rsidRDefault="004F47F5">
            <w:pPr>
              <w:pStyle w:val="affffffffffffd"/>
              <w:outlineLvl w:val="9"/>
              <w:rPr>
                <w:rFonts w:eastAsia="宋体"/>
                <w:kern w:val="0"/>
                <w:sz w:val="21"/>
                <w:szCs w:val="21"/>
              </w:rPr>
            </w:pPr>
            <w:r>
              <w:rPr>
                <w:rFonts w:eastAsia="宋体" w:hint="eastAsia"/>
                <w:kern w:val="0"/>
                <w:sz w:val="21"/>
                <w:szCs w:val="21"/>
              </w:rPr>
              <w:t>3</w:t>
            </w:r>
          </w:p>
        </w:tc>
        <w:tc>
          <w:tcPr>
            <w:tcW w:w="1191" w:type="dxa"/>
            <w:vAlign w:val="center"/>
          </w:tcPr>
          <w:p w14:paraId="2B525C1A" w14:textId="77777777" w:rsidR="00D12939" w:rsidRDefault="004F47F5">
            <w:pPr>
              <w:widowControl/>
              <w:adjustRightInd w:val="0"/>
              <w:snapToGrid w:val="0"/>
              <w:jc w:val="center"/>
              <w:rPr>
                <w:rFonts w:ascii="Times New Roman" w:eastAsia="宋体" w:hAnsi="Times New Roman" w:cs="Times New Roman"/>
                <w:kern w:val="0"/>
                <w:szCs w:val="20"/>
              </w:rPr>
            </w:pPr>
            <w:r>
              <w:rPr>
                <w:rFonts w:ascii="Times New Roman" w:eastAsia="宋体" w:hAnsi="Times New Roman" w:cs="Times New Roman"/>
                <w:kern w:val="0"/>
                <w:szCs w:val="20"/>
              </w:rPr>
              <w:t>压实机</w:t>
            </w:r>
          </w:p>
        </w:tc>
        <w:tc>
          <w:tcPr>
            <w:tcW w:w="1144" w:type="dxa"/>
            <w:vAlign w:val="center"/>
          </w:tcPr>
          <w:p w14:paraId="11A42A9D" w14:textId="77777777" w:rsidR="00D12939" w:rsidRDefault="004F47F5">
            <w:pPr>
              <w:jc w:val="center"/>
              <w:rPr>
                <w:rFonts w:ascii="Times New Roman" w:eastAsia="宋体" w:hAnsi="Times New Roman" w:cs="Times New Roman"/>
                <w:kern w:val="0"/>
                <w:sz w:val="20"/>
                <w:szCs w:val="20"/>
              </w:rPr>
            </w:pPr>
            <w:r>
              <w:rPr>
                <w:rFonts w:ascii="Times New Roman" w:eastAsia="宋体" w:hAnsi="Times New Roman" w:cs="Times New Roman" w:hint="eastAsia"/>
                <w:kern w:val="0"/>
                <w:szCs w:val="21"/>
              </w:rPr>
              <w:t>5</w:t>
            </w:r>
          </w:p>
        </w:tc>
        <w:tc>
          <w:tcPr>
            <w:tcW w:w="999" w:type="dxa"/>
            <w:vAlign w:val="center"/>
          </w:tcPr>
          <w:p w14:paraId="6203825B" w14:textId="77777777" w:rsidR="00D12939" w:rsidRDefault="004F47F5">
            <w:pPr>
              <w:pStyle w:val="affffffffffffd"/>
              <w:outlineLvl w:val="9"/>
              <w:rPr>
                <w:rFonts w:eastAsia="宋体"/>
                <w:kern w:val="0"/>
                <w:sz w:val="21"/>
                <w:szCs w:val="21"/>
              </w:rPr>
            </w:pPr>
            <w:r>
              <w:rPr>
                <w:rFonts w:eastAsia="宋体"/>
                <w:kern w:val="0"/>
                <w:sz w:val="21"/>
                <w:szCs w:val="21"/>
              </w:rPr>
              <w:t>86</w:t>
            </w:r>
          </w:p>
        </w:tc>
        <w:tc>
          <w:tcPr>
            <w:tcW w:w="885" w:type="dxa"/>
            <w:vAlign w:val="center"/>
          </w:tcPr>
          <w:p w14:paraId="3BACB52D" w14:textId="77777777" w:rsidR="00D12939" w:rsidRDefault="004F47F5">
            <w:pPr>
              <w:pStyle w:val="affffffffffffd"/>
              <w:outlineLvl w:val="9"/>
              <w:rPr>
                <w:rFonts w:eastAsia="宋体"/>
                <w:kern w:val="0"/>
                <w:sz w:val="21"/>
                <w:szCs w:val="21"/>
              </w:rPr>
            </w:pPr>
            <w:r>
              <w:rPr>
                <w:rFonts w:eastAsia="宋体" w:hint="eastAsia"/>
                <w:kern w:val="0"/>
                <w:sz w:val="21"/>
                <w:szCs w:val="21"/>
              </w:rPr>
              <w:t>8</w:t>
            </w:r>
            <w:r>
              <w:rPr>
                <w:rFonts w:eastAsia="宋体"/>
                <w:kern w:val="0"/>
                <w:sz w:val="21"/>
                <w:szCs w:val="21"/>
              </w:rPr>
              <w:t>0</w:t>
            </w:r>
          </w:p>
        </w:tc>
        <w:tc>
          <w:tcPr>
            <w:tcW w:w="884" w:type="dxa"/>
            <w:vAlign w:val="center"/>
          </w:tcPr>
          <w:p w14:paraId="6BAF4A33"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4</w:t>
            </w:r>
          </w:p>
        </w:tc>
        <w:tc>
          <w:tcPr>
            <w:tcW w:w="884" w:type="dxa"/>
            <w:vAlign w:val="center"/>
          </w:tcPr>
          <w:p w14:paraId="3EBE71FA"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0.5</w:t>
            </w:r>
          </w:p>
        </w:tc>
        <w:tc>
          <w:tcPr>
            <w:tcW w:w="884" w:type="dxa"/>
            <w:vAlign w:val="center"/>
          </w:tcPr>
          <w:p w14:paraId="2B274995"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6</w:t>
            </w:r>
          </w:p>
        </w:tc>
        <w:tc>
          <w:tcPr>
            <w:tcW w:w="884" w:type="dxa"/>
            <w:vAlign w:val="center"/>
          </w:tcPr>
          <w:p w14:paraId="1D3E90BA"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0</w:t>
            </w:r>
          </w:p>
        </w:tc>
        <w:tc>
          <w:tcPr>
            <w:tcW w:w="884" w:type="dxa"/>
            <w:vAlign w:val="center"/>
          </w:tcPr>
          <w:p w14:paraId="044300DF"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6.6</w:t>
            </w:r>
          </w:p>
        </w:tc>
      </w:tr>
      <w:tr w:rsidR="00D12939" w14:paraId="72566648" w14:textId="77777777">
        <w:trPr>
          <w:trHeight w:val="226"/>
          <w:jc w:val="center"/>
        </w:trPr>
        <w:tc>
          <w:tcPr>
            <w:tcW w:w="700" w:type="dxa"/>
            <w:vAlign w:val="center"/>
          </w:tcPr>
          <w:p w14:paraId="23654DC8" w14:textId="77777777" w:rsidR="00D12939" w:rsidRDefault="004F47F5">
            <w:pPr>
              <w:pStyle w:val="affffffffffffd"/>
              <w:outlineLvl w:val="9"/>
              <w:rPr>
                <w:rFonts w:eastAsia="宋体"/>
                <w:kern w:val="0"/>
                <w:sz w:val="21"/>
                <w:szCs w:val="21"/>
              </w:rPr>
            </w:pPr>
            <w:r>
              <w:rPr>
                <w:rFonts w:eastAsia="宋体" w:hint="eastAsia"/>
                <w:kern w:val="0"/>
                <w:sz w:val="21"/>
                <w:szCs w:val="21"/>
              </w:rPr>
              <w:t>4</w:t>
            </w:r>
          </w:p>
        </w:tc>
        <w:tc>
          <w:tcPr>
            <w:tcW w:w="1191" w:type="dxa"/>
            <w:vAlign w:val="center"/>
          </w:tcPr>
          <w:p w14:paraId="0065BB8A" w14:textId="77777777" w:rsidR="00D12939" w:rsidRDefault="004F47F5">
            <w:pPr>
              <w:widowControl/>
              <w:adjustRightInd w:val="0"/>
              <w:snapToGrid w:val="0"/>
              <w:jc w:val="center"/>
              <w:rPr>
                <w:rFonts w:ascii="Times New Roman" w:eastAsia="宋体" w:hAnsi="Times New Roman" w:cs="Times New Roman"/>
                <w:kern w:val="0"/>
                <w:szCs w:val="20"/>
              </w:rPr>
            </w:pPr>
            <w:r>
              <w:rPr>
                <w:rFonts w:ascii="Times New Roman" w:eastAsia="宋体" w:hAnsi="Times New Roman" w:cs="Times New Roman"/>
                <w:kern w:val="0"/>
                <w:szCs w:val="20"/>
              </w:rPr>
              <w:t>转载机</w:t>
            </w:r>
          </w:p>
        </w:tc>
        <w:tc>
          <w:tcPr>
            <w:tcW w:w="1144" w:type="dxa"/>
            <w:vAlign w:val="center"/>
          </w:tcPr>
          <w:p w14:paraId="59D8545B" w14:textId="77777777" w:rsidR="00D12939" w:rsidRDefault="004F47F5">
            <w:pPr>
              <w:jc w:val="center"/>
              <w:rPr>
                <w:rFonts w:ascii="Times New Roman" w:eastAsia="宋体" w:hAnsi="Times New Roman" w:cs="Times New Roman"/>
                <w:kern w:val="0"/>
                <w:sz w:val="20"/>
                <w:szCs w:val="20"/>
              </w:rPr>
            </w:pPr>
            <w:r>
              <w:rPr>
                <w:rFonts w:ascii="Times New Roman" w:eastAsia="宋体" w:hAnsi="Times New Roman" w:cs="Times New Roman" w:hint="eastAsia"/>
                <w:kern w:val="0"/>
                <w:szCs w:val="21"/>
              </w:rPr>
              <w:t>5</w:t>
            </w:r>
          </w:p>
        </w:tc>
        <w:tc>
          <w:tcPr>
            <w:tcW w:w="999" w:type="dxa"/>
            <w:vAlign w:val="center"/>
          </w:tcPr>
          <w:p w14:paraId="5B28FBE1" w14:textId="77777777" w:rsidR="00D12939" w:rsidRDefault="004F47F5">
            <w:pPr>
              <w:pStyle w:val="affffffffffffd"/>
              <w:outlineLvl w:val="9"/>
              <w:rPr>
                <w:rFonts w:eastAsia="宋体"/>
                <w:kern w:val="0"/>
                <w:sz w:val="21"/>
                <w:szCs w:val="21"/>
              </w:rPr>
            </w:pPr>
            <w:r>
              <w:rPr>
                <w:rFonts w:eastAsia="宋体"/>
                <w:kern w:val="0"/>
                <w:sz w:val="21"/>
                <w:szCs w:val="21"/>
              </w:rPr>
              <w:t>84</w:t>
            </w:r>
          </w:p>
        </w:tc>
        <w:tc>
          <w:tcPr>
            <w:tcW w:w="885" w:type="dxa"/>
            <w:vAlign w:val="center"/>
          </w:tcPr>
          <w:p w14:paraId="4E53C047"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8</w:t>
            </w:r>
          </w:p>
        </w:tc>
        <w:tc>
          <w:tcPr>
            <w:tcW w:w="884" w:type="dxa"/>
            <w:vAlign w:val="center"/>
          </w:tcPr>
          <w:p w14:paraId="7E043FF4"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2</w:t>
            </w:r>
          </w:p>
        </w:tc>
        <w:tc>
          <w:tcPr>
            <w:tcW w:w="884" w:type="dxa"/>
            <w:vAlign w:val="center"/>
          </w:tcPr>
          <w:p w14:paraId="04165D85"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8.5</w:t>
            </w:r>
          </w:p>
        </w:tc>
        <w:tc>
          <w:tcPr>
            <w:tcW w:w="884" w:type="dxa"/>
            <w:vAlign w:val="center"/>
          </w:tcPr>
          <w:p w14:paraId="690E5DC1"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4</w:t>
            </w:r>
          </w:p>
        </w:tc>
        <w:tc>
          <w:tcPr>
            <w:tcW w:w="884" w:type="dxa"/>
            <w:vAlign w:val="center"/>
          </w:tcPr>
          <w:p w14:paraId="672F95EB"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8</w:t>
            </w:r>
          </w:p>
        </w:tc>
        <w:tc>
          <w:tcPr>
            <w:tcW w:w="884" w:type="dxa"/>
            <w:vAlign w:val="center"/>
          </w:tcPr>
          <w:p w14:paraId="27974C49"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4.5</w:t>
            </w:r>
          </w:p>
        </w:tc>
      </w:tr>
      <w:tr w:rsidR="00D12939" w14:paraId="3C7DD39B" w14:textId="77777777">
        <w:trPr>
          <w:trHeight w:val="215"/>
          <w:jc w:val="center"/>
        </w:trPr>
        <w:tc>
          <w:tcPr>
            <w:tcW w:w="700" w:type="dxa"/>
            <w:vAlign w:val="center"/>
          </w:tcPr>
          <w:p w14:paraId="779EC938" w14:textId="77777777" w:rsidR="00D12939" w:rsidRDefault="004F47F5">
            <w:pPr>
              <w:pStyle w:val="affffffffffffd"/>
              <w:outlineLvl w:val="9"/>
              <w:rPr>
                <w:rFonts w:eastAsia="宋体"/>
                <w:kern w:val="0"/>
                <w:sz w:val="21"/>
                <w:szCs w:val="21"/>
              </w:rPr>
            </w:pPr>
            <w:r>
              <w:rPr>
                <w:rFonts w:eastAsia="宋体" w:hint="eastAsia"/>
                <w:kern w:val="0"/>
                <w:sz w:val="21"/>
                <w:szCs w:val="21"/>
              </w:rPr>
              <w:t>5</w:t>
            </w:r>
          </w:p>
        </w:tc>
        <w:tc>
          <w:tcPr>
            <w:tcW w:w="1191" w:type="dxa"/>
            <w:vAlign w:val="center"/>
          </w:tcPr>
          <w:p w14:paraId="219A6D4B" w14:textId="77777777" w:rsidR="00D12939" w:rsidRDefault="004F47F5">
            <w:pPr>
              <w:widowControl/>
              <w:adjustRightInd w:val="0"/>
              <w:snapToGrid w:val="0"/>
              <w:jc w:val="center"/>
              <w:rPr>
                <w:rFonts w:ascii="Times New Roman" w:eastAsia="宋体" w:hAnsi="Times New Roman" w:cs="Times New Roman"/>
                <w:kern w:val="0"/>
                <w:szCs w:val="20"/>
              </w:rPr>
            </w:pPr>
            <w:r>
              <w:rPr>
                <w:rFonts w:ascii="Times New Roman" w:eastAsia="宋体" w:hAnsi="Times New Roman" w:cs="Times New Roman"/>
                <w:kern w:val="0"/>
                <w:szCs w:val="20"/>
              </w:rPr>
              <w:t>洒水车</w:t>
            </w:r>
          </w:p>
        </w:tc>
        <w:tc>
          <w:tcPr>
            <w:tcW w:w="1144" w:type="dxa"/>
            <w:vAlign w:val="center"/>
          </w:tcPr>
          <w:p w14:paraId="3C5FAB24" w14:textId="77777777" w:rsidR="00D12939" w:rsidRDefault="004F47F5">
            <w:pPr>
              <w:jc w:val="center"/>
              <w:rPr>
                <w:rFonts w:ascii="Times New Roman" w:eastAsia="宋体" w:hAnsi="Times New Roman" w:cs="Times New Roman"/>
                <w:kern w:val="0"/>
                <w:sz w:val="20"/>
                <w:szCs w:val="20"/>
              </w:rPr>
            </w:pPr>
            <w:r>
              <w:rPr>
                <w:rFonts w:ascii="Times New Roman" w:eastAsia="宋体" w:hAnsi="Times New Roman" w:cs="Times New Roman" w:hint="eastAsia"/>
                <w:kern w:val="0"/>
                <w:szCs w:val="21"/>
              </w:rPr>
              <w:t>5</w:t>
            </w:r>
          </w:p>
        </w:tc>
        <w:tc>
          <w:tcPr>
            <w:tcW w:w="999" w:type="dxa"/>
            <w:vAlign w:val="center"/>
          </w:tcPr>
          <w:p w14:paraId="3D355633"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6</w:t>
            </w:r>
          </w:p>
        </w:tc>
        <w:tc>
          <w:tcPr>
            <w:tcW w:w="885" w:type="dxa"/>
            <w:vAlign w:val="center"/>
          </w:tcPr>
          <w:p w14:paraId="4238BF5D"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0</w:t>
            </w:r>
          </w:p>
        </w:tc>
        <w:tc>
          <w:tcPr>
            <w:tcW w:w="884" w:type="dxa"/>
            <w:vAlign w:val="center"/>
          </w:tcPr>
          <w:p w14:paraId="16122EA6"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4</w:t>
            </w:r>
          </w:p>
        </w:tc>
        <w:tc>
          <w:tcPr>
            <w:tcW w:w="884" w:type="dxa"/>
            <w:vAlign w:val="center"/>
          </w:tcPr>
          <w:p w14:paraId="5294644E"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0.5</w:t>
            </w:r>
          </w:p>
        </w:tc>
        <w:tc>
          <w:tcPr>
            <w:tcW w:w="884" w:type="dxa"/>
            <w:vAlign w:val="center"/>
          </w:tcPr>
          <w:p w14:paraId="21D8E18D"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6</w:t>
            </w:r>
          </w:p>
        </w:tc>
        <w:tc>
          <w:tcPr>
            <w:tcW w:w="884" w:type="dxa"/>
            <w:vAlign w:val="center"/>
          </w:tcPr>
          <w:p w14:paraId="18519034"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0</w:t>
            </w:r>
          </w:p>
        </w:tc>
        <w:tc>
          <w:tcPr>
            <w:tcW w:w="884" w:type="dxa"/>
            <w:vAlign w:val="center"/>
          </w:tcPr>
          <w:p w14:paraId="0C15D44A" w14:textId="77777777" w:rsidR="00D12939" w:rsidRDefault="004F47F5">
            <w:pPr>
              <w:pStyle w:val="affffffffffffd"/>
              <w:outlineLvl w:val="9"/>
              <w:rPr>
                <w:rFonts w:eastAsia="宋体"/>
                <w:kern w:val="0"/>
                <w:sz w:val="21"/>
                <w:szCs w:val="21"/>
              </w:rPr>
            </w:pPr>
            <w:r>
              <w:rPr>
                <w:rFonts w:eastAsia="宋体" w:hint="eastAsia"/>
                <w:kern w:val="0"/>
                <w:sz w:val="21"/>
                <w:szCs w:val="21"/>
              </w:rPr>
              <w:t>4</w:t>
            </w:r>
            <w:r>
              <w:rPr>
                <w:rFonts w:eastAsia="宋体"/>
                <w:kern w:val="0"/>
                <w:sz w:val="21"/>
                <w:szCs w:val="21"/>
              </w:rPr>
              <w:t>6.5</w:t>
            </w:r>
          </w:p>
        </w:tc>
      </w:tr>
      <w:tr w:rsidR="00D12939" w14:paraId="463B1743" w14:textId="77777777">
        <w:trPr>
          <w:trHeight w:val="215"/>
          <w:jc w:val="center"/>
        </w:trPr>
        <w:tc>
          <w:tcPr>
            <w:tcW w:w="700" w:type="dxa"/>
            <w:vAlign w:val="center"/>
          </w:tcPr>
          <w:p w14:paraId="422BA80B" w14:textId="77777777" w:rsidR="00D12939" w:rsidRDefault="004F47F5">
            <w:pPr>
              <w:pStyle w:val="affffffffffffd"/>
              <w:outlineLvl w:val="9"/>
              <w:rPr>
                <w:rFonts w:eastAsia="宋体"/>
                <w:kern w:val="0"/>
                <w:sz w:val="21"/>
                <w:szCs w:val="21"/>
              </w:rPr>
            </w:pPr>
            <w:r>
              <w:rPr>
                <w:rFonts w:eastAsia="宋体" w:hint="eastAsia"/>
                <w:kern w:val="0"/>
                <w:sz w:val="21"/>
                <w:szCs w:val="21"/>
              </w:rPr>
              <w:t>6</w:t>
            </w:r>
          </w:p>
        </w:tc>
        <w:tc>
          <w:tcPr>
            <w:tcW w:w="1191" w:type="dxa"/>
            <w:vAlign w:val="center"/>
          </w:tcPr>
          <w:p w14:paraId="1FDA7375" w14:textId="77777777" w:rsidR="00D12939" w:rsidRDefault="004F47F5">
            <w:pPr>
              <w:widowControl/>
              <w:adjustRightInd w:val="0"/>
              <w:snapToGrid w:val="0"/>
              <w:jc w:val="center"/>
              <w:rPr>
                <w:rFonts w:ascii="Times New Roman" w:eastAsia="宋体" w:hAnsi="Times New Roman" w:cs="Times New Roman"/>
                <w:kern w:val="0"/>
                <w:szCs w:val="20"/>
              </w:rPr>
            </w:pPr>
            <w:r>
              <w:rPr>
                <w:rFonts w:ascii="Times New Roman" w:eastAsia="宋体" w:hAnsi="Times New Roman" w:cs="Times New Roman"/>
                <w:kern w:val="0"/>
                <w:szCs w:val="20"/>
              </w:rPr>
              <w:t>管理用车</w:t>
            </w:r>
          </w:p>
        </w:tc>
        <w:tc>
          <w:tcPr>
            <w:tcW w:w="1144" w:type="dxa"/>
            <w:vAlign w:val="center"/>
          </w:tcPr>
          <w:p w14:paraId="1A8C1198" w14:textId="77777777" w:rsidR="00D12939" w:rsidRDefault="004F47F5">
            <w:pPr>
              <w:jc w:val="center"/>
              <w:rPr>
                <w:rFonts w:ascii="Times New Roman" w:eastAsia="宋体" w:hAnsi="Times New Roman" w:cs="Times New Roman"/>
                <w:kern w:val="0"/>
                <w:sz w:val="20"/>
                <w:szCs w:val="20"/>
              </w:rPr>
            </w:pPr>
            <w:r>
              <w:rPr>
                <w:rFonts w:ascii="Times New Roman" w:eastAsia="宋体" w:hAnsi="Times New Roman" w:cs="Times New Roman" w:hint="eastAsia"/>
                <w:kern w:val="0"/>
                <w:szCs w:val="21"/>
              </w:rPr>
              <w:t>5</w:t>
            </w:r>
          </w:p>
        </w:tc>
        <w:tc>
          <w:tcPr>
            <w:tcW w:w="999" w:type="dxa"/>
            <w:vAlign w:val="center"/>
          </w:tcPr>
          <w:p w14:paraId="0A8BAFA4"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6</w:t>
            </w:r>
          </w:p>
        </w:tc>
        <w:tc>
          <w:tcPr>
            <w:tcW w:w="885" w:type="dxa"/>
            <w:vAlign w:val="center"/>
          </w:tcPr>
          <w:p w14:paraId="2BDDDBA1"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0</w:t>
            </w:r>
          </w:p>
        </w:tc>
        <w:tc>
          <w:tcPr>
            <w:tcW w:w="884" w:type="dxa"/>
            <w:vAlign w:val="center"/>
          </w:tcPr>
          <w:p w14:paraId="793F7A0A"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4</w:t>
            </w:r>
          </w:p>
        </w:tc>
        <w:tc>
          <w:tcPr>
            <w:tcW w:w="884" w:type="dxa"/>
            <w:vAlign w:val="center"/>
          </w:tcPr>
          <w:p w14:paraId="1339C793"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0.5</w:t>
            </w:r>
          </w:p>
        </w:tc>
        <w:tc>
          <w:tcPr>
            <w:tcW w:w="884" w:type="dxa"/>
            <w:vAlign w:val="center"/>
          </w:tcPr>
          <w:p w14:paraId="2AAA0248"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6</w:t>
            </w:r>
          </w:p>
        </w:tc>
        <w:tc>
          <w:tcPr>
            <w:tcW w:w="884" w:type="dxa"/>
            <w:vAlign w:val="center"/>
          </w:tcPr>
          <w:p w14:paraId="5726609E"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0</w:t>
            </w:r>
          </w:p>
        </w:tc>
        <w:tc>
          <w:tcPr>
            <w:tcW w:w="884" w:type="dxa"/>
            <w:vAlign w:val="center"/>
          </w:tcPr>
          <w:p w14:paraId="76556CC7" w14:textId="77777777" w:rsidR="00D12939" w:rsidRDefault="004F47F5">
            <w:pPr>
              <w:pStyle w:val="affffffffffffd"/>
              <w:outlineLvl w:val="9"/>
              <w:rPr>
                <w:rFonts w:eastAsia="宋体"/>
                <w:kern w:val="0"/>
                <w:sz w:val="21"/>
                <w:szCs w:val="21"/>
              </w:rPr>
            </w:pPr>
            <w:r>
              <w:rPr>
                <w:rFonts w:eastAsia="宋体" w:hint="eastAsia"/>
                <w:kern w:val="0"/>
                <w:sz w:val="21"/>
                <w:szCs w:val="21"/>
              </w:rPr>
              <w:t>4</w:t>
            </w:r>
            <w:r>
              <w:rPr>
                <w:rFonts w:eastAsia="宋体"/>
                <w:kern w:val="0"/>
                <w:sz w:val="21"/>
                <w:szCs w:val="21"/>
              </w:rPr>
              <w:t>6.5</w:t>
            </w:r>
          </w:p>
        </w:tc>
      </w:tr>
      <w:tr w:rsidR="00D12939" w14:paraId="07549183" w14:textId="77777777">
        <w:trPr>
          <w:trHeight w:val="215"/>
          <w:jc w:val="center"/>
        </w:trPr>
        <w:tc>
          <w:tcPr>
            <w:tcW w:w="700" w:type="dxa"/>
            <w:vAlign w:val="center"/>
          </w:tcPr>
          <w:p w14:paraId="63F840AD" w14:textId="77777777" w:rsidR="00D12939" w:rsidRDefault="004F47F5">
            <w:pPr>
              <w:pStyle w:val="affffffffffffd"/>
              <w:outlineLvl w:val="9"/>
              <w:rPr>
                <w:rFonts w:eastAsia="宋体"/>
                <w:kern w:val="0"/>
                <w:sz w:val="21"/>
                <w:szCs w:val="21"/>
              </w:rPr>
            </w:pPr>
            <w:r>
              <w:rPr>
                <w:rFonts w:eastAsia="宋体" w:hint="eastAsia"/>
                <w:kern w:val="0"/>
                <w:sz w:val="21"/>
                <w:szCs w:val="21"/>
              </w:rPr>
              <w:t>7</w:t>
            </w:r>
          </w:p>
        </w:tc>
        <w:tc>
          <w:tcPr>
            <w:tcW w:w="1191" w:type="dxa"/>
            <w:vAlign w:val="center"/>
          </w:tcPr>
          <w:p w14:paraId="45D616CC" w14:textId="77777777" w:rsidR="00D12939" w:rsidRDefault="004F47F5">
            <w:pPr>
              <w:widowControl/>
              <w:adjustRightInd w:val="0"/>
              <w:snapToGrid w:val="0"/>
              <w:jc w:val="center"/>
              <w:rPr>
                <w:rFonts w:ascii="Times New Roman" w:eastAsia="宋体" w:hAnsi="Times New Roman" w:cs="Times New Roman"/>
                <w:kern w:val="0"/>
                <w:szCs w:val="20"/>
              </w:rPr>
            </w:pPr>
            <w:r>
              <w:rPr>
                <w:rFonts w:ascii="Times New Roman" w:eastAsia="宋体" w:hAnsi="Times New Roman" w:cs="Times New Roman"/>
                <w:kern w:val="0"/>
                <w:szCs w:val="20"/>
              </w:rPr>
              <w:t>槽罐车</w:t>
            </w:r>
          </w:p>
        </w:tc>
        <w:tc>
          <w:tcPr>
            <w:tcW w:w="1144" w:type="dxa"/>
            <w:vAlign w:val="center"/>
          </w:tcPr>
          <w:p w14:paraId="413563CE" w14:textId="77777777" w:rsidR="00D12939" w:rsidRDefault="004F47F5">
            <w:pPr>
              <w:jc w:val="center"/>
              <w:rPr>
                <w:rFonts w:ascii="Times New Roman" w:eastAsia="宋体" w:hAnsi="Times New Roman" w:cs="Times New Roman"/>
                <w:kern w:val="0"/>
                <w:sz w:val="20"/>
                <w:szCs w:val="20"/>
              </w:rPr>
            </w:pPr>
            <w:r>
              <w:rPr>
                <w:rFonts w:ascii="Times New Roman" w:eastAsia="宋体" w:hAnsi="Times New Roman" w:cs="Times New Roman" w:hint="eastAsia"/>
                <w:kern w:val="0"/>
                <w:szCs w:val="21"/>
              </w:rPr>
              <w:t>5</w:t>
            </w:r>
          </w:p>
        </w:tc>
        <w:tc>
          <w:tcPr>
            <w:tcW w:w="999" w:type="dxa"/>
            <w:vAlign w:val="center"/>
          </w:tcPr>
          <w:p w14:paraId="3842AB8E"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6</w:t>
            </w:r>
          </w:p>
        </w:tc>
        <w:tc>
          <w:tcPr>
            <w:tcW w:w="885" w:type="dxa"/>
            <w:vAlign w:val="center"/>
          </w:tcPr>
          <w:p w14:paraId="70BC38A1" w14:textId="77777777" w:rsidR="00D12939" w:rsidRDefault="004F47F5">
            <w:pPr>
              <w:pStyle w:val="affffffffffffd"/>
              <w:outlineLvl w:val="9"/>
              <w:rPr>
                <w:rFonts w:eastAsia="宋体"/>
                <w:kern w:val="0"/>
                <w:sz w:val="21"/>
                <w:szCs w:val="21"/>
              </w:rPr>
            </w:pPr>
            <w:r>
              <w:rPr>
                <w:rFonts w:eastAsia="宋体" w:hint="eastAsia"/>
                <w:kern w:val="0"/>
                <w:sz w:val="21"/>
                <w:szCs w:val="21"/>
              </w:rPr>
              <w:t>7</w:t>
            </w:r>
            <w:r>
              <w:rPr>
                <w:rFonts w:eastAsia="宋体"/>
                <w:kern w:val="0"/>
                <w:sz w:val="21"/>
                <w:szCs w:val="21"/>
              </w:rPr>
              <w:t>0</w:t>
            </w:r>
          </w:p>
        </w:tc>
        <w:tc>
          <w:tcPr>
            <w:tcW w:w="884" w:type="dxa"/>
            <w:vAlign w:val="center"/>
          </w:tcPr>
          <w:p w14:paraId="7FD574B7"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4</w:t>
            </w:r>
          </w:p>
        </w:tc>
        <w:tc>
          <w:tcPr>
            <w:tcW w:w="884" w:type="dxa"/>
            <w:vAlign w:val="center"/>
          </w:tcPr>
          <w:p w14:paraId="3AEB96FA" w14:textId="77777777" w:rsidR="00D12939" w:rsidRDefault="004F47F5">
            <w:pPr>
              <w:pStyle w:val="affffffffffffd"/>
              <w:outlineLvl w:val="9"/>
              <w:rPr>
                <w:rFonts w:eastAsia="宋体"/>
                <w:kern w:val="0"/>
                <w:sz w:val="21"/>
                <w:szCs w:val="21"/>
              </w:rPr>
            </w:pPr>
            <w:r>
              <w:rPr>
                <w:rFonts w:eastAsia="宋体" w:hint="eastAsia"/>
                <w:kern w:val="0"/>
                <w:sz w:val="21"/>
                <w:szCs w:val="21"/>
              </w:rPr>
              <w:t>6</w:t>
            </w:r>
            <w:r>
              <w:rPr>
                <w:rFonts w:eastAsia="宋体"/>
                <w:kern w:val="0"/>
                <w:sz w:val="21"/>
                <w:szCs w:val="21"/>
              </w:rPr>
              <w:t>0.5</w:t>
            </w:r>
          </w:p>
        </w:tc>
        <w:tc>
          <w:tcPr>
            <w:tcW w:w="884" w:type="dxa"/>
            <w:vAlign w:val="center"/>
          </w:tcPr>
          <w:p w14:paraId="7B0BD074"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6</w:t>
            </w:r>
          </w:p>
        </w:tc>
        <w:tc>
          <w:tcPr>
            <w:tcW w:w="884" w:type="dxa"/>
            <w:vAlign w:val="center"/>
          </w:tcPr>
          <w:p w14:paraId="0F48F7F7" w14:textId="77777777" w:rsidR="00D12939" w:rsidRDefault="004F47F5">
            <w:pPr>
              <w:pStyle w:val="affffffffffffd"/>
              <w:outlineLvl w:val="9"/>
              <w:rPr>
                <w:rFonts w:eastAsia="宋体"/>
                <w:kern w:val="0"/>
                <w:sz w:val="21"/>
                <w:szCs w:val="21"/>
              </w:rPr>
            </w:pPr>
            <w:r>
              <w:rPr>
                <w:rFonts w:eastAsia="宋体" w:hint="eastAsia"/>
                <w:kern w:val="0"/>
                <w:sz w:val="21"/>
                <w:szCs w:val="21"/>
              </w:rPr>
              <w:t>5</w:t>
            </w:r>
            <w:r>
              <w:rPr>
                <w:rFonts w:eastAsia="宋体"/>
                <w:kern w:val="0"/>
                <w:sz w:val="21"/>
                <w:szCs w:val="21"/>
              </w:rPr>
              <w:t>0</w:t>
            </w:r>
          </w:p>
        </w:tc>
        <w:tc>
          <w:tcPr>
            <w:tcW w:w="884" w:type="dxa"/>
            <w:vAlign w:val="center"/>
          </w:tcPr>
          <w:p w14:paraId="7D5D8216" w14:textId="77777777" w:rsidR="00D12939" w:rsidRDefault="004F47F5">
            <w:pPr>
              <w:pStyle w:val="affffffffffffd"/>
              <w:outlineLvl w:val="9"/>
              <w:rPr>
                <w:rFonts w:eastAsia="宋体"/>
                <w:kern w:val="0"/>
                <w:sz w:val="21"/>
                <w:szCs w:val="21"/>
              </w:rPr>
            </w:pPr>
            <w:r>
              <w:rPr>
                <w:rFonts w:eastAsia="宋体" w:hint="eastAsia"/>
                <w:kern w:val="0"/>
                <w:sz w:val="21"/>
                <w:szCs w:val="21"/>
              </w:rPr>
              <w:t>4</w:t>
            </w:r>
            <w:r>
              <w:rPr>
                <w:rFonts w:eastAsia="宋体"/>
                <w:kern w:val="0"/>
                <w:sz w:val="21"/>
                <w:szCs w:val="21"/>
              </w:rPr>
              <w:t>6.5</w:t>
            </w:r>
          </w:p>
        </w:tc>
      </w:tr>
    </w:tbl>
    <w:p w14:paraId="525F0A75" w14:textId="77777777" w:rsidR="00D12939" w:rsidRDefault="004F47F5">
      <w:pPr>
        <w:pStyle w:val="affffffffffffd"/>
        <w:spacing w:line="360" w:lineRule="auto"/>
        <w:jc w:val="right"/>
        <w:outlineLvl w:val="9"/>
      </w:pPr>
      <w:r>
        <w:rPr>
          <w:rFonts w:hint="eastAsia"/>
        </w:rPr>
        <w:t>表</w:t>
      </w:r>
      <w:r>
        <w:t xml:space="preserve">7.3-6   </w:t>
      </w:r>
      <w:r>
        <w:rPr>
          <w:rFonts w:hint="eastAsia"/>
        </w:rPr>
        <w:t>厂界噪声预测结果表</w:t>
      </w:r>
      <w:r>
        <w:rPr>
          <w:rFonts w:hint="eastAsia"/>
        </w:rPr>
        <w:t xml:space="preserve"> </w:t>
      </w:r>
      <w:r>
        <w:t xml:space="preserve">           </w:t>
      </w:r>
      <w:r>
        <w:rPr>
          <w:rFonts w:hint="eastAsia"/>
        </w:rPr>
        <w:t>单位：</w:t>
      </w:r>
      <w:r>
        <w:t>dB</w:t>
      </w:r>
      <w:r>
        <w:rPr>
          <w:rFonts w:hint="eastAsia"/>
        </w:rPr>
        <w:t>（</w:t>
      </w:r>
      <w:r>
        <w:t>A</w:t>
      </w:r>
      <w:r>
        <w:rPr>
          <w:rFonts w:hint="eastAsia"/>
        </w:rPr>
        <w:t>）</w:t>
      </w:r>
    </w:p>
    <w:tbl>
      <w:tblPr>
        <w:tblW w:w="9396"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25"/>
        <w:gridCol w:w="1473"/>
        <w:gridCol w:w="878"/>
        <w:gridCol w:w="991"/>
        <w:gridCol w:w="878"/>
        <w:gridCol w:w="882"/>
        <w:gridCol w:w="768"/>
        <w:gridCol w:w="991"/>
        <w:gridCol w:w="1004"/>
        <w:gridCol w:w="1006"/>
      </w:tblGrid>
      <w:tr w:rsidR="00D12939" w14:paraId="05BA3F31" w14:textId="77777777">
        <w:trPr>
          <w:trHeight w:val="180"/>
          <w:jc w:val="center"/>
        </w:trPr>
        <w:tc>
          <w:tcPr>
            <w:tcW w:w="525" w:type="dxa"/>
            <w:vMerge w:val="restart"/>
            <w:tcBorders>
              <w:top w:val="single" w:sz="12" w:space="0" w:color="000000"/>
              <w:left w:val="single" w:sz="12" w:space="0" w:color="000000"/>
              <w:bottom w:val="single" w:sz="6" w:space="0" w:color="000000"/>
              <w:right w:val="single" w:sz="6" w:space="0" w:color="000000"/>
            </w:tcBorders>
            <w:vAlign w:val="center"/>
          </w:tcPr>
          <w:p w14:paraId="2321095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序号</w:t>
            </w:r>
          </w:p>
        </w:tc>
        <w:tc>
          <w:tcPr>
            <w:tcW w:w="1473" w:type="dxa"/>
            <w:vMerge w:val="restart"/>
            <w:tcBorders>
              <w:top w:val="single" w:sz="12" w:space="0" w:color="000000"/>
              <w:left w:val="single" w:sz="6" w:space="0" w:color="000000"/>
              <w:bottom w:val="single" w:sz="6" w:space="0" w:color="000000"/>
              <w:right w:val="single" w:sz="6" w:space="0" w:color="000000"/>
            </w:tcBorders>
            <w:vAlign w:val="center"/>
          </w:tcPr>
          <w:p w14:paraId="45710CF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位置</w:t>
            </w:r>
          </w:p>
        </w:tc>
        <w:tc>
          <w:tcPr>
            <w:tcW w:w="1869" w:type="dxa"/>
            <w:gridSpan w:val="2"/>
            <w:tcBorders>
              <w:top w:val="single" w:sz="12" w:space="0" w:color="000000"/>
              <w:left w:val="single" w:sz="6" w:space="0" w:color="000000"/>
              <w:bottom w:val="single" w:sz="6" w:space="0" w:color="000000"/>
              <w:right w:val="single" w:sz="6" w:space="0" w:color="000000"/>
            </w:tcBorders>
            <w:vAlign w:val="center"/>
          </w:tcPr>
          <w:p w14:paraId="1D0BA4A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贡献值</w:t>
            </w:r>
          </w:p>
        </w:tc>
        <w:tc>
          <w:tcPr>
            <w:tcW w:w="1760" w:type="dxa"/>
            <w:gridSpan w:val="2"/>
            <w:tcBorders>
              <w:top w:val="single" w:sz="12" w:space="0" w:color="000000"/>
              <w:left w:val="single" w:sz="6" w:space="0" w:color="000000"/>
              <w:bottom w:val="single" w:sz="6" w:space="0" w:color="000000"/>
              <w:right w:val="single" w:sz="6" w:space="0" w:color="000000"/>
            </w:tcBorders>
            <w:vAlign w:val="center"/>
          </w:tcPr>
          <w:p w14:paraId="62B80EE7"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背景值</w:t>
            </w:r>
          </w:p>
        </w:tc>
        <w:tc>
          <w:tcPr>
            <w:tcW w:w="1759" w:type="dxa"/>
            <w:gridSpan w:val="2"/>
            <w:tcBorders>
              <w:top w:val="single" w:sz="12" w:space="0" w:color="000000"/>
              <w:left w:val="single" w:sz="6" w:space="0" w:color="000000"/>
              <w:bottom w:val="single" w:sz="6" w:space="0" w:color="000000"/>
              <w:right w:val="single" w:sz="6" w:space="0" w:color="000000"/>
            </w:tcBorders>
            <w:vAlign w:val="center"/>
          </w:tcPr>
          <w:p w14:paraId="4A20A04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预测值</w:t>
            </w:r>
          </w:p>
        </w:tc>
        <w:tc>
          <w:tcPr>
            <w:tcW w:w="2010" w:type="dxa"/>
            <w:gridSpan w:val="2"/>
            <w:tcBorders>
              <w:top w:val="single" w:sz="12" w:space="0" w:color="000000"/>
              <w:left w:val="single" w:sz="6" w:space="0" w:color="000000"/>
              <w:bottom w:val="single" w:sz="6" w:space="0" w:color="000000"/>
              <w:right w:val="single" w:sz="12" w:space="0" w:color="000000"/>
            </w:tcBorders>
            <w:vAlign w:val="center"/>
          </w:tcPr>
          <w:p w14:paraId="60B11D3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标准</w:t>
            </w:r>
          </w:p>
        </w:tc>
      </w:tr>
      <w:tr w:rsidR="00D12939" w14:paraId="0EF1FA1E" w14:textId="77777777">
        <w:trPr>
          <w:trHeight w:val="180"/>
          <w:jc w:val="center"/>
        </w:trPr>
        <w:tc>
          <w:tcPr>
            <w:tcW w:w="525" w:type="dxa"/>
            <w:vMerge/>
            <w:tcBorders>
              <w:top w:val="single" w:sz="12" w:space="0" w:color="000000"/>
              <w:left w:val="single" w:sz="12" w:space="0" w:color="000000"/>
              <w:bottom w:val="single" w:sz="6" w:space="0" w:color="000000"/>
              <w:right w:val="single" w:sz="6" w:space="0" w:color="000000"/>
            </w:tcBorders>
            <w:vAlign w:val="center"/>
          </w:tcPr>
          <w:p w14:paraId="5516F279"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473" w:type="dxa"/>
            <w:vMerge/>
            <w:tcBorders>
              <w:top w:val="single" w:sz="12" w:space="0" w:color="000000"/>
              <w:left w:val="single" w:sz="6" w:space="0" w:color="000000"/>
              <w:bottom w:val="single" w:sz="6" w:space="0" w:color="000000"/>
              <w:right w:val="single" w:sz="6" w:space="0" w:color="000000"/>
            </w:tcBorders>
            <w:vAlign w:val="center"/>
          </w:tcPr>
          <w:p w14:paraId="6C60E43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878" w:type="dxa"/>
            <w:tcBorders>
              <w:top w:val="single" w:sz="6" w:space="0" w:color="000000"/>
              <w:left w:val="single" w:sz="6" w:space="0" w:color="000000"/>
              <w:bottom w:val="single" w:sz="6" w:space="0" w:color="000000"/>
              <w:right w:val="single" w:sz="6" w:space="0" w:color="000000"/>
            </w:tcBorders>
            <w:vAlign w:val="center"/>
          </w:tcPr>
          <w:p w14:paraId="5C20377F"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昼间</w:t>
            </w:r>
          </w:p>
        </w:tc>
        <w:tc>
          <w:tcPr>
            <w:tcW w:w="991" w:type="dxa"/>
            <w:tcBorders>
              <w:top w:val="single" w:sz="6" w:space="0" w:color="000000"/>
              <w:left w:val="single" w:sz="6" w:space="0" w:color="000000"/>
              <w:bottom w:val="single" w:sz="6" w:space="0" w:color="000000"/>
              <w:right w:val="single" w:sz="6" w:space="0" w:color="000000"/>
            </w:tcBorders>
            <w:vAlign w:val="center"/>
          </w:tcPr>
          <w:p w14:paraId="5AFDE66A"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夜间</w:t>
            </w:r>
          </w:p>
        </w:tc>
        <w:tc>
          <w:tcPr>
            <w:tcW w:w="878" w:type="dxa"/>
            <w:tcBorders>
              <w:top w:val="single" w:sz="6" w:space="0" w:color="000000"/>
              <w:left w:val="single" w:sz="6" w:space="0" w:color="000000"/>
              <w:bottom w:val="single" w:sz="6" w:space="0" w:color="000000"/>
              <w:right w:val="single" w:sz="6" w:space="0" w:color="000000"/>
            </w:tcBorders>
            <w:vAlign w:val="center"/>
          </w:tcPr>
          <w:p w14:paraId="597D643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昼间</w:t>
            </w:r>
          </w:p>
        </w:tc>
        <w:tc>
          <w:tcPr>
            <w:tcW w:w="882" w:type="dxa"/>
            <w:tcBorders>
              <w:top w:val="single" w:sz="6" w:space="0" w:color="000000"/>
              <w:left w:val="single" w:sz="6" w:space="0" w:color="000000"/>
              <w:bottom w:val="single" w:sz="6" w:space="0" w:color="000000"/>
              <w:right w:val="single" w:sz="6" w:space="0" w:color="000000"/>
            </w:tcBorders>
            <w:vAlign w:val="center"/>
          </w:tcPr>
          <w:p w14:paraId="3A79BD6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夜间</w:t>
            </w:r>
          </w:p>
        </w:tc>
        <w:tc>
          <w:tcPr>
            <w:tcW w:w="768" w:type="dxa"/>
            <w:tcBorders>
              <w:top w:val="single" w:sz="6" w:space="0" w:color="000000"/>
              <w:left w:val="single" w:sz="6" w:space="0" w:color="000000"/>
              <w:bottom w:val="single" w:sz="6" w:space="0" w:color="000000"/>
              <w:right w:val="single" w:sz="6" w:space="0" w:color="000000"/>
            </w:tcBorders>
            <w:vAlign w:val="center"/>
          </w:tcPr>
          <w:p w14:paraId="6B635607"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昼间</w:t>
            </w:r>
          </w:p>
        </w:tc>
        <w:tc>
          <w:tcPr>
            <w:tcW w:w="991" w:type="dxa"/>
            <w:tcBorders>
              <w:top w:val="single" w:sz="6" w:space="0" w:color="000000"/>
              <w:left w:val="single" w:sz="6" w:space="0" w:color="000000"/>
              <w:bottom w:val="single" w:sz="6" w:space="0" w:color="000000"/>
              <w:right w:val="single" w:sz="6" w:space="0" w:color="000000"/>
            </w:tcBorders>
            <w:vAlign w:val="center"/>
          </w:tcPr>
          <w:p w14:paraId="5CE84D4B"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夜间</w:t>
            </w:r>
          </w:p>
        </w:tc>
        <w:tc>
          <w:tcPr>
            <w:tcW w:w="1004" w:type="dxa"/>
            <w:tcBorders>
              <w:top w:val="single" w:sz="6" w:space="0" w:color="000000"/>
              <w:left w:val="single" w:sz="6" w:space="0" w:color="000000"/>
              <w:bottom w:val="single" w:sz="6" w:space="0" w:color="000000"/>
              <w:right w:val="single" w:sz="6" w:space="0" w:color="000000"/>
            </w:tcBorders>
            <w:vAlign w:val="center"/>
          </w:tcPr>
          <w:p w14:paraId="56EA0EB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昼间</w:t>
            </w:r>
          </w:p>
        </w:tc>
        <w:tc>
          <w:tcPr>
            <w:tcW w:w="1006" w:type="dxa"/>
            <w:tcBorders>
              <w:top w:val="single" w:sz="6" w:space="0" w:color="000000"/>
              <w:left w:val="single" w:sz="6" w:space="0" w:color="000000"/>
              <w:bottom w:val="single" w:sz="6" w:space="0" w:color="000000"/>
              <w:right w:val="single" w:sz="12" w:space="0" w:color="000000"/>
            </w:tcBorders>
            <w:vAlign w:val="center"/>
          </w:tcPr>
          <w:p w14:paraId="6C442FF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夜间</w:t>
            </w:r>
          </w:p>
        </w:tc>
      </w:tr>
      <w:tr w:rsidR="00D12939" w14:paraId="63307FA7" w14:textId="77777777">
        <w:trPr>
          <w:trHeight w:val="180"/>
          <w:jc w:val="center"/>
        </w:trPr>
        <w:tc>
          <w:tcPr>
            <w:tcW w:w="525" w:type="dxa"/>
            <w:tcBorders>
              <w:top w:val="single" w:sz="6" w:space="0" w:color="000000"/>
              <w:left w:val="single" w:sz="12" w:space="0" w:color="000000"/>
              <w:bottom w:val="single" w:sz="6" w:space="0" w:color="000000"/>
              <w:right w:val="single" w:sz="6" w:space="0" w:color="000000"/>
            </w:tcBorders>
            <w:vAlign w:val="center"/>
          </w:tcPr>
          <w:p w14:paraId="7415187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1</w:t>
            </w:r>
          </w:p>
        </w:tc>
        <w:tc>
          <w:tcPr>
            <w:tcW w:w="1473" w:type="dxa"/>
            <w:tcBorders>
              <w:top w:val="single" w:sz="6" w:space="0" w:color="000000"/>
              <w:left w:val="single" w:sz="6" w:space="0" w:color="000000"/>
              <w:bottom w:val="single" w:sz="6" w:space="0" w:color="000000"/>
              <w:right w:val="single" w:sz="6" w:space="0" w:color="000000"/>
            </w:tcBorders>
            <w:vAlign w:val="center"/>
          </w:tcPr>
          <w:p w14:paraId="685805E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东厂界</w:t>
            </w:r>
            <w:r>
              <w:rPr>
                <w:rFonts w:ascii="Times New Roman" w:eastAsia="宋体" w:hAnsi="Times New Roman"/>
                <w:sz w:val="21"/>
                <w:szCs w:val="21"/>
              </w:rPr>
              <w:t>1</w:t>
            </w:r>
          </w:p>
        </w:tc>
        <w:tc>
          <w:tcPr>
            <w:tcW w:w="878" w:type="dxa"/>
            <w:tcBorders>
              <w:top w:val="single" w:sz="6" w:space="0" w:color="000000"/>
              <w:left w:val="single" w:sz="6" w:space="0" w:color="000000"/>
              <w:bottom w:val="single" w:sz="6" w:space="0" w:color="000000"/>
              <w:right w:val="single" w:sz="6" w:space="0" w:color="000000"/>
            </w:tcBorders>
            <w:vAlign w:val="center"/>
          </w:tcPr>
          <w:p w14:paraId="13E6B719" w14:textId="77777777" w:rsidR="00D12939" w:rsidRDefault="004F47F5">
            <w:pPr>
              <w:jc w:val="center"/>
              <w:rPr>
                <w:rFonts w:ascii="Times New Roman" w:hAnsi="Times New Roman" w:cs="Times New Roman"/>
              </w:rPr>
            </w:pPr>
            <w:r>
              <w:rPr>
                <w:rFonts w:ascii="Times New Roman" w:hAnsi="Times New Roman" w:cs="Times New Roman"/>
              </w:rPr>
              <w:t>38.47</w:t>
            </w:r>
          </w:p>
        </w:tc>
        <w:tc>
          <w:tcPr>
            <w:tcW w:w="991" w:type="dxa"/>
            <w:tcBorders>
              <w:top w:val="single" w:sz="6" w:space="0" w:color="000000"/>
              <w:left w:val="single" w:sz="6" w:space="0" w:color="000000"/>
              <w:bottom w:val="single" w:sz="6" w:space="0" w:color="000000"/>
              <w:right w:val="single" w:sz="6" w:space="0" w:color="000000"/>
            </w:tcBorders>
            <w:vAlign w:val="center"/>
          </w:tcPr>
          <w:p w14:paraId="150B0790" w14:textId="77777777" w:rsidR="00D12939" w:rsidRDefault="004F47F5">
            <w:pPr>
              <w:jc w:val="center"/>
              <w:rPr>
                <w:rFonts w:ascii="Times New Roman" w:hAnsi="Times New Roman" w:cs="Times New Roman"/>
              </w:rPr>
            </w:pPr>
            <w:r>
              <w:rPr>
                <w:rFonts w:ascii="Times New Roman" w:hAnsi="Times New Roman" w:cs="Times New Roman"/>
              </w:rPr>
              <w:t>38.47</w:t>
            </w:r>
          </w:p>
        </w:tc>
        <w:tc>
          <w:tcPr>
            <w:tcW w:w="878" w:type="dxa"/>
            <w:tcBorders>
              <w:top w:val="single" w:sz="6" w:space="0" w:color="000000"/>
              <w:left w:val="single" w:sz="6" w:space="0" w:color="000000"/>
              <w:bottom w:val="single" w:sz="6" w:space="0" w:color="000000"/>
              <w:right w:val="single" w:sz="6" w:space="0" w:color="000000"/>
            </w:tcBorders>
            <w:vAlign w:val="center"/>
          </w:tcPr>
          <w:p w14:paraId="632DCBB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3</w:t>
            </w:r>
          </w:p>
        </w:tc>
        <w:tc>
          <w:tcPr>
            <w:tcW w:w="882" w:type="dxa"/>
            <w:tcBorders>
              <w:top w:val="single" w:sz="6" w:space="0" w:color="000000"/>
              <w:left w:val="single" w:sz="6" w:space="0" w:color="000000"/>
              <w:bottom w:val="single" w:sz="6" w:space="0" w:color="000000"/>
              <w:right w:val="single" w:sz="6" w:space="0" w:color="000000"/>
            </w:tcBorders>
            <w:vAlign w:val="center"/>
          </w:tcPr>
          <w:p w14:paraId="6EEE2D3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4</w:t>
            </w:r>
          </w:p>
        </w:tc>
        <w:tc>
          <w:tcPr>
            <w:tcW w:w="768" w:type="dxa"/>
            <w:tcBorders>
              <w:top w:val="single" w:sz="6" w:space="0" w:color="000000"/>
              <w:left w:val="single" w:sz="6" w:space="0" w:color="000000"/>
              <w:bottom w:val="single" w:sz="6" w:space="0" w:color="000000"/>
              <w:right w:val="single" w:sz="6" w:space="0" w:color="000000"/>
            </w:tcBorders>
            <w:vAlign w:val="center"/>
          </w:tcPr>
          <w:p w14:paraId="42494DC1" w14:textId="77777777" w:rsidR="00D12939" w:rsidRDefault="004F47F5">
            <w:pPr>
              <w:jc w:val="center"/>
              <w:rPr>
                <w:rFonts w:ascii="Times New Roman" w:hAnsi="Times New Roman" w:cs="Times New Roman"/>
              </w:rPr>
            </w:pPr>
            <w:r>
              <w:rPr>
                <w:rFonts w:ascii="Times New Roman" w:hAnsi="Times New Roman" w:cs="Times New Roman"/>
              </w:rPr>
              <w:t>38.47</w:t>
            </w:r>
          </w:p>
        </w:tc>
        <w:tc>
          <w:tcPr>
            <w:tcW w:w="991" w:type="dxa"/>
            <w:tcBorders>
              <w:top w:val="single" w:sz="6" w:space="0" w:color="000000"/>
              <w:left w:val="single" w:sz="6" w:space="0" w:color="000000"/>
              <w:bottom w:val="single" w:sz="6" w:space="0" w:color="000000"/>
              <w:right w:val="single" w:sz="6" w:space="0" w:color="000000"/>
            </w:tcBorders>
            <w:vAlign w:val="center"/>
          </w:tcPr>
          <w:p w14:paraId="1138B690" w14:textId="77777777" w:rsidR="00D12939" w:rsidRDefault="004F47F5">
            <w:pPr>
              <w:jc w:val="center"/>
              <w:rPr>
                <w:rFonts w:ascii="Times New Roman" w:hAnsi="Times New Roman" w:cs="Times New Roman"/>
              </w:rPr>
            </w:pPr>
            <w:r>
              <w:rPr>
                <w:rFonts w:ascii="Times New Roman" w:hAnsi="Times New Roman" w:cs="Times New Roman"/>
              </w:rPr>
              <w:t>38.47</w:t>
            </w:r>
          </w:p>
        </w:tc>
        <w:tc>
          <w:tcPr>
            <w:tcW w:w="1004" w:type="dxa"/>
            <w:vMerge w:val="restart"/>
            <w:tcBorders>
              <w:top w:val="single" w:sz="6" w:space="0" w:color="000000"/>
              <w:left w:val="single" w:sz="6" w:space="0" w:color="000000"/>
              <w:right w:val="single" w:sz="6" w:space="0" w:color="000000"/>
            </w:tcBorders>
            <w:vAlign w:val="center"/>
          </w:tcPr>
          <w:p w14:paraId="47C076C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60</w:t>
            </w:r>
          </w:p>
        </w:tc>
        <w:tc>
          <w:tcPr>
            <w:tcW w:w="1006" w:type="dxa"/>
            <w:vMerge w:val="restart"/>
            <w:tcBorders>
              <w:top w:val="single" w:sz="6" w:space="0" w:color="000000"/>
              <w:left w:val="single" w:sz="6" w:space="0" w:color="000000"/>
              <w:right w:val="single" w:sz="12" w:space="0" w:color="000000"/>
            </w:tcBorders>
            <w:vAlign w:val="center"/>
          </w:tcPr>
          <w:p w14:paraId="3D9A4AB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50</w:t>
            </w:r>
          </w:p>
        </w:tc>
      </w:tr>
      <w:tr w:rsidR="00D12939" w14:paraId="448564B3" w14:textId="77777777">
        <w:trPr>
          <w:trHeight w:val="180"/>
          <w:jc w:val="center"/>
        </w:trPr>
        <w:tc>
          <w:tcPr>
            <w:tcW w:w="525" w:type="dxa"/>
            <w:tcBorders>
              <w:top w:val="single" w:sz="6" w:space="0" w:color="000000"/>
              <w:left w:val="single" w:sz="12" w:space="0" w:color="000000"/>
              <w:bottom w:val="single" w:sz="6" w:space="0" w:color="000000"/>
              <w:right w:val="single" w:sz="6" w:space="0" w:color="000000"/>
            </w:tcBorders>
            <w:vAlign w:val="center"/>
          </w:tcPr>
          <w:p w14:paraId="569E269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2</w:t>
            </w:r>
          </w:p>
        </w:tc>
        <w:tc>
          <w:tcPr>
            <w:tcW w:w="1473" w:type="dxa"/>
            <w:tcBorders>
              <w:top w:val="single" w:sz="6" w:space="0" w:color="000000"/>
              <w:left w:val="single" w:sz="6" w:space="0" w:color="000000"/>
              <w:bottom w:val="single" w:sz="6" w:space="0" w:color="000000"/>
              <w:right w:val="single" w:sz="6" w:space="0" w:color="000000"/>
            </w:tcBorders>
            <w:vAlign w:val="center"/>
          </w:tcPr>
          <w:p w14:paraId="0C3AA76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东厂界</w:t>
            </w:r>
            <w:r>
              <w:rPr>
                <w:rFonts w:ascii="Times New Roman" w:eastAsia="宋体" w:hAnsi="Times New Roman"/>
                <w:sz w:val="21"/>
                <w:szCs w:val="21"/>
              </w:rPr>
              <w:t>2</w:t>
            </w:r>
          </w:p>
        </w:tc>
        <w:tc>
          <w:tcPr>
            <w:tcW w:w="878" w:type="dxa"/>
            <w:tcBorders>
              <w:top w:val="single" w:sz="6" w:space="0" w:color="000000"/>
              <w:left w:val="single" w:sz="6" w:space="0" w:color="000000"/>
              <w:bottom w:val="single" w:sz="6" w:space="0" w:color="000000"/>
              <w:right w:val="single" w:sz="6" w:space="0" w:color="000000"/>
            </w:tcBorders>
            <w:vAlign w:val="center"/>
          </w:tcPr>
          <w:p w14:paraId="4133DCC6" w14:textId="77777777" w:rsidR="00D12939" w:rsidRDefault="004F47F5">
            <w:pPr>
              <w:jc w:val="center"/>
              <w:rPr>
                <w:rFonts w:ascii="Times New Roman" w:hAnsi="Times New Roman" w:cs="Times New Roman"/>
              </w:rPr>
            </w:pPr>
            <w:r>
              <w:rPr>
                <w:rFonts w:ascii="Times New Roman" w:hAnsi="Times New Roman" w:cs="Times New Roman"/>
              </w:rPr>
              <w:t>49.43</w:t>
            </w:r>
          </w:p>
        </w:tc>
        <w:tc>
          <w:tcPr>
            <w:tcW w:w="991" w:type="dxa"/>
            <w:tcBorders>
              <w:top w:val="single" w:sz="6" w:space="0" w:color="000000"/>
              <w:left w:val="single" w:sz="6" w:space="0" w:color="000000"/>
              <w:bottom w:val="single" w:sz="6" w:space="0" w:color="000000"/>
              <w:right w:val="single" w:sz="6" w:space="0" w:color="000000"/>
            </w:tcBorders>
            <w:vAlign w:val="center"/>
          </w:tcPr>
          <w:p w14:paraId="7DA97C08" w14:textId="77777777" w:rsidR="00D12939" w:rsidRDefault="004F47F5">
            <w:pPr>
              <w:jc w:val="center"/>
              <w:rPr>
                <w:rFonts w:ascii="Times New Roman" w:hAnsi="Times New Roman" w:cs="Times New Roman"/>
              </w:rPr>
            </w:pPr>
            <w:r>
              <w:rPr>
                <w:rFonts w:ascii="Times New Roman" w:hAnsi="Times New Roman" w:cs="Times New Roman"/>
              </w:rPr>
              <w:t>49.43</w:t>
            </w:r>
          </w:p>
        </w:tc>
        <w:tc>
          <w:tcPr>
            <w:tcW w:w="878" w:type="dxa"/>
            <w:tcBorders>
              <w:top w:val="single" w:sz="6" w:space="0" w:color="000000"/>
              <w:left w:val="single" w:sz="6" w:space="0" w:color="000000"/>
              <w:bottom w:val="single" w:sz="6" w:space="0" w:color="000000"/>
              <w:right w:val="single" w:sz="6" w:space="0" w:color="000000"/>
            </w:tcBorders>
            <w:vAlign w:val="center"/>
          </w:tcPr>
          <w:p w14:paraId="6A08328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4</w:t>
            </w:r>
          </w:p>
        </w:tc>
        <w:tc>
          <w:tcPr>
            <w:tcW w:w="882" w:type="dxa"/>
            <w:tcBorders>
              <w:top w:val="single" w:sz="6" w:space="0" w:color="000000"/>
              <w:left w:val="single" w:sz="6" w:space="0" w:color="000000"/>
              <w:bottom w:val="single" w:sz="6" w:space="0" w:color="000000"/>
              <w:right w:val="single" w:sz="6" w:space="0" w:color="000000"/>
            </w:tcBorders>
            <w:vAlign w:val="center"/>
          </w:tcPr>
          <w:p w14:paraId="5786FCA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5</w:t>
            </w:r>
          </w:p>
        </w:tc>
        <w:tc>
          <w:tcPr>
            <w:tcW w:w="768" w:type="dxa"/>
            <w:tcBorders>
              <w:top w:val="single" w:sz="6" w:space="0" w:color="000000"/>
              <w:left w:val="single" w:sz="6" w:space="0" w:color="000000"/>
              <w:bottom w:val="single" w:sz="6" w:space="0" w:color="000000"/>
              <w:right w:val="single" w:sz="6" w:space="0" w:color="000000"/>
            </w:tcBorders>
            <w:vAlign w:val="center"/>
          </w:tcPr>
          <w:p w14:paraId="70972818" w14:textId="77777777" w:rsidR="00D12939" w:rsidRDefault="004F47F5">
            <w:pPr>
              <w:jc w:val="center"/>
              <w:rPr>
                <w:rFonts w:ascii="Times New Roman" w:hAnsi="Times New Roman" w:cs="Times New Roman"/>
              </w:rPr>
            </w:pPr>
            <w:r>
              <w:rPr>
                <w:rFonts w:ascii="Times New Roman" w:hAnsi="Times New Roman" w:cs="Times New Roman"/>
              </w:rPr>
              <w:t>49.43</w:t>
            </w:r>
          </w:p>
        </w:tc>
        <w:tc>
          <w:tcPr>
            <w:tcW w:w="991" w:type="dxa"/>
            <w:tcBorders>
              <w:top w:val="single" w:sz="6" w:space="0" w:color="000000"/>
              <w:left w:val="single" w:sz="6" w:space="0" w:color="000000"/>
              <w:bottom w:val="single" w:sz="6" w:space="0" w:color="000000"/>
              <w:right w:val="single" w:sz="6" w:space="0" w:color="000000"/>
            </w:tcBorders>
            <w:vAlign w:val="center"/>
          </w:tcPr>
          <w:p w14:paraId="71EA1EF8" w14:textId="77777777" w:rsidR="00D12939" w:rsidRDefault="004F47F5">
            <w:pPr>
              <w:jc w:val="center"/>
              <w:rPr>
                <w:rFonts w:ascii="Times New Roman" w:hAnsi="Times New Roman" w:cs="Times New Roman"/>
              </w:rPr>
            </w:pPr>
            <w:r>
              <w:rPr>
                <w:rFonts w:ascii="Times New Roman" w:hAnsi="Times New Roman" w:cs="Times New Roman"/>
              </w:rPr>
              <w:t>49.43</w:t>
            </w:r>
          </w:p>
        </w:tc>
        <w:tc>
          <w:tcPr>
            <w:tcW w:w="1004" w:type="dxa"/>
            <w:vMerge/>
            <w:tcBorders>
              <w:left w:val="single" w:sz="6" w:space="0" w:color="000000"/>
              <w:right w:val="single" w:sz="6" w:space="0" w:color="000000"/>
            </w:tcBorders>
            <w:vAlign w:val="center"/>
          </w:tcPr>
          <w:p w14:paraId="3DB312D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06" w:type="dxa"/>
            <w:vMerge/>
            <w:tcBorders>
              <w:left w:val="single" w:sz="6" w:space="0" w:color="000000"/>
              <w:right w:val="single" w:sz="12" w:space="0" w:color="000000"/>
            </w:tcBorders>
            <w:vAlign w:val="center"/>
          </w:tcPr>
          <w:p w14:paraId="19E6C0F6"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r w:rsidR="00D12939" w14:paraId="6B820654" w14:textId="77777777">
        <w:trPr>
          <w:trHeight w:val="180"/>
          <w:jc w:val="center"/>
        </w:trPr>
        <w:tc>
          <w:tcPr>
            <w:tcW w:w="525" w:type="dxa"/>
            <w:tcBorders>
              <w:top w:val="single" w:sz="6" w:space="0" w:color="000000"/>
              <w:left w:val="single" w:sz="12" w:space="0" w:color="000000"/>
              <w:bottom w:val="single" w:sz="6" w:space="0" w:color="000000"/>
              <w:right w:val="single" w:sz="6" w:space="0" w:color="000000"/>
            </w:tcBorders>
            <w:vAlign w:val="center"/>
          </w:tcPr>
          <w:p w14:paraId="4C74FDD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3</w:t>
            </w:r>
          </w:p>
        </w:tc>
        <w:tc>
          <w:tcPr>
            <w:tcW w:w="1473" w:type="dxa"/>
            <w:tcBorders>
              <w:top w:val="single" w:sz="6" w:space="0" w:color="000000"/>
              <w:left w:val="single" w:sz="6" w:space="0" w:color="000000"/>
              <w:bottom w:val="single" w:sz="6" w:space="0" w:color="000000"/>
              <w:right w:val="single" w:sz="6" w:space="0" w:color="000000"/>
            </w:tcBorders>
            <w:vAlign w:val="center"/>
          </w:tcPr>
          <w:p w14:paraId="3F3C1B7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南厂界</w:t>
            </w:r>
            <w:r>
              <w:rPr>
                <w:rFonts w:ascii="Times New Roman" w:eastAsia="宋体" w:hAnsi="Times New Roman"/>
                <w:sz w:val="21"/>
                <w:szCs w:val="21"/>
              </w:rPr>
              <w:t>1</w:t>
            </w:r>
          </w:p>
        </w:tc>
        <w:tc>
          <w:tcPr>
            <w:tcW w:w="878" w:type="dxa"/>
            <w:tcBorders>
              <w:top w:val="single" w:sz="6" w:space="0" w:color="000000"/>
              <w:left w:val="single" w:sz="6" w:space="0" w:color="000000"/>
              <w:bottom w:val="single" w:sz="6" w:space="0" w:color="000000"/>
              <w:right w:val="single" w:sz="6" w:space="0" w:color="000000"/>
            </w:tcBorders>
            <w:vAlign w:val="center"/>
          </w:tcPr>
          <w:p w14:paraId="7FF7958C" w14:textId="77777777" w:rsidR="00D12939" w:rsidRDefault="004F47F5">
            <w:pPr>
              <w:jc w:val="center"/>
              <w:rPr>
                <w:rFonts w:ascii="Times New Roman" w:hAnsi="Times New Roman" w:cs="Times New Roman"/>
              </w:rPr>
            </w:pPr>
            <w:r>
              <w:rPr>
                <w:rFonts w:ascii="Times New Roman" w:hAnsi="Times New Roman" w:cs="Times New Roman"/>
              </w:rPr>
              <w:t>43.49</w:t>
            </w:r>
          </w:p>
        </w:tc>
        <w:tc>
          <w:tcPr>
            <w:tcW w:w="991" w:type="dxa"/>
            <w:tcBorders>
              <w:top w:val="single" w:sz="6" w:space="0" w:color="000000"/>
              <w:left w:val="single" w:sz="6" w:space="0" w:color="000000"/>
              <w:bottom w:val="single" w:sz="6" w:space="0" w:color="000000"/>
              <w:right w:val="single" w:sz="6" w:space="0" w:color="000000"/>
            </w:tcBorders>
            <w:vAlign w:val="center"/>
          </w:tcPr>
          <w:p w14:paraId="583127D3" w14:textId="77777777" w:rsidR="00D12939" w:rsidRDefault="004F47F5">
            <w:pPr>
              <w:jc w:val="center"/>
              <w:rPr>
                <w:rFonts w:ascii="Times New Roman" w:hAnsi="Times New Roman" w:cs="Times New Roman"/>
              </w:rPr>
            </w:pPr>
            <w:r>
              <w:rPr>
                <w:rFonts w:ascii="Times New Roman" w:hAnsi="Times New Roman" w:cs="Times New Roman"/>
              </w:rPr>
              <w:t>43.49</w:t>
            </w:r>
          </w:p>
        </w:tc>
        <w:tc>
          <w:tcPr>
            <w:tcW w:w="878" w:type="dxa"/>
            <w:tcBorders>
              <w:top w:val="single" w:sz="6" w:space="0" w:color="000000"/>
              <w:left w:val="single" w:sz="6" w:space="0" w:color="000000"/>
              <w:bottom w:val="single" w:sz="6" w:space="0" w:color="000000"/>
              <w:right w:val="single" w:sz="6" w:space="0" w:color="000000"/>
            </w:tcBorders>
            <w:vAlign w:val="center"/>
          </w:tcPr>
          <w:p w14:paraId="70D1AF2D"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3</w:t>
            </w:r>
          </w:p>
        </w:tc>
        <w:tc>
          <w:tcPr>
            <w:tcW w:w="882" w:type="dxa"/>
            <w:tcBorders>
              <w:top w:val="single" w:sz="6" w:space="0" w:color="000000"/>
              <w:left w:val="single" w:sz="6" w:space="0" w:color="000000"/>
              <w:bottom w:val="single" w:sz="6" w:space="0" w:color="000000"/>
              <w:right w:val="single" w:sz="6" w:space="0" w:color="000000"/>
            </w:tcBorders>
            <w:vAlign w:val="center"/>
          </w:tcPr>
          <w:p w14:paraId="373A564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4</w:t>
            </w:r>
          </w:p>
        </w:tc>
        <w:tc>
          <w:tcPr>
            <w:tcW w:w="768" w:type="dxa"/>
            <w:tcBorders>
              <w:top w:val="single" w:sz="6" w:space="0" w:color="000000"/>
              <w:left w:val="single" w:sz="6" w:space="0" w:color="000000"/>
              <w:bottom w:val="single" w:sz="6" w:space="0" w:color="000000"/>
              <w:right w:val="single" w:sz="6" w:space="0" w:color="000000"/>
            </w:tcBorders>
            <w:vAlign w:val="center"/>
          </w:tcPr>
          <w:p w14:paraId="540C77E5" w14:textId="77777777" w:rsidR="00D12939" w:rsidRDefault="004F47F5">
            <w:pPr>
              <w:jc w:val="center"/>
              <w:rPr>
                <w:rFonts w:ascii="Times New Roman" w:hAnsi="Times New Roman" w:cs="Times New Roman"/>
              </w:rPr>
            </w:pPr>
            <w:r>
              <w:rPr>
                <w:rFonts w:ascii="Times New Roman" w:hAnsi="Times New Roman" w:cs="Times New Roman"/>
              </w:rPr>
              <w:t>43.49</w:t>
            </w:r>
          </w:p>
        </w:tc>
        <w:tc>
          <w:tcPr>
            <w:tcW w:w="991" w:type="dxa"/>
            <w:tcBorders>
              <w:top w:val="single" w:sz="6" w:space="0" w:color="000000"/>
              <w:left w:val="single" w:sz="6" w:space="0" w:color="000000"/>
              <w:bottom w:val="single" w:sz="6" w:space="0" w:color="000000"/>
              <w:right w:val="single" w:sz="6" w:space="0" w:color="000000"/>
            </w:tcBorders>
            <w:vAlign w:val="center"/>
          </w:tcPr>
          <w:p w14:paraId="7D607C6E" w14:textId="77777777" w:rsidR="00D12939" w:rsidRDefault="004F47F5">
            <w:pPr>
              <w:jc w:val="center"/>
              <w:rPr>
                <w:rFonts w:ascii="Times New Roman" w:hAnsi="Times New Roman" w:cs="Times New Roman"/>
              </w:rPr>
            </w:pPr>
            <w:r>
              <w:rPr>
                <w:rFonts w:ascii="Times New Roman" w:hAnsi="Times New Roman" w:cs="Times New Roman"/>
              </w:rPr>
              <w:t>43.49</w:t>
            </w:r>
          </w:p>
        </w:tc>
        <w:tc>
          <w:tcPr>
            <w:tcW w:w="1004" w:type="dxa"/>
            <w:vMerge/>
            <w:tcBorders>
              <w:left w:val="single" w:sz="6" w:space="0" w:color="000000"/>
              <w:right w:val="single" w:sz="6" w:space="0" w:color="000000"/>
            </w:tcBorders>
            <w:vAlign w:val="center"/>
          </w:tcPr>
          <w:p w14:paraId="79928BE8"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06" w:type="dxa"/>
            <w:vMerge/>
            <w:tcBorders>
              <w:left w:val="single" w:sz="6" w:space="0" w:color="000000"/>
              <w:right w:val="single" w:sz="12" w:space="0" w:color="000000"/>
            </w:tcBorders>
            <w:vAlign w:val="center"/>
          </w:tcPr>
          <w:p w14:paraId="060E3E8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r w:rsidR="00D12939" w14:paraId="17F412FB" w14:textId="77777777">
        <w:trPr>
          <w:trHeight w:val="180"/>
          <w:jc w:val="center"/>
        </w:trPr>
        <w:tc>
          <w:tcPr>
            <w:tcW w:w="525" w:type="dxa"/>
            <w:tcBorders>
              <w:top w:val="single" w:sz="6" w:space="0" w:color="000000"/>
              <w:left w:val="single" w:sz="12" w:space="0" w:color="000000"/>
              <w:bottom w:val="single" w:sz="6" w:space="0" w:color="000000"/>
              <w:right w:val="single" w:sz="6" w:space="0" w:color="000000"/>
            </w:tcBorders>
            <w:vAlign w:val="center"/>
          </w:tcPr>
          <w:p w14:paraId="7639A85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4</w:t>
            </w:r>
          </w:p>
        </w:tc>
        <w:tc>
          <w:tcPr>
            <w:tcW w:w="1473" w:type="dxa"/>
            <w:tcBorders>
              <w:top w:val="single" w:sz="6" w:space="0" w:color="000000"/>
              <w:left w:val="single" w:sz="6" w:space="0" w:color="000000"/>
              <w:bottom w:val="single" w:sz="6" w:space="0" w:color="000000"/>
              <w:right w:val="single" w:sz="6" w:space="0" w:color="000000"/>
            </w:tcBorders>
            <w:vAlign w:val="center"/>
          </w:tcPr>
          <w:p w14:paraId="1CFB2988"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南厂界</w:t>
            </w:r>
            <w:r>
              <w:rPr>
                <w:rFonts w:ascii="Times New Roman" w:eastAsia="宋体" w:hAnsi="Times New Roman"/>
                <w:sz w:val="21"/>
                <w:szCs w:val="21"/>
              </w:rPr>
              <w:t>2</w:t>
            </w:r>
          </w:p>
        </w:tc>
        <w:tc>
          <w:tcPr>
            <w:tcW w:w="878" w:type="dxa"/>
            <w:tcBorders>
              <w:top w:val="single" w:sz="6" w:space="0" w:color="000000"/>
              <w:left w:val="single" w:sz="6" w:space="0" w:color="000000"/>
              <w:bottom w:val="single" w:sz="6" w:space="0" w:color="000000"/>
              <w:right w:val="single" w:sz="6" w:space="0" w:color="000000"/>
            </w:tcBorders>
            <w:vAlign w:val="center"/>
          </w:tcPr>
          <w:p w14:paraId="6A7514DB" w14:textId="77777777" w:rsidR="00D12939" w:rsidRDefault="004F47F5">
            <w:pPr>
              <w:jc w:val="center"/>
              <w:rPr>
                <w:rFonts w:ascii="Times New Roman" w:hAnsi="Times New Roman" w:cs="Times New Roman"/>
              </w:rPr>
            </w:pPr>
            <w:r>
              <w:rPr>
                <w:rFonts w:ascii="Times New Roman" w:hAnsi="Times New Roman" w:cs="Times New Roman"/>
              </w:rPr>
              <w:t>40.00</w:t>
            </w:r>
          </w:p>
        </w:tc>
        <w:tc>
          <w:tcPr>
            <w:tcW w:w="991" w:type="dxa"/>
            <w:tcBorders>
              <w:top w:val="single" w:sz="6" w:space="0" w:color="000000"/>
              <w:left w:val="single" w:sz="6" w:space="0" w:color="000000"/>
              <w:bottom w:val="single" w:sz="6" w:space="0" w:color="000000"/>
              <w:right w:val="single" w:sz="6" w:space="0" w:color="000000"/>
            </w:tcBorders>
            <w:vAlign w:val="center"/>
          </w:tcPr>
          <w:p w14:paraId="28ADF638" w14:textId="77777777" w:rsidR="00D12939" w:rsidRDefault="004F47F5">
            <w:pPr>
              <w:jc w:val="center"/>
              <w:rPr>
                <w:rFonts w:ascii="Times New Roman" w:hAnsi="Times New Roman" w:cs="Times New Roman"/>
              </w:rPr>
            </w:pPr>
            <w:r>
              <w:rPr>
                <w:rFonts w:ascii="Times New Roman" w:hAnsi="Times New Roman" w:cs="Times New Roman"/>
              </w:rPr>
              <w:t>40.00</w:t>
            </w:r>
          </w:p>
        </w:tc>
        <w:tc>
          <w:tcPr>
            <w:tcW w:w="878" w:type="dxa"/>
            <w:tcBorders>
              <w:top w:val="single" w:sz="6" w:space="0" w:color="000000"/>
              <w:left w:val="single" w:sz="6" w:space="0" w:color="000000"/>
              <w:bottom w:val="single" w:sz="6" w:space="0" w:color="000000"/>
              <w:right w:val="single" w:sz="6" w:space="0" w:color="000000"/>
            </w:tcBorders>
            <w:vAlign w:val="center"/>
          </w:tcPr>
          <w:p w14:paraId="34CB81F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4</w:t>
            </w:r>
          </w:p>
        </w:tc>
        <w:tc>
          <w:tcPr>
            <w:tcW w:w="882" w:type="dxa"/>
            <w:tcBorders>
              <w:top w:val="single" w:sz="6" w:space="0" w:color="000000"/>
              <w:left w:val="single" w:sz="6" w:space="0" w:color="000000"/>
              <w:bottom w:val="single" w:sz="6" w:space="0" w:color="000000"/>
              <w:right w:val="single" w:sz="6" w:space="0" w:color="000000"/>
            </w:tcBorders>
            <w:vAlign w:val="center"/>
          </w:tcPr>
          <w:p w14:paraId="7E45760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4</w:t>
            </w:r>
          </w:p>
        </w:tc>
        <w:tc>
          <w:tcPr>
            <w:tcW w:w="768" w:type="dxa"/>
            <w:tcBorders>
              <w:top w:val="single" w:sz="6" w:space="0" w:color="000000"/>
              <w:left w:val="single" w:sz="6" w:space="0" w:color="000000"/>
              <w:bottom w:val="single" w:sz="6" w:space="0" w:color="000000"/>
              <w:right w:val="single" w:sz="6" w:space="0" w:color="000000"/>
            </w:tcBorders>
            <w:vAlign w:val="center"/>
          </w:tcPr>
          <w:p w14:paraId="49CD1B0B" w14:textId="77777777" w:rsidR="00D12939" w:rsidRDefault="004F47F5">
            <w:pPr>
              <w:jc w:val="center"/>
              <w:rPr>
                <w:rFonts w:ascii="Times New Roman" w:hAnsi="Times New Roman" w:cs="Times New Roman"/>
              </w:rPr>
            </w:pPr>
            <w:r>
              <w:rPr>
                <w:rFonts w:ascii="Times New Roman" w:hAnsi="Times New Roman" w:cs="Times New Roman"/>
              </w:rPr>
              <w:t>40.00</w:t>
            </w:r>
          </w:p>
        </w:tc>
        <w:tc>
          <w:tcPr>
            <w:tcW w:w="991" w:type="dxa"/>
            <w:tcBorders>
              <w:top w:val="single" w:sz="6" w:space="0" w:color="000000"/>
              <w:left w:val="single" w:sz="6" w:space="0" w:color="000000"/>
              <w:bottom w:val="single" w:sz="6" w:space="0" w:color="000000"/>
              <w:right w:val="single" w:sz="6" w:space="0" w:color="000000"/>
            </w:tcBorders>
            <w:vAlign w:val="center"/>
          </w:tcPr>
          <w:p w14:paraId="5C9359A0" w14:textId="77777777" w:rsidR="00D12939" w:rsidRDefault="004F47F5">
            <w:pPr>
              <w:jc w:val="center"/>
              <w:rPr>
                <w:rFonts w:ascii="Times New Roman" w:hAnsi="Times New Roman" w:cs="Times New Roman"/>
              </w:rPr>
            </w:pPr>
            <w:r>
              <w:rPr>
                <w:rFonts w:ascii="Times New Roman" w:hAnsi="Times New Roman" w:cs="Times New Roman"/>
              </w:rPr>
              <w:t>40.00</w:t>
            </w:r>
          </w:p>
        </w:tc>
        <w:tc>
          <w:tcPr>
            <w:tcW w:w="1004" w:type="dxa"/>
            <w:vMerge/>
            <w:tcBorders>
              <w:left w:val="single" w:sz="6" w:space="0" w:color="000000"/>
              <w:right w:val="single" w:sz="6" w:space="0" w:color="000000"/>
            </w:tcBorders>
            <w:vAlign w:val="center"/>
          </w:tcPr>
          <w:p w14:paraId="1BE226CB"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06" w:type="dxa"/>
            <w:vMerge/>
            <w:tcBorders>
              <w:left w:val="single" w:sz="6" w:space="0" w:color="000000"/>
              <w:right w:val="single" w:sz="12" w:space="0" w:color="000000"/>
            </w:tcBorders>
            <w:vAlign w:val="center"/>
          </w:tcPr>
          <w:p w14:paraId="4DF7012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r w:rsidR="00D12939" w14:paraId="31027CEC" w14:textId="77777777">
        <w:trPr>
          <w:trHeight w:val="140"/>
          <w:jc w:val="center"/>
        </w:trPr>
        <w:tc>
          <w:tcPr>
            <w:tcW w:w="525" w:type="dxa"/>
            <w:tcBorders>
              <w:top w:val="single" w:sz="6" w:space="0" w:color="000000"/>
              <w:left w:val="single" w:sz="12" w:space="0" w:color="000000"/>
              <w:bottom w:val="single" w:sz="6" w:space="0" w:color="000000"/>
              <w:right w:val="single" w:sz="6" w:space="0" w:color="000000"/>
            </w:tcBorders>
            <w:vAlign w:val="center"/>
          </w:tcPr>
          <w:p w14:paraId="0988EA8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5</w:t>
            </w:r>
          </w:p>
        </w:tc>
        <w:tc>
          <w:tcPr>
            <w:tcW w:w="1473" w:type="dxa"/>
            <w:tcBorders>
              <w:top w:val="single" w:sz="6" w:space="0" w:color="000000"/>
              <w:left w:val="single" w:sz="6" w:space="0" w:color="000000"/>
              <w:bottom w:val="single" w:sz="6" w:space="0" w:color="000000"/>
              <w:right w:val="single" w:sz="6" w:space="0" w:color="000000"/>
            </w:tcBorders>
            <w:vAlign w:val="center"/>
          </w:tcPr>
          <w:p w14:paraId="649ABBA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南</w:t>
            </w:r>
            <w:r>
              <w:rPr>
                <w:rFonts w:ascii="Times New Roman" w:eastAsia="宋体" w:hAnsi="Times New Roman"/>
                <w:sz w:val="21"/>
                <w:szCs w:val="21"/>
              </w:rPr>
              <w:t>厂界</w:t>
            </w:r>
            <w:r>
              <w:rPr>
                <w:rFonts w:ascii="Times New Roman" w:eastAsia="宋体" w:hAnsi="Times New Roman"/>
                <w:sz w:val="21"/>
                <w:szCs w:val="21"/>
              </w:rPr>
              <w:t>3</w:t>
            </w:r>
          </w:p>
        </w:tc>
        <w:tc>
          <w:tcPr>
            <w:tcW w:w="878" w:type="dxa"/>
            <w:tcBorders>
              <w:top w:val="single" w:sz="6" w:space="0" w:color="000000"/>
              <w:left w:val="single" w:sz="6" w:space="0" w:color="000000"/>
              <w:bottom w:val="single" w:sz="6" w:space="0" w:color="000000"/>
              <w:right w:val="single" w:sz="6" w:space="0" w:color="000000"/>
            </w:tcBorders>
            <w:vAlign w:val="center"/>
          </w:tcPr>
          <w:p w14:paraId="1F1DB163" w14:textId="77777777" w:rsidR="00D12939" w:rsidRDefault="004F47F5">
            <w:pPr>
              <w:jc w:val="center"/>
              <w:rPr>
                <w:rFonts w:ascii="Times New Roman" w:hAnsi="Times New Roman" w:cs="Times New Roman"/>
              </w:rPr>
            </w:pPr>
            <w:r>
              <w:rPr>
                <w:rFonts w:ascii="Times New Roman" w:hAnsi="Times New Roman" w:cs="Times New Roman"/>
              </w:rPr>
              <w:t>47.98</w:t>
            </w:r>
          </w:p>
        </w:tc>
        <w:tc>
          <w:tcPr>
            <w:tcW w:w="991" w:type="dxa"/>
            <w:tcBorders>
              <w:top w:val="single" w:sz="6" w:space="0" w:color="000000"/>
              <w:left w:val="single" w:sz="6" w:space="0" w:color="000000"/>
              <w:bottom w:val="single" w:sz="6" w:space="0" w:color="000000"/>
              <w:right w:val="single" w:sz="6" w:space="0" w:color="000000"/>
            </w:tcBorders>
            <w:vAlign w:val="center"/>
          </w:tcPr>
          <w:p w14:paraId="512AF3E3" w14:textId="77777777" w:rsidR="00D12939" w:rsidRDefault="004F47F5">
            <w:pPr>
              <w:jc w:val="center"/>
              <w:rPr>
                <w:rFonts w:ascii="Times New Roman" w:hAnsi="Times New Roman" w:cs="Times New Roman"/>
              </w:rPr>
            </w:pPr>
            <w:r>
              <w:rPr>
                <w:rFonts w:ascii="Times New Roman" w:hAnsi="Times New Roman" w:cs="Times New Roman"/>
              </w:rPr>
              <w:t>47.98</w:t>
            </w:r>
          </w:p>
        </w:tc>
        <w:tc>
          <w:tcPr>
            <w:tcW w:w="878" w:type="dxa"/>
            <w:tcBorders>
              <w:top w:val="single" w:sz="6" w:space="0" w:color="000000"/>
              <w:left w:val="single" w:sz="6" w:space="0" w:color="000000"/>
              <w:bottom w:val="single" w:sz="6" w:space="0" w:color="000000"/>
              <w:right w:val="single" w:sz="6" w:space="0" w:color="000000"/>
            </w:tcBorders>
            <w:vAlign w:val="center"/>
          </w:tcPr>
          <w:p w14:paraId="77DB2BE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3</w:t>
            </w:r>
          </w:p>
        </w:tc>
        <w:tc>
          <w:tcPr>
            <w:tcW w:w="882" w:type="dxa"/>
            <w:tcBorders>
              <w:top w:val="single" w:sz="6" w:space="0" w:color="000000"/>
              <w:left w:val="single" w:sz="6" w:space="0" w:color="000000"/>
              <w:bottom w:val="single" w:sz="6" w:space="0" w:color="000000"/>
              <w:right w:val="single" w:sz="6" w:space="0" w:color="000000"/>
            </w:tcBorders>
            <w:vAlign w:val="center"/>
          </w:tcPr>
          <w:p w14:paraId="2E2FE7A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4</w:t>
            </w:r>
          </w:p>
        </w:tc>
        <w:tc>
          <w:tcPr>
            <w:tcW w:w="768" w:type="dxa"/>
            <w:tcBorders>
              <w:top w:val="single" w:sz="6" w:space="0" w:color="000000"/>
              <w:left w:val="single" w:sz="6" w:space="0" w:color="000000"/>
              <w:bottom w:val="single" w:sz="6" w:space="0" w:color="000000"/>
              <w:right w:val="single" w:sz="6" w:space="0" w:color="000000"/>
            </w:tcBorders>
            <w:vAlign w:val="center"/>
          </w:tcPr>
          <w:p w14:paraId="7ED5D3A4" w14:textId="77777777" w:rsidR="00D12939" w:rsidRDefault="004F47F5">
            <w:pPr>
              <w:jc w:val="center"/>
              <w:rPr>
                <w:rFonts w:ascii="Times New Roman" w:hAnsi="Times New Roman" w:cs="Times New Roman"/>
              </w:rPr>
            </w:pPr>
            <w:r>
              <w:rPr>
                <w:rFonts w:ascii="Times New Roman" w:hAnsi="Times New Roman" w:cs="Times New Roman"/>
              </w:rPr>
              <w:t>47.98</w:t>
            </w:r>
          </w:p>
        </w:tc>
        <w:tc>
          <w:tcPr>
            <w:tcW w:w="991" w:type="dxa"/>
            <w:tcBorders>
              <w:top w:val="single" w:sz="6" w:space="0" w:color="000000"/>
              <w:left w:val="single" w:sz="6" w:space="0" w:color="000000"/>
              <w:bottom w:val="single" w:sz="6" w:space="0" w:color="000000"/>
              <w:right w:val="single" w:sz="6" w:space="0" w:color="000000"/>
            </w:tcBorders>
            <w:vAlign w:val="center"/>
          </w:tcPr>
          <w:p w14:paraId="6C2537B5" w14:textId="77777777" w:rsidR="00D12939" w:rsidRDefault="004F47F5">
            <w:pPr>
              <w:jc w:val="center"/>
              <w:rPr>
                <w:rFonts w:ascii="Times New Roman" w:hAnsi="Times New Roman" w:cs="Times New Roman"/>
              </w:rPr>
            </w:pPr>
            <w:r>
              <w:rPr>
                <w:rFonts w:ascii="Times New Roman" w:hAnsi="Times New Roman" w:cs="Times New Roman"/>
              </w:rPr>
              <w:t>47.98</w:t>
            </w:r>
          </w:p>
        </w:tc>
        <w:tc>
          <w:tcPr>
            <w:tcW w:w="1004" w:type="dxa"/>
            <w:vMerge/>
            <w:tcBorders>
              <w:left w:val="single" w:sz="6" w:space="0" w:color="000000"/>
              <w:right w:val="single" w:sz="6" w:space="0" w:color="000000"/>
            </w:tcBorders>
            <w:vAlign w:val="center"/>
          </w:tcPr>
          <w:p w14:paraId="6AD701C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06" w:type="dxa"/>
            <w:vMerge/>
            <w:tcBorders>
              <w:left w:val="single" w:sz="6" w:space="0" w:color="000000"/>
              <w:right w:val="single" w:sz="12" w:space="0" w:color="000000"/>
            </w:tcBorders>
            <w:vAlign w:val="center"/>
          </w:tcPr>
          <w:p w14:paraId="556C2634"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r w:rsidR="00D12939" w14:paraId="43D5F419" w14:textId="77777777">
        <w:trPr>
          <w:trHeight w:val="180"/>
          <w:jc w:val="center"/>
        </w:trPr>
        <w:tc>
          <w:tcPr>
            <w:tcW w:w="525" w:type="dxa"/>
            <w:tcBorders>
              <w:top w:val="single" w:sz="6" w:space="0" w:color="000000"/>
              <w:left w:val="single" w:sz="12" w:space="0" w:color="000000"/>
              <w:bottom w:val="single" w:sz="6" w:space="0" w:color="000000"/>
              <w:right w:val="single" w:sz="6" w:space="0" w:color="000000"/>
            </w:tcBorders>
            <w:vAlign w:val="center"/>
          </w:tcPr>
          <w:p w14:paraId="477F3004"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6</w:t>
            </w:r>
          </w:p>
        </w:tc>
        <w:tc>
          <w:tcPr>
            <w:tcW w:w="1473" w:type="dxa"/>
            <w:tcBorders>
              <w:top w:val="single" w:sz="6" w:space="0" w:color="000000"/>
              <w:left w:val="single" w:sz="6" w:space="0" w:color="000000"/>
              <w:bottom w:val="single" w:sz="6" w:space="0" w:color="000000"/>
              <w:right w:val="single" w:sz="6" w:space="0" w:color="000000"/>
            </w:tcBorders>
            <w:vAlign w:val="center"/>
          </w:tcPr>
          <w:p w14:paraId="7561F1D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西厂界</w:t>
            </w:r>
            <w:r>
              <w:rPr>
                <w:rFonts w:ascii="Times New Roman" w:eastAsia="宋体" w:hAnsi="Times New Roman"/>
                <w:sz w:val="21"/>
                <w:szCs w:val="21"/>
              </w:rPr>
              <w:t>1</w:t>
            </w:r>
          </w:p>
        </w:tc>
        <w:tc>
          <w:tcPr>
            <w:tcW w:w="878" w:type="dxa"/>
            <w:tcBorders>
              <w:top w:val="single" w:sz="6" w:space="0" w:color="000000"/>
              <w:left w:val="single" w:sz="6" w:space="0" w:color="000000"/>
              <w:bottom w:val="single" w:sz="6" w:space="0" w:color="000000"/>
              <w:right w:val="single" w:sz="6" w:space="0" w:color="000000"/>
            </w:tcBorders>
            <w:vAlign w:val="center"/>
          </w:tcPr>
          <w:p w14:paraId="49872CD4" w14:textId="77777777" w:rsidR="00D12939" w:rsidRDefault="004F47F5">
            <w:pPr>
              <w:jc w:val="center"/>
              <w:rPr>
                <w:rFonts w:ascii="Times New Roman" w:hAnsi="Times New Roman" w:cs="Times New Roman"/>
              </w:rPr>
            </w:pPr>
            <w:r>
              <w:rPr>
                <w:rFonts w:ascii="Times New Roman" w:hAnsi="Times New Roman" w:cs="Times New Roman"/>
              </w:rPr>
              <w:t>37.99</w:t>
            </w:r>
          </w:p>
        </w:tc>
        <w:tc>
          <w:tcPr>
            <w:tcW w:w="991" w:type="dxa"/>
            <w:tcBorders>
              <w:top w:val="single" w:sz="6" w:space="0" w:color="000000"/>
              <w:left w:val="single" w:sz="6" w:space="0" w:color="000000"/>
              <w:bottom w:val="single" w:sz="6" w:space="0" w:color="000000"/>
              <w:right w:val="single" w:sz="6" w:space="0" w:color="000000"/>
            </w:tcBorders>
            <w:vAlign w:val="center"/>
          </w:tcPr>
          <w:p w14:paraId="61CFA08C" w14:textId="77777777" w:rsidR="00D12939" w:rsidRDefault="004F47F5">
            <w:pPr>
              <w:jc w:val="center"/>
              <w:rPr>
                <w:rFonts w:ascii="Times New Roman" w:hAnsi="Times New Roman" w:cs="Times New Roman"/>
              </w:rPr>
            </w:pPr>
            <w:r>
              <w:rPr>
                <w:rFonts w:ascii="Times New Roman" w:hAnsi="Times New Roman" w:cs="Times New Roman"/>
              </w:rPr>
              <w:t>37.99</w:t>
            </w:r>
          </w:p>
        </w:tc>
        <w:tc>
          <w:tcPr>
            <w:tcW w:w="878" w:type="dxa"/>
            <w:tcBorders>
              <w:top w:val="single" w:sz="6" w:space="0" w:color="000000"/>
              <w:left w:val="single" w:sz="6" w:space="0" w:color="000000"/>
              <w:bottom w:val="single" w:sz="6" w:space="0" w:color="000000"/>
              <w:right w:val="single" w:sz="6" w:space="0" w:color="000000"/>
            </w:tcBorders>
            <w:vAlign w:val="center"/>
          </w:tcPr>
          <w:p w14:paraId="754F0B66"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2</w:t>
            </w:r>
          </w:p>
        </w:tc>
        <w:tc>
          <w:tcPr>
            <w:tcW w:w="882" w:type="dxa"/>
            <w:tcBorders>
              <w:top w:val="single" w:sz="6" w:space="0" w:color="000000"/>
              <w:left w:val="single" w:sz="6" w:space="0" w:color="000000"/>
              <w:bottom w:val="single" w:sz="6" w:space="0" w:color="000000"/>
              <w:right w:val="single" w:sz="6" w:space="0" w:color="000000"/>
            </w:tcBorders>
            <w:vAlign w:val="center"/>
          </w:tcPr>
          <w:p w14:paraId="7475418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2</w:t>
            </w:r>
          </w:p>
        </w:tc>
        <w:tc>
          <w:tcPr>
            <w:tcW w:w="768" w:type="dxa"/>
            <w:tcBorders>
              <w:top w:val="single" w:sz="6" w:space="0" w:color="000000"/>
              <w:left w:val="single" w:sz="6" w:space="0" w:color="000000"/>
              <w:bottom w:val="single" w:sz="6" w:space="0" w:color="000000"/>
              <w:right w:val="single" w:sz="6" w:space="0" w:color="000000"/>
            </w:tcBorders>
            <w:vAlign w:val="center"/>
          </w:tcPr>
          <w:p w14:paraId="515F295D" w14:textId="77777777" w:rsidR="00D12939" w:rsidRDefault="004F47F5">
            <w:pPr>
              <w:jc w:val="center"/>
              <w:rPr>
                <w:rFonts w:ascii="Times New Roman" w:hAnsi="Times New Roman" w:cs="Times New Roman"/>
              </w:rPr>
            </w:pPr>
            <w:r>
              <w:rPr>
                <w:rFonts w:ascii="Times New Roman" w:hAnsi="Times New Roman" w:cs="Times New Roman"/>
              </w:rPr>
              <w:t>37.99</w:t>
            </w:r>
          </w:p>
        </w:tc>
        <w:tc>
          <w:tcPr>
            <w:tcW w:w="991" w:type="dxa"/>
            <w:tcBorders>
              <w:top w:val="single" w:sz="6" w:space="0" w:color="000000"/>
              <w:left w:val="single" w:sz="6" w:space="0" w:color="000000"/>
              <w:bottom w:val="single" w:sz="6" w:space="0" w:color="000000"/>
              <w:right w:val="single" w:sz="6" w:space="0" w:color="000000"/>
            </w:tcBorders>
            <w:vAlign w:val="center"/>
          </w:tcPr>
          <w:p w14:paraId="4AC2A87B" w14:textId="77777777" w:rsidR="00D12939" w:rsidRDefault="004F47F5">
            <w:pPr>
              <w:jc w:val="center"/>
              <w:rPr>
                <w:rFonts w:ascii="Times New Roman" w:hAnsi="Times New Roman" w:cs="Times New Roman"/>
              </w:rPr>
            </w:pPr>
            <w:r>
              <w:rPr>
                <w:rFonts w:ascii="Times New Roman" w:hAnsi="Times New Roman" w:cs="Times New Roman"/>
              </w:rPr>
              <w:t>37.99</w:t>
            </w:r>
          </w:p>
        </w:tc>
        <w:tc>
          <w:tcPr>
            <w:tcW w:w="1004" w:type="dxa"/>
            <w:vMerge/>
            <w:tcBorders>
              <w:left w:val="single" w:sz="6" w:space="0" w:color="000000"/>
              <w:right w:val="single" w:sz="6" w:space="0" w:color="000000"/>
            </w:tcBorders>
            <w:vAlign w:val="center"/>
          </w:tcPr>
          <w:p w14:paraId="28C64C6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06" w:type="dxa"/>
            <w:vMerge/>
            <w:tcBorders>
              <w:left w:val="single" w:sz="6" w:space="0" w:color="000000"/>
              <w:right w:val="single" w:sz="12" w:space="0" w:color="000000"/>
            </w:tcBorders>
            <w:vAlign w:val="center"/>
          </w:tcPr>
          <w:p w14:paraId="5A6DDD77"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r w:rsidR="00D12939" w14:paraId="76A17CA9" w14:textId="77777777">
        <w:trPr>
          <w:trHeight w:val="180"/>
          <w:jc w:val="center"/>
        </w:trPr>
        <w:tc>
          <w:tcPr>
            <w:tcW w:w="525" w:type="dxa"/>
            <w:tcBorders>
              <w:top w:val="single" w:sz="6" w:space="0" w:color="000000"/>
              <w:left w:val="single" w:sz="12" w:space="0" w:color="000000"/>
              <w:bottom w:val="single" w:sz="6" w:space="0" w:color="000000"/>
              <w:right w:val="single" w:sz="6" w:space="0" w:color="000000"/>
            </w:tcBorders>
            <w:vAlign w:val="center"/>
          </w:tcPr>
          <w:p w14:paraId="0202431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7</w:t>
            </w:r>
          </w:p>
        </w:tc>
        <w:tc>
          <w:tcPr>
            <w:tcW w:w="1473" w:type="dxa"/>
            <w:tcBorders>
              <w:top w:val="single" w:sz="6" w:space="0" w:color="000000"/>
              <w:left w:val="single" w:sz="6" w:space="0" w:color="000000"/>
              <w:bottom w:val="single" w:sz="6" w:space="0" w:color="000000"/>
              <w:right w:val="single" w:sz="6" w:space="0" w:color="000000"/>
            </w:tcBorders>
            <w:vAlign w:val="center"/>
          </w:tcPr>
          <w:p w14:paraId="2BD3B0CE"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西厂界</w:t>
            </w:r>
            <w:r>
              <w:rPr>
                <w:rFonts w:ascii="Times New Roman" w:eastAsia="宋体" w:hAnsi="Times New Roman"/>
                <w:sz w:val="21"/>
                <w:szCs w:val="21"/>
              </w:rPr>
              <w:t>2</w:t>
            </w:r>
          </w:p>
        </w:tc>
        <w:tc>
          <w:tcPr>
            <w:tcW w:w="878" w:type="dxa"/>
            <w:tcBorders>
              <w:top w:val="single" w:sz="6" w:space="0" w:color="000000"/>
              <w:left w:val="single" w:sz="6" w:space="0" w:color="000000"/>
              <w:bottom w:val="single" w:sz="6" w:space="0" w:color="000000"/>
              <w:right w:val="single" w:sz="6" w:space="0" w:color="000000"/>
            </w:tcBorders>
            <w:vAlign w:val="center"/>
          </w:tcPr>
          <w:p w14:paraId="73328934" w14:textId="77777777" w:rsidR="00D12939" w:rsidRDefault="004F47F5">
            <w:pPr>
              <w:jc w:val="center"/>
              <w:rPr>
                <w:rFonts w:ascii="Times New Roman" w:hAnsi="Times New Roman" w:cs="Times New Roman"/>
              </w:rPr>
            </w:pPr>
            <w:r>
              <w:rPr>
                <w:rFonts w:ascii="Times New Roman" w:hAnsi="Times New Roman" w:cs="Times New Roman"/>
              </w:rPr>
              <w:t>38.27</w:t>
            </w:r>
          </w:p>
        </w:tc>
        <w:tc>
          <w:tcPr>
            <w:tcW w:w="991" w:type="dxa"/>
            <w:tcBorders>
              <w:top w:val="single" w:sz="6" w:space="0" w:color="000000"/>
              <w:left w:val="single" w:sz="6" w:space="0" w:color="000000"/>
              <w:bottom w:val="single" w:sz="6" w:space="0" w:color="000000"/>
              <w:right w:val="single" w:sz="6" w:space="0" w:color="000000"/>
            </w:tcBorders>
            <w:vAlign w:val="center"/>
          </w:tcPr>
          <w:p w14:paraId="74C693D6" w14:textId="77777777" w:rsidR="00D12939" w:rsidRDefault="004F47F5">
            <w:pPr>
              <w:jc w:val="center"/>
              <w:rPr>
                <w:rFonts w:ascii="Times New Roman" w:hAnsi="Times New Roman" w:cs="Times New Roman"/>
              </w:rPr>
            </w:pPr>
            <w:r>
              <w:rPr>
                <w:rFonts w:ascii="Times New Roman" w:hAnsi="Times New Roman" w:cs="Times New Roman"/>
              </w:rPr>
              <w:t>38.27</w:t>
            </w:r>
          </w:p>
        </w:tc>
        <w:tc>
          <w:tcPr>
            <w:tcW w:w="878" w:type="dxa"/>
            <w:tcBorders>
              <w:top w:val="single" w:sz="6" w:space="0" w:color="000000"/>
              <w:left w:val="single" w:sz="6" w:space="0" w:color="000000"/>
              <w:bottom w:val="single" w:sz="6" w:space="0" w:color="000000"/>
              <w:right w:val="single" w:sz="6" w:space="0" w:color="000000"/>
            </w:tcBorders>
            <w:vAlign w:val="center"/>
          </w:tcPr>
          <w:p w14:paraId="01227401"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3</w:t>
            </w:r>
          </w:p>
        </w:tc>
        <w:tc>
          <w:tcPr>
            <w:tcW w:w="882" w:type="dxa"/>
            <w:tcBorders>
              <w:top w:val="single" w:sz="6" w:space="0" w:color="000000"/>
              <w:left w:val="single" w:sz="6" w:space="0" w:color="000000"/>
              <w:bottom w:val="single" w:sz="6" w:space="0" w:color="000000"/>
              <w:right w:val="single" w:sz="6" w:space="0" w:color="000000"/>
            </w:tcBorders>
            <w:vAlign w:val="center"/>
          </w:tcPr>
          <w:p w14:paraId="21C8F633"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3</w:t>
            </w:r>
          </w:p>
        </w:tc>
        <w:tc>
          <w:tcPr>
            <w:tcW w:w="768" w:type="dxa"/>
            <w:tcBorders>
              <w:top w:val="single" w:sz="6" w:space="0" w:color="000000"/>
              <w:left w:val="single" w:sz="6" w:space="0" w:color="000000"/>
              <w:bottom w:val="single" w:sz="6" w:space="0" w:color="000000"/>
              <w:right w:val="single" w:sz="6" w:space="0" w:color="000000"/>
            </w:tcBorders>
            <w:vAlign w:val="center"/>
          </w:tcPr>
          <w:p w14:paraId="3599BFF8" w14:textId="77777777" w:rsidR="00D12939" w:rsidRDefault="004F47F5">
            <w:pPr>
              <w:jc w:val="center"/>
              <w:rPr>
                <w:rFonts w:ascii="Times New Roman" w:hAnsi="Times New Roman" w:cs="Times New Roman"/>
              </w:rPr>
            </w:pPr>
            <w:r>
              <w:rPr>
                <w:rFonts w:ascii="Times New Roman" w:hAnsi="Times New Roman" w:cs="Times New Roman"/>
              </w:rPr>
              <w:t>38.27</w:t>
            </w:r>
          </w:p>
        </w:tc>
        <w:tc>
          <w:tcPr>
            <w:tcW w:w="991" w:type="dxa"/>
            <w:tcBorders>
              <w:top w:val="single" w:sz="6" w:space="0" w:color="000000"/>
              <w:left w:val="single" w:sz="6" w:space="0" w:color="000000"/>
              <w:bottom w:val="single" w:sz="6" w:space="0" w:color="000000"/>
              <w:right w:val="single" w:sz="6" w:space="0" w:color="000000"/>
            </w:tcBorders>
            <w:vAlign w:val="center"/>
          </w:tcPr>
          <w:p w14:paraId="66667056" w14:textId="77777777" w:rsidR="00D12939" w:rsidRDefault="004F47F5">
            <w:pPr>
              <w:jc w:val="center"/>
              <w:rPr>
                <w:rFonts w:ascii="Times New Roman" w:hAnsi="Times New Roman" w:cs="Times New Roman"/>
              </w:rPr>
            </w:pPr>
            <w:r>
              <w:rPr>
                <w:rFonts w:ascii="Times New Roman" w:hAnsi="Times New Roman" w:cs="Times New Roman"/>
              </w:rPr>
              <w:t>38.27</w:t>
            </w:r>
          </w:p>
        </w:tc>
        <w:tc>
          <w:tcPr>
            <w:tcW w:w="1004" w:type="dxa"/>
            <w:vMerge/>
            <w:tcBorders>
              <w:left w:val="single" w:sz="6" w:space="0" w:color="000000"/>
              <w:right w:val="single" w:sz="6" w:space="0" w:color="000000"/>
            </w:tcBorders>
            <w:vAlign w:val="center"/>
          </w:tcPr>
          <w:p w14:paraId="02F0704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06" w:type="dxa"/>
            <w:vMerge/>
            <w:tcBorders>
              <w:left w:val="single" w:sz="6" w:space="0" w:color="000000"/>
              <w:right w:val="single" w:sz="12" w:space="0" w:color="000000"/>
            </w:tcBorders>
            <w:vAlign w:val="center"/>
          </w:tcPr>
          <w:p w14:paraId="5D112ABD"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r w:rsidR="00D12939" w14:paraId="37FAEAA7" w14:textId="77777777">
        <w:trPr>
          <w:trHeight w:val="180"/>
          <w:jc w:val="center"/>
        </w:trPr>
        <w:tc>
          <w:tcPr>
            <w:tcW w:w="525" w:type="dxa"/>
            <w:tcBorders>
              <w:top w:val="single" w:sz="6" w:space="0" w:color="000000"/>
              <w:left w:val="single" w:sz="12" w:space="0" w:color="000000"/>
              <w:bottom w:val="single" w:sz="6" w:space="0" w:color="000000"/>
              <w:right w:val="single" w:sz="6" w:space="0" w:color="000000"/>
            </w:tcBorders>
            <w:vAlign w:val="center"/>
          </w:tcPr>
          <w:p w14:paraId="2C3854BC"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8</w:t>
            </w:r>
          </w:p>
        </w:tc>
        <w:tc>
          <w:tcPr>
            <w:tcW w:w="1473" w:type="dxa"/>
            <w:tcBorders>
              <w:top w:val="single" w:sz="6" w:space="0" w:color="000000"/>
              <w:left w:val="single" w:sz="6" w:space="0" w:color="000000"/>
              <w:bottom w:val="single" w:sz="6" w:space="0" w:color="000000"/>
              <w:right w:val="single" w:sz="6" w:space="0" w:color="000000"/>
            </w:tcBorders>
            <w:vAlign w:val="center"/>
          </w:tcPr>
          <w:p w14:paraId="08177529"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西</w:t>
            </w:r>
            <w:r>
              <w:rPr>
                <w:rFonts w:ascii="Times New Roman" w:eastAsia="宋体" w:hAnsi="Times New Roman"/>
                <w:sz w:val="21"/>
                <w:szCs w:val="21"/>
              </w:rPr>
              <w:t>厂界</w:t>
            </w:r>
            <w:r>
              <w:rPr>
                <w:rFonts w:ascii="Times New Roman" w:eastAsia="宋体" w:hAnsi="Times New Roman"/>
                <w:sz w:val="21"/>
                <w:szCs w:val="21"/>
              </w:rPr>
              <w:t>3</w:t>
            </w:r>
          </w:p>
        </w:tc>
        <w:tc>
          <w:tcPr>
            <w:tcW w:w="878" w:type="dxa"/>
            <w:tcBorders>
              <w:top w:val="single" w:sz="6" w:space="0" w:color="000000"/>
              <w:left w:val="single" w:sz="6" w:space="0" w:color="000000"/>
              <w:bottom w:val="single" w:sz="6" w:space="0" w:color="000000"/>
              <w:right w:val="single" w:sz="6" w:space="0" w:color="000000"/>
            </w:tcBorders>
            <w:vAlign w:val="center"/>
          </w:tcPr>
          <w:p w14:paraId="06F6569A" w14:textId="77777777" w:rsidR="00D12939" w:rsidRDefault="004F47F5">
            <w:pPr>
              <w:jc w:val="center"/>
              <w:rPr>
                <w:rFonts w:ascii="Times New Roman" w:hAnsi="Times New Roman" w:cs="Times New Roman"/>
              </w:rPr>
            </w:pPr>
            <w:r>
              <w:rPr>
                <w:rFonts w:ascii="Times New Roman" w:hAnsi="Times New Roman" w:cs="Times New Roman"/>
              </w:rPr>
              <w:t>37.84</w:t>
            </w:r>
          </w:p>
        </w:tc>
        <w:tc>
          <w:tcPr>
            <w:tcW w:w="991" w:type="dxa"/>
            <w:tcBorders>
              <w:top w:val="single" w:sz="6" w:space="0" w:color="000000"/>
              <w:left w:val="single" w:sz="6" w:space="0" w:color="000000"/>
              <w:bottom w:val="single" w:sz="6" w:space="0" w:color="000000"/>
              <w:right w:val="single" w:sz="6" w:space="0" w:color="000000"/>
            </w:tcBorders>
            <w:vAlign w:val="center"/>
          </w:tcPr>
          <w:p w14:paraId="336507F8" w14:textId="77777777" w:rsidR="00D12939" w:rsidRDefault="004F47F5">
            <w:pPr>
              <w:jc w:val="center"/>
              <w:rPr>
                <w:rFonts w:ascii="Times New Roman" w:hAnsi="Times New Roman" w:cs="Times New Roman"/>
              </w:rPr>
            </w:pPr>
            <w:r>
              <w:rPr>
                <w:rFonts w:ascii="Times New Roman" w:hAnsi="Times New Roman" w:cs="Times New Roman"/>
              </w:rPr>
              <w:t>37.84</w:t>
            </w:r>
          </w:p>
        </w:tc>
        <w:tc>
          <w:tcPr>
            <w:tcW w:w="878" w:type="dxa"/>
            <w:tcBorders>
              <w:top w:val="single" w:sz="6" w:space="0" w:color="000000"/>
              <w:left w:val="single" w:sz="6" w:space="0" w:color="000000"/>
              <w:bottom w:val="single" w:sz="6" w:space="0" w:color="000000"/>
              <w:right w:val="single" w:sz="6" w:space="0" w:color="000000"/>
            </w:tcBorders>
            <w:vAlign w:val="center"/>
          </w:tcPr>
          <w:p w14:paraId="45EF8D82"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4</w:t>
            </w:r>
          </w:p>
        </w:tc>
        <w:tc>
          <w:tcPr>
            <w:tcW w:w="882" w:type="dxa"/>
            <w:tcBorders>
              <w:top w:val="single" w:sz="6" w:space="0" w:color="000000"/>
              <w:left w:val="single" w:sz="6" w:space="0" w:color="000000"/>
              <w:bottom w:val="single" w:sz="6" w:space="0" w:color="000000"/>
              <w:right w:val="single" w:sz="6" w:space="0" w:color="000000"/>
            </w:tcBorders>
            <w:vAlign w:val="center"/>
          </w:tcPr>
          <w:p w14:paraId="12149AF5"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3</w:t>
            </w:r>
          </w:p>
        </w:tc>
        <w:tc>
          <w:tcPr>
            <w:tcW w:w="768" w:type="dxa"/>
            <w:tcBorders>
              <w:top w:val="single" w:sz="6" w:space="0" w:color="000000"/>
              <w:left w:val="single" w:sz="6" w:space="0" w:color="000000"/>
              <w:bottom w:val="single" w:sz="6" w:space="0" w:color="000000"/>
              <w:right w:val="single" w:sz="6" w:space="0" w:color="000000"/>
            </w:tcBorders>
            <w:vAlign w:val="center"/>
          </w:tcPr>
          <w:p w14:paraId="3B895D9B" w14:textId="77777777" w:rsidR="00D12939" w:rsidRDefault="004F47F5">
            <w:pPr>
              <w:jc w:val="center"/>
              <w:rPr>
                <w:rFonts w:ascii="Times New Roman" w:hAnsi="Times New Roman" w:cs="Times New Roman"/>
              </w:rPr>
            </w:pPr>
            <w:r>
              <w:rPr>
                <w:rFonts w:ascii="Times New Roman" w:hAnsi="Times New Roman" w:cs="Times New Roman"/>
              </w:rPr>
              <w:t>37.84</w:t>
            </w:r>
          </w:p>
        </w:tc>
        <w:tc>
          <w:tcPr>
            <w:tcW w:w="991" w:type="dxa"/>
            <w:tcBorders>
              <w:top w:val="single" w:sz="6" w:space="0" w:color="000000"/>
              <w:left w:val="single" w:sz="6" w:space="0" w:color="000000"/>
              <w:bottom w:val="single" w:sz="6" w:space="0" w:color="000000"/>
              <w:right w:val="single" w:sz="6" w:space="0" w:color="000000"/>
            </w:tcBorders>
            <w:vAlign w:val="center"/>
          </w:tcPr>
          <w:p w14:paraId="1FD8CA6B" w14:textId="77777777" w:rsidR="00D12939" w:rsidRDefault="004F47F5">
            <w:pPr>
              <w:jc w:val="center"/>
              <w:rPr>
                <w:rFonts w:ascii="Times New Roman" w:hAnsi="Times New Roman" w:cs="Times New Roman"/>
              </w:rPr>
            </w:pPr>
            <w:r>
              <w:rPr>
                <w:rFonts w:ascii="Times New Roman" w:hAnsi="Times New Roman" w:cs="Times New Roman"/>
              </w:rPr>
              <w:t>37.84</w:t>
            </w:r>
          </w:p>
        </w:tc>
        <w:tc>
          <w:tcPr>
            <w:tcW w:w="1004" w:type="dxa"/>
            <w:vMerge/>
            <w:tcBorders>
              <w:left w:val="single" w:sz="6" w:space="0" w:color="000000"/>
              <w:right w:val="single" w:sz="6" w:space="0" w:color="000000"/>
            </w:tcBorders>
            <w:vAlign w:val="center"/>
          </w:tcPr>
          <w:p w14:paraId="5ADA2CCF"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06" w:type="dxa"/>
            <w:vMerge/>
            <w:tcBorders>
              <w:left w:val="single" w:sz="6" w:space="0" w:color="000000"/>
              <w:right w:val="single" w:sz="12" w:space="0" w:color="000000"/>
            </w:tcBorders>
            <w:vAlign w:val="center"/>
          </w:tcPr>
          <w:p w14:paraId="7EF5D50A"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r w:rsidR="00D12939" w14:paraId="73F6C2CC" w14:textId="77777777">
        <w:trPr>
          <w:trHeight w:val="180"/>
          <w:jc w:val="center"/>
        </w:trPr>
        <w:tc>
          <w:tcPr>
            <w:tcW w:w="525" w:type="dxa"/>
            <w:tcBorders>
              <w:top w:val="single" w:sz="6" w:space="0" w:color="000000"/>
              <w:left w:val="single" w:sz="12" w:space="0" w:color="000000"/>
              <w:bottom w:val="single" w:sz="12" w:space="0" w:color="000000"/>
              <w:right w:val="single" w:sz="6" w:space="0" w:color="000000"/>
            </w:tcBorders>
            <w:vAlign w:val="center"/>
          </w:tcPr>
          <w:p w14:paraId="3008D2A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sz w:val="21"/>
                <w:szCs w:val="21"/>
              </w:rPr>
              <w:t>9</w:t>
            </w:r>
          </w:p>
        </w:tc>
        <w:tc>
          <w:tcPr>
            <w:tcW w:w="1473" w:type="dxa"/>
            <w:tcBorders>
              <w:top w:val="single" w:sz="6" w:space="0" w:color="000000"/>
              <w:left w:val="single" w:sz="6" w:space="0" w:color="000000"/>
              <w:bottom w:val="single" w:sz="12" w:space="0" w:color="000000"/>
              <w:right w:val="single" w:sz="6" w:space="0" w:color="000000"/>
            </w:tcBorders>
            <w:vAlign w:val="center"/>
          </w:tcPr>
          <w:p w14:paraId="5D85025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西</w:t>
            </w:r>
            <w:r>
              <w:rPr>
                <w:rFonts w:ascii="Times New Roman" w:eastAsia="宋体" w:hAnsi="Times New Roman"/>
                <w:sz w:val="21"/>
                <w:szCs w:val="21"/>
              </w:rPr>
              <w:t>北厂界</w:t>
            </w:r>
          </w:p>
        </w:tc>
        <w:tc>
          <w:tcPr>
            <w:tcW w:w="878" w:type="dxa"/>
            <w:tcBorders>
              <w:top w:val="single" w:sz="6" w:space="0" w:color="000000"/>
              <w:left w:val="single" w:sz="6" w:space="0" w:color="000000"/>
              <w:bottom w:val="single" w:sz="12" w:space="0" w:color="000000"/>
              <w:right w:val="single" w:sz="6" w:space="0" w:color="000000"/>
            </w:tcBorders>
            <w:vAlign w:val="center"/>
          </w:tcPr>
          <w:p w14:paraId="52B6AE1F" w14:textId="77777777" w:rsidR="00D12939" w:rsidRDefault="004F47F5">
            <w:pPr>
              <w:jc w:val="center"/>
              <w:rPr>
                <w:rFonts w:ascii="Times New Roman" w:hAnsi="Times New Roman" w:cs="Times New Roman"/>
              </w:rPr>
            </w:pPr>
            <w:r>
              <w:rPr>
                <w:rFonts w:ascii="Times New Roman" w:hAnsi="Times New Roman" w:cs="Times New Roman"/>
              </w:rPr>
              <w:t>35.45</w:t>
            </w:r>
          </w:p>
        </w:tc>
        <w:tc>
          <w:tcPr>
            <w:tcW w:w="991" w:type="dxa"/>
            <w:tcBorders>
              <w:top w:val="single" w:sz="6" w:space="0" w:color="000000"/>
              <w:left w:val="single" w:sz="6" w:space="0" w:color="000000"/>
              <w:bottom w:val="single" w:sz="12" w:space="0" w:color="000000"/>
              <w:right w:val="single" w:sz="6" w:space="0" w:color="000000"/>
            </w:tcBorders>
            <w:vAlign w:val="center"/>
          </w:tcPr>
          <w:p w14:paraId="4542CD27" w14:textId="77777777" w:rsidR="00D12939" w:rsidRDefault="004F47F5">
            <w:pPr>
              <w:jc w:val="center"/>
              <w:rPr>
                <w:rFonts w:ascii="Times New Roman" w:hAnsi="Times New Roman" w:cs="Times New Roman"/>
              </w:rPr>
            </w:pPr>
            <w:r>
              <w:rPr>
                <w:rFonts w:ascii="Times New Roman" w:hAnsi="Times New Roman" w:cs="Times New Roman"/>
              </w:rPr>
              <w:t>35.45</w:t>
            </w:r>
          </w:p>
        </w:tc>
        <w:tc>
          <w:tcPr>
            <w:tcW w:w="878" w:type="dxa"/>
            <w:tcBorders>
              <w:top w:val="single" w:sz="6" w:space="0" w:color="000000"/>
              <w:left w:val="single" w:sz="6" w:space="0" w:color="000000"/>
              <w:bottom w:val="single" w:sz="12" w:space="0" w:color="000000"/>
              <w:right w:val="single" w:sz="6" w:space="0" w:color="000000"/>
            </w:tcBorders>
            <w:vAlign w:val="center"/>
          </w:tcPr>
          <w:p w14:paraId="2EC52E9B"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5</w:t>
            </w:r>
            <w:r>
              <w:rPr>
                <w:rFonts w:ascii="Times New Roman" w:eastAsia="宋体" w:hAnsi="Times New Roman"/>
                <w:sz w:val="21"/>
                <w:szCs w:val="21"/>
              </w:rPr>
              <w:t>2</w:t>
            </w:r>
          </w:p>
        </w:tc>
        <w:tc>
          <w:tcPr>
            <w:tcW w:w="882" w:type="dxa"/>
            <w:tcBorders>
              <w:top w:val="single" w:sz="6" w:space="0" w:color="000000"/>
              <w:left w:val="single" w:sz="6" w:space="0" w:color="000000"/>
              <w:bottom w:val="single" w:sz="12" w:space="0" w:color="000000"/>
              <w:right w:val="single" w:sz="6" w:space="0" w:color="000000"/>
            </w:tcBorders>
            <w:vAlign w:val="center"/>
          </w:tcPr>
          <w:p w14:paraId="5D99B730" w14:textId="77777777" w:rsidR="00D12939" w:rsidRDefault="004F47F5">
            <w:pPr>
              <w:pStyle w:val="afffff8"/>
              <w:spacing w:before="0" w:after="0" w:line="240" w:lineRule="auto"/>
              <w:ind w:firstLineChars="0" w:firstLine="0"/>
              <w:jc w:val="center"/>
              <w:rPr>
                <w:rFonts w:ascii="Times New Roman" w:eastAsia="宋体" w:hAnsi="Times New Roman"/>
                <w:sz w:val="21"/>
                <w:szCs w:val="21"/>
              </w:rPr>
            </w:pPr>
            <w:r>
              <w:rPr>
                <w:rFonts w:ascii="Times New Roman" w:eastAsia="宋体" w:hAnsi="Times New Roman" w:hint="eastAsia"/>
                <w:sz w:val="21"/>
                <w:szCs w:val="21"/>
              </w:rPr>
              <w:t>4</w:t>
            </w:r>
            <w:r>
              <w:rPr>
                <w:rFonts w:ascii="Times New Roman" w:eastAsia="宋体" w:hAnsi="Times New Roman"/>
                <w:sz w:val="21"/>
                <w:szCs w:val="21"/>
              </w:rPr>
              <w:t>3</w:t>
            </w:r>
          </w:p>
        </w:tc>
        <w:tc>
          <w:tcPr>
            <w:tcW w:w="768" w:type="dxa"/>
            <w:tcBorders>
              <w:top w:val="single" w:sz="6" w:space="0" w:color="000000"/>
              <w:left w:val="single" w:sz="6" w:space="0" w:color="000000"/>
              <w:bottom w:val="single" w:sz="12" w:space="0" w:color="000000"/>
              <w:right w:val="single" w:sz="6" w:space="0" w:color="000000"/>
            </w:tcBorders>
            <w:vAlign w:val="center"/>
          </w:tcPr>
          <w:p w14:paraId="6D15A632" w14:textId="77777777" w:rsidR="00D12939" w:rsidRDefault="004F47F5">
            <w:pPr>
              <w:jc w:val="center"/>
              <w:rPr>
                <w:rFonts w:ascii="Times New Roman" w:hAnsi="Times New Roman" w:cs="Times New Roman"/>
              </w:rPr>
            </w:pPr>
            <w:r>
              <w:rPr>
                <w:rFonts w:ascii="Times New Roman" w:hAnsi="Times New Roman" w:cs="Times New Roman"/>
              </w:rPr>
              <w:t>35.45</w:t>
            </w:r>
          </w:p>
        </w:tc>
        <w:tc>
          <w:tcPr>
            <w:tcW w:w="991" w:type="dxa"/>
            <w:tcBorders>
              <w:top w:val="single" w:sz="6" w:space="0" w:color="000000"/>
              <w:left w:val="single" w:sz="6" w:space="0" w:color="000000"/>
              <w:bottom w:val="single" w:sz="12" w:space="0" w:color="000000"/>
              <w:right w:val="single" w:sz="6" w:space="0" w:color="000000"/>
            </w:tcBorders>
            <w:vAlign w:val="center"/>
          </w:tcPr>
          <w:p w14:paraId="7295AC5F" w14:textId="77777777" w:rsidR="00D12939" w:rsidRDefault="004F47F5">
            <w:pPr>
              <w:jc w:val="center"/>
              <w:rPr>
                <w:rFonts w:ascii="Times New Roman" w:hAnsi="Times New Roman" w:cs="Times New Roman"/>
              </w:rPr>
            </w:pPr>
            <w:r>
              <w:rPr>
                <w:rFonts w:ascii="Times New Roman" w:hAnsi="Times New Roman" w:cs="Times New Roman"/>
              </w:rPr>
              <w:t>35.45</w:t>
            </w:r>
          </w:p>
        </w:tc>
        <w:tc>
          <w:tcPr>
            <w:tcW w:w="1004" w:type="dxa"/>
            <w:vMerge/>
            <w:tcBorders>
              <w:left w:val="single" w:sz="6" w:space="0" w:color="000000"/>
              <w:bottom w:val="single" w:sz="12" w:space="0" w:color="000000"/>
              <w:right w:val="single" w:sz="6" w:space="0" w:color="000000"/>
            </w:tcBorders>
            <w:vAlign w:val="center"/>
          </w:tcPr>
          <w:p w14:paraId="73029B0A"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c>
          <w:tcPr>
            <w:tcW w:w="1006" w:type="dxa"/>
            <w:vMerge/>
            <w:tcBorders>
              <w:left w:val="single" w:sz="6" w:space="0" w:color="000000"/>
              <w:bottom w:val="single" w:sz="12" w:space="0" w:color="000000"/>
              <w:right w:val="single" w:sz="12" w:space="0" w:color="000000"/>
            </w:tcBorders>
            <w:vAlign w:val="center"/>
          </w:tcPr>
          <w:p w14:paraId="4602C971" w14:textId="77777777" w:rsidR="00D12939" w:rsidRDefault="00D12939">
            <w:pPr>
              <w:pStyle w:val="afffff8"/>
              <w:spacing w:before="0" w:after="0" w:line="240" w:lineRule="auto"/>
              <w:ind w:firstLineChars="0" w:firstLine="0"/>
              <w:jc w:val="center"/>
              <w:rPr>
                <w:rFonts w:ascii="Times New Roman" w:eastAsia="宋体" w:hAnsi="Times New Roman"/>
                <w:sz w:val="21"/>
                <w:szCs w:val="21"/>
              </w:rPr>
            </w:pPr>
          </w:p>
        </w:tc>
      </w:tr>
    </w:tbl>
    <w:p w14:paraId="5C9C08A4" w14:textId="77777777" w:rsidR="00D12939" w:rsidRDefault="004F47F5">
      <w:pPr>
        <w:adjustRightInd w:val="0"/>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由预测结果可知，场界噪声预测满足《工业企业厂界环境噪声排放标准》（</w:t>
      </w:r>
      <w:r>
        <w:rPr>
          <w:rFonts w:ascii="Times New Roman" w:eastAsia="宋体" w:hAnsi="Times New Roman" w:cs="Times New Roman"/>
          <w:sz w:val="24"/>
        </w:rPr>
        <w:t>GB12348-2008</w:t>
      </w:r>
      <w:r>
        <w:rPr>
          <w:rFonts w:ascii="Times New Roman" w:eastAsia="宋体" w:hAnsi="Times New Roman" w:cs="Times New Roman"/>
          <w:sz w:val="24"/>
        </w:rPr>
        <w:t>）中</w:t>
      </w:r>
      <w:r>
        <w:rPr>
          <w:rFonts w:ascii="Times New Roman" w:eastAsia="宋体" w:hAnsi="Times New Roman" w:cs="Times New Roman"/>
          <w:sz w:val="24"/>
        </w:rPr>
        <w:t xml:space="preserve">2 </w:t>
      </w:r>
      <w:r>
        <w:rPr>
          <w:rFonts w:ascii="Times New Roman" w:eastAsia="宋体" w:hAnsi="Times New Roman" w:cs="Times New Roman"/>
          <w:sz w:val="24"/>
        </w:rPr>
        <w:t>类标准。</w:t>
      </w:r>
    </w:p>
    <w:p w14:paraId="65ACC2C9"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498" w:name="_Toc121411776"/>
      <w:r>
        <w:rPr>
          <w:rFonts w:ascii="Times New Roman" w:eastAsia="黑体" w:hAnsi="Times New Roman" w:cs="Times New Roman"/>
          <w:b w:val="0"/>
          <w:sz w:val="24"/>
        </w:rPr>
        <w:t xml:space="preserve">7.3.4 </w:t>
      </w:r>
      <w:r>
        <w:rPr>
          <w:rFonts w:ascii="Times New Roman" w:eastAsia="黑体" w:hAnsi="Times New Roman" w:cs="Times New Roman" w:hint="eastAsia"/>
          <w:b w:val="0"/>
          <w:sz w:val="24"/>
        </w:rPr>
        <w:t>小结</w:t>
      </w:r>
      <w:bookmarkEnd w:id="498"/>
    </w:p>
    <w:p w14:paraId="2FB97302" w14:textId="77777777" w:rsidR="00D12939" w:rsidRDefault="004F47F5">
      <w:pPr>
        <w:adjustRightInd w:val="0"/>
        <w:snapToGri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本项目声环境影响评价自查表见表</w:t>
      </w:r>
      <w:r>
        <w:rPr>
          <w:rFonts w:ascii="Times New Roman" w:eastAsia="宋体" w:hAnsi="Times New Roman" w:cs="Times New Roman"/>
          <w:sz w:val="24"/>
        </w:rPr>
        <w:t>7.3-8</w:t>
      </w:r>
      <w:r>
        <w:rPr>
          <w:rFonts w:ascii="Times New Roman" w:eastAsia="宋体" w:hAnsi="Times New Roman" w:cs="Times New Roman" w:hint="eastAsia"/>
          <w:sz w:val="24"/>
        </w:rPr>
        <w:t>。</w:t>
      </w:r>
    </w:p>
    <w:p w14:paraId="787DF355" w14:textId="77777777" w:rsidR="00D12939" w:rsidRDefault="004F47F5">
      <w:pPr>
        <w:pStyle w:val="affffffffffffd"/>
        <w:spacing w:line="360" w:lineRule="auto"/>
      </w:pPr>
      <w:r>
        <w:rPr>
          <w:rFonts w:hint="eastAsia"/>
        </w:rPr>
        <w:t>表</w:t>
      </w:r>
      <w:r>
        <w:t xml:space="preserve">7.3-8  </w:t>
      </w:r>
      <w:r>
        <w:rPr>
          <w:rFonts w:hint="eastAsia"/>
        </w:rPr>
        <w:t>声环境影响评价自查表</w:t>
      </w:r>
    </w:p>
    <w:tbl>
      <w:tblPr>
        <w:tblW w:w="97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086"/>
        <w:gridCol w:w="1542"/>
        <w:gridCol w:w="1188"/>
        <w:gridCol w:w="594"/>
        <w:gridCol w:w="538"/>
        <w:gridCol w:w="174"/>
        <w:gridCol w:w="790"/>
        <w:gridCol w:w="289"/>
        <w:gridCol w:w="719"/>
        <w:gridCol w:w="42"/>
        <w:gridCol w:w="427"/>
        <w:gridCol w:w="125"/>
        <w:gridCol w:w="486"/>
        <w:gridCol w:w="496"/>
        <w:gridCol w:w="82"/>
        <w:gridCol w:w="1190"/>
      </w:tblGrid>
      <w:tr w:rsidR="00D12939" w14:paraId="2AB626EB" w14:textId="77777777">
        <w:trPr>
          <w:trHeight w:val="210"/>
        </w:trPr>
        <w:tc>
          <w:tcPr>
            <w:tcW w:w="2628" w:type="dxa"/>
            <w:gridSpan w:val="2"/>
            <w:tcBorders>
              <w:top w:val="single" w:sz="12" w:space="0" w:color="auto"/>
              <w:left w:val="single" w:sz="12" w:space="0" w:color="auto"/>
              <w:bottom w:val="single" w:sz="6" w:space="0" w:color="auto"/>
              <w:right w:val="single" w:sz="6" w:space="0" w:color="auto"/>
            </w:tcBorders>
            <w:vAlign w:val="center"/>
          </w:tcPr>
          <w:p w14:paraId="12ECFB65"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工作内容</w:t>
            </w:r>
          </w:p>
        </w:tc>
        <w:tc>
          <w:tcPr>
            <w:tcW w:w="7140" w:type="dxa"/>
            <w:gridSpan w:val="14"/>
            <w:tcBorders>
              <w:top w:val="single" w:sz="12" w:space="0" w:color="auto"/>
              <w:left w:val="single" w:sz="6" w:space="0" w:color="auto"/>
              <w:bottom w:val="single" w:sz="6" w:space="0" w:color="auto"/>
              <w:right w:val="single" w:sz="12" w:space="0" w:color="auto"/>
            </w:tcBorders>
            <w:vAlign w:val="center"/>
          </w:tcPr>
          <w:p w14:paraId="2874FA61"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自查项目</w:t>
            </w:r>
          </w:p>
        </w:tc>
      </w:tr>
      <w:tr w:rsidR="00D12939" w14:paraId="7631AF5C" w14:textId="77777777">
        <w:trPr>
          <w:trHeight w:val="220"/>
        </w:trPr>
        <w:tc>
          <w:tcPr>
            <w:tcW w:w="1086" w:type="dxa"/>
            <w:vMerge w:val="restart"/>
            <w:tcBorders>
              <w:top w:val="single" w:sz="6" w:space="0" w:color="auto"/>
              <w:left w:val="single" w:sz="12" w:space="0" w:color="auto"/>
              <w:bottom w:val="single" w:sz="6" w:space="0" w:color="auto"/>
              <w:right w:val="single" w:sz="6" w:space="0" w:color="auto"/>
            </w:tcBorders>
            <w:vAlign w:val="center"/>
          </w:tcPr>
          <w:p w14:paraId="28FFCA62"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评价等级与范围</w:t>
            </w:r>
          </w:p>
        </w:tc>
        <w:tc>
          <w:tcPr>
            <w:tcW w:w="1542" w:type="dxa"/>
            <w:tcBorders>
              <w:top w:val="single" w:sz="6" w:space="0" w:color="auto"/>
              <w:left w:val="single" w:sz="6" w:space="0" w:color="auto"/>
              <w:bottom w:val="single" w:sz="6" w:space="0" w:color="auto"/>
              <w:right w:val="single" w:sz="6" w:space="0" w:color="auto"/>
            </w:tcBorders>
            <w:vAlign w:val="center"/>
          </w:tcPr>
          <w:p w14:paraId="7803D03D"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评价等级</w:t>
            </w:r>
          </w:p>
        </w:tc>
        <w:tc>
          <w:tcPr>
            <w:tcW w:w="7140" w:type="dxa"/>
            <w:gridSpan w:val="14"/>
            <w:tcBorders>
              <w:top w:val="single" w:sz="6" w:space="0" w:color="auto"/>
              <w:left w:val="single" w:sz="6" w:space="0" w:color="auto"/>
              <w:bottom w:val="single" w:sz="6" w:space="0" w:color="auto"/>
              <w:right w:val="single" w:sz="12" w:space="0" w:color="auto"/>
            </w:tcBorders>
            <w:vAlign w:val="center"/>
          </w:tcPr>
          <w:p w14:paraId="4558AEAB"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一级</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二级</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三级</w:t>
            </w:r>
            <w:r>
              <w:rPr>
                <w:rFonts w:ascii="Times New Roman" w:eastAsia="宋体" w:hAnsi="Times New Roman" w:cs="Times New Roman"/>
                <w:bCs/>
              </w:rPr>
              <w:sym w:font="Wingdings 2" w:char="F052"/>
            </w:r>
          </w:p>
        </w:tc>
      </w:tr>
      <w:tr w:rsidR="00D12939" w14:paraId="4DF9E94F" w14:textId="77777777">
        <w:trPr>
          <w:trHeight w:val="248"/>
        </w:trPr>
        <w:tc>
          <w:tcPr>
            <w:tcW w:w="1086" w:type="dxa"/>
            <w:vMerge/>
            <w:tcBorders>
              <w:top w:val="single" w:sz="6" w:space="0" w:color="auto"/>
              <w:left w:val="single" w:sz="12" w:space="0" w:color="auto"/>
              <w:bottom w:val="single" w:sz="6" w:space="0" w:color="auto"/>
              <w:right w:val="single" w:sz="6" w:space="0" w:color="auto"/>
            </w:tcBorders>
            <w:vAlign w:val="center"/>
          </w:tcPr>
          <w:p w14:paraId="6B214312"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7617040B"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评价范围</w:t>
            </w:r>
          </w:p>
        </w:tc>
        <w:tc>
          <w:tcPr>
            <w:tcW w:w="7140" w:type="dxa"/>
            <w:gridSpan w:val="14"/>
            <w:tcBorders>
              <w:top w:val="single" w:sz="6" w:space="0" w:color="auto"/>
              <w:left w:val="single" w:sz="6" w:space="0" w:color="auto"/>
              <w:bottom w:val="single" w:sz="6" w:space="0" w:color="auto"/>
              <w:right w:val="single" w:sz="12" w:space="0" w:color="auto"/>
            </w:tcBorders>
            <w:vAlign w:val="center"/>
          </w:tcPr>
          <w:p w14:paraId="6C031999"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 xml:space="preserve">200 m□           </w:t>
            </w:r>
            <w:r>
              <w:rPr>
                <w:rFonts w:ascii="Times New Roman" w:eastAsia="宋体" w:hAnsi="Times New Roman" w:cs="Times New Roman"/>
                <w:sz w:val="18"/>
                <w:szCs w:val="21"/>
              </w:rPr>
              <w:t>大于</w:t>
            </w:r>
            <w:r>
              <w:rPr>
                <w:rFonts w:ascii="Times New Roman" w:eastAsia="宋体" w:hAnsi="Times New Roman" w:cs="Times New Roman"/>
                <w:sz w:val="18"/>
                <w:szCs w:val="21"/>
              </w:rPr>
              <w:t xml:space="preserve">200 m□        </w:t>
            </w:r>
            <w:r>
              <w:rPr>
                <w:rFonts w:ascii="Times New Roman" w:eastAsia="宋体" w:hAnsi="Times New Roman" w:cs="Times New Roman"/>
                <w:sz w:val="18"/>
                <w:szCs w:val="21"/>
              </w:rPr>
              <w:t>小于</w:t>
            </w:r>
            <w:r>
              <w:rPr>
                <w:rFonts w:ascii="Times New Roman" w:eastAsia="宋体" w:hAnsi="Times New Roman" w:cs="Times New Roman"/>
                <w:sz w:val="18"/>
                <w:szCs w:val="21"/>
              </w:rPr>
              <w:t>200 m</w:t>
            </w:r>
            <w:r>
              <w:rPr>
                <w:rFonts w:ascii="Times New Roman" w:eastAsia="宋体" w:hAnsi="Times New Roman" w:cs="Times New Roman"/>
                <w:bCs/>
              </w:rPr>
              <w:sym w:font="Wingdings 2" w:char="F052"/>
            </w:r>
          </w:p>
        </w:tc>
      </w:tr>
      <w:tr w:rsidR="00D12939" w14:paraId="5AC4AC44" w14:textId="77777777">
        <w:trPr>
          <w:trHeight w:val="387"/>
        </w:trPr>
        <w:tc>
          <w:tcPr>
            <w:tcW w:w="1086" w:type="dxa"/>
            <w:tcBorders>
              <w:top w:val="single" w:sz="6" w:space="0" w:color="auto"/>
              <w:left w:val="single" w:sz="12" w:space="0" w:color="auto"/>
              <w:bottom w:val="single" w:sz="6" w:space="0" w:color="auto"/>
              <w:right w:val="single" w:sz="6" w:space="0" w:color="auto"/>
            </w:tcBorders>
            <w:vAlign w:val="center"/>
          </w:tcPr>
          <w:p w14:paraId="077856BE"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评价因子</w:t>
            </w:r>
          </w:p>
        </w:tc>
        <w:tc>
          <w:tcPr>
            <w:tcW w:w="1542" w:type="dxa"/>
            <w:tcBorders>
              <w:top w:val="single" w:sz="6" w:space="0" w:color="auto"/>
              <w:left w:val="single" w:sz="6" w:space="0" w:color="auto"/>
              <w:bottom w:val="single" w:sz="6" w:space="0" w:color="auto"/>
              <w:right w:val="single" w:sz="6" w:space="0" w:color="auto"/>
            </w:tcBorders>
            <w:vAlign w:val="center"/>
          </w:tcPr>
          <w:p w14:paraId="2EA45EBD"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评价因子</w:t>
            </w:r>
          </w:p>
        </w:tc>
        <w:tc>
          <w:tcPr>
            <w:tcW w:w="2494" w:type="dxa"/>
            <w:gridSpan w:val="4"/>
            <w:tcBorders>
              <w:top w:val="single" w:sz="6" w:space="0" w:color="auto"/>
              <w:left w:val="single" w:sz="6" w:space="0" w:color="auto"/>
              <w:bottom w:val="single" w:sz="6" w:space="0" w:color="auto"/>
              <w:right w:val="single" w:sz="6" w:space="0" w:color="auto"/>
            </w:tcBorders>
            <w:vAlign w:val="center"/>
          </w:tcPr>
          <w:p w14:paraId="72D33679"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等效连续</w:t>
            </w:r>
            <w:r>
              <w:rPr>
                <w:rFonts w:ascii="Times New Roman" w:eastAsia="宋体" w:hAnsi="Times New Roman" w:cs="Times New Roman"/>
                <w:sz w:val="18"/>
                <w:szCs w:val="21"/>
              </w:rPr>
              <w:t>A</w:t>
            </w:r>
            <w:r>
              <w:rPr>
                <w:rFonts w:ascii="Times New Roman" w:eastAsia="宋体" w:hAnsi="Times New Roman" w:cs="Times New Roman"/>
                <w:sz w:val="18"/>
                <w:szCs w:val="21"/>
              </w:rPr>
              <w:t>声级</w:t>
            </w:r>
            <w:r>
              <w:rPr>
                <w:rFonts w:ascii="Times New Roman" w:eastAsia="宋体" w:hAnsi="Times New Roman" w:cs="Times New Roman"/>
                <w:bCs/>
              </w:rPr>
              <w:sym w:font="Wingdings 2" w:char="F052"/>
            </w:r>
          </w:p>
        </w:tc>
        <w:tc>
          <w:tcPr>
            <w:tcW w:w="1840" w:type="dxa"/>
            <w:gridSpan w:val="4"/>
            <w:tcBorders>
              <w:top w:val="single" w:sz="6" w:space="0" w:color="auto"/>
              <w:left w:val="single" w:sz="6" w:space="0" w:color="auto"/>
              <w:bottom w:val="single" w:sz="6" w:space="0" w:color="auto"/>
              <w:right w:val="single" w:sz="6" w:space="0" w:color="auto"/>
            </w:tcBorders>
            <w:vAlign w:val="center"/>
          </w:tcPr>
          <w:p w14:paraId="2BDDBA8B"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最大</w:t>
            </w:r>
            <w:r>
              <w:rPr>
                <w:rFonts w:ascii="Times New Roman" w:eastAsia="宋体" w:hAnsi="Times New Roman" w:cs="Times New Roman"/>
                <w:sz w:val="18"/>
                <w:szCs w:val="21"/>
              </w:rPr>
              <w:t>A</w:t>
            </w:r>
            <w:r>
              <w:rPr>
                <w:rFonts w:ascii="Times New Roman" w:eastAsia="宋体" w:hAnsi="Times New Roman" w:cs="Times New Roman"/>
                <w:sz w:val="18"/>
                <w:szCs w:val="21"/>
              </w:rPr>
              <w:t>声级</w:t>
            </w:r>
            <w:r>
              <w:rPr>
                <w:rFonts w:ascii="Times New Roman" w:eastAsia="宋体" w:hAnsi="Times New Roman" w:cs="Times New Roman"/>
                <w:sz w:val="18"/>
                <w:szCs w:val="21"/>
              </w:rPr>
              <w:t>□</w:t>
            </w:r>
          </w:p>
        </w:tc>
        <w:tc>
          <w:tcPr>
            <w:tcW w:w="2806" w:type="dxa"/>
            <w:gridSpan w:val="6"/>
            <w:tcBorders>
              <w:top w:val="single" w:sz="6" w:space="0" w:color="auto"/>
              <w:left w:val="single" w:sz="6" w:space="0" w:color="auto"/>
              <w:bottom w:val="single" w:sz="6" w:space="0" w:color="auto"/>
              <w:right w:val="single" w:sz="12" w:space="0" w:color="auto"/>
            </w:tcBorders>
            <w:vAlign w:val="center"/>
          </w:tcPr>
          <w:p w14:paraId="744A2043"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计权等效连续感觉噪声级</w:t>
            </w:r>
            <w:r>
              <w:rPr>
                <w:rFonts w:ascii="Times New Roman" w:eastAsia="宋体" w:hAnsi="Times New Roman" w:cs="Times New Roman"/>
                <w:sz w:val="18"/>
                <w:szCs w:val="21"/>
              </w:rPr>
              <w:t>□</w:t>
            </w:r>
          </w:p>
        </w:tc>
      </w:tr>
      <w:tr w:rsidR="00D12939" w14:paraId="5179692F" w14:textId="77777777">
        <w:trPr>
          <w:trHeight w:val="387"/>
        </w:trPr>
        <w:tc>
          <w:tcPr>
            <w:tcW w:w="1086" w:type="dxa"/>
            <w:tcBorders>
              <w:top w:val="single" w:sz="6" w:space="0" w:color="auto"/>
              <w:left w:val="single" w:sz="12" w:space="0" w:color="auto"/>
              <w:bottom w:val="single" w:sz="6" w:space="0" w:color="auto"/>
              <w:right w:val="single" w:sz="6" w:space="0" w:color="auto"/>
            </w:tcBorders>
            <w:vAlign w:val="center"/>
          </w:tcPr>
          <w:p w14:paraId="46118558"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评价标准</w:t>
            </w:r>
          </w:p>
        </w:tc>
        <w:tc>
          <w:tcPr>
            <w:tcW w:w="1542" w:type="dxa"/>
            <w:tcBorders>
              <w:top w:val="single" w:sz="6" w:space="0" w:color="auto"/>
              <w:left w:val="single" w:sz="6" w:space="0" w:color="auto"/>
              <w:bottom w:val="single" w:sz="6" w:space="0" w:color="auto"/>
              <w:right w:val="single" w:sz="6" w:space="0" w:color="auto"/>
            </w:tcBorders>
            <w:vAlign w:val="center"/>
          </w:tcPr>
          <w:p w14:paraId="2935563D"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评价标准</w:t>
            </w:r>
          </w:p>
        </w:tc>
        <w:tc>
          <w:tcPr>
            <w:tcW w:w="2494" w:type="dxa"/>
            <w:gridSpan w:val="4"/>
            <w:tcBorders>
              <w:top w:val="single" w:sz="6" w:space="0" w:color="auto"/>
              <w:left w:val="single" w:sz="6" w:space="0" w:color="auto"/>
              <w:bottom w:val="single" w:sz="6" w:space="0" w:color="auto"/>
              <w:right w:val="single" w:sz="6" w:space="0" w:color="auto"/>
            </w:tcBorders>
            <w:vAlign w:val="center"/>
          </w:tcPr>
          <w:p w14:paraId="7E3A30C2"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国家标准</w:t>
            </w:r>
            <w:r>
              <w:rPr>
                <w:rFonts w:ascii="Times New Roman" w:eastAsia="宋体" w:hAnsi="Times New Roman" w:cs="Times New Roman"/>
                <w:bCs/>
              </w:rPr>
              <w:sym w:font="Wingdings 2" w:char="F052"/>
            </w:r>
          </w:p>
        </w:tc>
        <w:tc>
          <w:tcPr>
            <w:tcW w:w="1840" w:type="dxa"/>
            <w:gridSpan w:val="4"/>
            <w:tcBorders>
              <w:top w:val="single" w:sz="6" w:space="0" w:color="auto"/>
              <w:left w:val="single" w:sz="6" w:space="0" w:color="auto"/>
              <w:bottom w:val="single" w:sz="6" w:space="0" w:color="auto"/>
              <w:right w:val="single" w:sz="6" w:space="0" w:color="auto"/>
            </w:tcBorders>
            <w:vAlign w:val="center"/>
          </w:tcPr>
          <w:p w14:paraId="196D7113"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地方标准</w:t>
            </w:r>
            <w:r>
              <w:rPr>
                <w:rFonts w:ascii="Times New Roman" w:eastAsia="宋体" w:hAnsi="Times New Roman" w:cs="Times New Roman"/>
                <w:sz w:val="18"/>
                <w:szCs w:val="21"/>
              </w:rPr>
              <w:t>□</w:t>
            </w:r>
          </w:p>
        </w:tc>
        <w:tc>
          <w:tcPr>
            <w:tcW w:w="2806" w:type="dxa"/>
            <w:gridSpan w:val="6"/>
            <w:tcBorders>
              <w:top w:val="single" w:sz="6" w:space="0" w:color="auto"/>
              <w:left w:val="single" w:sz="6" w:space="0" w:color="auto"/>
              <w:bottom w:val="single" w:sz="6" w:space="0" w:color="auto"/>
              <w:right w:val="single" w:sz="12" w:space="0" w:color="auto"/>
            </w:tcBorders>
            <w:vAlign w:val="center"/>
          </w:tcPr>
          <w:p w14:paraId="16979D47"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国外标准</w:t>
            </w:r>
            <w:r>
              <w:rPr>
                <w:rFonts w:ascii="Times New Roman" w:eastAsia="宋体" w:hAnsi="Times New Roman" w:cs="Times New Roman"/>
                <w:sz w:val="18"/>
                <w:szCs w:val="21"/>
              </w:rPr>
              <w:t>□</w:t>
            </w:r>
          </w:p>
        </w:tc>
      </w:tr>
      <w:tr w:rsidR="00D12939" w14:paraId="66713ACF" w14:textId="77777777">
        <w:trPr>
          <w:trHeight w:val="220"/>
        </w:trPr>
        <w:tc>
          <w:tcPr>
            <w:tcW w:w="1086" w:type="dxa"/>
            <w:vMerge w:val="restart"/>
            <w:tcBorders>
              <w:top w:val="single" w:sz="6" w:space="0" w:color="auto"/>
              <w:left w:val="single" w:sz="12" w:space="0" w:color="auto"/>
              <w:bottom w:val="single" w:sz="6" w:space="0" w:color="auto"/>
              <w:right w:val="single" w:sz="6" w:space="0" w:color="auto"/>
            </w:tcBorders>
            <w:vAlign w:val="center"/>
          </w:tcPr>
          <w:p w14:paraId="39C51959"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现状评价</w:t>
            </w:r>
          </w:p>
        </w:tc>
        <w:tc>
          <w:tcPr>
            <w:tcW w:w="1542" w:type="dxa"/>
            <w:tcBorders>
              <w:top w:val="single" w:sz="6" w:space="0" w:color="auto"/>
              <w:left w:val="single" w:sz="6" w:space="0" w:color="auto"/>
              <w:bottom w:val="single" w:sz="6" w:space="0" w:color="auto"/>
              <w:right w:val="single" w:sz="6" w:space="0" w:color="auto"/>
            </w:tcBorders>
            <w:vAlign w:val="center"/>
          </w:tcPr>
          <w:p w14:paraId="596A4D0A"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环境功能区</w:t>
            </w:r>
          </w:p>
        </w:tc>
        <w:tc>
          <w:tcPr>
            <w:tcW w:w="1188" w:type="dxa"/>
            <w:tcBorders>
              <w:top w:val="single" w:sz="6" w:space="0" w:color="auto"/>
              <w:left w:val="single" w:sz="6" w:space="0" w:color="auto"/>
              <w:bottom w:val="single" w:sz="6" w:space="0" w:color="auto"/>
              <w:right w:val="single" w:sz="6" w:space="0" w:color="auto"/>
            </w:tcBorders>
            <w:vAlign w:val="center"/>
          </w:tcPr>
          <w:p w14:paraId="5E1A4D13"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0</w:t>
            </w:r>
            <w:r>
              <w:rPr>
                <w:rFonts w:ascii="Times New Roman" w:eastAsia="宋体" w:hAnsi="Times New Roman" w:cs="Times New Roman"/>
                <w:sz w:val="18"/>
                <w:szCs w:val="21"/>
              </w:rPr>
              <w:t>类区</w:t>
            </w:r>
            <w:r>
              <w:rPr>
                <w:rFonts w:ascii="Times New Roman" w:eastAsia="宋体" w:hAnsi="Times New Roman" w:cs="Times New Roman"/>
                <w:sz w:val="18"/>
                <w:szCs w:val="21"/>
              </w:rPr>
              <w:t>□</w:t>
            </w:r>
          </w:p>
        </w:tc>
        <w:tc>
          <w:tcPr>
            <w:tcW w:w="1132" w:type="dxa"/>
            <w:gridSpan w:val="2"/>
            <w:tcBorders>
              <w:top w:val="single" w:sz="6" w:space="0" w:color="auto"/>
              <w:left w:val="single" w:sz="6" w:space="0" w:color="auto"/>
              <w:bottom w:val="single" w:sz="6" w:space="0" w:color="auto"/>
              <w:right w:val="single" w:sz="6" w:space="0" w:color="auto"/>
            </w:tcBorders>
            <w:vAlign w:val="center"/>
          </w:tcPr>
          <w:p w14:paraId="320BC6F1"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1</w:t>
            </w:r>
            <w:r>
              <w:rPr>
                <w:rFonts w:ascii="Times New Roman" w:eastAsia="宋体" w:hAnsi="Times New Roman" w:cs="Times New Roman"/>
                <w:sz w:val="18"/>
                <w:szCs w:val="21"/>
              </w:rPr>
              <w:t>类区</w:t>
            </w:r>
            <w:r>
              <w:rPr>
                <w:rFonts w:ascii="Times New Roman" w:eastAsia="宋体" w:hAnsi="Times New Roman" w:cs="Times New Roman"/>
                <w:sz w:val="18"/>
                <w:szCs w:val="21"/>
              </w:rPr>
              <w:t>□</w:t>
            </w:r>
          </w:p>
        </w:tc>
        <w:tc>
          <w:tcPr>
            <w:tcW w:w="1253" w:type="dxa"/>
            <w:gridSpan w:val="3"/>
            <w:tcBorders>
              <w:top w:val="single" w:sz="6" w:space="0" w:color="auto"/>
              <w:left w:val="single" w:sz="6" w:space="0" w:color="auto"/>
              <w:bottom w:val="single" w:sz="6" w:space="0" w:color="auto"/>
              <w:right w:val="single" w:sz="6" w:space="0" w:color="auto"/>
            </w:tcBorders>
            <w:vAlign w:val="center"/>
          </w:tcPr>
          <w:p w14:paraId="08DBDAC1"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2</w:t>
            </w:r>
            <w:r>
              <w:rPr>
                <w:rFonts w:ascii="Times New Roman" w:eastAsia="宋体" w:hAnsi="Times New Roman" w:cs="Times New Roman"/>
                <w:sz w:val="18"/>
                <w:szCs w:val="21"/>
              </w:rPr>
              <w:t>类区</w:t>
            </w:r>
            <w:r>
              <w:rPr>
                <w:rFonts w:ascii="Times New Roman" w:eastAsia="宋体" w:hAnsi="Times New Roman" w:cs="Times New Roman"/>
                <w:bCs/>
              </w:rPr>
              <w:sym w:font="Wingdings 2" w:char="F052"/>
            </w:r>
          </w:p>
        </w:tc>
        <w:tc>
          <w:tcPr>
            <w:tcW w:w="1188" w:type="dxa"/>
            <w:gridSpan w:val="3"/>
            <w:tcBorders>
              <w:top w:val="single" w:sz="6" w:space="0" w:color="auto"/>
              <w:left w:val="single" w:sz="6" w:space="0" w:color="auto"/>
              <w:bottom w:val="single" w:sz="6" w:space="0" w:color="auto"/>
              <w:right w:val="single" w:sz="6" w:space="0" w:color="auto"/>
            </w:tcBorders>
            <w:vAlign w:val="center"/>
          </w:tcPr>
          <w:p w14:paraId="7563D15C"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3</w:t>
            </w:r>
            <w:r>
              <w:rPr>
                <w:rFonts w:ascii="Times New Roman" w:eastAsia="宋体" w:hAnsi="Times New Roman" w:cs="Times New Roman"/>
                <w:sz w:val="18"/>
                <w:szCs w:val="21"/>
              </w:rPr>
              <w:t>类区</w:t>
            </w:r>
            <w:r>
              <w:rPr>
                <w:rFonts w:ascii="Times New Roman" w:eastAsia="宋体" w:hAnsi="Times New Roman" w:cs="Times New Roman"/>
                <w:sz w:val="18"/>
                <w:szCs w:val="21"/>
              </w:rPr>
              <w:t>□</w:t>
            </w:r>
          </w:p>
        </w:tc>
        <w:tc>
          <w:tcPr>
            <w:tcW w:w="1189" w:type="dxa"/>
            <w:gridSpan w:val="4"/>
            <w:tcBorders>
              <w:top w:val="single" w:sz="6" w:space="0" w:color="auto"/>
              <w:left w:val="single" w:sz="6" w:space="0" w:color="auto"/>
              <w:bottom w:val="single" w:sz="6" w:space="0" w:color="auto"/>
              <w:right w:val="single" w:sz="6" w:space="0" w:color="auto"/>
            </w:tcBorders>
            <w:vAlign w:val="center"/>
          </w:tcPr>
          <w:p w14:paraId="1163BFEB"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4a</w:t>
            </w:r>
            <w:r>
              <w:rPr>
                <w:rFonts w:ascii="Times New Roman" w:eastAsia="宋体" w:hAnsi="Times New Roman" w:cs="Times New Roman"/>
                <w:sz w:val="18"/>
                <w:szCs w:val="21"/>
              </w:rPr>
              <w:t>类区</w:t>
            </w:r>
            <w:r>
              <w:rPr>
                <w:rFonts w:ascii="Times New Roman" w:eastAsia="宋体" w:hAnsi="Times New Roman" w:cs="Times New Roman"/>
                <w:sz w:val="18"/>
                <w:szCs w:val="21"/>
              </w:rPr>
              <w:t>□</w:t>
            </w:r>
          </w:p>
        </w:tc>
        <w:tc>
          <w:tcPr>
            <w:tcW w:w="1190" w:type="dxa"/>
            <w:tcBorders>
              <w:top w:val="single" w:sz="6" w:space="0" w:color="auto"/>
              <w:left w:val="single" w:sz="6" w:space="0" w:color="auto"/>
              <w:bottom w:val="single" w:sz="6" w:space="0" w:color="auto"/>
              <w:right w:val="single" w:sz="12" w:space="0" w:color="auto"/>
            </w:tcBorders>
            <w:vAlign w:val="center"/>
          </w:tcPr>
          <w:p w14:paraId="3AC659D6"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4b</w:t>
            </w:r>
            <w:r>
              <w:rPr>
                <w:rFonts w:ascii="Times New Roman" w:eastAsia="宋体" w:hAnsi="Times New Roman" w:cs="Times New Roman"/>
                <w:sz w:val="18"/>
                <w:szCs w:val="21"/>
              </w:rPr>
              <w:t>类区</w:t>
            </w:r>
            <w:r>
              <w:rPr>
                <w:rFonts w:ascii="Times New Roman" w:eastAsia="宋体" w:hAnsi="Times New Roman" w:cs="Times New Roman"/>
                <w:sz w:val="18"/>
                <w:szCs w:val="21"/>
              </w:rPr>
              <w:t>□</w:t>
            </w:r>
          </w:p>
        </w:tc>
      </w:tr>
      <w:tr w:rsidR="00D12939" w14:paraId="47F1718D" w14:textId="77777777">
        <w:trPr>
          <w:trHeight w:val="220"/>
        </w:trPr>
        <w:tc>
          <w:tcPr>
            <w:tcW w:w="1086" w:type="dxa"/>
            <w:vMerge/>
            <w:tcBorders>
              <w:top w:val="single" w:sz="6" w:space="0" w:color="auto"/>
              <w:left w:val="single" w:sz="12" w:space="0" w:color="auto"/>
              <w:bottom w:val="single" w:sz="6" w:space="0" w:color="auto"/>
              <w:right w:val="single" w:sz="6" w:space="0" w:color="auto"/>
            </w:tcBorders>
            <w:vAlign w:val="center"/>
          </w:tcPr>
          <w:p w14:paraId="20EA0FC3"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4E6B6948"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评价年度</w:t>
            </w:r>
          </w:p>
        </w:tc>
        <w:tc>
          <w:tcPr>
            <w:tcW w:w="1782" w:type="dxa"/>
            <w:gridSpan w:val="2"/>
            <w:tcBorders>
              <w:top w:val="single" w:sz="6" w:space="0" w:color="auto"/>
              <w:left w:val="single" w:sz="6" w:space="0" w:color="auto"/>
              <w:bottom w:val="single" w:sz="6" w:space="0" w:color="auto"/>
              <w:right w:val="single" w:sz="6" w:space="0" w:color="auto"/>
            </w:tcBorders>
            <w:vAlign w:val="center"/>
          </w:tcPr>
          <w:p w14:paraId="09B2C6E7"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初期</w:t>
            </w:r>
            <w:r>
              <w:rPr>
                <w:rFonts w:ascii="Times New Roman" w:eastAsia="宋体" w:hAnsi="Times New Roman" w:cs="Times New Roman"/>
                <w:sz w:val="18"/>
                <w:szCs w:val="21"/>
              </w:rPr>
              <w:t>□</w:t>
            </w:r>
          </w:p>
        </w:tc>
        <w:tc>
          <w:tcPr>
            <w:tcW w:w="1791" w:type="dxa"/>
            <w:gridSpan w:val="4"/>
            <w:tcBorders>
              <w:top w:val="single" w:sz="6" w:space="0" w:color="auto"/>
              <w:left w:val="single" w:sz="6" w:space="0" w:color="auto"/>
              <w:bottom w:val="single" w:sz="6" w:space="0" w:color="auto"/>
              <w:right w:val="single" w:sz="6" w:space="0" w:color="auto"/>
            </w:tcBorders>
            <w:vAlign w:val="center"/>
          </w:tcPr>
          <w:p w14:paraId="2A8533EE"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近期</w:t>
            </w:r>
            <w:r>
              <w:rPr>
                <w:rFonts w:ascii="Times New Roman" w:eastAsia="宋体" w:hAnsi="Times New Roman" w:cs="Times New Roman"/>
                <w:bCs/>
              </w:rPr>
              <w:sym w:font="Wingdings 2" w:char="F052"/>
            </w:r>
          </w:p>
        </w:tc>
        <w:tc>
          <w:tcPr>
            <w:tcW w:w="1799" w:type="dxa"/>
            <w:gridSpan w:val="5"/>
            <w:tcBorders>
              <w:top w:val="single" w:sz="6" w:space="0" w:color="auto"/>
              <w:left w:val="single" w:sz="6" w:space="0" w:color="auto"/>
              <w:bottom w:val="single" w:sz="6" w:space="0" w:color="auto"/>
              <w:right w:val="single" w:sz="6" w:space="0" w:color="auto"/>
            </w:tcBorders>
            <w:vAlign w:val="center"/>
          </w:tcPr>
          <w:p w14:paraId="53260B26"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中期</w:t>
            </w:r>
            <w:r>
              <w:rPr>
                <w:rFonts w:ascii="Times New Roman" w:eastAsia="宋体" w:hAnsi="Times New Roman" w:cs="Times New Roman"/>
                <w:sz w:val="18"/>
                <w:szCs w:val="21"/>
              </w:rPr>
              <w:t>□</w:t>
            </w:r>
          </w:p>
        </w:tc>
        <w:tc>
          <w:tcPr>
            <w:tcW w:w="1768" w:type="dxa"/>
            <w:gridSpan w:val="3"/>
            <w:tcBorders>
              <w:top w:val="single" w:sz="6" w:space="0" w:color="auto"/>
              <w:left w:val="single" w:sz="6" w:space="0" w:color="auto"/>
              <w:bottom w:val="single" w:sz="6" w:space="0" w:color="auto"/>
              <w:right w:val="single" w:sz="12" w:space="0" w:color="auto"/>
            </w:tcBorders>
            <w:vAlign w:val="center"/>
          </w:tcPr>
          <w:p w14:paraId="75869AE6"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远期</w:t>
            </w:r>
            <w:r>
              <w:rPr>
                <w:rFonts w:ascii="Times New Roman" w:eastAsia="宋体" w:hAnsi="Times New Roman" w:cs="Times New Roman"/>
                <w:sz w:val="18"/>
                <w:szCs w:val="21"/>
              </w:rPr>
              <w:t>□</w:t>
            </w:r>
          </w:p>
        </w:tc>
      </w:tr>
      <w:tr w:rsidR="00D12939" w14:paraId="2AF24F3D" w14:textId="77777777">
        <w:trPr>
          <w:trHeight w:val="395"/>
        </w:trPr>
        <w:tc>
          <w:tcPr>
            <w:tcW w:w="1086" w:type="dxa"/>
            <w:vMerge/>
            <w:tcBorders>
              <w:top w:val="single" w:sz="6" w:space="0" w:color="auto"/>
              <w:left w:val="single" w:sz="12" w:space="0" w:color="auto"/>
              <w:bottom w:val="single" w:sz="6" w:space="0" w:color="auto"/>
              <w:right w:val="single" w:sz="6" w:space="0" w:color="auto"/>
            </w:tcBorders>
            <w:vAlign w:val="center"/>
          </w:tcPr>
          <w:p w14:paraId="149DFBC7"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0BD0B4B3"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现状调查方法</w:t>
            </w:r>
          </w:p>
        </w:tc>
        <w:tc>
          <w:tcPr>
            <w:tcW w:w="2320" w:type="dxa"/>
            <w:gridSpan w:val="3"/>
            <w:tcBorders>
              <w:top w:val="single" w:sz="6" w:space="0" w:color="auto"/>
              <w:left w:val="single" w:sz="6" w:space="0" w:color="auto"/>
              <w:bottom w:val="single" w:sz="6" w:space="0" w:color="auto"/>
              <w:right w:val="single" w:sz="6" w:space="0" w:color="auto"/>
            </w:tcBorders>
            <w:vAlign w:val="center"/>
          </w:tcPr>
          <w:p w14:paraId="60B0DB5E"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现场实测法</w:t>
            </w:r>
            <w:r>
              <w:rPr>
                <w:rFonts w:ascii="Times New Roman" w:eastAsia="宋体" w:hAnsi="Times New Roman" w:cs="Times New Roman"/>
                <w:bCs/>
              </w:rPr>
              <w:sym w:font="Wingdings 2" w:char="F052"/>
            </w:r>
          </w:p>
        </w:tc>
        <w:tc>
          <w:tcPr>
            <w:tcW w:w="3052" w:type="dxa"/>
            <w:gridSpan w:val="8"/>
            <w:tcBorders>
              <w:top w:val="single" w:sz="6" w:space="0" w:color="auto"/>
              <w:left w:val="single" w:sz="6" w:space="0" w:color="auto"/>
              <w:bottom w:val="single" w:sz="6" w:space="0" w:color="auto"/>
              <w:right w:val="single" w:sz="6" w:space="0" w:color="auto"/>
            </w:tcBorders>
            <w:vAlign w:val="center"/>
          </w:tcPr>
          <w:p w14:paraId="7BDC82A8"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现场实测加模型计算法</w:t>
            </w:r>
            <w:r>
              <w:rPr>
                <w:rFonts w:ascii="Times New Roman" w:eastAsia="宋体" w:hAnsi="Times New Roman" w:cs="Times New Roman"/>
                <w:sz w:val="18"/>
                <w:szCs w:val="21"/>
              </w:rPr>
              <w:t>□</w:t>
            </w:r>
          </w:p>
        </w:tc>
        <w:tc>
          <w:tcPr>
            <w:tcW w:w="1768" w:type="dxa"/>
            <w:gridSpan w:val="3"/>
            <w:tcBorders>
              <w:top w:val="single" w:sz="6" w:space="0" w:color="auto"/>
              <w:left w:val="single" w:sz="6" w:space="0" w:color="auto"/>
              <w:bottom w:val="single" w:sz="6" w:space="0" w:color="auto"/>
              <w:right w:val="single" w:sz="12" w:space="0" w:color="auto"/>
            </w:tcBorders>
            <w:vAlign w:val="center"/>
          </w:tcPr>
          <w:p w14:paraId="558D5B3E"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收集资料</w:t>
            </w:r>
            <w:r>
              <w:rPr>
                <w:rFonts w:ascii="Times New Roman" w:eastAsia="宋体" w:hAnsi="Times New Roman" w:cs="Times New Roman"/>
                <w:sz w:val="18"/>
                <w:szCs w:val="21"/>
              </w:rPr>
              <w:t>□</w:t>
            </w:r>
          </w:p>
        </w:tc>
      </w:tr>
      <w:tr w:rsidR="00D12939" w14:paraId="381D074D" w14:textId="77777777">
        <w:trPr>
          <w:trHeight w:val="220"/>
        </w:trPr>
        <w:tc>
          <w:tcPr>
            <w:tcW w:w="1086" w:type="dxa"/>
            <w:vMerge/>
            <w:tcBorders>
              <w:top w:val="single" w:sz="6" w:space="0" w:color="auto"/>
              <w:left w:val="single" w:sz="12" w:space="0" w:color="auto"/>
              <w:bottom w:val="single" w:sz="6" w:space="0" w:color="auto"/>
              <w:right w:val="single" w:sz="6" w:space="0" w:color="auto"/>
            </w:tcBorders>
            <w:vAlign w:val="center"/>
          </w:tcPr>
          <w:p w14:paraId="2CD69859"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3F9F6938"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现状评价</w:t>
            </w:r>
          </w:p>
        </w:tc>
        <w:tc>
          <w:tcPr>
            <w:tcW w:w="2320" w:type="dxa"/>
            <w:gridSpan w:val="3"/>
            <w:tcBorders>
              <w:top w:val="single" w:sz="6" w:space="0" w:color="auto"/>
              <w:left w:val="single" w:sz="6" w:space="0" w:color="auto"/>
              <w:bottom w:val="single" w:sz="6" w:space="0" w:color="auto"/>
              <w:right w:val="single" w:sz="6" w:space="0" w:color="auto"/>
            </w:tcBorders>
            <w:vAlign w:val="center"/>
          </w:tcPr>
          <w:p w14:paraId="61946FD8"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达标百分比</w:t>
            </w:r>
          </w:p>
        </w:tc>
        <w:tc>
          <w:tcPr>
            <w:tcW w:w="4820" w:type="dxa"/>
            <w:gridSpan w:val="11"/>
            <w:tcBorders>
              <w:top w:val="single" w:sz="6" w:space="0" w:color="auto"/>
              <w:left w:val="single" w:sz="6" w:space="0" w:color="auto"/>
              <w:bottom w:val="single" w:sz="6" w:space="0" w:color="auto"/>
              <w:right w:val="single" w:sz="12" w:space="0" w:color="auto"/>
            </w:tcBorders>
            <w:vAlign w:val="center"/>
          </w:tcPr>
          <w:p w14:paraId="16939DE5"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100%</w:t>
            </w:r>
          </w:p>
        </w:tc>
      </w:tr>
      <w:tr w:rsidR="00D12939" w14:paraId="37D5B4D5" w14:textId="77777777">
        <w:trPr>
          <w:trHeight w:val="402"/>
        </w:trPr>
        <w:tc>
          <w:tcPr>
            <w:tcW w:w="1086" w:type="dxa"/>
            <w:tcBorders>
              <w:top w:val="single" w:sz="6" w:space="0" w:color="auto"/>
              <w:left w:val="single" w:sz="12" w:space="0" w:color="auto"/>
              <w:bottom w:val="single" w:sz="6" w:space="0" w:color="auto"/>
              <w:right w:val="single" w:sz="6" w:space="0" w:color="auto"/>
            </w:tcBorders>
            <w:vAlign w:val="center"/>
          </w:tcPr>
          <w:p w14:paraId="4CADD5C9"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lastRenderedPageBreak/>
              <w:t>噪声源</w:t>
            </w:r>
          </w:p>
          <w:p w14:paraId="43EF5E6E"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调查</w:t>
            </w:r>
          </w:p>
        </w:tc>
        <w:tc>
          <w:tcPr>
            <w:tcW w:w="1542" w:type="dxa"/>
            <w:tcBorders>
              <w:top w:val="single" w:sz="6" w:space="0" w:color="auto"/>
              <w:left w:val="single" w:sz="6" w:space="0" w:color="auto"/>
              <w:bottom w:val="single" w:sz="6" w:space="0" w:color="auto"/>
              <w:right w:val="single" w:sz="6" w:space="0" w:color="auto"/>
            </w:tcBorders>
            <w:vAlign w:val="center"/>
          </w:tcPr>
          <w:p w14:paraId="510676B4"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噪声源调查方法</w:t>
            </w:r>
          </w:p>
        </w:tc>
        <w:tc>
          <w:tcPr>
            <w:tcW w:w="2320" w:type="dxa"/>
            <w:gridSpan w:val="3"/>
            <w:tcBorders>
              <w:top w:val="single" w:sz="6" w:space="0" w:color="auto"/>
              <w:left w:val="single" w:sz="6" w:space="0" w:color="auto"/>
              <w:bottom w:val="single" w:sz="6" w:space="0" w:color="auto"/>
              <w:right w:val="single" w:sz="6" w:space="0" w:color="auto"/>
            </w:tcBorders>
            <w:vAlign w:val="center"/>
          </w:tcPr>
          <w:p w14:paraId="0004C1F1"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现场实测</w:t>
            </w:r>
            <w:r>
              <w:rPr>
                <w:rFonts w:ascii="Times New Roman" w:eastAsia="宋体" w:hAnsi="Times New Roman" w:cs="Times New Roman"/>
                <w:sz w:val="18"/>
                <w:szCs w:val="21"/>
              </w:rPr>
              <w:t>□</w:t>
            </w:r>
          </w:p>
        </w:tc>
        <w:tc>
          <w:tcPr>
            <w:tcW w:w="2566" w:type="dxa"/>
            <w:gridSpan w:val="7"/>
            <w:tcBorders>
              <w:top w:val="single" w:sz="6" w:space="0" w:color="auto"/>
              <w:left w:val="single" w:sz="6" w:space="0" w:color="auto"/>
              <w:bottom w:val="single" w:sz="6" w:space="0" w:color="auto"/>
              <w:right w:val="single" w:sz="6" w:space="0" w:color="auto"/>
            </w:tcBorders>
            <w:vAlign w:val="center"/>
          </w:tcPr>
          <w:p w14:paraId="5190F944"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已有资料</w:t>
            </w:r>
            <w:r>
              <w:rPr>
                <w:rFonts w:ascii="Times New Roman" w:eastAsia="宋体" w:hAnsi="Times New Roman" w:cs="Times New Roman"/>
                <w:bCs/>
              </w:rPr>
              <w:sym w:font="Wingdings 2" w:char="F052"/>
            </w:r>
          </w:p>
        </w:tc>
        <w:tc>
          <w:tcPr>
            <w:tcW w:w="2254" w:type="dxa"/>
            <w:gridSpan w:val="4"/>
            <w:tcBorders>
              <w:top w:val="single" w:sz="6" w:space="0" w:color="auto"/>
              <w:left w:val="single" w:sz="6" w:space="0" w:color="auto"/>
              <w:bottom w:val="single" w:sz="6" w:space="0" w:color="auto"/>
              <w:right w:val="single" w:sz="12" w:space="0" w:color="auto"/>
            </w:tcBorders>
            <w:vAlign w:val="center"/>
          </w:tcPr>
          <w:p w14:paraId="41B780D1" w14:textId="77777777" w:rsidR="00D12939" w:rsidRDefault="004F47F5">
            <w:pPr>
              <w:widowControl/>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研究成果</w:t>
            </w:r>
            <w:r>
              <w:rPr>
                <w:rFonts w:ascii="Times New Roman" w:eastAsia="宋体" w:hAnsi="Times New Roman" w:cs="Times New Roman"/>
                <w:bCs/>
              </w:rPr>
              <w:sym w:font="Wingdings 2" w:char="F052"/>
            </w:r>
          </w:p>
        </w:tc>
      </w:tr>
      <w:tr w:rsidR="00D12939" w14:paraId="33DD8923" w14:textId="77777777">
        <w:trPr>
          <w:trHeight w:val="316"/>
        </w:trPr>
        <w:tc>
          <w:tcPr>
            <w:tcW w:w="1086" w:type="dxa"/>
            <w:vMerge w:val="restart"/>
            <w:tcBorders>
              <w:top w:val="single" w:sz="6" w:space="0" w:color="auto"/>
              <w:left w:val="single" w:sz="12" w:space="0" w:color="auto"/>
              <w:bottom w:val="single" w:sz="6" w:space="0" w:color="auto"/>
              <w:right w:val="single" w:sz="6" w:space="0" w:color="auto"/>
            </w:tcBorders>
            <w:vAlign w:val="center"/>
          </w:tcPr>
          <w:p w14:paraId="1C87203B"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声环境影响预测与评价</w:t>
            </w:r>
          </w:p>
        </w:tc>
        <w:tc>
          <w:tcPr>
            <w:tcW w:w="1542" w:type="dxa"/>
            <w:tcBorders>
              <w:top w:val="single" w:sz="6" w:space="0" w:color="auto"/>
              <w:left w:val="single" w:sz="6" w:space="0" w:color="auto"/>
              <w:bottom w:val="single" w:sz="6" w:space="0" w:color="auto"/>
              <w:right w:val="single" w:sz="6" w:space="0" w:color="auto"/>
            </w:tcBorders>
            <w:vAlign w:val="center"/>
          </w:tcPr>
          <w:p w14:paraId="06EC2A8A"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预测模型</w:t>
            </w:r>
          </w:p>
        </w:tc>
        <w:tc>
          <w:tcPr>
            <w:tcW w:w="2320" w:type="dxa"/>
            <w:gridSpan w:val="3"/>
            <w:tcBorders>
              <w:top w:val="single" w:sz="6" w:space="0" w:color="auto"/>
              <w:left w:val="single" w:sz="6" w:space="0" w:color="auto"/>
              <w:bottom w:val="single" w:sz="6" w:space="0" w:color="auto"/>
              <w:right w:val="single" w:sz="6" w:space="0" w:color="auto"/>
            </w:tcBorders>
            <w:vAlign w:val="center"/>
          </w:tcPr>
          <w:p w14:paraId="2D289EF7"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18"/>
              </w:rPr>
              <w:t>导则推荐模型</w:t>
            </w:r>
            <w:r>
              <w:rPr>
                <w:rFonts w:ascii="Times New Roman" w:eastAsia="宋体" w:hAnsi="Times New Roman" w:cs="Times New Roman"/>
                <w:bCs/>
              </w:rPr>
              <w:sym w:font="Wingdings 2" w:char="F052"/>
            </w:r>
          </w:p>
        </w:tc>
        <w:tc>
          <w:tcPr>
            <w:tcW w:w="4820" w:type="dxa"/>
            <w:gridSpan w:val="11"/>
            <w:tcBorders>
              <w:top w:val="single" w:sz="6" w:space="0" w:color="auto"/>
              <w:left w:val="single" w:sz="6" w:space="0" w:color="auto"/>
              <w:bottom w:val="single" w:sz="6" w:space="0" w:color="auto"/>
              <w:right w:val="single" w:sz="12" w:space="0" w:color="auto"/>
            </w:tcBorders>
            <w:vAlign w:val="center"/>
          </w:tcPr>
          <w:p w14:paraId="0A67315E"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其他</w:t>
            </w:r>
            <w:r>
              <w:rPr>
                <w:rFonts w:ascii="Times New Roman" w:eastAsia="宋体" w:hAnsi="Times New Roman" w:cs="Times New Roman"/>
                <w:sz w:val="18"/>
                <w:szCs w:val="21"/>
              </w:rPr>
              <w:t>□</w:t>
            </w:r>
            <w:r>
              <w:rPr>
                <w:rFonts w:ascii="Times New Roman" w:eastAsia="宋体" w:hAnsi="Times New Roman" w:cs="Times New Roman"/>
                <w:sz w:val="18"/>
                <w:szCs w:val="21"/>
                <w:u w:val="single"/>
              </w:rPr>
              <w:t xml:space="preserve">           </w:t>
            </w:r>
            <w:r>
              <w:rPr>
                <w:rFonts w:ascii="Times New Roman" w:eastAsia="宋体" w:hAnsi="Times New Roman" w:cs="Times New Roman"/>
                <w:sz w:val="18"/>
                <w:szCs w:val="21"/>
              </w:rPr>
              <w:t xml:space="preserve"> </w:t>
            </w:r>
          </w:p>
        </w:tc>
      </w:tr>
      <w:tr w:rsidR="00D12939" w14:paraId="7D61A211" w14:textId="77777777">
        <w:trPr>
          <w:trHeight w:val="220"/>
        </w:trPr>
        <w:tc>
          <w:tcPr>
            <w:tcW w:w="1086" w:type="dxa"/>
            <w:vMerge/>
            <w:tcBorders>
              <w:top w:val="single" w:sz="6" w:space="0" w:color="auto"/>
              <w:left w:val="single" w:sz="12" w:space="0" w:color="auto"/>
              <w:bottom w:val="single" w:sz="6" w:space="0" w:color="auto"/>
              <w:right w:val="single" w:sz="6" w:space="0" w:color="auto"/>
            </w:tcBorders>
            <w:vAlign w:val="center"/>
          </w:tcPr>
          <w:p w14:paraId="54E2E113"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1EE17C2F"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预测范围</w:t>
            </w:r>
          </w:p>
        </w:tc>
        <w:tc>
          <w:tcPr>
            <w:tcW w:w="2320" w:type="dxa"/>
            <w:gridSpan w:val="3"/>
            <w:tcBorders>
              <w:top w:val="single" w:sz="6" w:space="0" w:color="auto"/>
              <w:left w:val="single" w:sz="6" w:space="0" w:color="auto"/>
              <w:bottom w:val="single" w:sz="6" w:space="0" w:color="auto"/>
              <w:right w:val="single" w:sz="6" w:space="0" w:color="auto"/>
            </w:tcBorders>
            <w:vAlign w:val="center"/>
          </w:tcPr>
          <w:p w14:paraId="4B65C83A" w14:textId="77777777" w:rsidR="00D12939" w:rsidRDefault="004F47F5">
            <w:pPr>
              <w:spacing w:beforeLines="10" w:before="31" w:afterLines="10" w:after="31" w:line="0" w:lineRule="atLeast"/>
              <w:jc w:val="center"/>
              <w:rPr>
                <w:rFonts w:ascii="Times New Roman" w:eastAsia="宋体" w:hAnsi="Times New Roman" w:cs="Times New Roman"/>
                <w:sz w:val="18"/>
                <w:szCs w:val="18"/>
              </w:rPr>
            </w:pPr>
            <w:r>
              <w:rPr>
                <w:rFonts w:ascii="Times New Roman" w:eastAsia="宋体" w:hAnsi="Times New Roman" w:cs="Times New Roman"/>
                <w:sz w:val="18"/>
                <w:szCs w:val="21"/>
              </w:rPr>
              <w:t>200 m□</w:t>
            </w:r>
          </w:p>
        </w:tc>
        <w:tc>
          <w:tcPr>
            <w:tcW w:w="1972" w:type="dxa"/>
            <w:gridSpan w:val="4"/>
            <w:tcBorders>
              <w:top w:val="single" w:sz="6" w:space="0" w:color="auto"/>
              <w:left w:val="single" w:sz="6" w:space="0" w:color="auto"/>
              <w:bottom w:val="single" w:sz="6" w:space="0" w:color="auto"/>
              <w:right w:val="single" w:sz="6" w:space="0" w:color="auto"/>
            </w:tcBorders>
            <w:vAlign w:val="center"/>
          </w:tcPr>
          <w:p w14:paraId="1ABF38E8"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大于</w:t>
            </w:r>
            <w:r>
              <w:rPr>
                <w:rFonts w:ascii="Times New Roman" w:eastAsia="宋体" w:hAnsi="Times New Roman" w:cs="Times New Roman"/>
                <w:sz w:val="18"/>
                <w:szCs w:val="21"/>
              </w:rPr>
              <w:t>200 m</w:t>
            </w:r>
            <w:r>
              <w:rPr>
                <w:rFonts w:ascii="Times New Roman" w:eastAsia="宋体" w:hAnsi="Times New Roman" w:cs="Times New Roman"/>
                <w:bCs/>
              </w:rPr>
              <w:sym w:font="Wingdings 2" w:char="F052"/>
            </w:r>
          </w:p>
        </w:tc>
        <w:tc>
          <w:tcPr>
            <w:tcW w:w="2848" w:type="dxa"/>
            <w:gridSpan w:val="7"/>
            <w:tcBorders>
              <w:top w:val="single" w:sz="6" w:space="0" w:color="auto"/>
              <w:left w:val="single" w:sz="6" w:space="0" w:color="auto"/>
              <w:bottom w:val="single" w:sz="6" w:space="0" w:color="auto"/>
              <w:right w:val="single" w:sz="12" w:space="0" w:color="auto"/>
            </w:tcBorders>
            <w:vAlign w:val="center"/>
          </w:tcPr>
          <w:p w14:paraId="34F6DBF9"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小于</w:t>
            </w:r>
            <w:r>
              <w:rPr>
                <w:rFonts w:ascii="Times New Roman" w:eastAsia="宋体" w:hAnsi="Times New Roman" w:cs="Times New Roman"/>
                <w:sz w:val="18"/>
                <w:szCs w:val="21"/>
              </w:rPr>
              <w:t>200 m□</w:t>
            </w:r>
          </w:p>
        </w:tc>
      </w:tr>
      <w:tr w:rsidR="00D12939" w14:paraId="1A4A10A9" w14:textId="77777777">
        <w:trPr>
          <w:trHeight w:val="229"/>
        </w:trPr>
        <w:tc>
          <w:tcPr>
            <w:tcW w:w="1086" w:type="dxa"/>
            <w:vMerge/>
            <w:tcBorders>
              <w:top w:val="single" w:sz="6" w:space="0" w:color="auto"/>
              <w:left w:val="single" w:sz="12" w:space="0" w:color="auto"/>
              <w:bottom w:val="single" w:sz="6" w:space="0" w:color="auto"/>
              <w:right w:val="single" w:sz="6" w:space="0" w:color="auto"/>
            </w:tcBorders>
            <w:vAlign w:val="center"/>
          </w:tcPr>
          <w:p w14:paraId="25935260"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1FCBEB71"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预测因子</w:t>
            </w:r>
          </w:p>
        </w:tc>
        <w:tc>
          <w:tcPr>
            <w:tcW w:w="2320" w:type="dxa"/>
            <w:gridSpan w:val="3"/>
            <w:tcBorders>
              <w:top w:val="single" w:sz="6" w:space="0" w:color="auto"/>
              <w:left w:val="single" w:sz="6" w:space="0" w:color="auto"/>
              <w:bottom w:val="single" w:sz="6" w:space="0" w:color="auto"/>
              <w:right w:val="single" w:sz="6" w:space="0" w:color="auto"/>
            </w:tcBorders>
            <w:vAlign w:val="center"/>
          </w:tcPr>
          <w:p w14:paraId="6D141B39"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等效连续</w:t>
            </w:r>
            <w:r>
              <w:rPr>
                <w:rFonts w:ascii="Times New Roman" w:eastAsia="宋体" w:hAnsi="Times New Roman" w:cs="Times New Roman"/>
                <w:sz w:val="18"/>
                <w:szCs w:val="21"/>
              </w:rPr>
              <w:t>A</w:t>
            </w:r>
            <w:r>
              <w:rPr>
                <w:rFonts w:ascii="Times New Roman" w:eastAsia="宋体" w:hAnsi="Times New Roman" w:cs="Times New Roman"/>
                <w:sz w:val="18"/>
                <w:szCs w:val="21"/>
              </w:rPr>
              <w:t>声级</w:t>
            </w:r>
            <w:r>
              <w:rPr>
                <w:rFonts w:ascii="Times New Roman" w:eastAsia="宋体" w:hAnsi="Times New Roman" w:cs="Times New Roman"/>
                <w:bCs/>
              </w:rPr>
              <w:sym w:font="Wingdings 2" w:char="F052"/>
            </w:r>
          </w:p>
        </w:tc>
        <w:tc>
          <w:tcPr>
            <w:tcW w:w="1972" w:type="dxa"/>
            <w:gridSpan w:val="4"/>
            <w:tcBorders>
              <w:top w:val="single" w:sz="6" w:space="0" w:color="auto"/>
              <w:left w:val="single" w:sz="6" w:space="0" w:color="auto"/>
              <w:bottom w:val="single" w:sz="6" w:space="0" w:color="auto"/>
              <w:right w:val="single" w:sz="6" w:space="0" w:color="auto"/>
            </w:tcBorders>
            <w:vAlign w:val="center"/>
          </w:tcPr>
          <w:p w14:paraId="37655D5B"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最大</w:t>
            </w:r>
            <w:r>
              <w:rPr>
                <w:rFonts w:ascii="Times New Roman" w:eastAsia="宋体" w:hAnsi="Times New Roman" w:cs="Times New Roman"/>
                <w:sz w:val="18"/>
                <w:szCs w:val="21"/>
              </w:rPr>
              <w:t>A</w:t>
            </w:r>
            <w:r>
              <w:rPr>
                <w:rFonts w:ascii="Times New Roman" w:eastAsia="宋体" w:hAnsi="Times New Roman" w:cs="Times New Roman"/>
                <w:sz w:val="18"/>
                <w:szCs w:val="21"/>
              </w:rPr>
              <w:t>声级</w:t>
            </w:r>
            <w:r>
              <w:rPr>
                <w:rFonts w:ascii="Times New Roman" w:eastAsia="宋体" w:hAnsi="Times New Roman" w:cs="Times New Roman"/>
                <w:sz w:val="18"/>
                <w:szCs w:val="21"/>
              </w:rPr>
              <w:t>□</w:t>
            </w:r>
          </w:p>
        </w:tc>
        <w:tc>
          <w:tcPr>
            <w:tcW w:w="2848" w:type="dxa"/>
            <w:gridSpan w:val="7"/>
            <w:tcBorders>
              <w:top w:val="single" w:sz="6" w:space="0" w:color="auto"/>
              <w:left w:val="single" w:sz="6" w:space="0" w:color="auto"/>
              <w:bottom w:val="single" w:sz="6" w:space="0" w:color="auto"/>
              <w:right w:val="single" w:sz="12" w:space="0" w:color="auto"/>
            </w:tcBorders>
            <w:vAlign w:val="center"/>
          </w:tcPr>
          <w:p w14:paraId="46BB4B71"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计权等效连续感觉噪声级</w:t>
            </w:r>
            <w:r>
              <w:rPr>
                <w:rFonts w:ascii="Times New Roman" w:eastAsia="宋体" w:hAnsi="Times New Roman" w:cs="Times New Roman"/>
                <w:sz w:val="18"/>
                <w:szCs w:val="21"/>
              </w:rPr>
              <w:t>□</w:t>
            </w:r>
          </w:p>
        </w:tc>
      </w:tr>
      <w:tr w:rsidR="00D12939" w14:paraId="69654722" w14:textId="77777777">
        <w:trPr>
          <w:trHeight w:val="395"/>
        </w:trPr>
        <w:tc>
          <w:tcPr>
            <w:tcW w:w="1086" w:type="dxa"/>
            <w:vMerge/>
            <w:tcBorders>
              <w:top w:val="single" w:sz="6" w:space="0" w:color="auto"/>
              <w:left w:val="single" w:sz="12" w:space="0" w:color="auto"/>
              <w:bottom w:val="single" w:sz="6" w:space="0" w:color="auto"/>
              <w:right w:val="single" w:sz="6" w:space="0" w:color="auto"/>
            </w:tcBorders>
            <w:vAlign w:val="center"/>
          </w:tcPr>
          <w:p w14:paraId="266DD85F"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5F127818"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厂界噪声贡献值</w:t>
            </w:r>
          </w:p>
        </w:tc>
        <w:tc>
          <w:tcPr>
            <w:tcW w:w="3284" w:type="dxa"/>
            <w:gridSpan w:val="5"/>
            <w:tcBorders>
              <w:top w:val="single" w:sz="6" w:space="0" w:color="auto"/>
              <w:left w:val="single" w:sz="6" w:space="0" w:color="auto"/>
              <w:bottom w:val="single" w:sz="6" w:space="0" w:color="auto"/>
              <w:right w:val="single" w:sz="6" w:space="0" w:color="auto"/>
            </w:tcBorders>
            <w:vAlign w:val="center"/>
          </w:tcPr>
          <w:p w14:paraId="62962AC6"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达标</w:t>
            </w:r>
            <w:r>
              <w:rPr>
                <w:rFonts w:ascii="Times New Roman" w:eastAsia="宋体" w:hAnsi="Times New Roman" w:cs="Times New Roman"/>
                <w:bCs/>
              </w:rPr>
              <w:sym w:font="Wingdings 2" w:char="F052"/>
            </w:r>
          </w:p>
        </w:tc>
        <w:tc>
          <w:tcPr>
            <w:tcW w:w="3856" w:type="dxa"/>
            <w:gridSpan w:val="9"/>
            <w:tcBorders>
              <w:top w:val="single" w:sz="6" w:space="0" w:color="auto"/>
              <w:left w:val="single" w:sz="6" w:space="0" w:color="auto"/>
              <w:bottom w:val="single" w:sz="6" w:space="0" w:color="auto"/>
              <w:right w:val="single" w:sz="12" w:space="0" w:color="auto"/>
            </w:tcBorders>
            <w:vAlign w:val="center"/>
          </w:tcPr>
          <w:p w14:paraId="35F3EA03"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不达标</w:t>
            </w:r>
            <w:r>
              <w:rPr>
                <w:rFonts w:ascii="Times New Roman" w:eastAsia="宋体" w:hAnsi="Times New Roman" w:cs="Times New Roman"/>
                <w:sz w:val="18"/>
                <w:szCs w:val="21"/>
              </w:rPr>
              <w:t>□</w:t>
            </w:r>
          </w:p>
        </w:tc>
      </w:tr>
      <w:tr w:rsidR="00D12939" w14:paraId="6E9C0AF5" w14:textId="77777777">
        <w:trPr>
          <w:trHeight w:val="259"/>
        </w:trPr>
        <w:tc>
          <w:tcPr>
            <w:tcW w:w="1086" w:type="dxa"/>
            <w:vMerge/>
            <w:tcBorders>
              <w:top w:val="single" w:sz="6" w:space="0" w:color="auto"/>
              <w:left w:val="single" w:sz="12" w:space="0" w:color="auto"/>
              <w:bottom w:val="single" w:sz="6" w:space="0" w:color="auto"/>
              <w:right w:val="single" w:sz="6" w:space="0" w:color="auto"/>
            </w:tcBorders>
            <w:vAlign w:val="center"/>
          </w:tcPr>
          <w:p w14:paraId="6D66DF95"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1E9C371D"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声环境保护目标处噪声值</w:t>
            </w:r>
          </w:p>
        </w:tc>
        <w:tc>
          <w:tcPr>
            <w:tcW w:w="3284" w:type="dxa"/>
            <w:gridSpan w:val="5"/>
            <w:tcBorders>
              <w:top w:val="single" w:sz="6" w:space="0" w:color="auto"/>
              <w:left w:val="single" w:sz="6" w:space="0" w:color="auto"/>
              <w:bottom w:val="single" w:sz="6" w:space="0" w:color="auto"/>
              <w:right w:val="single" w:sz="6" w:space="0" w:color="auto"/>
            </w:tcBorders>
            <w:vAlign w:val="center"/>
          </w:tcPr>
          <w:p w14:paraId="69FB213C"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达标</w:t>
            </w:r>
            <w:r>
              <w:rPr>
                <w:rFonts w:ascii="Times New Roman" w:eastAsia="宋体" w:hAnsi="Times New Roman" w:cs="Times New Roman"/>
                <w:sz w:val="18"/>
                <w:szCs w:val="21"/>
              </w:rPr>
              <w:t>□</w:t>
            </w:r>
          </w:p>
        </w:tc>
        <w:tc>
          <w:tcPr>
            <w:tcW w:w="3856" w:type="dxa"/>
            <w:gridSpan w:val="9"/>
            <w:tcBorders>
              <w:top w:val="single" w:sz="6" w:space="0" w:color="auto"/>
              <w:left w:val="single" w:sz="6" w:space="0" w:color="auto"/>
              <w:bottom w:val="single" w:sz="6" w:space="0" w:color="auto"/>
              <w:right w:val="single" w:sz="12" w:space="0" w:color="auto"/>
            </w:tcBorders>
            <w:vAlign w:val="center"/>
          </w:tcPr>
          <w:p w14:paraId="6236E27F"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不达标</w:t>
            </w:r>
            <w:r>
              <w:rPr>
                <w:rFonts w:ascii="Times New Roman" w:eastAsia="宋体" w:hAnsi="Times New Roman" w:cs="Times New Roman"/>
                <w:sz w:val="18"/>
                <w:szCs w:val="21"/>
              </w:rPr>
              <w:t>□</w:t>
            </w:r>
          </w:p>
        </w:tc>
      </w:tr>
      <w:tr w:rsidR="00D12939" w14:paraId="0F6FE17F" w14:textId="77777777">
        <w:trPr>
          <w:trHeight w:val="220"/>
        </w:trPr>
        <w:tc>
          <w:tcPr>
            <w:tcW w:w="1086" w:type="dxa"/>
            <w:vMerge w:val="restart"/>
            <w:tcBorders>
              <w:top w:val="single" w:sz="6" w:space="0" w:color="auto"/>
              <w:left w:val="single" w:sz="12" w:space="0" w:color="auto"/>
              <w:bottom w:val="single" w:sz="6" w:space="0" w:color="auto"/>
              <w:right w:val="single" w:sz="6" w:space="0" w:color="auto"/>
            </w:tcBorders>
            <w:vAlign w:val="center"/>
          </w:tcPr>
          <w:p w14:paraId="735D5DA0"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环境监测计划</w:t>
            </w:r>
          </w:p>
        </w:tc>
        <w:tc>
          <w:tcPr>
            <w:tcW w:w="1542" w:type="dxa"/>
            <w:tcBorders>
              <w:top w:val="single" w:sz="6" w:space="0" w:color="auto"/>
              <w:left w:val="single" w:sz="6" w:space="0" w:color="auto"/>
              <w:bottom w:val="single" w:sz="6" w:space="0" w:color="auto"/>
              <w:right w:val="single" w:sz="6" w:space="0" w:color="auto"/>
            </w:tcBorders>
            <w:vAlign w:val="center"/>
          </w:tcPr>
          <w:p w14:paraId="5FDDB072"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排放监测</w:t>
            </w:r>
          </w:p>
        </w:tc>
        <w:tc>
          <w:tcPr>
            <w:tcW w:w="3284" w:type="dxa"/>
            <w:gridSpan w:val="5"/>
            <w:tcBorders>
              <w:top w:val="single" w:sz="6" w:space="0" w:color="auto"/>
              <w:left w:val="single" w:sz="6" w:space="0" w:color="auto"/>
              <w:bottom w:val="single" w:sz="6" w:space="0" w:color="auto"/>
              <w:right w:val="single" w:sz="6" w:space="0" w:color="auto"/>
            </w:tcBorders>
            <w:vAlign w:val="center"/>
          </w:tcPr>
          <w:p w14:paraId="56C6DFDA"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厂界监测</w:t>
            </w:r>
            <w:r>
              <w:rPr>
                <w:rFonts w:ascii="Times New Roman" w:eastAsia="宋体" w:hAnsi="Times New Roman" w:cs="Times New Roman"/>
                <w:bCs/>
              </w:rPr>
              <w:sym w:font="Wingdings 2" w:char="F052"/>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固定位置监测</w:t>
            </w:r>
            <w:r>
              <w:rPr>
                <w:rFonts w:ascii="Times New Roman" w:eastAsia="宋体" w:hAnsi="Times New Roman" w:cs="Times New Roman"/>
                <w:sz w:val="18"/>
                <w:szCs w:val="21"/>
              </w:rPr>
              <w:t>□</w:t>
            </w:r>
          </w:p>
        </w:tc>
        <w:tc>
          <w:tcPr>
            <w:tcW w:w="2584" w:type="dxa"/>
            <w:gridSpan w:val="7"/>
            <w:tcBorders>
              <w:top w:val="single" w:sz="6" w:space="0" w:color="auto"/>
              <w:left w:val="single" w:sz="6" w:space="0" w:color="auto"/>
              <w:bottom w:val="single" w:sz="6" w:space="0" w:color="auto"/>
              <w:right w:val="single" w:sz="6" w:space="0" w:color="auto"/>
            </w:tcBorders>
            <w:vAlign w:val="center"/>
          </w:tcPr>
          <w:p w14:paraId="26869141"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自动监测</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手动监测</w:t>
            </w:r>
            <w:r>
              <w:rPr>
                <w:rFonts w:ascii="Times New Roman" w:eastAsia="宋体" w:hAnsi="Times New Roman" w:cs="Times New Roman"/>
                <w:bCs/>
              </w:rPr>
              <w:sym w:font="Wingdings 2" w:char="F052"/>
            </w:r>
          </w:p>
        </w:tc>
        <w:tc>
          <w:tcPr>
            <w:tcW w:w="1272" w:type="dxa"/>
            <w:gridSpan w:val="2"/>
            <w:tcBorders>
              <w:top w:val="single" w:sz="6" w:space="0" w:color="auto"/>
              <w:left w:val="single" w:sz="6" w:space="0" w:color="auto"/>
              <w:bottom w:val="single" w:sz="6" w:space="0" w:color="auto"/>
              <w:right w:val="single" w:sz="12" w:space="0" w:color="auto"/>
            </w:tcBorders>
            <w:vAlign w:val="center"/>
          </w:tcPr>
          <w:p w14:paraId="137F230A"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无监测</w:t>
            </w:r>
            <w:r>
              <w:rPr>
                <w:rFonts w:ascii="Times New Roman" w:eastAsia="宋体" w:hAnsi="Times New Roman" w:cs="Times New Roman"/>
                <w:sz w:val="18"/>
                <w:szCs w:val="21"/>
              </w:rPr>
              <w:t>□</w:t>
            </w:r>
          </w:p>
        </w:tc>
      </w:tr>
      <w:tr w:rsidR="00D12939" w14:paraId="42315338" w14:textId="77777777">
        <w:trPr>
          <w:trHeight w:val="220"/>
        </w:trPr>
        <w:tc>
          <w:tcPr>
            <w:tcW w:w="1086" w:type="dxa"/>
            <w:vMerge/>
            <w:tcBorders>
              <w:top w:val="single" w:sz="6" w:space="0" w:color="auto"/>
              <w:left w:val="single" w:sz="12" w:space="0" w:color="auto"/>
              <w:bottom w:val="single" w:sz="6" w:space="0" w:color="auto"/>
              <w:right w:val="single" w:sz="6" w:space="0" w:color="auto"/>
            </w:tcBorders>
            <w:vAlign w:val="center"/>
          </w:tcPr>
          <w:p w14:paraId="522A74B7" w14:textId="77777777" w:rsidR="00D12939" w:rsidRDefault="00D12939">
            <w:pPr>
              <w:widowControl/>
              <w:jc w:val="left"/>
              <w:rPr>
                <w:rFonts w:ascii="Times New Roman" w:eastAsia="宋体" w:hAnsi="Times New Roman" w:cs="Times New Roman"/>
                <w:sz w:val="18"/>
                <w:szCs w:val="21"/>
              </w:rPr>
            </w:pPr>
          </w:p>
        </w:tc>
        <w:tc>
          <w:tcPr>
            <w:tcW w:w="1542" w:type="dxa"/>
            <w:tcBorders>
              <w:top w:val="single" w:sz="6" w:space="0" w:color="auto"/>
              <w:left w:val="single" w:sz="6" w:space="0" w:color="auto"/>
              <w:bottom w:val="single" w:sz="6" w:space="0" w:color="auto"/>
              <w:right w:val="single" w:sz="6" w:space="0" w:color="auto"/>
            </w:tcBorders>
            <w:vAlign w:val="center"/>
          </w:tcPr>
          <w:p w14:paraId="41CC776F"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声环境保护目标处噪声监测</w:t>
            </w:r>
          </w:p>
        </w:tc>
        <w:tc>
          <w:tcPr>
            <w:tcW w:w="3284" w:type="dxa"/>
            <w:gridSpan w:val="5"/>
            <w:tcBorders>
              <w:top w:val="single" w:sz="6" w:space="0" w:color="auto"/>
              <w:left w:val="single" w:sz="6" w:space="0" w:color="auto"/>
              <w:bottom w:val="single" w:sz="6" w:space="0" w:color="auto"/>
              <w:right w:val="single" w:sz="6" w:space="0" w:color="auto"/>
            </w:tcBorders>
            <w:vAlign w:val="center"/>
          </w:tcPr>
          <w:p w14:paraId="5C0EA6D4"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监测因子：（</w:t>
            </w:r>
            <w:r>
              <w:rPr>
                <w:rFonts w:ascii="Times New Roman" w:eastAsia="宋体" w:hAnsi="Times New Roman" w:cs="Times New Roman" w:hint="eastAsia"/>
                <w:sz w:val="18"/>
                <w:szCs w:val="21"/>
              </w:rPr>
              <w:t xml:space="preserve"> </w:t>
            </w:r>
            <w:r>
              <w:rPr>
                <w:rFonts w:ascii="Times New Roman" w:eastAsia="宋体" w:hAnsi="Times New Roman" w:cs="Times New Roman"/>
                <w:sz w:val="18"/>
                <w:szCs w:val="21"/>
              </w:rPr>
              <w:t>）</w:t>
            </w:r>
          </w:p>
        </w:tc>
        <w:tc>
          <w:tcPr>
            <w:tcW w:w="2584" w:type="dxa"/>
            <w:gridSpan w:val="7"/>
            <w:tcBorders>
              <w:top w:val="single" w:sz="6" w:space="0" w:color="auto"/>
              <w:left w:val="single" w:sz="6" w:space="0" w:color="auto"/>
              <w:bottom w:val="single" w:sz="6" w:space="0" w:color="auto"/>
              <w:right w:val="single" w:sz="6" w:space="0" w:color="auto"/>
            </w:tcBorders>
            <w:vAlign w:val="center"/>
          </w:tcPr>
          <w:p w14:paraId="3922F420"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监测点位数（</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w:t>
            </w:r>
          </w:p>
        </w:tc>
        <w:tc>
          <w:tcPr>
            <w:tcW w:w="1272" w:type="dxa"/>
            <w:gridSpan w:val="2"/>
            <w:tcBorders>
              <w:top w:val="single" w:sz="6" w:space="0" w:color="auto"/>
              <w:left w:val="single" w:sz="6" w:space="0" w:color="auto"/>
              <w:bottom w:val="single" w:sz="6" w:space="0" w:color="auto"/>
              <w:right w:val="single" w:sz="12" w:space="0" w:color="auto"/>
            </w:tcBorders>
            <w:vAlign w:val="center"/>
          </w:tcPr>
          <w:p w14:paraId="0CFC32B0"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无监测</w:t>
            </w:r>
            <w:r>
              <w:rPr>
                <w:rFonts w:ascii="Times New Roman" w:eastAsia="宋体" w:hAnsi="Times New Roman" w:cs="Times New Roman"/>
                <w:bCs/>
              </w:rPr>
              <w:sym w:font="Wingdings 2" w:char="F052"/>
            </w:r>
          </w:p>
        </w:tc>
      </w:tr>
      <w:tr w:rsidR="00D12939" w14:paraId="5551E89D" w14:textId="77777777">
        <w:trPr>
          <w:trHeight w:val="210"/>
        </w:trPr>
        <w:tc>
          <w:tcPr>
            <w:tcW w:w="1086" w:type="dxa"/>
            <w:tcBorders>
              <w:top w:val="single" w:sz="6" w:space="0" w:color="auto"/>
              <w:left w:val="single" w:sz="12" w:space="0" w:color="auto"/>
              <w:bottom w:val="single" w:sz="6" w:space="0" w:color="auto"/>
              <w:right w:val="single" w:sz="6" w:space="0" w:color="auto"/>
            </w:tcBorders>
            <w:vAlign w:val="center"/>
          </w:tcPr>
          <w:p w14:paraId="7952578B"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评价结论</w:t>
            </w:r>
          </w:p>
        </w:tc>
        <w:tc>
          <w:tcPr>
            <w:tcW w:w="1542" w:type="dxa"/>
            <w:tcBorders>
              <w:top w:val="single" w:sz="6" w:space="0" w:color="auto"/>
              <w:left w:val="single" w:sz="6" w:space="0" w:color="auto"/>
              <w:bottom w:val="single" w:sz="6" w:space="0" w:color="auto"/>
              <w:right w:val="single" w:sz="6" w:space="0" w:color="auto"/>
            </w:tcBorders>
            <w:vAlign w:val="center"/>
          </w:tcPr>
          <w:p w14:paraId="66F56548"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环境影响</w:t>
            </w:r>
          </w:p>
        </w:tc>
        <w:tc>
          <w:tcPr>
            <w:tcW w:w="7140" w:type="dxa"/>
            <w:gridSpan w:val="14"/>
            <w:tcBorders>
              <w:top w:val="single" w:sz="6" w:space="0" w:color="auto"/>
              <w:left w:val="single" w:sz="6" w:space="0" w:color="auto"/>
              <w:bottom w:val="single" w:sz="6" w:space="0" w:color="auto"/>
              <w:right w:val="single" w:sz="12" w:space="0" w:color="auto"/>
            </w:tcBorders>
            <w:vAlign w:val="center"/>
          </w:tcPr>
          <w:p w14:paraId="6F3B69AC" w14:textId="77777777" w:rsidR="00D12939" w:rsidRDefault="004F47F5">
            <w:pPr>
              <w:spacing w:beforeLines="10" w:before="31" w:afterLines="10" w:after="31" w:line="0" w:lineRule="atLeast"/>
              <w:jc w:val="center"/>
              <w:rPr>
                <w:rFonts w:ascii="Times New Roman" w:eastAsia="宋体" w:hAnsi="Times New Roman" w:cs="Times New Roman"/>
                <w:sz w:val="18"/>
                <w:szCs w:val="21"/>
              </w:rPr>
            </w:pPr>
            <w:r>
              <w:rPr>
                <w:rFonts w:ascii="Times New Roman" w:eastAsia="宋体" w:hAnsi="Times New Roman" w:cs="Times New Roman"/>
                <w:sz w:val="18"/>
                <w:szCs w:val="21"/>
              </w:rPr>
              <w:t>可行</w:t>
            </w:r>
            <w:r>
              <w:rPr>
                <w:rFonts w:ascii="Times New Roman" w:eastAsia="宋体" w:hAnsi="Times New Roman" w:cs="Times New Roman"/>
                <w:bCs/>
              </w:rPr>
              <w:sym w:font="Wingdings 2" w:char="F052"/>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不可行</w:t>
            </w:r>
            <w:r>
              <w:rPr>
                <w:rFonts w:ascii="Times New Roman" w:eastAsia="宋体" w:hAnsi="Times New Roman" w:cs="Times New Roman"/>
                <w:sz w:val="18"/>
                <w:szCs w:val="21"/>
              </w:rPr>
              <w:t>□</w:t>
            </w:r>
          </w:p>
        </w:tc>
      </w:tr>
      <w:tr w:rsidR="00D12939" w14:paraId="6D365448" w14:textId="77777777">
        <w:trPr>
          <w:trHeight w:val="210"/>
        </w:trPr>
        <w:tc>
          <w:tcPr>
            <w:tcW w:w="9768" w:type="dxa"/>
            <w:gridSpan w:val="16"/>
            <w:tcBorders>
              <w:top w:val="single" w:sz="6" w:space="0" w:color="auto"/>
              <w:left w:val="single" w:sz="12" w:space="0" w:color="auto"/>
              <w:bottom w:val="single" w:sz="12" w:space="0" w:color="auto"/>
              <w:right w:val="single" w:sz="12" w:space="0" w:color="auto"/>
            </w:tcBorders>
            <w:vAlign w:val="center"/>
          </w:tcPr>
          <w:p w14:paraId="4255B610" w14:textId="77777777" w:rsidR="00D12939" w:rsidRDefault="004F47F5">
            <w:pPr>
              <w:spacing w:beforeLines="10" w:before="31" w:afterLines="10" w:after="31" w:line="0" w:lineRule="atLeast"/>
              <w:jc w:val="left"/>
              <w:rPr>
                <w:rFonts w:ascii="Times New Roman" w:eastAsia="宋体" w:hAnsi="Times New Roman" w:cs="Times New Roman"/>
                <w:sz w:val="18"/>
                <w:szCs w:val="21"/>
              </w:rPr>
            </w:pPr>
            <w:r>
              <w:rPr>
                <w:rFonts w:ascii="Times New Roman" w:eastAsia="宋体" w:hAnsi="Times New Roman" w:cs="Times New Roman"/>
                <w:sz w:val="18"/>
                <w:szCs w:val="21"/>
              </w:rPr>
              <w:t>注：</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为勾选项</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，可</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w:t>
            </w:r>
            <w:r>
              <w:rPr>
                <w:rFonts w:ascii="Times New Roman" w:eastAsia="宋体" w:hAnsi="Times New Roman" w:cs="Times New Roman"/>
                <w:sz w:val="18"/>
                <w:szCs w:val="21"/>
              </w:rPr>
              <w:t>“</w:t>
            </w:r>
            <w:r>
              <w:rPr>
                <w:rFonts w:ascii="Times New Roman" w:eastAsia="宋体" w:hAnsi="Times New Roman" w:cs="Times New Roman"/>
                <w:sz w:val="18"/>
                <w:szCs w:val="21"/>
              </w:rPr>
              <w:t>（</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w:t>
            </w:r>
            <w:r>
              <w:rPr>
                <w:rFonts w:ascii="Times New Roman" w:eastAsia="宋体" w:hAnsi="Times New Roman" w:cs="Times New Roman"/>
                <w:sz w:val="18"/>
                <w:szCs w:val="21"/>
              </w:rPr>
              <w:t xml:space="preserve">” </w:t>
            </w:r>
            <w:r>
              <w:rPr>
                <w:rFonts w:ascii="Times New Roman" w:eastAsia="宋体" w:hAnsi="Times New Roman" w:cs="Times New Roman"/>
                <w:sz w:val="18"/>
                <w:szCs w:val="21"/>
              </w:rPr>
              <w:t>为内容填写项。</w:t>
            </w:r>
          </w:p>
        </w:tc>
      </w:tr>
    </w:tbl>
    <w:p w14:paraId="584C5181" w14:textId="77777777" w:rsidR="00D12939" w:rsidRDefault="004F47F5">
      <w:pPr>
        <w:pStyle w:val="2"/>
        <w:spacing w:line="360" w:lineRule="auto"/>
        <w:ind w:firstLineChars="0" w:firstLine="0"/>
        <w:rPr>
          <w:sz w:val="28"/>
        </w:rPr>
      </w:pPr>
      <w:bookmarkStart w:id="499" w:name="_Toc30089278"/>
      <w:bookmarkStart w:id="500" w:name="_Toc113952292"/>
      <w:bookmarkStart w:id="501" w:name="_Toc121411777"/>
      <w:bookmarkStart w:id="502" w:name="_Toc41343005"/>
      <w:r>
        <w:rPr>
          <w:sz w:val="28"/>
        </w:rPr>
        <w:t>7.4</w:t>
      </w:r>
      <w:r>
        <w:rPr>
          <w:sz w:val="28"/>
        </w:rPr>
        <w:t>地下水环境</w:t>
      </w:r>
      <w:bookmarkEnd w:id="499"/>
      <w:bookmarkEnd w:id="500"/>
      <w:r>
        <w:rPr>
          <w:sz w:val="28"/>
        </w:rPr>
        <w:t>影响预测与分析</w:t>
      </w:r>
      <w:bookmarkEnd w:id="501"/>
    </w:p>
    <w:p w14:paraId="59CC3E63"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本项目运营期地下水污染源主要是垃圾渗滤液。垃圾渗滤液水质具有高浓度有机物、高浓度氨氮，其内可能含有有害的有机物以及重金属物质。垃圾渗滤液水质如下：</w:t>
      </w:r>
      <w:r>
        <w:rPr>
          <w:rFonts w:ascii="Times New Roman" w:eastAsia="宋体" w:hAnsi="Times New Roman" w:cs="Times New Roman"/>
          <w:sz w:val="24"/>
        </w:rPr>
        <w:t>BOD</w:t>
      </w:r>
      <w:r>
        <w:rPr>
          <w:rFonts w:ascii="Times New Roman" w:eastAsia="宋体" w:hAnsi="Times New Roman" w:cs="Times New Roman"/>
          <w:sz w:val="24"/>
          <w:vertAlign w:val="subscript"/>
        </w:rPr>
        <w:t>5</w:t>
      </w:r>
      <w:r>
        <w:rPr>
          <w:rFonts w:ascii="Times New Roman" w:eastAsia="宋体" w:hAnsi="Times New Roman" w:cs="Times New Roman"/>
          <w:sz w:val="24"/>
        </w:rPr>
        <w:t xml:space="preserve"> 12000mg/L</w:t>
      </w:r>
      <w:r>
        <w:rPr>
          <w:rFonts w:ascii="Times New Roman" w:eastAsia="宋体" w:hAnsi="Times New Roman" w:cs="Times New Roman"/>
          <w:sz w:val="24"/>
        </w:rPr>
        <w:t>、</w:t>
      </w:r>
      <w:r>
        <w:rPr>
          <w:rFonts w:ascii="Times New Roman" w:eastAsia="宋体" w:hAnsi="Times New Roman" w:cs="Times New Roman"/>
          <w:sz w:val="24"/>
        </w:rPr>
        <w:t>CODcr 20000mg/L</w:t>
      </w:r>
      <w:r>
        <w:rPr>
          <w:rFonts w:ascii="Times New Roman" w:eastAsia="宋体" w:hAnsi="Times New Roman" w:cs="Times New Roman"/>
          <w:sz w:val="24"/>
        </w:rPr>
        <w:t>、</w:t>
      </w:r>
      <w:r>
        <w:rPr>
          <w:rFonts w:ascii="Times New Roman" w:eastAsia="宋体" w:hAnsi="Times New Roman" w:cs="Times New Roman"/>
          <w:sz w:val="24"/>
        </w:rPr>
        <w:t>SS1500mg/L</w:t>
      </w:r>
      <w:r>
        <w:rPr>
          <w:rFonts w:ascii="Times New Roman" w:eastAsia="宋体" w:hAnsi="Times New Roman" w:cs="Times New Roman"/>
          <w:sz w:val="24"/>
        </w:rPr>
        <w:t>、</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-N 1200mg/L</w:t>
      </w:r>
      <w:r>
        <w:rPr>
          <w:rFonts w:ascii="Times New Roman" w:eastAsia="宋体" w:hAnsi="Times New Roman" w:cs="Times New Roman"/>
          <w:sz w:val="24"/>
        </w:rPr>
        <w:t>。</w:t>
      </w:r>
    </w:p>
    <w:p w14:paraId="0B8235CF" w14:textId="77777777" w:rsidR="00D12939" w:rsidRDefault="004F47F5">
      <w:pPr>
        <w:pStyle w:val="30"/>
        <w:spacing w:before="0" w:after="0" w:line="360" w:lineRule="auto"/>
        <w:rPr>
          <w:rFonts w:ascii="Times New Roman" w:eastAsia="黑体" w:hAnsi="Times New Roman" w:cs="Times New Roman"/>
          <w:b w:val="0"/>
          <w:sz w:val="24"/>
        </w:rPr>
      </w:pPr>
      <w:bookmarkStart w:id="503" w:name="_Toc121411778"/>
      <w:bookmarkStart w:id="504" w:name="_Toc22111139"/>
      <w:r>
        <w:rPr>
          <w:rFonts w:ascii="Times New Roman" w:eastAsia="黑体" w:hAnsi="Times New Roman" w:cs="Times New Roman"/>
          <w:b w:val="0"/>
          <w:sz w:val="24"/>
        </w:rPr>
        <w:t>7.4.1</w:t>
      </w:r>
      <w:r>
        <w:rPr>
          <w:rFonts w:ascii="Times New Roman" w:eastAsia="黑体" w:hAnsi="Times New Roman" w:cs="Times New Roman"/>
          <w:b w:val="0"/>
          <w:sz w:val="24"/>
        </w:rPr>
        <w:t>水文地质概念模型</w:t>
      </w:r>
      <w:bookmarkEnd w:id="503"/>
      <w:bookmarkEnd w:id="504"/>
    </w:p>
    <w:p w14:paraId="1D570883"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本项目区域地下水类型为第四系松散孔隙潜水和下伏基岩裂隙水，其中第四系孔隙潜水是项目直接受影响的地下水类型，也是本评价的重点。第四系孔隙潜水赋存在第四系砂质粘土层中。孔隙潜水主要接受大气降水补给补给，地下水渗流速度缓慢，排泄方式为蒸发和径流排泄。</w:t>
      </w:r>
    </w:p>
    <w:p w14:paraId="2EEE59EA" w14:textId="77777777" w:rsidR="00D12939" w:rsidRDefault="004F47F5">
      <w:pPr>
        <w:pStyle w:val="30"/>
        <w:spacing w:before="0" w:after="0" w:line="360" w:lineRule="auto"/>
        <w:rPr>
          <w:rFonts w:ascii="Times New Roman" w:eastAsia="黑体" w:hAnsi="Times New Roman" w:cs="Times New Roman"/>
          <w:b w:val="0"/>
          <w:sz w:val="24"/>
        </w:rPr>
      </w:pPr>
      <w:bookmarkStart w:id="505" w:name="_Toc22111140"/>
      <w:bookmarkStart w:id="506" w:name="_Toc121411779"/>
      <w:r>
        <w:rPr>
          <w:rFonts w:ascii="Times New Roman" w:eastAsia="黑体" w:hAnsi="Times New Roman" w:cs="Times New Roman"/>
          <w:b w:val="0"/>
          <w:sz w:val="24"/>
        </w:rPr>
        <w:t>7.4.2</w:t>
      </w:r>
      <w:r>
        <w:rPr>
          <w:rFonts w:ascii="Times New Roman" w:eastAsia="黑体" w:hAnsi="Times New Roman" w:cs="Times New Roman"/>
          <w:b w:val="0"/>
          <w:sz w:val="24"/>
        </w:rPr>
        <w:t>地下水渗流模型的建立</w:t>
      </w:r>
      <w:bookmarkEnd w:id="505"/>
      <w:bookmarkEnd w:id="506"/>
    </w:p>
    <w:p w14:paraId="08FC3510" w14:textId="77777777" w:rsidR="00D12939" w:rsidRDefault="004F47F5">
      <w:pPr>
        <w:pStyle w:val="affffffff8"/>
        <w:ind w:left="482" w:firstLineChars="0" w:firstLine="0"/>
        <w:rPr>
          <w:rFonts w:ascii="Times New Roman" w:hAnsi="Times New Roman"/>
          <w:szCs w:val="22"/>
        </w:rPr>
      </w:pPr>
      <w:r>
        <w:rPr>
          <w:rFonts w:ascii="Times New Roman" w:hAnsi="Times New Roman"/>
          <w:szCs w:val="22"/>
        </w:rPr>
        <w:t>（</w:t>
      </w:r>
      <w:r>
        <w:rPr>
          <w:rFonts w:ascii="Times New Roman" w:hAnsi="Times New Roman"/>
          <w:szCs w:val="22"/>
        </w:rPr>
        <w:t>1</w:t>
      </w:r>
      <w:r>
        <w:rPr>
          <w:rFonts w:ascii="Times New Roman" w:hAnsi="Times New Roman"/>
          <w:szCs w:val="22"/>
        </w:rPr>
        <w:t>）溶质运移模型</w:t>
      </w:r>
    </w:p>
    <w:p w14:paraId="4E8C4C20"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本次预测采用《环境影响评价技术导则</w:t>
      </w:r>
      <w:r>
        <w:rPr>
          <w:rFonts w:ascii="Times New Roman" w:eastAsia="宋体" w:hAnsi="Times New Roman" w:cs="Times New Roman"/>
          <w:sz w:val="24"/>
        </w:rPr>
        <w:t xml:space="preserve"> </w:t>
      </w:r>
      <w:r>
        <w:rPr>
          <w:rFonts w:ascii="Times New Roman" w:eastAsia="宋体" w:hAnsi="Times New Roman" w:cs="Times New Roman"/>
          <w:sz w:val="24"/>
        </w:rPr>
        <w:t>地下水环境》（</w:t>
      </w:r>
      <w:r>
        <w:rPr>
          <w:rFonts w:ascii="Times New Roman" w:eastAsia="宋体" w:hAnsi="Times New Roman" w:cs="Times New Roman"/>
          <w:sz w:val="24"/>
        </w:rPr>
        <w:t>HJ610-2016</w:t>
      </w:r>
      <w:r>
        <w:rPr>
          <w:rFonts w:ascii="Times New Roman" w:eastAsia="宋体" w:hAnsi="Times New Roman" w:cs="Times New Roman"/>
          <w:sz w:val="24"/>
        </w:rPr>
        <w:t>）中推荐的一维稳定流动二维水动力弥散模型预测发生泄漏后污染物随地下水</w:t>
      </w:r>
      <w:r>
        <w:rPr>
          <w:rFonts w:ascii="Times New Roman" w:eastAsia="宋体" w:hAnsi="Times New Roman" w:cs="Times New Roman" w:hint="eastAsia"/>
          <w:sz w:val="24"/>
        </w:rPr>
        <w:t>运移</w:t>
      </w:r>
      <w:r>
        <w:rPr>
          <w:rFonts w:ascii="Times New Roman" w:eastAsia="宋体" w:hAnsi="Times New Roman" w:cs="Times New Roman"/>
          <w:sz w:val="24"/>
        </w:rPr>
        <w:t>。</w:t>
      </w:r>
    </w:p>
    <w:p w14:paraId="775152FF"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本项目溶质运移预测模型可以概化为一维半无限长多孔介质柱体，一端为固定浓度。该问题的数学模型可以描述为：</w:t>
      </w:r>
    </w:p>
    <w:p w14:paraId="05E9E5A5" w14:textId="77777777" w:rsidR="00D12939" w:rsidRDefault="002A4A5F">
      <w:pPr>
        <w:spacing w:line="360" w:lineRule="auto"/>
        <w:ind w:firstLine="480"/>
        <w:jc w:val="center"/>
        <w:rPr>
          <w:rFonts w:ascii="Times New Roman" w:eastAsia="宋体" w:hAnsi="Times New Roman" w:cs="Times New Roman"/>
          <w:sz w:val="24"/>
        </w:rPr>
      </w:pPr>
      <w:r>
        <w:rPr>
          <w:rFonts w:ascii="Times New Roman" w:eastAsia="宋体" w:hAnsi="Times New Roman" w:cs="Times New Roman"/>
          <w:sz w:val="24"/>
        </w:rPr>
        <w:pict w14:anchorId="0C4A94CB">
          <v:shape id="_x0000_i1026" type="#_x0000_t75" style="width:100.4pt;height:29.7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f&gt;&lt;m:fPr&gt;&lt;m:ctrlPr&gt;&lt;w:rPr&gt;&lt;w:rFonts w:ascii=&quot;Cambria Math&quot; w:h-ansi=&quot;Cambria Math&quot; w:hint=&quot;default&quot;/&gt;&lt;w:color w:val=&quot;auto&quot;/&gt;&lt;/w:rPr&gt;&lt;/m:ctrlPr&gt;&lt;/m:fPr&gt;&lt;m:num&gt;&lt;m:r&gt;&lt;m:rPr&gt;&lt;m:scr m:val=&quot;roman&quot;/&gt;&lt;/m:rPr&gt;&lt;w:rPr&gt;&lt;w:rFonts w:ascii=&quot;Cambria Math&quot; w:h-ansi=&quot;Cambria Math&quot; w:hint=&quot;fareast&quot;/&gt;&lt;w:color w:val=&quot;auto&quot;/&gt;&lt;/w:rPr&gt;&lt;m:t&gt;鈭侰&lt;/m:t&gt;&lt;/m:r&gt;&lt;m:ctrlPr&gt;&lt;w:rPr&gt;&lt;w:rFonts w:ascii=&quot;Cambria Math&quot; w:h-ansi=&quot;Cambria Math&quot; w:hint=&quot;default&quot;/&gt;&lt;w:i/&gt;&lt;w:color w:val=&quot;auto&quot;/&gt;&lt;/w:rPr&gt;&lt;/m:ctrlPr&gt;&lt;/m:num&gt;&lt;m:den&gt;&lt;m:r&gt;&lt;m:rPr&gt;&lt;m:scr m:val=&quot;roman&quot;/&gt;&lt;/m:rPr&gt;&lt;w:rPr&gt;&lt;w:rFonts w:ascii=&quot;Cam/&gt;/&gt;/&gt;/&gt;/&gt;/&gt;/&gt;/&gt;/&gt;/&gt;/&gt;/&gt;/&gt;/&gt;/&gt;/&gt;bria Math&quot; w:h-ansi=&quot;Cambria Math&quot; w:hint=&quot;fareast&quot;/&gt;&lt;w:color w:val=&quot;auto&quot;/&gt;&lt;/w:rPr&gt;&lt;m:t&gt;鈭倀&lt;/m:t&gt;&lt;/m:r&gt;&lt;m:ctrlPr&gt;&lt;w:rPr&gt;&lt;w:rFonts w:ascii=&quot;Cambria Math&quot; w:h-ansi=&quot;Cambria Math&quot; w:hint=&quot;default&quot;/&gt;&lt;w:i/&gt;&lt;w:color w:val=&quot;auto&quot;//&gt;&gt;&lt;/&gt;/w/&gt;:r/&gt;Pr/&gt;&gt;&lt;/&gt;/m/&gt;:c/&gt;tr/&gt;lP/&gt;r&gt;/&gt;&lt;//&gt;m:/&gt;de/&gt;n&gt;/&gt;&lt;//&gt;m:f&gt;&lt;m:r&gt;&lt;m:rPr&gt;&lt;m:scr m:val=&quot;roman&quot;/&gt;&lt;/m:rPr&gt;&lt;w:rPr&gt;&lt;w:rFonts w:ascii=&quot;Cambria Math&quot; w:h-ansi=&quot;Cambria Math&quot; w:hint=&quot;fareast&quot;/&gt;&lt;w:color w:val=&quot;auto&quot;/&gt;&lt;/w:rPr&gt;&lt;m:t&gt;=&lt;/m:t&gt;&lt;/m:r&gt;&lt;m:sSub&gt;&lt;m:sSubPr&gt;&lt;m:ctrlPr&gt;&lt;w:rPr&gt;&lt;w:rFonts w:ascii=&quot;Cambria Math&quot; w:h-ansi=&quot;Cambria Math&quot; w:hint=&quot;default&quot;/&gt;&lt;w:i/&gt;&lt;w:color w:val=&quot;auto&quot;/&gt;&lt;/w:rPr&gt;&lt;/m:ctrlPr&gt;&lt;/m:sSubPr&gt;&lt;m:e&gt;&lt;m:r&gt;&lt;m:rPr&gt;&lt;m:scr m:val=&quot;roman&quot;/&gt;&lt;/m:rPr&gt;&lt;w:rPr&gt;&lt;w:rFonts w:ascii=&quot;Cambria Math&quot; w:h-ansi=&quot;Cambria Math&quot; w:hint=&quot;fareast&quot;/&gt;&lt;w:color w:val=&quot;auto&quot;/&gt;&lt;/w:rPr&gt;&lt;m:t&gt;D&lt;/m:t&gt;&lt;/m:r&gt;&lt;m:ctrlPr&gt;&lt;w:rPr&gt;&lt;w:rFonts w:ascii=&quot;Cambria Math&quot; w:h-ansi=&quot;Cambria Math&quot; w:hint=&quot;default&quot;/&gt;&lt;w:i/&gt;&lt;w:color w:val=&quot;auto&quot;/&gt;&lt;/w:rPr&gt;&lt;/m:ctrlPr&gt;&lt;/m:e&gt;&lt;m:sub&gt;&lt;m:r&gt;&lt;m:rPr&gt;&lt;m:scr m:val=&quot;roman&quot;/&gt;&lt;/m:rPr&gt;&lt;w:rPr&gt;&lt;w:rFonts w:ascii=&quot;Cambria Math&quot; w:h-ansi=&quot;Cambria Math&quot; w:hint=&quot;fareast&quot;/&gt;&lt;w:color w:val=&quot;auto&quot;/&gt;&lt;/w:rPr&gt;&lt;m:t&gt;L&lt;/m:t&gt;&lt;/m:r&gt;&lt;m:ctrlPr&gt;&lt;w:rPr&gt;&lt;w:rFonts w:ascii=&quot;Cambria Math&quot; w:h-ansi=&quot;Cambria Math&quot; w:hint=&quot;default&quot;/&gt;&lt;w:i/&gt;&lt;w:color w:val=&quot;auto&quot;/&gt;&lt;/w:rPr&gt;&lt;/m:ctrlPr&gt;&lt;/m:sub&gt;&lt;/m:sSub&gt;&lt;m:f&gt;&lt;m:fPr&gt;&lt;m:ctrlPr&gt;&lt;w:rPr&gt;&lt;w:rFonts w:ascii=&quot;Cambria Math&quot; w:h-ansi=&quot;Cambria Math&quot; w:hint=&quot;default&quot;/&gt;&lt;w:i/&gt;&lt;w:color w:val=&quot;auto&quot;/&gt;&lt;/w:rPr&gt;&lt;/m:ctrlPr&gt;&lt;/m:fPr&gt;&lt;m:num&gt;&lt;m:sSup&gt;&lt;m:sSupPr&gt;&lt;m:ctrlPr&gt;&lt;w:rPr&gt;&lt;w:rFonts w:ascii=&quot;Cambria Math&quot; w:h-ansi=&quot;Cambria Math&quot; w:hint=&quot;default&quot;/&gt;&lt;w:i/&gt;&lt;w:color w:val=&quot;auto&quot;/&gt;&lt;/w:rPr&gt;&lt;/m:ctrlPr&gt;&lt;/m:sSupPr&gt;&lt;m:e&gt;&lt;m:r&gt;&lt;m:rPr&gt;&lt;m:scr m:val=&quot;roman&quot;/&gt;&lt;/m:rPr&gt;&lt;w:rPr&gt;&lt;w:rFonts w:ascii=&quot;Cambria Math&quot; w:h-ansi=&quot;Cambria Math&quot; w:hint=&quot;fareast&quot;/&gt;&lt;w:color w:val=&quot;auto&quot;/&gt;&lt;/w:rPr&gt;&lt;m:t&gt;鈭m?/m:at&gt;&lt;/tm:r&gt;w&lt;m:cntrl&quot;dPr&gt;&lt;w:rPr&gt;&lt;w:rFonts w:ascii=&quot;Cambria Math&quot; w:h-ansi=&quot;Cambria Math&quot; w:hint=&quot;default&quot;/&gt;&lt;w:i/&gt;&lt;w:color w:val=&quot;auto&quot;/&gt;&lt;/w:rPr&gt;&lt;/m:ctrlPr&gt;&lt;/m:e&gt;&lt;m:sup&gt;&lt;m:r&gt;&lt;m:rPr&gt;&lt;m:scr m:val=&quot;roman&quot;/&gt;&lt;/m:rPr&gt;&lt;&quot;w:rPwr&gt;&lt;wl:rFownts lw:asucii=/&quot;Camwbriar Mat:h&quot; w:h-ansi=&quot;Cambria Math&quot; w:hint=&quot;fareast&quot;/&gt;&lt;w:color w:val=&quot;auto&quot;/&gt;&lt;/w:rPr&gt;&lt;m:t&gt;2&lt;/m:t&gt;&lt;/m:r&gt;&lt;m:ctrlPr&gt;&lt;w:rPr&gt;&lt;w:rFonts w:ascii=&quot;Cambria Math&quot; w:h-ansi=&quot;Cambria Math&quot; w:hint=&quot;default&quot;/&gt;&lt;w:i/&gt;&lt;w:color w:val=&quot;auto&quot;/&gt;&lt;/w:rPr&gt;&lt;/m:ctrlPr&gt;&lt;/m:sup&gt;&lt;/m:sSup&gt;&lt;m:r&gt;&lt;m:rPr&gt;&lt;m:scr m:val=&quot;roman&quot;/&gt;&lt;/m:rPr&gt;&lt;w:rPr&gt;&lt;w:rFonts w:ascii=&quot;Cambria Math&quot; w:h-ansi=&quot;Cambria Math&quot; w:hint=&quot;fareast&quot;/&gt;&lt;w:color w:val=&quot;auto&quot;/&gt;&lt;/w:rPr&gt;&lt;m:t&gt;C&lt;/m:t&gt;&lt;/m:r&gt;&lt;m:ctrlPr&gt;&lt;w:rPr&gt;&lt;w:rFonts w:ascii=&quot;Cambria Math&quot; w:h-ansi=&quot;Cambria Math&quot; w:hint=&quot;default&quot;/&gt;&lt;w:i/&gt;&lt;w:color w:val=&quot;auto&quot;/&gt;&lt;/w:rPr&gt;&lt;/m:ctrlPr&gt;&lt;/m:num&gt;&lt;m:den&gt;&lt;m:r&gt;&lt;m:rPr&gt;&lt;m:scr m:val=&quot;roman&quot;/&gt;&lt;/m:rPr&gt;&lt;w:rPr&gt;&lt;w:rFonts w:ascii=&quot;Cambria Math&quot; w:h-ansi=&quot;Cambria Math&quot; w:hint=&quot;fareast&quot;/&gt;&lt;w:color w:val=&quot;auto&quot;/&gt;&lt;/w:rPr&gt;&lt;m:t&gt;??/m:it&gt;&lt;/mt:r&gt;&lt;m::sSup=&gt;&lt;m:saSupPr/&gt;&lt;m:citrlPr:&gt;&lt;w:rrPr&gt;&lt;wa:rFoaunts w:ascii=&quot;Cambria Math&quot; w:h-ansi=&quot;Cambria Math&quot; w:hint=&quot;default&quot;/&gt;&lt;w:i/&gt;&lt;w:color w:val=&quot;auto&quot;/&gt;&lt;/w:rPr&gt;&lt;/m:ctrlPr&gt;&lt;/m:sSupPr&gt;&lt;m:e&gt;&lt;m:r&gt;&lt;m:rPr&gt;&lt;m:scr m:val=&quot;roman&quot;/&gt;&lt;/m:rPr&gt;&lt;w:rPr&gt;&lt;w:rFon?ts w:ascii=&quot;Cambria Math&quot; w:h-ansi=&quot;Cambria Math&quot; w:hint=&quot;fareast&quot;/&gt;&lt;w:color w:val=&quot;auto&quot;/&gt;&lt;/w:rPr&gt;&lt;m:t&gt;x&lt;/m:t&gt;&lt;/m:r&gt;&lt;m:ctrlPr&gt;&lt;w:rPr&gt;&lt;w:rFonts w:ascii=&quot;Cambria Math&quot; w:h-ansi=&quot;Cambria Math&quot; w:hint=&quot;default&quot;/&gt;&lt;w:i/&gt;&lt;w:color w:val=&quot;auto&quot;/&gt;&lt;/w:rPr&gt;&lt;/m:ctrlPr&gt;&lt;/m:e&gt;&lt;m:sup&gt;&lt;m:r&gt;&lt;m:rPr&gt;&lt;m:scr m:val=&quot;roman&quot;/&gt;&lt;/m:rPr&gt;&lt;w:rPr&gt;&lt;w:rFonts w:ascii=&quot;Cambria Math&quot; w:h-ansi=&quot;Cambria Math&quot; w:hint=&quot;fareast&quot;/&gt;&lt;w:color w:val=&quot;auto&quot;/&gt;&lt;/w:rPr&gt;&lt;m:t&gt;2&lt;/m:t&gt;&lt;/m:r&gt;&lt;m:ctrlPr&gt;&lt;w:rPr&gt;&lt;w:rFonts w:ascii=&quot;Cambria Math&quot; w:h-ansi=&quot;Cambria Math&quot; w:hint=&quot;default&quot;/&gt;&lt;w:i/&gt;&lt;w:color w:val=&quot;auto&quot;/&gt;&lt;/w:rPr&gt;&lt;/m:ctrlPr&gt;&lt;/m:sup&gt;&lt;/m:sSup&gt;&lt;m:ctrlPr&gt;&lt;w:rPr&gt;&lt;w:rFonts w:ascii=&quot;Cambria Math&quot; w:h-ansi=&quot;Cambria Math&quot; w:hint=&quot;default&quot;/&gt;&lt;w:i/&gt;&lt;w:color w:val=&quot;auto&quot;/&gt;&lt;/w:rPr&gt;&lt;/m:ctrlPr&gt;&lt;/m:den&gt;&lt;/m:f&gt;&lt;m:r&gt;&lt;m:rPr&gt;&lt;m:sty m:val=&quot;p&quot;/&gt;&lt;m:scr m:val=&quot;roman&quot;/&gt;&lt;/m:rPr&gt;&lt;w:rPr&gt;&lt;w:rFonts w:ascii=&quot;Cambria Math&quot; w:h-ansi=&quot;Cambria Math&quot; w:hint=&quot;default&quot;/&gt;&lt;w:color w:val=&quot;auto&quot;/&gt;&lt;/w:rPr&gt;&lt;m:t&gt;鈭?/m:t&gt;&lt;/m:r&gt;&lt;m:r&gt;&lt;m:rPr&gt;&lt;m:scr m:val=&quot;roman&quot;/&gt;&lt;/m:rPr&gt;&lt;w:rPr&gt;&lt;w:rFdonts /w:asc&lt;ii=&quot;C&lt;ambrira Matht&quot; w:h-aansi=&quot;/Cambrica Matha&quot; w:himnt=&quot;fa&lt;reast&quot;r/&gt;&lt;w:cPolor wr:val=s &quot;auto&quot;/&gt;&lt;/w:rPr&gt;&lt;m:t&gt;u&lt;/m:t&gt;&lt;/m:r&gt;&lt;m:f&gt;&lt;m:fPr&gt;&lt;m:ctrlPr&gt;&lt;w:rPr&gt;&lt;w:rFonts w:ascii=&quot;Cambria Math&quot; w:h-ansi=&quot;Cambria Math&quot; w:hint=&quot;default&quot;/&gt;&lt;w:color w:val=&quot;auto&quot;/&gt;&lt;/w:rPr&gt;&lt;/m:ctrlPr&gt;&lt;/m:fPr&gt;&lt;m:num&gt;&lt;m:r&gt;&lt;m:rPr&gt;&lt;m:scr m:val=&quot;roman&quot;/&gt;&lt;/m:rPr&gt;&lt;w:rPr&gt;&lt;w:rFonts w:ascii=&quot;Cambria Math&quot; w:h-ansi=&quot;Cambria Math&quot; w:hint=&quot;fareast&quot;/&gt;&lt;w:color w:val=&quot;auto&quot;/&gt;&lt;/w:rPr&gt;&lt;m:t&gt;鈭侰&lt;/m:t&gt;&lt;/m:r&gt;&lt;m:ctrlPr&gt;&lt;w:rPr&gt;&lt;w:rFonts w:ascii=&quot;Ca=&quot;mbria &quot;/Math&quot; :rw:h-an/msi=&quot;CalPmbria M:fath&quot; w::nhint=&quot;d:refault&quot;Pr/&gt;&lt;w:i/cr&gt;&lt;w:coll=or w:van&quot;l=&quot;auto:r&quot;/&gt;&lt;/w::rrPr&gt;&lt;/m:r:ctrlPr w&gt;&lt;/m:num&gt;&lt;m:den&gt;&lt;m:r&gt;&lt;m:rPr&gt;&lt;m:scr m:val=&quot;roman&quot;/&gt;&lt;/m:rPr&gt;&lt;w:rPr&gt;&lt;w:rFonts w:ascii=&quot;Cambria Math&quot; w:h-ansi=&quot;Cambria Math&quot; w:hint=&quot;fareast&quot;/&gt;&lt;w:color w:val=&quot;auto&quot;/&gt;&lt;/w:rPr&gt;&lt;m:t&gt;鈭倄&lt;/m:r:t&gt;&lt;/m:r&gt;Pr&lt;m:ctrlPrcr&gt;&lt;w:rPr&gt;&lt;l=w:rFonts n&quot;w:ascii=&quot;:rCambria M:rath&quot; w:h-:ransi=&quot;Cam wbria Math&quot; w:hint=&quot;default&quot;/&gt;&lt;w:i/&gt;&lt;w:color w:val=&quot;auto&quot;/&gt;&lt;/w:rPr&gt;&lt;/m:ctrlPr&gt;&lt;/m:den&gt;&lt;/m:f&gt;&lt;/m:oMath&gt;&lt;/m:ow:MathParafa&gt;&lt;/w:p&gt;&lt;/&gt;/wx:sector&gt;&lt;/w:bod=&quot;y&gt;&lt;/w:wor&lt;/dDocumentm:">
            <v:imagedata r:id="rId61" o:title=""/>
            <o:lock v:ext="edit" aspectratio="f"/>
          </v:shape>
        </w:pict>
      </w:r>
    </w:p>
    <w:p w14:paraId="04EC13B3" w14:textId="77777777" w:rsidR="00D12939" w:rsidRDefault="004F47F5">
      <w:pPr>
        <w:pStyle w:val="afffffffffffff"/>
        <w:ind w:firstLineChars="0" w:firstLine="0"/>
        <w:jc w:val="center"/>
        <w:rPr>
          <w:position w:val="0"/>
          <w:szCs w:val="22"/>
        </w:rPr>
      </w:pPr>
      <w:r>
        <w:rPr>
          <w:position w:val="0"/>
          <w:szCs w:val="22"/>
        </w:rPr>
        <w:t>C</w:t>
      </w:r>
      <w:r>
        <w:rPr>
          <w:position w:val="0"/>
          <w:szCs w:val="22"/>
        </w:rPr>
        <w:t>（</w:t>
      </w:r>
      <w:r>
        <w:rPr>
          <w:position w:val="0"/>
          <w:szCs w:val="22"/>
        </w:rPr>
        <w:t>x,0</w:t>
      </w:r>
      <w:r>
        <w:rPr>
          <w:position w:val="0"/>
          <w:szCs w:val="22"/>
        </w:rPr>
        <w:t>）</w:t>
      </w:r>
      <w:r>
        <w:rPr>
          <w:position w:val="0"/>
          <w:szCs w:val="22"/>
        </w:rPr>
        <w:t>=0    x≥0</w:t>
      </w:r>
    </w:p>
    <w:p w14:paraId="6FBC60D6" w14:textId="77777777" w:rsidR="00D12939" w:rsidRDefault="004F47F5">
      <w:pPr>
        <w:pStyle w:val="afffffffffffff"/>
        <w:ind w:firstLineChars="0" w:firstLine="0"/>
        <w:jc w:val="center"/>
        <w:rPr>
          <w:position w:val="0"/>
          <w:szCs w:val="22"/>
        </w:rPr>
      </w:pPr>
      <w:r>
        <w:rPr>
          <w:position w:val="0"/>
          <w:szCs w:val="22"/>
        </w:rPr>
        <w:t>C</w:t>
      </w:r>
      <w:r>
        <w:rPr>
          <w:position w:val="0"/>
          <w:szCs w:val="22"/>
        </w:rPr>
        <w:t>（</w:t>
      </w:r>
      <w:r>
        <w:rPr>
          <w:position w:val="0"/>
          <w:szCs w:val="22"/>
        </w:rPr>
        <w:t>0,t</w:t>
      </w:r>
      <w:r>
        <w:rPr>
          <w:position w:val="0"/>
          <w:szCs w:val="22"/>
        </w:rPr>
        <w:t>）</w:t>
      </w:r>
      <w:r>
        <w:rPr>
          <w:position w:val="0"/>
          <w:szCs w:val="22"/>
        </w:rPr>
        <w:t>=C0   t&gt;0</w:t>
      </w:r>
    </w:p>
    <w:p w14:paraId="28DBF565" w14:textId="77777777" w:rsidR="00D12939" w:rsidRDefault="004F47F5">
      <w:pPr>
        <w:pStyle w:val="afffffffffffff"/>
        <w:ind w:firstLineChars="0" w:firstLine="0"/>
        <w:jc w:val="center"/>
        <w:rPr>
          <w:position w:val="0"/>
          <w:szCs w:val="22"/>
        </w:rPr>
      </w:pPr>
      <w:r>
        <w:rPr>
          <w:position w:val="0"/>
          <w:szCs w:val="22"/>
        </w:rPr>
        <w:t>C</w:t>
      </w:r>
      <w:r>
        <w:rPr>
          <w:position w:val="0"/>
          <w:szCs w:val="22"/>
        </w:rPr>
        <w:t>（</w:t>
      </w:r>
      <w:r>
        <w:rPr>
          <w:position w:val="0"/>
          <w:szCs w:val="22"/>
        </w:rPr>
        <w:t>∞,t</w:t>
      </w:r>
      <w:r>
        <w:rPr>
          <w:position w:val="0"/>
          <w:szCs w:val="22"/>
        </w:rPr>
        <w:t>）</w:t>
      </w:r>
      <w:r>
        <w:rPr>
          <w:position w:val="0"/>
          <w:szCs w:val="22"/>
        </w:rPr>
        <w:t>=0    t&gt;0</w:t>
      </w:r>
    </w:p>
    <w:p w14:paraId="1961DCB7" w14:textId="77777777" w:rsidR="00D12939" w:rsidRDefault="004F47F5">
      <w:pPr>
        <w:pStyle w:val="affffffff8"/>
        <w:ind w:left="482" w:firstLineChars="0" w:firstLine="0"/>
        <w:rPr>
          <w:rFonts w:ascii="Times New Roman" w:hAnsi="Times New Roman"/>
          <w:szCs w:val="22"/>
        </w:rPr>
      </w:pPr>
      <w:r>
        <w:rPr>
          <w:rFonts w:ascii="Times New Roman" w:hAnsi="Times New Roman"/>
          <w:szCs w:val="22"/>
        </w:rPr>
        <w:t>（</w:t>
      </w:r>
      <w:r>
        <w:rPr>
          <w:rFonts w:ascii="Times New Roman" w:hAnsi="Times New Roman"/>
          <w:szCs w:val="22"/>
        </w:rPr>
        <w:t>2</w:t>
      </w:r>
      <w:r>
        <w:rPr>
          <w:rFonts w:ascii="Times New Roman" w:hAnsi="Times New Roman"/>
          <w:szCs w:val="22"/>
        </w:rPr>
        <w:t>）地下水环境影响情景模拟设定</w:t>
      </w:r>
    </w:p>
    <w:p w14:paraId="5A5D14B9"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在正常状况下，填埋区产生的垃圾渗滤液经渗滤液导排系统输送至填埋场渗沥液调节池及</w:t>
      </w:r>
      <w:r>
        <w:rPr>
          <w:rFonts w:ascii="Times New Roman" w:eastAsia="宋体" w:hAnsi="Times New Roman" w:cs="Times New Roman"/>
          <w:sz w:val="24"/>
        </w:rPr>
        <w:lastRenderedPageBreak/>
        <w:t>渗沥液处理站进行处理，渗滤液不会进入到地下水中。在非正常状况下，由于调节池底部防渗层破损，而发生渗漏。</w:t>
      </w:r>
    </w:p>
    <w:p w14:paraId="3FF0D88C"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本次预测考虑垃圾填埋场在非正常工况情景下，垃圾渗滤液调节池防渗层破损而发生渗漏，渗漏一直持续</w:t>
      </w:r>
      <w:r>
        <w:rPr>
          <w:rFonts w:ascii="Times New Roman" w:eastAsia="宋体" w:hAnsi="Times New Roman" w:cs="Times New Roman"/>
          <w:sz w:val="24"/>
        </w:rPr>
        <w:t>30d</w:t>
      </w:r>
      <w:r>
        <w:rPr>
          <w:rFonts w:ascii="Times New Roman" w:eastAsia="宋体" w:hAnsi="Times New Roman" w:cs="Times New Roman"/>
          <w:sz w:val="24"/>
        </w:rPr>
        <w:t>后及时发现并进行处置，渗漏不再发生。</w:t>
      </w:r>
    </w:p>
    <w:p w14:paraId="15B03673"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非正常工况：工艺设备或地下水环境保护措施因系统老化、腐蚀等原因不能正常运行或保护效果达不到设计要求，垃圾渗滤液进入到地下水中。</w:t>
      </w:r>
    </w:p>
    <w:p w14:paraId="2425871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渗漏时间：垃圾渗滤液调节池中</w:t>
      </w:r>
      <w:r>
        <w:rPr>
          <w:rFonts w:ascii="Times New Roman" w:eastAsia="宋体" w:hAnsi="Times New Roman" w:cs="Times New Roman" w:hint="eastAsia"/>
          <w:sz w:val="24"/>
        </w:rPr>
        <w:t>渗滤液</w:t>
      </w:r>
      <w:r>
        <w:rPr>
          <w:rFonts w:ascii="Times New Roman" w:eastAsia="宋体" w:hAnsi="Times New Roman" w:cs="Times New Roman"/>
          <w:sz w:val="24"/>
        </w:rPr>
        <w:t>渗漏进入地下水中，渗漏持续</w:t>
      </w:r>
      <w:r>
        <w:rPr>
          <w:rFonts w:ascii="Times New Roman" w:eastAsia="宋体" w:hAnsi="Times New Roman" w:cs="Times New Roman"/>
          <w:sz w:val="24"/>
        </w:rPr>
        <w:t>30d</w:t>
      </w:r>
      <w:r>
        <w:rPr>
          <w:rFonts w:ascii="Times New Roman" w:eastAsia="宋体" w:hAnsi="Times New Roman" w:cs="Times New Roman"/>
          <w:sz w:val="24"/>
        </w:rPr>
        <w:t>后，通过监测井及时发现情况，对防渗层进行处理后不再渗漏。</w:t>
      </w:r>
    </w:p>
    <w:p w14:paraId="4EBD12E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根据表</w:t>
      </w:r>
      <w:r>
        <w:rPr>
          <w:rFonts w:ascii="Times New Roman" w:eastAsia="宋体" w:hAnsi="Times New Roman" w:cs="Times New Roman"/>
          <w:sz w:val="24"/>
        </w:rPr>
        <w:t>7.4-1</w:t>
      </w:r>
      <w:r>
        <w:rPr>
          <w:rFonts w:ascii="Times New Roman" w:eastAsia="宋体" w:hAnsi="Times New Roman" w:cs="Times New Roman"/>
          <w:sz w:val="24"/>
        </w:rPr>
        <w:t>，本次预测选取标准指数最大的</w:t>
      </w:r>
      <w:r>
        <w:rPr>
          <w:rFonts w:ascii="Times New Roman" w:eastAsia="宋体" w:hAnsi="Times New Roman" w:cs="Times New Roman"/>
          <w:sz w:val="24"/>
        </w:rPr>
        <w:t>BOD</w:t>
      </w:r>
      <w:r>
        <w:rPr>
          <w:rFonts w:ascii="Times New Roman" w:eastAsia="宋体" w:hAnsi="Times New Roman" w:cs="Times New Roman"/>
          <w:sz w:val="24"/>
          <w:vertAlign w:val="subscript"/>
        </w:rPr>
        <w:t>5</w:t>
      </w:r>
      <w:r>
        <w:rPr>
          <w:rFonts w:ascii="Times New Roman" w:eastAsia="宋体" w:hAnsi="Times New Roman" w:cs="Times New Roman"/>
          <w:sz w:val="24"/>
        </w:rPr>
        <w:t>为预测因子。</w:t>
      </w:r>
    </w:p>
    <w:p w14:paraId="468A86E0" w14:textId="77777777" w:rsidR="00D12939" w:rsidRDefault="004F47F5">
      <w:pPr>
        <w:ind w:firstLine="480"/>
        <w:jc w:val="center"/>
        <w:rPr>
          <w:rFonts w:ascii="黑体" w:eastAsia="黑体" w:hAnsi="黑体"/>
          <w:sz w:val="24"/>
        </w:rPr>
      </w:pPr>
      <w:r>
        <w:rPr>
          <w:rFonts w:ascii="黑体" w:eastAsia="黑体" w:hAnsi="黑体"/>
          <w:sz w:val="24"/>
        </w:rPr>
        <w:t>表7.4-1   地下水污染预测因子统计表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96"/>
        <w:gridCol w:w="1662"/>
        <w:gridCol w:w="1661"/>
        <w:gridCol w:w="1541"/>
        <w:gridCol w:w="1595"/>
        <w:gridCol w:w="1661"/>
      </w:tblGrid>
      <w:tr w:rsidR="00D12939" w14:paraId="1F7C262D" w14:textId="77777777">
        <w:trPr>
          <w:trHeight w:val="227"/>
          <w:jc w:val="center"/>
        </w:trPr>
        <w:tc>
          <w:tcPr>
            <w:tcW w:w="821" w:type="pct"/>
            <w:vAlign w:val="center"/>
          </w:tcPr>
          <w:p w14:paraId="4B65153E" w14:textId="77777777" w:rsidR="00D12939" w:rsidRDefault="004F47F5">
            <w:pPr>
              <w:widowControl/>
              <w:tabs>
                <w:tab w:val="left" w:pos="8607"/>
              </w:tabs>
              <w:adjustRightInd w:val="0"/>
              <w:snapToGrid w:val="0"/>
              <w:jc w:val="center"/>
              <w:rPr>
                <w:rFonts w:ascii="Times New Roman" w:eastAsia="宋体" w:hAnsi="Times New Roman" w:cs="Times New Roman"/>
                <w:b/>
                <w:szCs w:val="21"/>
              </w:rPr>
            </w:pPr>
            <w:r>
              <w:rPr>
                <w:rFonts w:ascii="Times New Roman" w:eastAsia="宋体" w:hAnsi="Times New Roman" w:cs="Times New Roman"/>
                <w:b/>
                <w:szCs w:val="21"/>
              </w:rPr>
              <w:t>废水种类</w:t>
            </w:r>
          </w:p>
        </w:tc>
        <w:tc>
          <w:tcPr>
            <w:tcW w:w="855" w:type="pct"/>
            <w:vAlign w:val="center"/>
          </w:tcPr>
          <w:p w14:paraId="7FECCB81" w14:textId="77777777" w:rsidR="00D12939" w:rsidRDefault="004F47F5">
            <w:pPr>
              <w:widowControl/>
              <w:tabs>
                <w:tab w:val="left" w:pos="8607"/>
              </w:tabs>
              <w:adjustRightInd w:val="0"/>
              <w:snapToGrid w:val="0"/>
              <w:jc w:val="center"/>
              <w:rPr>
                <w:rFonts w:ascii="Times New Roman" w:eastAsia="宋体" w:hAnsi="Times New Roman" w:cs="Times New Roman"/>
                <w:b/>
                <w:szCs w:val="21"/>
              </w:rPr>
            </w:pPr>
            <w:r>
              <w:rPr>
                <w:rFonts w:ascii="Times New Roman" w:eastAsia="宋体" w:hAnsi="Times New Roman" w:cs="Times New Roman"/>
                <w:b/>
                <w:szCs w:val="21"/>
              </w:rPr>
              <w:t>污染因子</w:t>
            </w:r>
          </w:p>
        </w:tc>
        <w:tc>
          <w:tcPr>
            <w:tcW w:w="855" w:type="pct"/>
            <w:vAlign w:val="center"/>
          </w:tcPr>
          <w:p w14:paraId="3A4807DA" w14:textId="77777777" w:rsidR="00D12939" w:rsidRDefault="004F47F5">
            <w:pPr>
              <w:widowControl/>
              <w:tabs>
                <w:tab w:val="left" w:pos="8607"/>
              </w:tabs>
              <w:adjustRightInd w:val="0"/>
              <w:snapToGrid w:val="0"/>
              <w:jc w:val="center"/>
              <w:rPr>
                <w:rFonts w:ascii="Times New Roman" w:eastAsia="宋体" w:hAnsi="Times New Roman" w:cs="Times New Roman"/>
                <w:b/>
                <w:szCs w:val="21"/>
              </w:rPr>
            </w:pPr>
            <w:r>
              <w:rPr>
                <w:rFonts w:ascii="Times New Roman" w:eastAsia="宋体" w:hAnsi="Times New Roman" w:cs="Times New Roman"/>
                <w:b/>
                <w:szCs w:val="21"/>
              </w:rPr>
              <w:t>产生浓度</w:t>
            </w:r>
            <w:r>
              <w:rPr>
                <w:rFonts w:ascii="Times New Roman" w:eastAsia="宋体" w:hAnsi="Times New Roman" w:cs="Times New Roman"/>
                <w:b/>
                <w:szCs w:val="21"/>
              </w:rPr>
              <w:t>mg/L</w:t>
            </w:r>
          </w:p>
        </w:tc>
        <w:tc>
          <w:tcPr>
            <w:tcW w:w="793" w:type="pct"/>
            <w:vAlign w:val="center"/>
          </w:tcPr>
          <w:p w14:paraId="786216ED" w14:textId="77777777" w:rsidR="00D12939" w:rsidRDefault="004F47F5">
            <w:pPr>
              <w:widowControl/>
              <w:tabs>
                <w:tab w:val="left" w:pos="8607"/>
              </w:tabs>
              <w:adjustRightInd w:val="0"/>
              <w:snapToGrid w:val="0"/>
              <w:jc w:val="center"/>
              <w:rPr>
                <w:rFonts w:ascii="Times New Roman" w:eastAsia="宋体" w:hAnsi="Times New Roman" w:cs="Times New Roman"/>
                <w:b/>
                <w:szCs w:val="21"/>
              </w:rPr>
            </w:pPr>
            <w:r>
              <w:rPr>
                <w:rFonts w:ascii="Times New Roman" w:eastAsia="宋体" w:hAnsi="Times New Roman" w:cs="Times New Roman"/>
                <w:b/>
                <w:szCs w:val="21"/>
              </w:rPr>
              <w:t>污染物类型</w:t>
            </w:r>
          </w:p>
        </w:tc>
        <w:tc>
          <w:tcPr>
            <w:tcW w:w="821" w:type="pct"/>
            <w:vAlign w:val="center"/>
          </w:tcPr>
          <w:p w14:paraId="66166F0B" w14:textId="77777777" w:rsidR="00D12939" w:rsidRDefault="004F47F5">
            <w:pPr>
              <w:widowControl/>
              <w:tabs>
                <w:tab w:val="left" w:pos="8607"/>
              </w:tabs>
              <w:adjustRightInd w:val="0"/>
              <w:snapToGrid w:val="0"/>
              <w:jc w:val="center"/>
              <w:rPr>
                <w:rFonts w:ascii="Times New Roman" w:eastAsia="宋体" w:hAnsi="Times New Roman" w:cs="Times New Roman"/>
                <w:b/>
                <w:szCs w:val="21"/>
              </w:rPr>
            </w:pPr>
            <w:r>
              <w:rPr>
                <w:rFonts w:ascii="Times New Roman" w:eastAsia="宋体" w:hAnsi="Times New Roman" w:cs="Times New Roman"/>
                <w:b/>
                <w:szCs w:val="21"/>
              </w:rPr>
              <w:t>标准指数</w:t>
            </w:r>
          </w:p>
        </w:tc>
        <w:tc>
          <w:tcPr>
            <w:tcW w:w="855" w:type="pct"/>
            <w:vAlign w:val="center"/>
          </w:tcPr>
          <w:p w14:paraId="05AED709" w14:textId="77777777" w:rsidR="00D12939" w:rsidRDefault="004F47F5">
            <w:pPr>
              <w:widowControl/>
              <w:tabs>
                <w:tab w:val="left" w:pos="8607"/>
              </w:tabs>
              <w:adjustRightInd w:val="0"/>
              <w:snapToGrid w:val="0"/>
              <w:jc w:val="center"/>
              <w:rPr>
                <w:rFonts w:ascii="Times New Roman" w:eastAsia="宋体" w:hAnsi="Times New Roman" w:cs="Times New Roman"/>
                <w:b/>
                <w:szCs w:val="21"/>
              </w:rPr>
            </w:pPr>
            <w:r>
              <w:rPr>
                <w:rFonts w:ascii="Times New Roman" w:eastAsia="宋体" w:hAnsi="Times New Roman" w:cs="Times New Roman"/>
                <w:b/>
                <w:szCs w:val="21"/>
              </w:rPr>
              <w:t>标准限值</w:t>
            </w:r>
            <w:r>
              <w:rPr>
                <w:rFonts w:ascii="Times New Roman" w:eastAsia="宋体" w:hAnsi="Times New Roman" w:cs="Times New Roman"/>
                <w:b/>
                <w:szCs w:val="21"/>
              </w:rPr>
              <w:t>mg/L</w:t>
            </w:r>
          </w:p>
        </w:tc>
      </w:tr>
      <w:tr w:rsidR="00D12939" w14:paraId="0D9D1190" w14:textId="77777777">
        <w:trPr>
          <w:trHeight w:val="227"/>
          <w:jc w:val="center"/>
        </w:trPr>
        <w:tc>
          <w:tcPr>
            <w:tcW w:w="821" w:type="pct"/>
            <w:vMerge w:val="restart"/>
            <w:vAlign w:val="center"/>
          </w:tcPr>
          <w:p w14:paraId="78D13EC5"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废水</w:t>
            </w:r>
          </w:p>
        </w:tc>
        <w:tc>
          <w:tcPr>
            <w:tcW w:w="855" w:type="pct"/>
            <w:vAlign w:val="center"/>
          </w:tcPr>
          <w:p w14:paraId="0E621523"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COD</w:t>
            </w:r>
          </w:p>
        </w:tc>
        <w:tc>
          <w:tcPr>
            <w:tcW w:w="855" w:type="pct"/>
            <w:vAlign w:val="center"/>
          </w:tcPr>
          <w:p w14:paraId="63D1A612"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6666.67</w:t>
            </w:r>
          </w:p>
        </w:tc>
        <w:tc>
          <w:tcPr>
            <w:tcW w:w="793" w:type="pct"/>
            <w:vMerge w:val="restart"/>
            <w:vAlign w:val="center"/>
          </w:tcPr>
          <w:p w14:paraId="7CDCEFE1"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其他</w:t>
            </w:r>
          </w:p>
        </w:tc>
        <w:tc>
          <w:tcPr>
            <w:tcW w:w="821" w:type="pct"/>
            <w:vAlign w:val="center"/>
          </w:tcPr>
          <w:p w14:paraId="42EB87CB"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2222.22</w:t>
            </w:r>
          </w:p>
        </w:tc>
        <w:tc>
          <w:tcPr>
            <w:tcW w:w="855" w:type="pct"/>
            <w:vAlign w:val="center"/>
          </w:tcPr>
          <w:p w14:paraId="60C556BA"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w:t>
            </w:r>
          </w:p>
        </w:tc>
      </w:tr>
      <w:tr w:rsidR="00D12939" w14:paraId="42089E2F" w14:textId="77777777">
        <w:trPr>
          <w:trHeight w:val="227"/>
          <w:jc w:val="center"/>
        </w:trPr>
        <w:tc>
          <w:tcPr>
            <w:tcW w:w="821" w:type="pct"/>
            <w:vMerge/>
            <w:vAlign w:val="center"/>
          </w:tcPr>
          <w:p w14:paraId="5DB77BAE" w14:textId="77777777" w:rsidR="00D12939" w:rsidRDefault="00D12939">
            <w:pPr>
              <w:widowControl/>
              <w:tabs>
                <w:tab w:val="left" w:pos="8607"/>
              </w:tabs>
              <w:adjustRightInd w:val="0"/>
              <w:snapToGrid w:val="0"/>
              <w:jc w:val="center"/>
              <w:rPr>
                <w:rFonts w:ascii="Times New Roman" w:eastAsia="宋体" w:hAnsi="Times New Roman" w:cs="Times New Roman"/>
                <w:szCs w:val="21"/>
              </w:rPr>
            </w:pPr>
          </w:p>
        </w:tc>
        <w:tc>
          <w:tcPr>
            <w:tcW w:w="855" w:type="pct"/>
            <w:vAlign w:val="center"/>
          </w:tcPr>
          <w:p w14:paraId="6310AF28"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BOD</w:t>
            </w:r>
            <w:r>
              <w:rPr>
                <w:rFonts w:ascii="Times New Roman" w:eastAsia="宋体" w:hAnsi="Times New Roman" w:cs="Times New Roman"/>
                <w:szCs w:val="21"/>
                <w:vertAlign w:val="subscript"/>
              </w:rPr>
              <w:t>5</w:t>
            </w:r>
          </w:p>
        </w:tc>
        <w:tc>
          <w:tcPr>
            <w:tcW w:w="855" w:type="pct"/>
            <w:vAlign w:val="center"/>
          </w:tcPr>
          <w:p w14:paraId="121C6F6B"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12000</w:t>
            </w:r>
          </w:p>
        </w:tc>
        <w:tc>
          <w:tcPr>
            <w:tcW w:w="793" w:type="pct"/>
            <w:vMerge/>
            <w:vAlign w:val="center"/>
          </w:tcPr>
          <w:p w14:paraId="67EB2633" w14:textId="77777777" w:rsidR="00D12939" w:rsidRDefault="00D12939">
            <w:pPr>
              <w:widowControl/>
              <w:tabs>
                <w:tab w:val="left" w:pos="8607"/>
              </w:tabs>
              <w:adjustRightInd w:val="0"/>
              <w:snapToGrid w:val="0"/>
              <w:jc w:val="center"/>
              <w:rPr>
                <w:rFonts w:ascii="Times New Roman" w:eastAsia="宋体" w:hAnsi="Times New Roman" w:cs="Times New Roman"/>
                <w:szCs w:val="21"/>
              </w:rPr>
            </w:pPr>
          </w:p>
        </w:tc>
        <w:tc>
          <w:tcPr>
            <w:tcW w:w="821" w:type="pct"/>
            <w:vAlign w:val="center"/>
          </w:tcPr>
          <w:p w14:paraId="4325538F"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3000</w:t>
            </w:r>
          </w:p>
        </w:tc>
        <w:tc>
          <w:tcPr>
            <w:tcW w:w="855" w:type="pct"/>
            <w:vAlign w:val="center"/>
          </w:tcPr>
          <w:p w14:paraId="0A037769"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4</w:t>
            </w:r>
          </w:p>
        </w:tc>
      </w:tr>
      <w:tr w:rsidR="00D12939" w14:paraId="123BBC9F" w14:textId="77777777">
        <w:trPr>
          <w:trHeight w:val="227"/>
          <w:jc w:val="center"/>
        </w:trPr>
        <w:tc>
          <w:tcPr>
            <w:tcW w:w="821" w:type="pct"/>
            <w:vMerge/>
            <w:vAlign w:val="center"/>
          </w:tcPr>
          <w:p w14:paraId="5FA93CE6" w14:textId="77777777" w:rsidR="00D12939" w:rsidRDefault="00D12939">
            <w:pPr>
              <w:widowControl/>
              <w:tabs>
                <w:tab w:val="left" w:pos="8607"/>
              </w:tabs>
              <w:adjustRightInd w:val="0"/>
              <w:snapToGrid w:val="0"/>
              <w:jc w:val="center"/>
              <w:rPr>
                <w:rFonts w:ascii="Times New Roman" w:eastAsia="宋体" w:hAnsi="Times New Roman" w:cs="Times New Roman"/>
                <w:szCs w:val="21"/>
              </w:rPr>
            </w:pPr>
          </w:p>
        </w:tc>
        <w:tc>
          <w:tcPr>
            <w:tcW w:w="855" w:type="pct"/>
            <w:vAlign w:val="center"/>
          </w:tcPr>
          <w:p w14:paraId="7A923CDC"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氨氮</w:t>
            </w:r>
          </w:p>
        </w:tc>
        <w:tc>
          <w:tcPr>
            <w:tcW w:w="855" w:type="pct"/>
            <w:vAlign w:val="center"/>
          </w:tcPr>
          <w:p w14:paraId="5735C70C"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1200</w:t>
            </w:r>
          </w:p>
        </w:tc>
        <w:tc>
          <w:tcPr>
            <w:tcW w:w="793" w:type="pct"/>
            <w:vMerge/>
            <w:vAlign w:val="center"/>
          </w:tcPr>
          <w:p w14:paraId="4521EC67" w14:textId="77777777" w:rsidR="00D12939" w:rsidRDefault="00D12939">
            <w:pPr>
              <w:widowControl/>
              <w:tabs>
                <w:tab w:val="left" w:pos="8607"/>
              </w:tabs>
              <w:adjustRightInd w:val="0"/>
              <w:snapToGrid w:val="0"/>
              <w:jc w:val="center"/>
              <w:rPr>
                <w:rFonts w:ascii="Times New Roman" w:eastAsia="宋体" w:hAnsi="Times New Roman" w:cs="Times New Roman"/>
                <w:szCs w:val="21"/>
              </w:rPr>
            </w:pPr>
          </w:p>
        </w:tc>
        <w:tc>
          <w:tcPr>
            <w:tcW w:w="821" w:type="pct"/>
            <w:vAlign w:val="center"/>
          </w:tcPr>
          <w:p w14:paraId="41770B7A"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2400</w:t>
            </w:r>
          </w:p>
        </w:tc>
        <w:tc>
          <w:tcPr>
            <w:tcW w:w="855" w:type="pct"/>
            <w:vAlign w:val="center"/>
          </w:tcPr>
          <w:p w14:paraId="0F001BEB" w14:textId="77777777" w:rsidR="00D12939" w:rsidRDefault="004F47F5">
            <w:pPr>
              <w:widowControl/>
              <w:tabs>
                <w:tab w:val="left" w:pos="8607"/>
              </w:tabs>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0.5</w:t>
            </w:r>
          </w:p>
        </w:tc>
      </w:tr>
    </w:tbl>
    <w:p w14:paraId="18BFE6B9" w14:textId="77777777" w:rsidR="00D12939" w:rsidRDefault="004F47F5">
      <w:pPr>
        <w:adjustRightInd w:val="0"/>
        <w:snapToGrid w:val="0"/>
        <w:spacing w:line="360" w:lineRule="auto"/>
        <w:ind w:firstLineChars="200" w:firstLine="480"/>
        <w:rPr>
          <w:rFonts w:ascii="Times New Roman" w:eastAsia="宋体" w:hAnsi="Times New Roman" w:cs="Times New Roman"/>
          <w:bCs/>
          <w:snapToGrid w:val="0"/>
          <w:kern w:val="0"/>
          <w:sz w:val="24"/>
          <w:szCs w:val="21"/>
        </w:rPr>
      </w:pPr>
      <w:r>
        <w:rPr>
          <w:rFonts w:ascii="Times New Roman" w:eastAsia="宋体" w:hAnsi="Times New Roman" w:cs="Times New Roman"/>
          <w:bCs/>
          <w:snapToGrid w:val="0"/>
          <w:kern w:val="0"/>
          <w:sz w:val="24"/>
          <w:szCs w:val="21"/>
        </w:rPr>
        <w:t>注：</w:t>
      </w:r>
      <w:r>
        <w:rPr>
          <w:rFonts w:ascii="Times New Roman" w:eastAsia="宋体" w:hAnsi="Times New Roman" w:cs="Times New Roman"/>
          <w:bCs/>
          <w:snapToGrid w:val="0"/>
          <w:kern w:val="0"/>
          <w:sz w:val="24"/>
          <w:szCs w:val="21"/>
        </w:rPr>
        <w:t>COD</w:t>
      </w:r>
      <w:r>
        <w:rPr>
          <w:rFonts w:ascii="Times New Roman" w:eastAsia="宋体" w:hAnsi="Times New Roman" w:cs="Times New Roman"/>
          <w:bCs/>
          <w:snapToGrid w:val="0"/>
          <w:kern w:val="0"/>
          <w:sz w:val="24"/>
          <w:szCs w:val="21"/>
        </w:rPr>
        <w:t>标准值是结合标准中高锰酸钾指数换算而来（</w:t>
      </w:r>
      <w:r>
        <w:rPr>
          <w:rFonts w:ascii="Times New Roman" w:eastAsia="宋体" w:hAnsi="Times New Roman" w:cs="Times New Roman"/>
          <w:snapToGrid w:val="0"/>
          <w:kern w:val="0"/>
          <w:sz w:val="24"/>
          <w:szCs w:val="21"/>
        </w:rPr>
        <w:t>刘巍</w:t>
      </w:r>
      <w:r>
        <w:rPr>
          <w:rFonts w:ascii="Times New Roman" w:eastAsia="宋体" w:hAnsi="Times New Roman" w:cs="Times New Roman"/>
          <w:bCs/>
          <w:snapToGrid w:val="0"/>
          <w:kern w:val="0"/>
          <w:sz w:val="24"/>
          <w:szCs w:val="21"/>
        </w:rPr>
        <w:t>《</w:t>
      </w:r>
      <w:r>
        <w:rPr>
          <w:rFonts w:ascii="Times New Roman" w:eastAsia="宋体" w:hAnsi="Times New Roman" w:cs="Times New Roman"/>
          <w:snapToGrid w:val="0"/>
          <w:kern w:val="0"/>
          <w:sz w:val="24"/>
          <w:szCs w:val="21"/>
        </w:rPr>
        <w:t>BOD</w:t>
      </w:r>
      <w:r>
        <w:rPr>
          <w:rFonts w:ascii="Times New Roman" w:eastAsia="宋体" w:hAnsi="Times New Roman" w:cs="Times New Roman"/>
          <w:snapToGrid w:val="0"/>
          <w:kern w:val="0"/>
          <w:sz w:val="24"/>
          <w:szCs w:val="21"/>
        </w:rPr>
        <w:t>、</w:t>
      </w:r>
      <w:r>
        <w:rPr>
          <w:rFonts w:ascii="Times New Roman" w:eastAsia="宋体" w:hAnsi="Times New Roman" w:cs="Times New Roman"/>
          <w:snapToGrid w:val="0"/>
          <w:kern w:val="0"/>
          <w:sz w:val="24"/>
          <w:szCs w:val="21"/>
        </w:rPr>
        <w:t>COD</w:t>
      </w:r>
      <w:r>
        <w:rPr>
          <w:rFonts w:ascii="Times New Roman" w:eastAsia="宋体" w:hAnsi="Times New Roman" w:cs="Times New Roman"/>
          <w:snapToGrid w:val="0"/>
          <w:kern w:val="0"/>
          <w:sz w:val="24"/>
          <w:szCs w:val="21"/>
        </w:rPr>
        <w:t>与高锰酸盐指数的理论内涵及倍率关系研究》</w:t>
      </w:r>
      <w:r>
        <w:rPr>
          <w:rFonts w:ascii="Times New Roman" w:eastAsia="宋体" w:hAnsi="Times New Roman" w:cs="Times New Roman"/>
          <w:snapToGrid w:val="0"/>
          <w:kern w:val="0"/>
          <w:sz w:val="24"/>
          <w:szCs w:val="21"/>
        </w:rPr>
        <w:t xml:space="preserve"> </w:t>
      </w:r>
      <w:r>
        <w:rPr>
          <w:rFonts w:ascii="Times New Roman" w:eastAsia="宋体" w:hAnsi="Times New Roman" w:cs="Times New Roman"/>
          <w:snapToGrid w:val="0"/>
          <w:kern w:val="0"/>
          <w:sz w:val="24"/>
          <w:szCs w:val="21"/>
        </w:rPr>
        <w:t>一文中指出</w:t>
      </w:r>
      <w:r>
        <w:rPr>
          <w:rFonts w:ascii="Times New Roman" w:eastAsia="宋体" w:hAnsi="Times New Roman" w:cs="Times New Roman"/>
          <w:snapToGrid w:val="0"/>
          <w:kern w:val="0"/>
          <w:sz w:val="24"/>
          <w:szCs w:val="21"/>
        </w:rPr>
        <w:t>Ⅲ</w:t>
      </w:r>
      <w:r>
        <w:rPr>
          <w:rFonts w:ascii="Times New Roman" w:eastAsia="宋体" w:hAnsi="Times New Roman" w:cs="Times New Roman"/>
          <w:snapToGrid w:val="0"/>
          <w:kern w:val="0"/>
          <w:sz w:val="24"/>
          <w:szCs w:val="21"/>
        </w:rPr>
        <w:t>类水</w:t>
      </w:r>
      <w:r>
        <w:rPr>
          <w:rFonts w:ascii="Times New Roman" w:eastAsia="宋体" w:hAnsi="Times New Roman" w:cs="Times New Roman"/>
          <w:snapToGrid w:val="0"/>
          <w:kern w:val="0"/>
          <w:sz w:val="24"/>
          <w:szCs w:val="21"/>
        </w:rPr>
        <w:t>COD</w:t>
      </w:r>
      <w:r>
        <w:rPr>
          <w:rFonts w:ascii="Times New Roman" w:eastAsia="宋体" w:hAnsi="Times New Roman" w:cs="Times New Roman"/>
          <w:snapToGrid w:val="0"/>
          <w:kern w:val="0"/>
          <w:sz w:val="24"/>
          <w:szCs w:val="21"/>
        </w:rPr>
        <w:t>指数为高锰酸钾指数的</w:t>
      </w:r>
      <w:r>
        <w:rPr>
          <w:rFonts w:ascii="Times New Roman" w:eastAsia="宋体" w:hAnsi="Times New Roman" w:cs="Times New Roman"/>
          <w:snapToGrid w:val="0"/>
          <w:kern w:val="0"/>
          <w:sz w:val="24"/>
          <w:szCs w:val="21"/>
        </w:rPr>
        <w:t>3</w:t>
      </w:r>
      <w:r>
        <w:rPr>
          <w:rFonts w:ascii="Times New Roman" w:eastAsia="宋体" w:hAnsi="Times New Roman" w:cs="Times New Roman"/>
          <w:snapToGrid w:val="0"/>
          <w:kern w:val="0"/>
          <w:sz w:val="24"/>
          <w:szCs w:val="21"/>
        </w:rPr>
        <w:t>倍</w:t>
      </w:r>
      <w:r>
        <w:rPr>
          <w:rFonts w:ascii="Times New Roman" w:eastAsia="宋体" w:hAnsi="Times New Roman" w:cs="Times New Roman"/>
          <w:bCs/>
          <w:snapToGrid w:val="0"/>
          <w:kern w:val="0"/>
          <w:sz w:val="24"/>
          <w:szCs w:val="21"/>
        </w:rPr>
        <w:t>）。</w:t>
      </w:r>
    </w:p>
    <w:p w14:paraId="1502FB36"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napToGrid w:val="0"/>
          <w:kern w:val="0"/>
          <w:sz w:val="24"/>
          <w:szCs w:val="21"/>
        </w:rPr>
        <w:t>渗漏量：非正常工况考虑渗滤液调节池底部发生破损，渗滤液渗漏并不能及时处理。根据《给水排水构筑物工程施工及验收规范》（</w:t>
      </w:r>
      <w:r>
        <w:rPr>
          <w:rFonts w:ascii="Times New Roman" w:eastAsia="宋体" w:hAnsi="Times New Roman" w:cs="Times New Roman"/>
          <w:snapToGrid w:val="0"/>
          <w:kern w:val="0"/>
          <w:sz w:val="24"/>
          <w:szCs w:val="21"/>
        </w:rPr>
        <w:t>GB50141-2008</w:t>
      </w:r>
      <w:r>
        <w:rPr>
          <w:rFonts w:ascii="Times New Roman" w:eastAsia="宋体" w:hAnsi="Times New Roman" w:cs="Times New Roman"/>
          <w:snapToGrid w:val="0"/>
          <w:kern w:val="0"/>
          <w:sz w:val="24"/>
          <w:szCs w:val="21"/>
        </w:rPr>
        <w:t>）中规定钢筋混凝土水池结构水池满水试验时，渗水量不得超过</w:t>
      </w:r>
      <w:r>
        <w:rPr>
          <w:rFonts w:ascii="Times New Roman" w:eastAsia="宋体" w:hAnsi="Times New Roman" w:cs="Times New Roman"/>
          <w:snapToGrid w:val="0"/>
          <w:kern w:val="0"/>
          <w:sz w:val="24"/>
          <w:szCs w:val="21"/>
        </w:rPr>
        <w:t>2L/(m</w:t>
      </w:r>
      <w:r>
        <w:rPr>
          <w:rFonts w:ascii="Times New Roman" w:eastAsia="宋体" w:hAnsi="Times New Roman" w:cs="Times New Roman"/>
          <w:snapToGrid w:val="0"/>
          <w:kern w:val="0"/>
          <w:sz w:val="24"/>
          <w:szCs w:val="21"/>
          <w:vertAlign w:val="superscript"/>
        </w:rPr>
        <w:t>2</w:t>
      </w:r>
      <w:r>
        <w:rPr>
          <w:rFonts w:ascii="Times New Roman" w:eastAsia="宋体" w:hAnsi="Times New Roman" w:cs="Times New Roman"/>
          <w:snapToGrid w:val="0"/>
          <w:kern w:val="0"/>
          <w:sz w:val="24"/>
          <w:szCs w:val="21"/>
        </w:rPr>
        <w:t xml:space="preserve"> ·d)</w:t>
      </w:r>
      <w:r>
        <w:rPr>
          <w:rFonts w:ascii="Times New Roman" w:eastAsia="宋体" w:hAnsi="Times New Roman" w:cs="Times New Roman"/>
          <w:snapToGrid w:val="0"/>
          <w:kern w:val="0"/>
          <w:sz w:val="24"/>
          <w:szCs w:val="21"/>
        </w:rPr>
        <w:t>，泄漏面积为池底面积和常水位池壁板面积之和。因此非正常状况下的泄漏取</w:t>
      </w:r>
      <w:r>
        <w:rPr>
          <w:rFonts w:ascii="Times New Roman" w:eastAsia="宋体" w:hAnsi="Times New Roman" w:cs="Times New Roman"/>
          <w:snapToGrid w:val="0"/>
          <w:kern w:val="0"/>
          <w:sz w:val="24"/>
          <w:szCs w:val="21"/>
        </w:rPr>
        <w:t>3L/m</w:t>
      </w:r>
      <w:r>
        <w:rPr>
          <w:rFonts w:ascii="Times New Roman" w:eastAsia="宋体" w:hAnsi="Times New Roman" w:cs="Times New Roman"/>
          <w:snapToGrid w:val="0"/>
          <w:kern w:val="0"/>
          <w:sz w:val="24"/>
          <w:szCs w:val="21"/>
          <w:vertAlign w:val="superscript"/>
        </w:rPr>
        <w:t>2</w:t>
      </w:r>
      <w:r>
        <w:rPr>
          <w:rFonts w:ascii="Times New Roman" w:eastAsia="宋体" w:hAnsi="Times New Roman" w:cs="Times New Roman"/>
          <w:snapToGrid w:val="0"/>
          <w:kern w:val="0"/>
          <w:sz w:val="24"/>
          <w:szCs w:val="21"/>
        </w:rPr>
        <w:t xml:space="preserve">·d </w:t>
      </w:r>
      <w:r>
        <w:rPr>
          <w:rFonts w:ascii="Times New Roman" w:eastAsia="宋体" w:hAnsi="Times New Roman" w:cs="Times New Roman"/>
          <w:snapToGrid w:val="0"/>
          <w:kern w:val="0"/>
          <w:sz w:val="24"/>
          <w:szCs w:val="21"/>
        </w:rPr>
        <w:t>进行预测。结合调节池尺寸计算渗漏量为</w:t>
      </w:r>
      <w:r>
        <w:rPr>
          <w:rFonts w:ascii="Times New Roman" w:eastAsia="宋体" w:hAnsi="Times New Roman" w:cs="Times New Roman"/>
          <w:snapToGrid w:val="0"/>
          <w:kern w:val="0"/>
          <w:sz w:val="24"/>
          <w:szCs w:val="21"/>
        </w:rPr>
        <w:t>2.28m</w:t>
      </w:r>
      <w:r>
        <w:rPr>
          <w:rFonts w:ascii="Times New Roman" w:eastAsia="宋体" w:hAnsi="Times New Roman" w:cs="Times New Roman"/>
          <w:snapToGrid w:val="0"/>
          <w:kern w:val="0"/>
          <w:sz w:val="24"/>
          <w:szCs w:val="21"/>
          <w:vertAlign w:val="superscript"/>
        </w:rPr>
        <w:t>3</w:t>
      </w:r>
      <w:r>
        <w:rPr>
          <w:rFonts w:ascii="Times New Roman" w:eastAsia="宋体" w:hAnsi="Times New Roman" w:cs="Times New Roman"/>
          <w:snapToGrid w:val="0"/>
          <w:kern w:val="0"/>
          <w:sz w:val="24"/>
          <w:szCs w:val="21"/>
        </w:rPr>
        <w:t>/d</w:t>
      </w:r>
      <w:r>
        <w:rPr>
          <w:rFonts w:ascii="Times New Roman" w:eastAsia="宋体" w:hAnsi="Times New Roman" w:cs="Times New Roman"/>
          <w:snapToGrid w:val="0"/>
          <w:kern w:val="0"/>
          <w:sz w:val="24"/>
          <w:szCs w:val="21"/>
        </w:rPr>
        <w:t>。假设渗漏发生</w:t>
      </w:r>
      <w:r>
        <w:rPr>
          <w:rFonts w:ascii="Times New Roman" w:eastAsia="宋体" w:hAnsi="Times New Roman" w:cs="Times New Roman"/>
          <w:snapToGrid w:val="0"/>
          <w:kern w:val="0"/>
          <w:sz w:val="24"/>
          <w:szCs w:val="21"/>
        </w:rPr>
        <w:t>30</w:t>
      </w:r>
      <w:r>
        <w:rPr>
          <w:rFonts w:ascii="Times New Roman" w:eastAsia="宋体" w:hAnsi="Times New Roman" w:cs="Times New Roman"/>
          <w:snapToGrid w:val="0"/>
          <w:kern w:val="0"/>
          <w:sz w:val="24"/>
          <w:szCs w:val="21"/>
        </w:rPr>
        <w:t>天后下游监测井发现异常，采取有效措施停止渗漏。污染浓度：</w:t>
      </w:r>
      <w:r>
        <w:rPr>
          <w:rFonts w:ascii="Times New Roman" w:eastAsia="宋体" w:hAnsi="Times New Roman" w:cs="Times New Roman"/>
          <w:snapToGrid w:val="0"/>
          <w:kern w:val="0"/>
          <w:sz w:val="24"/>
          <w:szCs w:val="21"/>
        </w:rPr>
        <w:t>BOD</w:t>
      </w:r>
      <w:r>
        <w:rPr>
          <w:rFonts w:ascii="Times New Roman" w:eastAsia="宋体" w:hAnsi="Times New Roman" w:cs="Times New Roman"/>
          <w:snapToGrid w:val="0"/>
          <w:kern w:val="0"/>
          <w:sz w:val="24"/>
          <w:szCs w:val="21"/>
          <w:vertAlign w:val="subscript"/>
        </w:rPr>
        <w:t>5</w:t>
      </w:r>
      <w:r>
        <w:rPr>
          <w:rFonts w:ascii="Times New Roman" w:eastAsia="宋体" w:hAnsi="Times New Roman" w:cs="Times New Roman"/>
          <w:snapToGrid w:val="0"/>
          <w:kern w:val="0"/>
          <w:sz w:val="24"/>
          <w:szCs w:val="21"/>
        </w:rPr>
        <w:t xml:space="preserve"> </w:t>
      </w:r>
      <w:r>
        <w:rPr>
          <w:rFonts w:ascii="Times New Roman" w:eastAsia="宋体" w:hAnsi="Times New Roman" w:cs="Times New Roman"/>
          <w:snapToGrid w:val="0"/>
          <w:kern w:val="0"/>
          <w:sz w:val="24"/>
          <w:szCs w:val="21"/>
        </w:rPr>
        <w:t>最大为</w:t>
      </w:r>
      <w:r>
        <w:rPr>
          <w:rFonts w:ascii="Times New Roman" w:eastAsia="宋体" w:hAnsi="Times New Roman" w:cs="Times New Roman"/>
          <w:snapToGrid w:val="0"/>
          <w:kern w:val="0"/>
          <w:sz w:val="24"/>
          <w:szCs w:val="21"/>
        </w:rPr>
        <w:t>12000mg/L</w:t>
      </w:r>
      <w:r>
        <w:rPr>
          <w:rFonts w:ascii="Times New Roman" w:eastAsia="宋体" w:hAnsi="Times New Roman" w:cs="Times New Roman"/>
          <w:snapToGrid w:val="0"/>
          <w:kern w:val="0"/>
          <w:sz w:val="24"/>
          <w:szCs w:val="21"/>
        </w:rPr>
        <w:t>、氨氮最大为</w:t>
      </w:r>
      <w:r>
        <w:rPr>
          <w:rFonts w:ascii="Times New Roman" w:eastAsia="宋体" w:hAnsi="Times New Roman" w:cs="Times New Roman"/>
          <w:snapToGrid w:val="0"/>
          <w:kern w:val="0"/>
          <w:sz w:val="24"/>
          <w:szCs w:val="21"/>
        </w:rPr>
        <w:t>1200mg/L</w:t>
      </w:r>
      <w:r>
        <w:rPr>
          <w:rFonts w:ascii="Times New Roman" w:eastAsia="宋体" w:hAnsi="Times New Roman" w:cs="Times New Roman"/>
          <w:snapToGrid w:val="0"/>
          <w:kern w:val="0"/>
          <w:sz w:val="24"/>
          <w:szCs w:val="21"/>
        </w:rPr>
        <w:t>。</w:t>
      </w:r>
      <w:r>
        <w:rPr>
          <w:rFonts w:ascii="Times New Roman" w:eastAsia="宋体" w:hAnsi="Times New Roman" w:cs="Times New Roman"/>
          <w:sz w:val="24"/>
        </w:rPr>
        <w:t>按</w:t>
      </w:r>
      <w:r>
        <w:rPr>
          <w:rFonts w:ascii="Times New Roman" w:eastAsia="宋体" w:hAnsi="Times New Roman" w:cs="Times New Roman" w:hint="eastAsia"/>
          <w:sz w:val="24"/>
        </w:rPr>
        <w:t>渗滤液</w:t>
      </w:r>
      <w:r>
        <w:rPr>
          <w:rFonts w:ascii="Times New Roman" w:eastAsia="宋体" w:hAnsi="Times New Roman" w:cs="Times New Roman"/>
          <w:sz w:val="24"/>
        </w:rPr>
        <w:t>中污染物的最大浓度计算，</w:t>
      </w:r>
      <w:r>
        <w:rPr>
          <w:rFonts w:ascii="Times New Roman" w:eastAsia="宋体" w:hAnsi="Times New Roman" w:cs="Times New Roman"/>
          <w:snapToGrid w:val="0"/>
          <w:kern w:val="0"/>
          <w:sz w:val="24"/>
          <w:szCs w:val="21"/>
        </w:rPr>
        <w:t>BOD</w:t>
      </w:r>
      <w:r>
        <w:rPr>
          <w:rFonts w:ascii="Times New Roman" w:eastAsia="宋体" w:hAnsi="Times New Roman" w:cs="Times New Roman"/>
          <w:snapToGrid w:val="0"/>
          <w:kern w:val="0"/>
          <w:sz w:val="24"/>
          <w:szCs w:val="21"/>
          <w:vertAlign w:val="subscript"/>
        </w:rPr>
        <w:t>5</w:t>
      </w:r>
      <w:r>
        <w:rPr>
          <w:rFonts w:ascii="Times New Roman" w:eastAsia="宋体" w:hAnsi="Times New Roman" w:cs="Times New Roman"/>
          <w:sz w:val="24"/>
        </w:rPr>
        <w:t>浓度取值为</w:t>
      </w:r>
      <w:r>
        <w:rPr>
          <w:rFonts w:ascii="Times New Roman" w:eastAsia="宋体" w:hAnsi="Times New Roman" w:cs="Times New Roman"/>
          <w:sz w:val="24"/>
        </w:rPr>
        <w:t>12000 mg/L</w:t>
      </w:r>
      <w:r>
        <w:rPr>
          <w:rFonts w:ascii="Times New Roman" w:eastAsia="宋体" w:hAnsi="Times New Roman" w:cs="Times New Roman"/>
          <w:sz w:val="24"/>
        </w:rPr>
        <w:t>，</w:t>
      </w:r>
      <w:r>
        <w:rPr>
          <w:rFonts w:ascii="Times New Roman" w:eastAsia="宋体" w:hAnsi="Times New Roman" w:cs="Times New Roman"/>
          <w:snapToGrid w:val="0"/>
          <w:kern w:val="0"/>
          <w:sz w:val="24"/>
          <w:szCs w:val="21"/>
        </w:rPr>
        <w:t>BOD</w:t>
      </w:r>
      <w:r>
        <w:rPr>
          <w:rFonts w:ascii="Times New Roman" w:eastAsia="宋体" w:hAnsi="Times New Roman" w:cs="Times New Roman"/>
          <w:snapToGrid w:val="0"/>
          <w:kern w:val="0"/>
          <w:sz w:val="24"/>
          <w:szCs w:val="21"/>
          <w:vertAlign w:val="subscript"/>
        </w:rPr>
        <w:t>5</w:t>
      </w:r>
      <w:r>
        <w:rPr>
          <w:rFonts w:ascii="Times New Roman" w:eastAsia="宋体" w:hAnsi="Times New Roman" w:cs="Times New Roman"/>
          <w:sz w:val="24"/>
        </w:rPr>
        <w:t>漏量为</w:t>
      </w:r>
      <w:r>
        <w:rPr>
          <w:rFonts w:ascii="Times New Roman" w:eastAsia="宋体" w:hAnsi="Times New Roman" w:cs="Times New Roman"/>
          <w:sz w:val="24"/>
        </w:rPr>
        <w:t>820.8 kg</w:t>
      </w:r>
      <w:r>
        <w:rPr>
          <w:rFonts w:ascii="Times New Roman" w:eastAsia="宋体" w:hAnsi="Times New Roman" w:cs="Times New Roman"/>
          <w:sz w:val="24"/>
        </w:rPr>
        <w:t>。</w:t>
      </w:r>
    </w:p>
    <w:p w14:paraId="2E6BFC58" w14:textId="77777777" w:rsidR="00D12939" w:rsidRDefault="004F47F5">
      <w:pPr>
        <w:adjustRightInd w:val="0"/>
        <w:snapToGrid w:val="0"/>
        <w:spacing w:line="360" w:lineRule="auto"/>
        <w:ind w:firstLineChars="200" w:firstLine="480"/>
        <w:rPr>
          <w:rFonts w:ascii="Times New Roman" w:eastAsia="宋体" w:hAnsi="Times New Roman" w:cs="Times New Roman"/>
          <w:bCs/>
          <w:snapToGrid w:val="0"/>
          <w:kern w:val="0"/>
          <w:sz w:val="24"/>
          <w:szCs w:val="21"/>
        </w:rPr>
      </w:pPr>
      <w:r>
        <w:rPr>
          <w:rFonts w:ascii="Times New Roman" w:eastAsia="宋体" w:hAnsi="Times New Roman" w:cs="Times New Roman"/>
          <w:bCs/>
          <w:snapToGrid w:val="0"/>
          <w:kern w:val="0"/>
          <w:sz w:val="24"/>
          <w:szCs w:val="21"/>
        </w:rPr>
        <w:t>（</w:t>
      </w:r>
      <w:r>
        <w:rPr>
          <w:rFonts w:ascii="Times New Roman" w:eastAsia="宋体" w:hAnsi="Times New Roman" w:cs="Times New Roman"/>
          <w:bCs/>
          <w:snapToGrid w:val="0"/>
          <w:kern w:val="0"/>
          <w:sz w:val="24"/>
          <w:szCs w:val="21"/>
        </w:rPr>
        <w:t>3</w:t>
      </w:r>
      <w:r>
        <w:rPr>
          <w:rFonts w:ascii="Times New Roman" w:eastAsia="宋体" w:hAnsi="Times New Roman" w:cs="Times New Roman"/>
          <w:bCs/>
          <w:snapToGrid w:val="0"/>
          <w:kern w:val="0"/>
          <w:sz w:val="24"/>
          <w:szCs w:val="21"/>
        </w:rPr>
        <w:t>）计算时段及预测点</w:t>
      </w:r>
    </w:p>
    <w:p w14:paraId="7FBC7882" w14:textId="77777777" w:rsidR="00D12939" w:rsidRDefault="004F47F5">
      <w:pPr>
        <w:adjustRightInd w:val="0"/>
        <w:snapToGrid w:val="0"/>
        <w:spacing w:line="360" w:lineRule="auto"/>
        <w:ind w:firstLineChars="200" w:firstLine="480"/>
        <w:rPr>
          <w:rFonts w:ascii="Times New Roman" w:eastAsia="宋体" w:hAnsi="Times New Roman" w:cs="Times New Roman"/>
          <w:bCs/>
          <w:snapToGrid w:val="0"/>
          <w:kern w:val="0"/>
          <w:sz w:val="24"/>
          <w:szCs w:val="21"/>
        </w:rPr>
      </w:pPr>
      <w:r>
        <w:rPr>
          <w:rFonts w:ascii="Times New Roman" w:eastAsia="宋体" w:hAnsi="Times New Roman" w:cs="Times New Roman"/>
          <w:bCs/>
          <w:snapToGrid w:val="0"/>
          <w:kern w:val="0"/>
          <w:sz w:val="24"/>
          <w:szCs w:val="21"/>
        </w:rPr>
        <w:t>根据项目设计。本次预测评价污染物泄漏后</w:t>
      </w:r>
      <w:r>
        <w:rPr>
          <w:rFonts w:ascii="Times New Roman" w:eastAsia="宋体" w:hAnsi="Times New Roman" w:cs="Times New Roman"/>
          <w:bCs/>
          <w:snapToGrid w:val="0"/>
          <w:kern w:val="0"/>
          <w:sz w:val="24"/>
          <w:szCs w:val="21"/>
        </w:rPr>
        <w:t>100d</w:t>
      </w:r>
      <w:r>
        <w:rPr>
          <w:rFonts w:ascii="Times New Roman" w:eastAsia="宋体" w:hAnsi="Times New Roman" w:cs="Times New Roman"/>
          <w:bCs/>
          <w:snapToGrid w:val="0"/>
          <w:kern w:val="0"/>
          <w:sz w:val="24"/>
          <w:szCs w:val="21"/>
        </w:rPr>
        <w:t>、</w:t>
      </w:r>
      <w:r>
        <w:rPr>
          <w:rFonts w:ascii="Times New Roman" w:eastAsia="宋体" w:hAnsi="Times New Roman" w:cs="Times New Roman"/>
          <w:bCs/>
          <w:snapToGrid w:val="0"/>
          <w:kern w:val="0"/>
          <w:sz w:val="24"/>
          <w:szCs w:val="21"/>
        </w:rPr>
        <w:t>365d</w:t>
      </w:r>
      <w:r>
        <w:rPr>
          <w:rFonts w:ascii="Times New Roman" w:eastAsia="宋体" w:hAnsi="Times New Roman" w:cs="Times New Roman"/>
          <w:bCs/>
          <w:snapToGrid w:val="0"/>
          <w:kern w:val="0"/>
          <w:sz w:val="24"/>
          <w:szCs w:val="21"/>
        </w:rPr>
        <w:t>及</w:t>
      </w:r>
      <w:r>
        <w:rPr>
          <w:rFonts w:ascii="Times New Roman" w:eastAsia="宋体" w:hAnsi="Times New Roman" w:cs="Times New Roman"/>
          <w:bCs/>
          <w:snapToGrid w:val="0"/>
          <w:kern w:val="0"/>
          <w:sz w:val="24"/>
          <w:szCs w:val="21"/>
        </w:rPr>
        <w:t>1000d</w:t>
      </w:r>
      <w:r>
        <w:rPr>
          <w:rFonts w:ascii="Times New Roman" w:eastAsia="宋体" w:hAnsi="Times New Roman" w:cs="Times New Roman"/>
          <w:bCs/>
          <w:snapToGrid w:val="0"/>
          <w:kern w:val="0"/>
          <w:sz w:val="24"/>
          <w:szCs w:val="21"/>
        </w:rPr>
        <w:t>地下水中的溶质浓度，并计算污染物浓度时空变化过程与规律，为评价本项目建成后对地下水环境可能造成的直接影响和持续危害提供依据。</w:t>
      </w:r>
    </w:p>
    <w:p w14:paraId="7C680A6F" w14:textId="77777777" w:rsidR="00D12939" w:rsidRDefault="004F47F5">
      <w:pPr>
        <w:pStyle w:val="30"/>
        <w:spacing w:before="0" w:after="0" w:line="360" w:lineRule="auto"/>
        <w:rPr>
          <w:rFonts w:ascii="Times New Roman" w:eastAsia="黑体" w:hAnsi="Times New Roman" w:cs="Times New Roman"/>
          <w:b w:val="0"/>
          <w:sz w:val="24"/>
        </w:rPr>
      </w:pPr>
      <w:bookmarkStart w:id="507" w:name="_Toc22111141"/>
      <w:bookmarkStart w:id="508" w:name="_Toc121411780"/>
      <w:r>
        <w:rPr>
          <w:rFonts w:ascii="Times New Roman" w:eastAsia="黑体" w:hAnsi="Times New Roman" w:cs="Times New Roman"/>
          <w:b w:val="0"/>
          <w:sz w:val="24"/>
        </w:rPr>
        <w:t>7.4.3</w:t>
      </w:r>
      <w:r>
        <w:rPr>
          <w:rFonts w:ascii="Times New Roman" w:eastAsia="黑体" w:hAnsi="Times New Roman" w:cs="Times New Roman"/>
          <w:b w:val="0"/>
          <w:sz w:val="24"/>
        </w:rPr>
        <w:t>地下水环境影响预测</w:t>
      </w:r>
      <w:bookmarkEnd w:id="507"/>
      <w:bookmarkEnd w:id="508"/>
    </w:p>
    <w:p w14:paraId="3E65443A" w14:textId="77777777" w:rsidR="00D12939" w:rsidRDefault="004F47F5">
      <w:pPr>
        <w:pStyle w:val="Q-"/>
        <w:rPr>
          <w:szCs w:val="24"/>
        </w:rPr>
      </w:pPr>
      <w:r>
        <w:rPr>
          <w:szCs w:val="24"/>
        </w:rPr>
        <w:t>（</w:t>
      </w:r>
      <w:r>
        <w:rPr>
          <w:szCs w:val="24"/>
        </w:rPr>
        <w:t>1</w:t>
      </w:r>
      <w:r>
        <w:rPr>
          <w:szCs w:val="24"/>
        </w:rPr>
        <w:t>）预测模型参数确定</w:t>
      </w:r>
    </w:p>
    <w:p w14:paraId="4DF7414E"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1</w:t>
      </w:r>
      <w:r>
        <w:rPr>
          <w:rFonts w:ascii="Times New Roman" w:eastAsia="宋体" w:hAnsi="Times New Roman" w:cs="Times New Roman"/>
          <w:sz w:val="24"/>
          <w:szCs w:val="24"/>
        </w:rPr>
        <w:t>）地层的渗透性</w:t>
      </w:r>
    </w:p>
    <w:p w14:paraId="21913E2E" w14:textId="77777777" w:rsidR="00D12939" w:rsidRDefault="004F47F5">
      <w:pPr>
        <w:spacing w:line="360" w:lineRule="auto"/>
        <w:ind w:firstLine="480"/>
        <w:rPr>
          <w:rFonts w:ascii="Times New Roman" w:eastAsia="宋体" w:hAnsi="Times New Roman" w:cs="Times New Roman"/>
          <w:sz w:val="24"/>
          <w:szCs w:val="24"/>
        </w:rPr>
      </w:pPr>
      <w:bookmarkStart w:id="509" w:name="_Ref30057125"/>
      <w:r>
        <w:rPr>
          <w:rFonts w:ascii="Times New Roman" w:eastAsia="宋体" w:hAnsi="Times New Roman" w:cs="Times New Roman"/>
          <w:sz w:val="24"/>
          <w:szCs w:val="24"/>
        </w:rPr>
        <w:t>根据《柞水县固体废弃物综合处置场地勘报告》，本项目含水层岩性为冲洪积层及花岗岩</w:t>
      </w:r>
      <w:r>
        <w:rPr>
          <w:rFonts w:ascii="Times New Roman" w:eastAsia="宋体" w:hAnsi="Times New Roman" w:cs="Times New Roman"/>
          <w:sz w:val="24"/>
          <w:szCs w:val="24"/>
        </w:rPr>
        <w:lastRenderedPageBreak/>
        <w:t>浅部，其渗透系数为</w:t>
      </w:r>
      <w:r>
        <w:rPr>
          <w:rFonts w:ascii="Times New Roman" w:eastAsia="宋体" w:hAnsi="Times New Roman" w:cs="Times New Roman"/>
          <w:sz w:val="24"/>
          <w:szCs w:val="24"/>
        </w:rPr>
        <w:t>1.15×10</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~1.38×10</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cm/s</w:t>
      </w:r>
      <w:r>
        <w:rPr>
          <w:rFonts w:ascii="Times New Roman" w:eastAsia="宋体" w:hAnsi="Times New Roman" w:cs="Times New Roman"/>
          <w:sz w:val="24"/>
          <w:szCs w:val="24"/>
        </w:rPr>
        <w:t>，本次预测从保守角度考虑，渗滤系数取值为</w:t>
      </w:r>
      <w:r>
        <w:rPr>
          <w:rFonts w:ascii="Times New Roman" w:eastAsia="宋体" w:hAnsi="Times New Roman" w:cs="Times New Roman"/>
          <w:sz w:val="24"/>
          <w:szCs w:val="24"/>
        </w:rPr>
        <w:t>1.38×10</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cm/s</w:t>
      </w:r>
      <w:r>
        <w:rPr>
          <w:rFonts w:ascii="Times New Roman" w:eastAsia="宋体" w:hAnsi="Times New Roman" w:cs="Times New Roman"/>
          <w:sz w:val="24"/>
          <w:szCs w:val="24"/>
        </w:rPr>
        <w:t>。</w:t>
      </w:r>
    </w:p>
    <w:p w14:paraId="5C0B3351"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2</w:t>
      </w:r>
      <w:r>
        <w:rPr>
          <w:rFonts w:ascii="Times New Roman" w:eastAsia="宋体" w:hAnsi="Times New Roman" w:cs="Times New Roman"/>
          <w:sz w:val="24"/>
          <w:szCs w:val="24"/>
        </w:rPr>
        <w:t>）给水度的确定</w:t>
      </w:r>
    </w:p>
    <w:p w14:paraId="34BC84A4"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根据《环境影响评价技术导则</w:t>
      </w:r>
      <w:r>
        <w:rPr>
          <w:rFonts w:ascii="Times New Roman" w:eastAsia="宋体" w:hAnsi="Times New Roman" w:cs="Times New Roman"/>
          <w:sz w:val="24"/>
          <w:szCs w:val="24"/>
        </w:rPr>
        <w:t>-</w:t>
      </w:r>
      <w:r>
        <w:rPr>
          <w:rFonts w:ascii="Times New Roman" w:eastAsia="宋体" w:hAnsi="Times New Roman" w:cs="Times New Roman"/>
          <w:sz w:val="24"/>
          <w:szCs w:val="24"/>
        </w:rPr>
        <w:t>地下水》附录表</w:t>
      </w:r>
      <w:r>
        <w:rPr>
          <w:rFonts w:ascii="Times New Roman" w:eastAsia="宋体" w:hAnsi="Times New Roman" w:cs="Times New Roman"/>
          <w:sz w:val="24"/>
          <w:szCs w:val="24"/>
        </w:rPr>
        <w:t>B.2</w:t>
      </w:r>
      <w:r>
        <w:rPr>
          <w:rFonts w:ascii="Times New Roman" w:eastAsia="宋体" w:hAnsi="Times New Roman" w:cs="Times New Roman"/>
          <w:sz w:val="24"/>
          <w:szCs w:val="24"/>
        </w:rPr>
        <w:t>，确定研究区给水度取值为</w:t>
      </w:r>
      <w:r>
        <w:rPr>
          <w:rFonts w:ascii="Times New Roman" w:eastAsia="宋体" w:hAnsi="Times New Roman" w:cs="Times New Roman"/>
          <w:sz w:val="24"/>
          <w:szCs w:val="24"/>
        </w:rPr>
        <w:t>0.07</w:t>
      </w:r>
      <w:r>
        <w:rPr>
          <w:rFonts w:ascii="Times New Roman" w:eastAsia="宋体" w:hAnsi="Times New Roman" w:cs="Times New Roman"/>
          <w:sz w:val="24"/>
          <w:szCs w:val="24"/>
        </w:rPr>
        <w:t>。</w:t>
      </w:r>
    </w:p>
    <w:p w14:paraId="3F3955BB" w14:textId="77777777" w:rsidR="00D12939" w:rsidRDefault="004F47F5">
      <w:pPr>
        <w:ind w:firstLine="420"/>
        <w:jc w:val="center"/>
        <w:rPr>
          <w:rFonts w:ascii="黑体" w:eastAsia="黑体" w:hAnsi="黑体" w:cs="Times New Roman"/>
          <w:sz w:val="24"/>
        </w:rPr>
      </w:pPr>
      <w:r>
        <w:rPr>
          <w:rFonts w:ascii="黑体" w:eastAsia="黑体" w:hAnsi="黑体" w:cs="Times New Roman" w:hint="eastAsia"/>
          <w:bCs/>
          <w:kern w:val="0"/>
          <w:sz w:val="24"/>
          <w:szCs w:val="21"/>
        </w:rPr>
        <w:t>表</w:t>
      </w:r>
      <w:bookmarkEnd w:id="509"/>
      <w:r>
        <w:rPr>
          <w:rFonts w:ascii="黑体" w:eastAsia="黑体" w:hAnsi="黑体" w:cs="Times New Roman"/>
          <w:bCs/>
          <w:kern w:val="0"/>
          <w:sz w:val="24"/>
          <w:szCs w:val="21"/>
        </w:rPr>
        <w:t>7.4-2    松散岩石给水度参考值</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55"/>
        <w:gridCol w:w="3355"/>
        <w:gridCol w:w="2641"/>
      </w:tblGrid>
      <w:tr w:rsidR="00D12939" w14:paraId="353BA67E" w14:textId="77777777">
        <w:trPr>
          <w:trHeight w:val="261"/>
          <w:jc w:val="center"/>
        </w:trPr>
        <w:tc>
          <w:tcPr>
            <w:tcW w:w="3355" w:type="dxa"/>
            <w:vAlign w:val="center"/>
          </w:tcPr>
          <w:p w14:paraId="159AABB8"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岩石名称</w:t>
            </w:r>
          </w:p>
        </w:tc>
        <w:tc>
          <w:tcPr>
            <w:tcW w:w="3355" w:type="dxa"/>
            <w:vAlign w:val="center"/>
          </w:tcPr>
          <w:p w14:paraId="69BA81F1"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给水度变化区间</w:t>
            </w:r>
          </w:p>
        </w:tc>
        <w:tc>
          <w:tcPr>
            <w:tcW w:w="2641" w:type="dxa"/>
            <w:vAlign w:val="center"/>
          </w:tcPr>
          <w:p w14:paraId="3317DB0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平均给水度</w:t>
            </w:r>
          </w:p>
        </w:tc>
      </w:tr>
      <w:tr w:rsidR="00D12939" w14:paraId="15EA4842" w14:textId="77777777">
        <w:trPr>
          <w:trHeight w:val="247"/>
          <w:jc w:val="center"/>
        </w:trPr>
        <w:tc>
          <w:tcPr>
            <w:tcW w:w="3355" w:type="dxa"/>
            <w:vAlign w:val="center"/>
          </w:tcPr>
          <w:p w14:paraId="4C6EF3A8"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砾砂</w:t>
            </w:r>
          </w:p>
        </w:tc>
        <w:tc>
          <w:tcPr>
            <w:tcW w:w="3355" w:type="dxa"/>
            <w:vAlign w:val="center"/>
          </w:tcPr>
          <w:p w14:paraId="57866399"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0.20-0.35</w:t>
            </w:r>
          </w:p>
        </w:tc>
        <w:tc>
          <w:tcPr>
            <w:tcW w:w="2641" w:type="dxa"/>
            <w:vAlign w:val="center"/>
          </w:tcPr>
          <w:p w14:paraId="59A7D02E"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0.25</w:t>
            </w:r>
          </w:p>
        </w:tc>
      </w:tr>
      <w:tr w:rsidR="00D12939" w14:paraId="6D927FD0" w14:textId="77777777">
        <w:trPr>
          <w:trHeight w:val="261"/>
          <w:jc w:val="center"/>
        </w:trPr>
        <w:tc>
          <w:tcPr>
            <w:tcW w:w="3355" w:type="dxa"/>
            <w:vAlign w:val="center"/>
          </w:tcPr>
          <w:p w14:paraId="57E2D3C2"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粗砂</w:t>
            </w:r>
          </w:p>
        </w:tc>
        <w:tc>
          <w:tcPr>
            <w:tcW w:w="3355" w:type="dxa"/>
            <w:vAlign w:val="center"/>
          </w:tcPr>
          <w:p w14:paraId="33E293C4"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0.20-0.35</w:t>
            </w:r>
          </w:p>
        </w:tc>
        <w:tc>
          <w:tcPr>
            <w:tcW w:w="2641" w:type="dxa"/>
            <w:vAlign w:val="center"/>
          </w:tcPr>
          <w:p w14:paraId="164B9B53"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0.26</w:t>
            </w:r>
          </w:p>
        </w:tc>
      </w:tr>
      <w:tr w:rsidR="00D12939" w14:paraId="28C39004" w14:textId="77777777">
        <w:trPr>
          <w:trHeight w:val="261"/>
          <w:jc w:val="center"/>
        </w:trPr>
        <w:tc>
          <w:tcPr>
            <w:tcW w:w="3355" w:type="dxa"/>
            <w:vAlign w:val="center"/>
          </w:tcPr>
          <w:p w14:paraId="283E4567"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中砂</w:t>
            </w:r>
          </w:p>
        </w:tc>
        <w:tc>
          <w:tcPr>
            <w:tcW w:w="3355" w:type="dxa"/>
            <w:vAlign w:val="center"/>
          </w:tcPr>
          <w:p w14:paraId="77F93730"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0.15-0.32</w:t>
            </w:r>
          </w:p>
        </w:tc>
        <w:tc>
          <w:tcPr>
            <w:tcW w:w="2641" w:type="dxa"/>
            <w:vAlign w:val="center"/>
          </w:tcPr>
          <w:p w14:paraId="2EC7242D"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0.27</w:t>
            </w:r>
          </w:p>
        </w:tc>
      </w:tr>
      <w:tr w:rsidR="00D12939" w14:paraId="0421BF05" w14:textId="77777777">
        <w:trPr>
          <w:trHeight w:val="247"/>
          <w:jc w:val="center"/>
        </w:trPr>
        <w:tc>
          <w:tcPr>
            <w:tcW w:w="3355" w:type="dxa"/>
            <w:vAlign w:val="center"/>
          </w:tcPr>
          <w:p w14:paraId="7178AFBC"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细砂</w:t>
            </w:r>
          </w:p>
        </w:tc>
        <w:tc>
          <w:tcPr>
            <w:tcW w:w="3355" w:type="dxa"/>
            <w:vAlign w:val="center"/>
          </w:tcPr>
          <w:p w14:paraId="3DFAA7AC"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0.10-0.28</w:t>
            </w:r>
          </w:p>
        </w:tc>
        <w:tc>
          <w:tcPr>
            <w:tcW w:w="2641" w:type="dxa"/>
            <w:vAlign w:val="center"/>
          </w:tcPr>
          <w:p w14:paraId="53FF4C5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0.21</w:t>
            </w:r>
          </w:p>
        </w:tc>
      </w:tr>
      <w:tr w:rsidR="00D12939" w14:paraId="57074D89" w14:textId="77777777">
        <w:trPr>
          <w:trHeight w:val="261"/>
          <w:jc w:val="center"/>
        </w:trPr>
        <w:tc>
          <w:tcPr>
            <w:tcW w:w="3355" w:type="dxa"/>
            <w:vAlign w:val="center"/>
          </w:tcPr>
          <w:p w14:paraId="1DA9C283"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粉砂</w:t>
            </w:r>
          </w:p>
        </w:tc>
        <w:tc>
          <w:tcPr>
            <w:tcW w:w="3355" w:type="dxa"/>
            <w:vAlign w:val="center"/>
          </w:tcPr>
          <w:p w14:paraId="1497EF10"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0.05-0.19</w:t>
            </w:r>
          </w:p>
        </w:tc>
        <w:tc>
          <w:tcPr>
            <w:tcW w:w="2641" w:type="dxa"/>
            <w:vAlign w:val="center"/>
          </w:tcPr>
          <w:p w14:paraId="23BAF9A1"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0.18</w:t>
            </w:r>
          </w:p>
        </w:tc>
      </w:tr>
      <w:tr w:rsidR="00D12939" w14:paraId="725592DB" w14:textId="77777777">
        <w:trPr>
          <w:trHeight w:val="247"/>
          <w:jc w:val="center"/>
        </w:trPr>
        <w:tc>
          <w:tcPr>
            <w:tcW w:w="3355" w:type="dxa"/>
            <w:vAlign w:val="center"/>
          </w:tcPr>
          <w:p w14:paraId="4E365583"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亚粘土</w:t>
            </w:r>
          </w:p>
        </w:tc>
        <w:tc>
          <w:tcPr>
            <w:tcW w:w="3355" w:type="dxa"/>
            <w:vAlign w:val="center"/>
          </w:tcPr>
          <w:p w14:paraId="157B6D24"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0.03-0.12</w:t>
            </w:r>
          </w:p>
        </w:tc>
        <w:tc>
          <w:tcPr>
            <w:tcW w:w="2641" w:type="dxa"/>
            <w:vAlign w:val="center"/>
          </w:tcPr>
          <w:p w14:paraId="3B16BCCB"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0.07</w:t>
            </w:r>
          </w:p>
        </w:tc>
      </w:tr>
      <w:tr w:rsidR="00D12939" w14:paraId="52783B52" w14:textId="77777777">
        <w:trPr>
          <w:trHeight w:val="261"/>
          <w:jc w:val="center"/>
        </w:trPr>
        <w:tc>
          <w:tcPr>
            <w:tcW w:w="3355" w:type="dxa"/>
            <w:vAlign w:val="center"/>
          </w:tcPr>
          <w:p w14:paraId="57EFD6F7"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粘土</w:t>
            </w:r>
          </w:p>
        </w:tc>
        <w:tc>
          <w:tcPr>
            <w:tcW w:w="3355" w:type="dxa"/>
            <w:vAlign w:val="center"/>
          </w:tcPr>
          <w:p w14:paraId="2716A1DE"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0.00-0.05</w:t>
            </w:r>
          </w:p>
        </w:tc>
        <w:tc>
          <w:tcPr>
            <w:tcW w:w="2641" w:type="dxa"/>
            <w:vAlign w:val="center"/>
          </w:tcPr>
          <w:p w14:paraId="2A4C76D9"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0.02</w:t>
            </w:r>
          </w:p>
        </w:tc>
      </w:tr>
    </w:tbl>
    <w:p w14:paraId="6988A67B"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3</w:t>
      </w:r>
      <w:r>
        <w:rPr>
          <w:rFonts w:ascii="Times New Roman" w:eastAsia="宋体" w:hAnsi="Times New Roman" w:cs="Times New Roman"/>
          <w:sz w:val="24"/>
          <w:szCs w:val="24"/>
        </w:rPr>
        <w:t>）孔隙度的确定</w:t>
      </w:r>
    </w:p>
    <w:p w14:paraId="3A67B9E4"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岩石的土壤孔隙度的大小与颗粒的排列方式、颗粒大小、分选性、颗粒形状及胶结程度有关，不同岩性孔隙度大小见</w:t>
      </w:r>
      <w:r>
        <w:rPr>
          <w:rFonts w:ascii="Times New Roman" w:eastAsia="宋体" w:hAnsi="Times New Roman" w:cs="Times New Roman"/>
          <w:sz w:val="24"/>
          <w:szCs w:val="24"/>
        </w:rPr>
        <w:fldChar w:fldCharType="begin"/>
      </w:r>
      <w:r>
        <w:rPr>
          <w:rFonts w:ascii="Times New Roman" w:eastAsia="宋体" w:hAnsi="Times New Roman" w:cs="Times New Roman"/>
          <w:sz w:val="24"/>
          <w:szCs w:val="24"/>
        </w:rPr>
        <w:instrText xml:space="preserve"> REF _Ref30057147 \h  \* MERGEFORMAT </w:instrText>
      </w:r>
      <w:r>
        <w:rPr>
          <w:rFonts w:ascii="Times New Roman" w:eastAsia="宋体" w:hAnsi="Times New Roman" w:cs="Times New Roman"/>
          <w:sz w:val="24"/>
          <w:szCs w:val="24"/>
        </w:rPr>
      </w:r>
      <w:r>
        <w:rPr>
          <w:rFonts w:ascii="Times New Roman" w:eastAsia="宋体" w:hAnsi="Times New Roman" w:cs="Times New Roman"/>
          <w:sz w:val="24"/>
          <w:szCs w:val="24"/>
        </w:rPr>
        <w:fldChar w:fldCharType="separate"/>
      </w:r>
      <w:r>
        <w:rPr>
          <w:rFonts w:ascii="Times New Roman" w:eastAsia="宋体" w:hAnsi="Times New Roman" w:cs="Times New Roman" w:hint="eastAsia"/>
          <w:sz w:val="24"/>
          <w:szCs w:val="24"/>
        </w:rPr>
        <w:t>表</w:t>
      </w:r>
      <w:r>
        <w:rPr>
          <w:rFonts w:ascii="Times New Roman" w:eastAsia="宋体" w:hAnsi="Times New Roman" w:cs="Times New Roman"/>
          <w:sz w:val="24"/>
          <w:szCs w:val="24"/>
        </w:rPr>
        <w:t>7.4-3</w:t>
      </w:r>
      <w:r>
        <w:rPr>
          <w:rFonts w:ascii="Times New Roman" w:eastAsia="宋体" w:hAnsi="Times New Roman" w:cs="Times New Roman"/>
          <w:sz w:val="24"/>
          <w:szCs w:val="24"/>
        </w:rPr>
        <w:fldChar w:fldCharType="end"/>
      </w:r>
      <w:r>
        <w:rPr>
          <w:rFonts w:ascii="Times New Roman" w:eastAsia="宋体" w:hAnsi="Times New Roman" w:cs="Times New Roman"/>
          <w:sz w:val="24"/>
          <w:szCs w:val="24"/>
        </w:rPr>
        <w:t>。研究区的岩性主要为</w:t>
      </w:r>
      <w:r>
        <w:rPr>
          <w:rFonts w:ascii="Times New Roman" w:eastAsia="宋体" w:hAnsi="Times New Roman" w:cs="Times New Roman" w:hint="eastAsia"/>
          <w:sz w:val="24"/>
          <w:szCs w:val="24"/>
        </w:rPr>
        <w:t>风化花岗岩</w:t>
      </w:r>
      <w:r>
        <w:rPr>
          <w:rFonts w:ascii="Times New Roman" w:eastAsia="宋体" w:hAnsi="Times New Roman" w:cs="Times New Roman"/>
          <w:sz w:val="24"/>
          <w:szCs w:val="24"/>
        </w:rPr>
        <w:t>，孔隙度取值为</w:t>
      </w:r>
      <w:r>
        <w:rPr>
          <w:rFonts w:ascii="Times New Roman" w:eastAsia="宋体" w:hAnsi="Times New Roman" w:cs="Times New Roman"/>
          <w:sz w:val="24"/>
          <w:szCs w:val="24"/>
        </w:rPr>
        <w:t>0.4</w:t>
      </w:r>
      <w:r>
        <w:rPr>
          <w:rFonts w:ascii="Times New Roman" w:eastAsia="宋体" w:hAnsi="Times New Roman" w:cs="Times New Roman"/>
          <w:sz w:val="24"/>
          <w:szCs w:val="24"/>
        </w:rPr>
        <w:t>。</w:t>
      </w:r>
    </w:p>
    <w:p w14:paraId="3853274F" w14:textId="77777777" w:rsidR="00D12939" w:rsidRDefault="004F47F5">
      <w:pPr>
        <w:ind w:firstLine="420"/>
        <w:jc w:val="center"/>
        <w:rPr>
          <w:rFonts w:ascii="黑体" w:eastAsia="黑体" w:hAnsi="黑体" w:cs="Times New Roman"/>
          <w:bCs/>
          <w:kern w:val="0"/>
          <w:sz w:val="24"/>
          <w:szCs w:val="21"/>
        </w:rPr>
      </w:pPr>
      <w:bookmarkStart w:id="510" w:name="_Ref30057147"/>
      <w:r>
        <w:rPr>
          <w:rFonts w:ascii="黑体" w:eastAsia="黑体" w:hAnsi="黑体" w:cs="Times New Roman" w:hint="eastAsia"/>
          <w:bCs/>
          <w:kern w:val="0"/>
          <w:sz w:val="24"/>
          <w:szCs w:val="21"/>
        </w:rPr>
        <w:t>表</w:t>
      </w:r>
      <w:bookmarkEnd w:id="510"/>
      <w:r>
        <w:rPr>
          <w:rFonts w:ascii="黑体" w:eastAsia="黑体" w:hAnsi="黑体" w:cs="Times New Roman"/>
          <w:bCs/>
          <w:kern w:val="0"/>
          <w:sz w:val="24"/>
          <w:szCs w:val="21"/>
        </w:rPr>
        <w:t>7.4-3     松散岩石孔隙度参考值</w:t>
      </w:r>
    </w:p>
    <w:tbl>
      <w:tblPr>
        <w:tblW w:w="946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1601"/>
        <w:gridCol w:w="1599"/>
        <w:gridCol w:w="1599"/>
        <w:gridCol w:w="1795"/>
        <w:gridCol w:w="1403"/>
      </w:tblGrid>
      <w:tr w:rsidR="00D12939" w14:paraId="0A0F2F47" w14:textId="77777777">
        <w:trPr>
          <w:trHeight w:val="460"/>
        </w:trPr>
        <w:tc>
          <w:tcPr>
            <w:tcW w:w="1464" w:type="dxa"/>
            <w:vAlign w:val="center"/>
          </w:tcPr>
          <w:p w14:paraId="6917E67A"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松散岩体</w:t>
            </w:r>
          </w:p>
        </w:tc>
        <w:tc>
          <w:tcPr>
            <w:tcW w:w="1601" w:type="dxa"/>
            <w:vAlign w:val="center"/>
          </w:tcPr>
          <w:p w14:paraId="54F1BBEC"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孔隙度（</w:t>
            </w:r>
            <w:r>
              <w:rPr>
                <w:rFonts w:ascii="Times New Roman" w:eastAsia="宋体" w:hAnsi="Times New Roman" w:cs="Times New Roman"/>
              </w:rPr>
              <w:t>%</w:t>
            </w:r>
            <w:r>
              <w:rPr>
                <w:rFonts w:ascii="Times New Roman" w:eastAsia="宋体" w:hAnsi="Times New Roman" w:cs="Times New Roman"/>
              </w:rPr>
              <w:t>）</w:t>
            </w:r>
          </w:p>
        </w:tc>
        <w:tc>
          <w:tcPr>
            <w:tcW w:w="1599" w:type="dxa"/>
            <w:vAlign w:val="center"/>
          </w:tcPr>
          <w:p w14:paraId="58C33243"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沉积岩</w:t>
            </w:r>
          </w:p>
        </w:tc>
        <w:tc>
          <w:tcPr>
            <w:tcW w:w="1599" w:type="dxa"/>
            <w:vAlign w:val="center"/>
          </w:tcPr>
          <w:p w14:paraId="536C12E6"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孔隙度（</w:t>
            </w:r>
            <w:r>
              <w:rPr>
                <w:rFonts w:ascii="Times New Roman" w:eastAsia="宋体" w:hAnsi="Times New Roman" w:cs="Times New Roman"/>
              </w:rPr>
              <w:t>%</w:t>
            </w:r>
            <w:r>
              <w:rPr>
                <w:rFonts w:ascii="Times New Roman" w:eastAsia="宋体" w:hAnsi="Times New Roman" w:cs="Times New Roman"/>
              </w:rPr>
              <w:t>）</w:t>
            </w:r>
          </w:p>
        </w:tc>
        <w:tc>
          <w:tcPr>
            <w:tcW w:w="1795" w:type="dxa"/>
            <w:vAlign w:val="center"/>
          </w:tcPr>
          <w:p w14:paraId="741DE43B"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结晶岩</w:t>
            </w:r>
          </w:p>
        </w:tc>
        <w:tc>
          <w:tcPr>
            <w:tcW w:w="1403" w:type="dxa"/>
            <w:vAlign w:val="center"/>
          </w:tcPr>
          <w:p w14:paraId="39C9B41A"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孔隙度（</w:t>
            </w:r>
            <w:r>
              <w:rPr>
                <w:rFonts w:ascii="Times New Roman" w:eastAsia="宋体" w:hAnsi="Times New Roman" w:cs="Times New Roman"/>
              </w:rPr>
              <w:t>%</w:t>
            </w:r>
            <w:r>
              <w:rPr>
                <w:rFonts w:ascii="Times New Roman" w:eastAsia="宋体" w:hAnsi="Times New Roman" w:cs="Times New Roman"/>
              </w:rPr>
              <w:t>）</w:t>
            </w:r>
          </w:p>
        </w:tc>
      </w:tr>
      <w:tr w:rsidR="00D12939" w14:paraId="06A6F6DB" w14:textId="77777777">
        <w:trPr>
          <w:trHeight w:val="217"/>
        </w:trPr>
        <w:tc>
          <w:tcPr>
            <w:tcW w:w="1464" w:type="dxa"/>
            <w:vAlign w:val="center"/>
          </w:tcPr>
          <w:p w14:paraId="03956481"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粗砾</w:t>
            </w:r>
          </w:p>
        </w:tc>
        <w:tc>
          <w:tcPr>
            <w:tcW w:w="1601" w:type="dxa"/>
            <w:vAlign w:val="center"/>
          </w:tcPr>
          <w:p w14:paraId="153D54B3"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24-36</w:t>
            </w:r>
          </w:p>
        </w:tc>
        <w:tc>
          <w:tcPr>
            <w:tcW w:w="1599" w:type="dxa"/>
            <w:vAlign w:val="center"/>
          </w:tcPr>
          <w:p w14:paraId="6CE71477"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砂岩</w:t>
            </w:r>
          </w:p>
        </w:tc>
        <w:tc>
          <w:tcPr>
            <w:tcW w:w="1599" w:type="dxa"/>
            <w:vAlign w:val="center"/>
          </w:tcPr>
          <w:p w14:paraId="78091755"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5-30</w:t>
            </w:r>
          </w:p>
        </w:tc>
        <w:tc>
          <w:tcPr>
            <w:tcW w:w="1795" w:type="dxa"/>
            <w:vAlign w:val="center"/>
          </w:tcPr>
          <w:p w14:paraId="0FD10CB2"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裂隙化结晶岩</w:t>
            </w:r>
          </w:p>
        </w:tc>
        <w:tc>
          <w:tcPr>
            <w:tcW w:w="1403" w:type="dxa"/>
            <w:vAlign w:val="center"/>
          </w:tcPr>
          <w:p w14:paraId="61E0C308"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0-10</w:t>
            </w:r>
          </w:p>
        </w:tc>
      </w:tr>
      <w:tr w:rsidR="00D12939" w14:paraId="21060C78" w14:textId="77777777">
        <w:trPr>
          <w:trHeight w:val="230"/>
        </w:trPr>
        <w:tc>
          <w:tcPr>
            <w:tcW w:w="1464" w:type="dxa"/>
            <w:vAlign w:val="center"/>
          </w:tcPr>
          <w:p w14:paraId="4E58E714"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细砾</w:t>
            </w:r>
          </w:p>
        </w:tc>
        <w:tc>
          <w:tcPr>
            <w:tcW w:w="1601" w:type="dxa"/>
            <w:vAlign w:val="center"/>
          </w:tcPr>
          <w:p w14:paraId="43A5DAF5"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25-38</w:t>
            </w:r>
          </w:p>
        </w:tc>
        <w:tc>
          <w:tcPr>
            <w:tcW w:w="1599" w:type="dxa"/>
            <w:vAlign w:val="center"/>
          </w:tcPr>
          <w:p w14:paraId="4CCDCA09"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粉砂岩</w:t>
            </w:r>
          </w:p>
        </w:tc>
        <w:tc>
          <w:tcPr>
            <w:tcW w:w="1599" w:type="dxa"/>
            <w:vAlign w:val="center"/>
          </w:tcPr>
          <w:p w14:paraId="0DCC9DBB"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21-41</w:t>
            </w:r>
          </w:p>
        </w:tc>
        <w:tc>
          <w:tcPr>
            <w:tcW w:w="1795" w:type="dxa"/>
            <w:vAlign w:val="center"/>
          </w:tcPr>
          <w:p w14:paraId="7DCBB5F8"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致密结晶岩</w:t>
            </w:r>
          </w:p>
        </w:tc>
        <w:tc>
          <w:tcPr>
            <w:tcW w:w="1403" w:type="dxa"/>
            <w:vAlign w:val="center"/>
          </w:tcPr>
          <w:p w14:paraId="0B10DD4A"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0-5</w:t>
            </w:r>
          </w:p>
        </w:tc>
      </w:tr>
      <w:tr w:rsidR="00D12939" w14:paraId="380807EE" w14:textId="77777777">
        <w:trPr>
          <w:trHeight w:val="217"/>
        </w:trPr>
        <w:tc>
          <w:tcPr>
            <w:tcW w:w="1464" w:type="dxa"/>
            <w:vAlign w:val="center"/>
          </w:tcPr>
          <w:p w14:paraId="00190DF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粗砂</w:t>
            </w:r>
          </w:p>
        </w:tc>
        <w:tc>
          <w:tcPr>
            <w:tcW w:w="1601" w:type="dxa"/>
            <w:vAlign w:val="center"/>
          </w:tcPr>
          <w:p w14:paraId="5C3A9E2A"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31-46</w:t>
            </w:r>
          </w:p>
        </w:tc>
        <w:tc>
          <w:tcPr>
            <w:tcW w:w="1599" w:type="dxa"/>
            <w:vAlign w:val="center"/>
          </w:tcPr>
          <w:p w14:paraId="4FD2A9BE"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石灰岩</w:t>
            </w:r>
          </w:p>
        </w:tc>
        <w:tc>
          <w:tcPr>
            <w:tcW w:w="1599" w:type="dxa"/>
            <w:vAlign w:val="center"/>
          </w:tcPr>
          <w:p w14:paraId="5FC6C87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0-40</w:t>
            </w:r>
          </w:p>
        </w:tc>
        <w:tc>
          <w:tcPr>
            <w:tcW w:w="1795" w:type="dxa"/>
            <w:vAlign w:val="center"/>
          </w:tcPr>
          <w:p w14:paraId="68068E3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玄武岩</w:t>
            </w:r>
          </w:p>
        </w:tc>
        <w:tc>
          <w:tcPr>
            <w:tcW w:w="1403" w:type="dxa"/>
            <w:vAlign w:val="center"/>
          </w:tcPr>
          <w:p w14:paraId="5E8BE61E"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3-35</w:t>
            </w:r>
          </w:p>
        </w:tc>
      </w:tr>
      <w:tr w:rsidR="00D12939" w14:paraId="6A6D8AB7" w14:textId="77777777">
        <w:trPr>
          <w:trHeight w:val="230"/>
        </w:trPr>
        <w:tc>
          <w:tcPr>
            <w:tcW w:w="1464" w:type="dxa"/>
            <w:vAlign w:val="center"/>
          </w:tcPr>
          <w:p w14:paraId="2725190B"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细砂</w:t>
            </w:r>
          </w:p>
        </w:tc>
        <w:tc>
          <w:tcPr>
            <w:tcW w:w="1601" w:type="dxa"/>
            <w:vAlign w:val="center"/>
          </w:tcPr>
          <w:p w14:paraId="553E7DD5"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26-53</w:t>
            </w:r>
          </w:p>
        </w:tc>
        <w:tc>
          <w:tcPr>
            <w:tcW w:w="1599" w:type="dxa"/>
            <w:vAlign w:val="center"/>
          </w:tcPr>
          <w:p w14:paraId="596E2F1E"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岩溶</w:t>
            </w:r>
          </w:p>
        </w:tc>
        <w:tc>
          <w:tcPr>
            <w:tcW w:w="1599" w:type="dxa"/>
            <w:vAlign w:val="center"/>
          </w:tcPr>
          <w:p w14:paraId="73126A76"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0-40</w:t>
            </w:r>
          </w:p>
        </w:tc>
        <w:tc>
          <w:tcPr>
            <w:tcW w:w="1795" w:type="dxa"/>
            <w:vAlign w:val="center"/>
          </w:tcPr>
          <w:p w14:paraId="248B2588"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风化花岗岩</w:t>
            </w:r>
          </w:p>
        </w:tc>
        <w:tc>
          <w:tcPr>
            <w:tcW w:w="1403" w:type="dxa"/>
            <w:vAlign w:val="center"/>
          </w:tcPr>
          <w:p w14:paraId="092BA535"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34-57</w:t>
            </w:r>
          </w:p>
        </w:tc>
      </w:tr>
      <w:tr w:rsidR="00D12939" w14:paraId="1CA1DF0D" w14:textId="77777777">
        <w:trPr>
          <w:trHeight w:val="230"/>
        </w:trPr>
        <w:tc>
          <w:tcPr>
            <w:tcW w:w="1464" w:type="dxa"/>
            <w:vAlign w:val="center"/>
          </w:tcPr>
          <w:p w14:paraId="076F6B9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粉砂</w:t>
            </w:r>
          </w:p>
        </w:tc>
        <w:tc>
          <w:tcPr>
            <w:tcW w:w="1601" w:type="dxa"/>
            <w:vAlign w:val="center"/>
          </w:tcPr>
          <w:p w14:paraId="58805DC5"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34-61</w:t>
            </w:r>
          </w:p>
        </w:tc>
        <w:tc>
          <w:tcPr>
            <w:tcW w:w="1599" w:type="dxa"/>
            <w:vAlign w:val="center"/>
          </w:tcPr>
          <w:p w14:paraId="4F9A3272"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页岩</w:t>
            </w:r>
          </w:p>
        </w:tc>
        <w:tc>
          <w:tcPr>
            <w:tcW w:w="1599" w:type="dxa"/>
            <w:vAlign w:val="center"/>
          </w:tcPr>
          <w:p w14:paraId="698E1E1F"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0-10</w:t>
            </w:r>
          </w:p>
        </w:tc>
        <w:tc>
          <w:tcPr>
            <w:tcW w:w="1795" w:type="dxa"/>
            <w:vAlign w:val="center"/>
          </w:tcPr>
          <w:p w14:paraId="0C267BE2"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风化辉长岩</w:t>
            </w:r>
          </w:p>
        </w:tc>
        <w:tc>
          <w:tcPr>
            <w:tcW w:w="1403" w:type="dxa"/>
            <w:vAlign w:val="center"/>
          </w:tcPr>
          <w:p w14:paraId="3B6B40CD"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42-45</w:t>
            </w:r>
          </w:p>
        </w:tc>
      </w:tr>
      <w:tr w:rsidR="00D12939" w14:paraId="7A24530A" w14:textId="77777777">
        <w:trPr>
          <w:trHeight w:val="217"/>
        </w:trPr>
        <w:tc>
          <w:tcPr>
            <w:tcW w:w="1464" w:type="dxa"/>
            <w:vAlign w:val="center"/>
          </w:tcPr>
          <w:p w14:paraId="08F6C2C1"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粘土</w:t>
            </w:r>
          </w:p>
        </w:tc>
        <w:tc>
          <w:tcPr>
            <w:tcW w:w="1601" w:type="dxa"/>
            <w:vAlign w:val="center"/>
          </w:tcPr>
          <w:p w14:paraId="7D9A0F18" w14:textId="77777777" w:rsidR="00D12939" w:rsidRDefault="004F47F5">
            <w:pPr>
              <w:widowControl/>
              <w:adjustRightInd w:val="0"/>
              <w:snapToGrid w:val="0"/>
              <w:jc w:val="center"/>
              <w:rPr>
                <w:rFonts w:ascii="Times New Roman" w:eastAsia="宋体" w:hAnsi="Times New Roman" w:cs="Times New Roman"/>
              </w:rPr>
            </w:pPr>
            <w:r>
              <w:rPr>
                <w:rFonts w:ascii="Times New Roman" w:eastAsia="宋体" w:hAnsi="Times New Roman" w:cs="Times New Roman"/>
              </w:rPr>
              <w:t>34-60</w:t>
            </w:r>
          </w:p>
        </w:tc>
        <w:tc>
          <w:tcPr>
            <w:tcW w:w="1599" w:type="dxa"/>
            <w:vAlign w:val="center"/>
          </w:tcPr>
          <w:p w14:paraId="1A4219A3" w14:textId="77777777" w:rsidR="00D12939" w:rsidRDefault="00D12939">
            <w:pPr>
              <w:widowControl/>
              <w:adjustRightInd w:val="0"/>
              <w:snapToGrid w:val="0"/>
              <w:jc w:val="center"/>
              <w:rPr>
                <w:rFonts w:ascii="Times New Roman" w:eastAsia="宋体" w:hAnsi="Times New Roman" w:cs="Times New Roman"/>
              </w:rPr>
            </w:pPr>
          </w:p>
        </w:tc>
        <w:tc>
          <w:tcPr>
            <w:tcW w:w="1599" w:type="dxa"/>
            <w:vAlign w:val="center"/>
          </w:tcPr>
          <w:p w14:paraId="74DE36E3" w14:textId="77777777" w:rsidR="00D12939" w:rsidRDefault="00D12939">
            <w:pPr>
              <w:widowControl/>
              <w:adjustRightInd w:val="0"/>
              <w:snapToGrid w:val="0"/>
              <w:jc w:val="center"/>
              <w:rPr>
                <w:rFonts w:ascii="Times New Roman" w:eastAsia="宋体" w:hAnsi="Times New Roman" w:cs="Times New Roman"/>
              </w:rPr>
            </w:pPr>
          </w:p>
        </w:tc>
        <w:tc>
          <w:tcPr>
            <w:tcW w:w="1795" w:type="dxa"/>
            <w:vAlign w:val="center"/>
          </w:tcPr>
          <w:p w14:paraId="0BEC96E8" w14:textId="77777777" w:rsidR="00D12939" w:rsidRDefault="00D12939">
            <w:pPr>
              <w:widowControl/>
              <w:adjustRightInd w:val="0"/>
              <w:snapToGrid w:val="0"/>
              <w:jc w:val="center"/>
              <w:rPr>
                <w:rFonts w:ascii="Times New Roman" w:eastAsia="宋体" w:hAnsi="Times New Roman" w:cs="Times New Roman"/>
              </w:rPr>
            </w:pPr>
          </w:p>
        </w:tc>
        <w:tc>
          <w:tcPr>
            <w:tcW w:w="1403" w:type="dxa"/>
            <w:vAlign w:val="center"/>
          </w:tcPr>
          <w:p w14:paraId="0E660040" w14:textId="77777777" w:rsidR="00D12939" w:rsidRDefault="00D12939">
            <w:pPr>
              <w:widowControl/>
              <w:adjustRightInd w:val="0"/>
              <w:snapToGrid w:val="0"/>
              <w:jc w:val="center"/>
              <w:rPr>
                <w:rFonts w:ascii="Times New Roman" w:eastAsia="宋体" w:hAnsi="Times New Roman" w:cs="Times New Roman"/>
              </w:rPr>
            </w:pPr>
          </w:p>
        </w:tc>
      </w:tr>
    </w:tbl>
    <w:p w14:paraId="5E92A4E3"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4</w:t>
      </w:r>
      <w:r>
        <w:rPr>
          <w:rFonts w:ascii="Times New Roman" w:eastAsia="宋体" w:hAnsi="Times New Roman" w:cs="Times New Roman"/>
          <w:sz w:val="24"/>
          <w:szCs w:val="24"/>
        </w:rPr>
        <w:t>）弥散系数确定</w:t>
      </w:r>
    </w:p>
    <w:p w14:paraId="3ACC74DA"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D.S.Makuch</w:t>
      </w:r>
      <w:r>
        <w:rPr>
          <w:rFonts w:ascii="Times New Roman" w:eastAsia="宋体" w:hAnsi="Times New Roman" w:cs="Times New Roman"/>
          <w:sz w:val="24"/>
          <w:szCs w:val="24"/>
        </w:rPr>
        <w:t>（</w:t>
      </w:r>
      <w:r>
        <w:rPr>
          <w:rFonts w:ascii="Times New Roman" w:eastAsia="宋体" w:hAnsi="Times New Roman" w:cs="Times New Roman"/>
          <w:sz w:val="24"/>
          <w:szCs w:val="24"/>
        </w:rPr>
        <w:t>2005</w:t>
      </w:r>
      <w:r>
        <w:rPr>
          <w:rFonts w:ascii="Times New Roman" w:eastAsia="宋体" w:hAnsi="Times New Roman" w:cs="Times New Roman"/>
          <w:sz w:val="24"/>
          <w:szCs w:val="24"/>
        </w:rPr>
        <w:t>）综合了其他人的研究程度，对不同岩性和不同尺度条件下介质的弥散度大小进行了统计，获得了污染物在不同岩性中迁移的纵向弥散度，并存在尺度效应现象。根据参考前人室内弥散试验结果，对本次评价范围潜水含水层，纵向弥散度取</w:t>
      </w:r>
      <w:r>
        <w:rPr>
          <w:rFonts w:ascii="Times New Roman" w:eastAsia="宋体" w:hAnsi="Times New Roman" w:cs="Times New Roman"/>
          <w:sz w:val="24"/>
          <w:szCs w:val="24"/>
        </w:rPr>
        <w:t>10m</w:t>
      </w:r>
      <w:r>
        <w:rPr>
          <w:rFonts w:ascii="Times New Roman" w:eastAsia="宋体" w:hAnsi="Times New Roman" w:cs="Times New Roman"/>
          <w:sz w:val="24"/>
          <w:szCs w:val="24"/>
        </w:rPr>
        <w:t>，横向弥散度取</w:t>
      </w:r>
      <w:r>
        <w:rPr>
          <w:rFonts w:ascii="Times New Roman" w:eastAsia="宋体" w:hAnsi="Times New Roman" w:cs="Times New Roman"/>
          <w:sz w:val="24"/>
          <w:szCs w:val="24"/>
        </w:rPr>
        <w:t>1m</w:t>
      </w:r>
      <w:r>
        <w:rPr>
          <w:rFonts w:ascii="Times New Roman" w:eastAsia="宋体" w:hAnsi="Times New Roman" w:cs="Times New Roman"/>
          <w:sz w:val="24"/>
          <w:szCs w:val="24"/>
        </w:rPr>
        <w:t>。</w:t>
      </w:r>
    </w:p>
    <w:p w14:paraId="50ABA79C" w14:textId="77777777" w:rsidR="00D12939" w:rsidRDefault="004F47F5">
      <w:pPr>
        <w:ind w:firstLine="480"/>
        <w:jc w:val="center"/>
        <w:rPr>
          <w:rFonts w:cs="Times New Roman"/>
        </w:rPr>
      </w:pPr>
      <w:r>
        <w:rPr>
          <w:rFonts w:cs="Times New Roman"/>
          <w:noProof/>
        </w:rPr>
        <w:drawing>
          <wp:inline distT="0" distB="0" distL="0" distR="0">
            <wp:extent cx="3362325" cy="1612265"/>
            <wp:effectExtent l="0" t="0" r="0" b="6985"/>
            <wp:docPr id="228" name="图片 228" descr="1574306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157430693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3411824" cy="1636208"/>
                    </a:xfrm>
                    <a:prstGeom prst="rect">
                      <a:avLst/>
                    </a:prstGeom>
                    <a:noFill/>
                    <a:ln>
                      <a:noFill/>
                    </a:ln>
                  </pic:spPr>
                </pic:pic>
              </a:graphicData>
            </a:graphic>
          </wp:inline>
        </w:drawing>
      </w:r>
    </w:p>
    <w:p w14:paraId="6449F266" w14:textId="77777777" w:rsidR="00D12939" w:rsidRDefault="004F47F5">
      <w:pPr>
        <w:ind w:firstLine="420"/>
        <w:jc w:val="center"/>
        <w:rPr>
          <w:rFonts w:ascii="黑体" w:eastAsia="黑体" w:hAnsi="黑体" w:cs="Times New Roman"/>
          <w:bCs/>
          <w:kern w:val="0"/>
          <w:sz w:val="24"/>
          <w:szCs w:val="21"/>
        </w:rPr>
      </w:pPr>
      <w:r>
        <w:rPr>
          <w:rFonts w:ascii="黑体" w:eastAsia="黑体" w:hAnsi="黑体" w:cs="Times New Roman" w:hint="eastAsia"/>
          <w:bCs/>
          <w:kern w:val="0"/>
          <w:sz w:val="24"/>
          <w:szCs w:val="21"/>
        </w:rPr>
        <w:t>图</w:t>
      </w:r>
      <w:r>
        <w:rPr>
          <w:rFonts w:ascii="黑体" w:eastAsia="黑体" w:hAnsi="黑体" w:cs="Times New Roman"/>
          <w:bCs/>
          <w:kern w:val="0"/>
          <w:sz w:val="24"/>
          <w:szCs w:val="21"/>
        </w:rPr>
        <w:t>7.4-1 松散沉积物的弥散度确定</w:t>
      </w:r>
    </w:p>
    <w:p w14:paraId="03E50E06"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5</w:t>
      </w:r>
      <w:r>
        <w:rPr>
          <w:rFonts w:ascii="Times New Roman" w:eastAsia="宋体" w:hAnsi="Times New Roman" w:cs="Times New Roman"/>
          <w:sz w:val="24"/>
          <w:szCs w:val="24"/>
        </w:rPr>
        <w:t>）水力梯度计算</w:t>
      </w:r>
    </w:p>
    <w:p w14:paraId="05579CED"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根据地形情况并结合现状监测报告，参考报告中地下水的水位数据，经统计和计算，本次预测水力梯度取值为</w:t>
      </w:r>
      <w:r>
        <w:rPr>
          <w:rFonts w:ascii="Times New Roman" w:eastAsia="宋体" w:hAnsi="Times New Roman" w:cs="Times New Roman"/>
          <w:sz w:val="24"/>
          <w:szCs w:val="24"/>
        </w:rPr>
        <w:t>2.1%</w:t>
      </w:r>
      <w:r>
        <w:rPr>
          <w:rFonts w:ascii="Times New Roman" w:eastAsia="宋体" w:hAnsi="Times New Roman" w:cs="Times New Roman"/>
          <w:sz w:val="24"/>
          <w:szCs w:val="24"/>
        </w:rPr>
        <w:t>。</w:t>
      </w:r>
    </w:p>
    <w:p w14:paraId="0D2BF20A"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6</w:t>
      </w:r>
      <w:r>
        <w:rPr>
          <w:rFonts w:ascii="Times New Roman" w:eastAsia="宋体" w:hAnsi="Times New Roman" w:cs="Times New Roman"/>
          <w:sz w:val="24"/>
          <w:szCs w:val="24"/>
        </w:rPr>
        <w:t>）地下水孔隙平均流速</w:t>
      </w:r>
      <w:r>
        <w:rPr>
          <w:rFonts w:ascii="Times New Roman" w:eastAsia="宋体" w:hAnsi="Times New Roman" w:cs="Times New Roman"/>
          <w:sz w:val="24"/>
          <w:szCs w:val="24"/>
        </w:rPr>
        <w:t>u</w:t>
      </w:r>
      <w:r>
        <w:rPr>
          <w:rFonts w:ascii="Times New Roman" w:eastAsia="宋体" w:hAnsi="Times New Roman" w:cs="Times New Roman"/>
          <w:sz w:val="24"/>
          <w:szCs w:val="24"/>
        </w:rPr>
        <w:t>计算</w:t>
      </w:r>
    </w:p>
    <w:p w14:paraId="69F1171D"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u=n*v</w:t>
      </w:r>
      <w:r>
        <w:rPr>
          <w:rFonts w:ascii="Times New Roman" w:eastAsia="宋体" w:hAnsi="Times New Roman" w:cs="Times New Roman"/>
          <w:sz w:val="24"/>
          <w:szCs w:val="24"/>
        </w:rPr>
        <w:t>，</w:t>
      </w:r>
      <w:r>
        <w:rPr>
          <w:rFonts w:ascii="Times New Roman" w:eastAsia="宋体" w:hAnsi="Times New Roman" w:cs="Times New Roman"/>
          <w:sz w:val="24"/>
          <w:szCs w:val="24"/>
        </w:rPr>
        <w:t>n</w:t>
      </w:r>
      <w:r>
        <w:rPr>
          <w:rFonts w:ascii="Times New Roman" w:eastAsia="宋体" w:hAnsi="Times New Roman" w:cs="Times New Roman"/>
          <w:sz w:val="24"/>
          <w:szCs w:val="24"/>
        </w:rPr>
        <w:t>为有效孔隙度，无量纲，</w:t>
      </w:r>
      <w:r>
        <w:rPr>
          <w:rFonts w:ascii="Times New Roman" w:eastAsia="宋体" w:hAnsi="Times New Roman" w:cs="Times New Roman"/>
          <w:sz w:val="24"/>
          <w:szCs w:val="24"/>
        </w:rPr>
        <w:t>v</w:t>
      </w:r>
      <w:r>
        <w:rPr>
          <w:rFonts w:ascii="Times New Roman" w:eastAsia="宋体" w:hAnsi="Times New Roman" w:cs="Times New Roman"/>
          <w:sz w:val="24"/>
          <w:szCs w:val="24"/>
        </w:rPr>
        <w:t>为地下水渗透流速，</w:t>
      </w:r>
      <w:r>
        <w:rPr>
          <w:rFonts w:ascii="Times New Roman" w:eastAsia="宋体" w:hAnsi="Times New Roman" w:cs="Times New Roman"/>
          <w:sz w:val="24"/>
          <w:szCs w:val="24"/>
        </w:rPr>
        <w:t>m/d</w:t>
      </w:r>
      <w:r>
        <w:rPr>
          <w:rFonts w:ascii="Times New Roman" w:eastAsia="宋体" w:hAnsi="Times New Roman" w:cs="Times New Roman"/>
          <w:sz w:val="24"/>
          <w:szCs w:val="24"/>
        </w:rPr>
        <w:t>；</w:t>
      </w:r>
    </w:p>
    <w:p w14:paraId="61109730"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v=K*I</w:t>
      </w:r>
      <w:r>
        <w:rPr>
          <w:rFonts w:ascii="Times New Roman" w:eastAsia="宋体" w:hAnsi="Times New Roman" w:cs="Times New Roman"/>
          <w:sz w:val="24"/>
          <w:szCs w:val="24"/>
        </w:rPr>
        <w:t>，</w:t>
      </w:r>
      <w:r>
        <w:rPr>
          <w:rFonts w:ascii="Times New Roman" w:eastAsia="宋体" w:hAnsi="Times New Roman" w:cs="Times New Roman"/>
          <w:sz w:val="24"/>
          <w:szCs w:val="24"/>
        </w:rPr>
        <w:t>k</w:t>
      </w:r>
      <w:r>
        <w:rPr>
          <w:rFonts w:ascii="Times New Roman" w:eastAsia="宋体" w:hAnsi="Times New Roman" w:cs="Times New Roman"/>
          <w:sz w:val="24"/>
          <w:szCs w:val="24"/>
        </w:rPr>
        <w:t>为渗透系数，</w:t>
      </w:r>
      <w:r>
        <w:rPr>
          <w:rFonts w:ascii="Times New Roman" w:eastAsia="宋体" w:hAnsi="Times New Roman" w:cs="Times New Roman"/>
          <w:sz w:val="24"/>
          <w:szCs w:val="24"/>
        </w:rPr>
        <w:t>m/d</w:t>
      </w:r>
      <w:r>
        <w:rPr>
          <w:rFonts w:ascii="Times New Roman" w:eastAsia="宋体" w:hAnsi="Times New Roman" w:cs="Times New Roman"/>
          <w:sz w:val="24"/>
          <w:szCs w:val="24"/>
        </w:rPr>
        <w:t>，</w:t>
      </w:r>
      <w:r>
        <w:rPr>
          <w:rFonts w:ascii="Times New Roman" w:eastAsia="宋体" w:hAnsi="Times New Roman" w:cs="Times New Roman"/>
          <w:sz w:val="24"/>
          <w:szCs w:val="24"/>
        </w:rPr>
        <w:t>I</w:t>
      </w:r>
      <w:r>
        <w:rPr>
          <w:rFonts w:ascii="Times New Roman" w:eastAsia="宋体" w:hAnsi="Times New Roman" w:cs="Times New Roman"/>
          <w:sz w:val="24"/>
          <w:szCs w:val="24"/>
        </w:rPr>
        <w:t>为水力坡度，无量纲；</w:t>
      </w:r>
    </w:p>
    <w:p w14:paraId="5484FC9B"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I=</w:t>
      </w:r>
      <w:r>
        <w:rPr>
          <w:rFonts w:ascii="Times New Roman" w:eastAsia="宋体" w:hAnsi="Times New Roman" w:cs="Times New Roman"/>
          <w:sz w:val="24"/>
          <w:szCs w:val="24"/>
        </w:rPr>
        <w:sym w:font="SymbolProp BT" w:char="F044"/>
      </w:r>
      <w:r>
        <w:rPr>
          <w:rFonts w:ascii="Times New Roman" w:eastAsia="宋体" w:hAnsi="Times New Roman" w:cs="Times New Roman"/>
          <w:sz w:val="24"/>
          <w:szCs w:val="24"/>
        </w:rPr>
        <w:t>H/L</w:t>
      </w:r>
      <w:r>
        <w:rPr>
          <w:rFonts w:ascii="Times New Roman" w:eastAsia="宋体" w:hAnsi="Times New Roman" w:cs="Times New Roman"/>
          <w:sz w:val="24"/>
          <w:szCs w:val="24"/>
        </w:rPr>
        <w:t>，</w:t>
      </w:r>
      <w:r>
        <w:rPr>
          <w:rFonts w:ascii="Times New Roman" w:eastAsia="宋体" w:hAnsi="Times New Roman" w:cs="Times New Roman"/>
          <w:sz w:val="24"/>
          <w:szCs w:val="24"/>
        </w:rPr>
        <w:sym w:font="SymbolProp BT" w:char="F044"/>
      </w:r>
      <w:r>
        <w:rPr>
          <w:rFonts w:ascii="Times New Roman" w:eastAsia="宋体" w:hAnsi="Times New Roman" w:cs="Times New Roman"/>
          <w:sz w:val="24"/>
          <w:szCs w:val="24"/>
        </w:rPr>
        <w:t>H</w:t>
      </w:r>
      <w:r>
        <w:rPr>
          <w:rFonts w:ascii="Times New Roman" w:eastAsia="宋体" w:hAnsi="Times New Roman" w:cs="Times New Roman"/>
          <w:sz w:val="24"/>
          <w:szCs w:val="24"/>
        </w:rPr>
        <w:t>为渗漏点到预测点的地下水水头差，</w:t>
      </w:r>
      <w:r>
        <w:rPr>
          <w:rFonts w:ascii="Times New Roman" w:eastAsia="宋体" w:hAnsi="Times New Roman" w:cs="Times New Roman"/>
          <w:sz w:val="24"/>
          <w:szCs w:val="24"/>
        </w:rPr>
        <w:t>m</w:t>
      </w:r>
      <w:r>
        <w:rPr>
          <w:rFonts w:ascii="Times New Roman" w:eastAsia="宋体" w:hAnsi="Times New Roman" w:cs="Times New Roman"/>
          <w:sz w:val="24"/>
          <w:szCs w:val="24"/>
        </w:rPr>
        <w:t>；</w:t>
      </w:r>
      <w:r>
        <w:rPr>
          <w:rFonts w:ascii="Times New Roman" w:eastAsia="宋体" w:hAnsi="Times New Roman" w:cs="Times New Roman"/>
          <w:sz w:val="24"/>
          <w:szCs w:val="24"/>
        </w:rPr>
        <w:t>L</w:t>
      </w:r>
      <w:r>
        <w:rPr>
          <w:rFonts w:ascii="Times New Roman" w:eastAsia="宋体" w:hAnsi="Times New Roman" w:cs="Times New Roman"/>
          <w:sz w:val="24"/>
          <w:szCs w:val="24"/>
        </w:rPr>
        <w:t>为渗流路径长度，</w:t>
      </w:r>
      <w:r>
        <w:rPr>
          <w:rFonts w:ascii="Times New Roman" w:eastAsia="宋体" w:hAnsi="Times New Roman" w:cs="Times New Roman"/>
          <w:sz w:val="24"/>
          <w:szCs w:val="24"/>
        </w:rPr>
        <w:t>m</w:t>
      </w:r>
      <w:r>
        <w:rPr>
          <w:rFonts w:ascii="Times New Roman" w:eastAsia="宋体" w:hAnsi="Times New Roman" w:cs="Times New Roman"/>
          <w:sz w:val="24"/>
          <w:szCs w:val="24"/>
        </w:rPr>
        <w:t>；</w:t>
      </w:r>
    </w:p>
    <w:p w14:paraId="0CDB9CEE"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有效孔隙度</w:t>
      </w:r>
      <w:r>
        <w:rPr>
          <w:rFonts w:ascii="Times New Roman" w:eastAsia="宋体" w:hAnsi="Times New Roman" w:cs="Times New Roman"/>
          <w:sz w:val="24"/>
          <w:szCs w:val="24"/>
        </w:rPr>
        <w:t>n</w:t>
      </w:r>
      <w:r>
        <w:rPr>
          <w:rFonts w:ascii="Times New Roman" w:eastAsia="宋体" w:hAnsi="Times New Roman" w:cs="Times New Roman"/>
          <w:sz w:val="24"/>
          <w:szCs w:val="24"/>
        </w:rPr>
        <w:t>取</w:t>
      </w:r>
      <w:r>
        <w:rPr>
          <w:rFonts w:ascii="Times New Roman" w:eastAsia="宋体" w:hAnsi="Times New Roman" w:cs="Times New Roman"/>
          <w:sz w:val="24"/>
          <w:szCs w:val="24"/>
        </w:rPr>
        <w:t>0.4</w:t>
      </w:r>
      <w:r>
        <w:rPr>
          <w:rFonts w:ascii="Times New Roman" w:eastAsia="宋体" w:hAnsi="Times New Roman" w:cs="Times New Roman"/>
          <w:sz w:val="24"/>
          <w:szCs w:val="24"/>
        </w:rPr>
        <w:t>，根据区域水文地质资料，本项目区域潜水含水层的渗透系数</w:t>
      </w:r>
      <w:r>
        <w:rPr>
          <w:rFonts w:ascii="Times New Roman" w:eastAsia="宋体" w:hAnsi="Times New Roman" w:cs="Times New Roman"/>
          <w:sz w:val="24"/>
          <w:szCs w:val="24"/>
        </w:rPr>
        <w:t>K</w:t>
      </w:r>
      <w:r>
        <w:rPr>
          <w:rFonts w:ascii="Times New Roman" w:eastAsia="宋体" w:hAnsi="Times New Roman" w:cs="Times New Roman"/>
          <w:sz w:val="24"/>
          <w:szCs w:val="24"/>
        </w:rPr>
        <w:t>约为</w:t>
      </w:r>
      <w:r>
        <w:rPr>
          <w:rFonts w:ascii="Times New Roman" w:eastAsia="宋体" w:hAnsi="Times New Roman" w:cs="Times New Roman"/>
          <w:sz w:val="24"/>
          <w:szCs w:val="24"/>
        </w:rPr>
        <w:t>1.38×10</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cm/s</w:t>
      </w:r>
      <w:r>
        <w:rPr>
          <w:rFonts w:ascii="Times New Roman" w:eastAsia="宋体" w:hAnsi="Times New Roman" w:cs="Times New Roman"/>
          <w:sz w:val="24"/>
          <w:szCs w:val="24"/>
        </w:rPr>
        <w:t>。本项目区地势平坦，地下水水位高差小，水力梯度取值</w:t>
      </w:r>
      <w:r>
        <w:rPr>
          <w:rFonts w:ascii="Times New Roman" w:eastAsia="宋体" w:hAnsi="Times New Roman" w:cs="Times New Roman"/>
          <w:sz w:val="24"/>
          <w:szCs w:val="24"/>
        </w:rPr>
        <w:t>0.021</w:t>
      </w:r>
      <w:r>
        <w:rPr>
          <w:rFonts w:ascii="Times New Roman" w:eastAsia="宋体" w:hAnsi="Times New Roman" w:cs="Times New Roman"/>
          <w:sz w:val="24"/>
          <w:szCs w:val="24"/>
        </w:rPr>
        <w:t>；在此认为渗流路径上各点的水力梯度是相同的，地下水孔隙平均流速：</w:t>
      </w:r>
    </w:p>
    <w:p w14:paraId="60200909"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u= K*I/n=1.38×10</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×0.021/0.4=7.2×10</w:t>
      </w:r>
      <w:r>
        <w:rPr>
          <w:rFonts w:ascii="Times New Roman" w:eastAsia="宋体" w:hAnsi="Times New Roman" w:cs="Times New Roman"/>
          <w:sz w:val="24"/>
          <w:szCs w:val="24"/>
          <w:vertAlign w:val="superscript"/>
        </w:rPr>
        <w:t>-4</w:t>
      </w:r>
      <w:r>
        <w:rPr>
          <w:rFonts w:ascii="Times New Roman" w:eastAsia="宋体" w:hAnsi="Times New Roman" w:cs="Times New Roman"/>
          <w:sz w:val="24"/>
          <w:szCs w:val="24"/>
        </w:rPr>
        <w:t>cm/s=0.26m/d</w:t>
      </w:r>
    </w:p>
    <w:p w14:paraId="48078F69" w14:textId="77777777" w:rsidR="00D12939" w:rsidRDefault="004F47F5">
      <w:pPr>
        <w:pStyle w:val="Q-"/>
        <w:rPr>
          <w:szCs w:val="24"/>
        </w:rPr>
      </w:pPr>
      <w:r>
        <w:rPr>
          <w:szCs w:val="24"/>
        </w:rPr>
        <w:t>（</w:t>
      </w:r>
      <w:r>
        <w:rPr>
          <w:szCs w:val="24"/>
        </w:rPr>
        <w:t>2</w:t>
      </w:r>
      <w:r>
        <w:rPr>
          <w:szCs w:val="24"/>
        </w:rPr>
        <w:t>）非正常工况下的渗漏预测</w:t>
      </w:r>
    </w:p>
    <w:p w14:paraId="6515939F"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1</w:t>
      </w:r>
      <w:r>
        <w:rPr>
          <w:rFonts w:ascii="Times New Roman" w:eastAsia="宋体" w:hAnsi="Times New Roman" w:cs="Times New Roman"/>
          <w:sz w:val="24"/>
          <w:szCs w:val="24"/>
        </w:rPr>
        <w:t>）模型解析解</w:t>
      </w:r>
    </w:p>
    <w:p w14:paraId="07CD2ADC"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垃圾渗滤液调节池中淋溶液渗漏进入地下水中，渗漏</w:t>
      </w:r>
      <w:r>
        <w:rPr>
          <w:rFonts w:ascii="Times New Roman" w:eastAsia="宋体" w:hAnsi="Times New Roman" w:cs="Times New Roman"/>
          <w:sz w:val="24"/>
          <w:szCs w:val="24"/>
        </w:rPr>
        <w:t>90d</w:t>
      </w:r>
      <w:r>
        <w:rPr>
          <w:rFonts w:ascii="Times New Roman" w:eastAsia="宋体" w:hAnsi="Times New Roman" w:cs="Times New Roman"/>
          <w:sz w:val="24"/>
          <w:szCs w:val="24"/>
        </w:rPr>
        <w:t>后及时发现情况，对防渗层进行处理后不再渗漏。该数学模型的解析解为：</w:t>
      </w:r>
    </w:p>
    <w:p w14:paraId="64F1E335" w14:textId="77777777" w:rsidR="00D12939" w:rsidRDefault="002A4A5F">
      <w:pPr>
        <w:ind w:firstLine="480"/>
        <w:jc w:val="center"/>
      </w:pPr>
      <w:r>
        <w:pict w14:anchorId="46AC1929">
          <v:shape id="_x0000_i1027" type="#_x0000_t75" style="width:222.25pt;height:34.6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f&gt;&lt;m:fPr&gt;&lt;m:ctrlPr&gt;&lt;w:rPr&gt;&lt;w:rFonts w:ascii=&quot;Cambria Math&quot; w:h-ansi=&quot;Cambria Math&quot; w:hint=&quot;default&quot;/&gt;&lt;w:color w:val=&quot;auto&quot;/&gt;&lt;/w:rPr&gt;&lt;/m:ctrlPr&gt;&lt;/m:fPr&gt;&lt;m:num&gt;&lt;m:r&gt;&lt;m:rPr&gt;&lt;m:scr m:val=&quot;roman&quot;/&gt;&lt;/m:rPr&gt;&lt;w:rPr&gt;&lt;w:rFonts w:ascii=&quot;Cambria Math&quot; w:h-ansi=&quot;Cambria Math&quot; w:hint=&quot;fareast&quot;/&gt;&lt;w:color w:val=&quot;auto&quot;/&gt;&lt;/w:rPr&gt;&lt;m:t&gt;C&lt;/m:t&gt;&lt;/m:r&gt;&lt;m:ctrlPr&gt;&lt;w:rPr&gt;&lt;w:rFonts w:ascii=&quot;Cambria Math&quot; w:h-ansi=&quot;Cambria Math&quot; w:hint=&quot;default&quot;/&gt;&lt;w:color w:val=&quot;auto&quot;/&gt;&lt;/w:rPr&gt;&lt;/m:ctrlPr&gt;&lt;/m:num&gt;&lt;m:den&gt;&lt;m:sSub&gt;&lt;m:sSubPr&gt;&lt;m:ctrlPr&gt;&lt;w:rPr&gt;&lt;w:rFonts w:ascii=&quot;Cambria Math&quot; w:h-ansi=&quot;Cambria Math&quot; w:hint=&quot;default&quot;/&gt;&lt;w:i/&gt;&lt;w:color w:val=&quot;auto&quot;/&gt;&lt;/w:rPr&gt;&lt;/m:ctrlPr&gt;&lt;/m:sSubPr&gt;&lt;m:e&gt;&lt;m:r&gt;&lt;m:rPr&gt;&lt;m:scr m:val=&quot;roman&quot;/&gt;&lt;/m:rPr&gt;&lt;w:rPr&gt;&lt;w:rFonts w:ascii=&quot;Cambria Math&quot; w:h-ansi=&quot;Cambria Math&quot; w:hint=&quot;fareast&quot;/&gt;&lt;w:color w:val=&quot;auto&quot;/&gt;&lt;/w:rPr&gt;&lt;m:t&gt;C&lt;/m:t&gt;&lt;/m:r&gt;&lt;m:ctrlPr&gt;&lt;w:rPr&gt;&lt;w:rFonts w:ascii=&quot;Cambria Math&quot; w:h-ansi=&quot;Cambria Math&quot; w:hint=&quot;default&quot;/&gt;&lt;w:i/&gt;&lt;w:color w:val=&quot;auto&quot;/&gt;&lt;/w:rPr&gt;&lt;/m:ctrlPr&gt;&lt;/m:e&gt;&lt;m:sub&gt;&lt;m:r&gt;&lt;m:rPr&gt;&lt;m:scr m:val=&quot;roman&quot;/&gt;&lt;/m:rPr&gt;&lt;w:rPr&gt;&lt;w:rFonts w:ascii=&quot;Cambria Math&quot; w:h-ansi=&quot;Cambria Math&quot; w:hint=&quot;fareast&quot;/&gt;&lt;w:color w:val=&quot;auto&quot;/&gt;&lt;/w:rPr&gt;&lt;m:t&gt;0&lt;/m:t&gt;&lt;/m:r&gt;&lt;m:ctrlPr&gt;&lt;w:rPr&gt;&lt;w:rFonts w:ascii=&quot;Cambria Math&quot; w:h-ansi=&quot;Cambria Math&quot; w:hint=&quot;default&quot;/&gt;&lt;w:i/&gt;&lt;w:color w:val=&quot;auto&quot;/&gt;&lt;/w:rPr&gt;&lt;/m:ctrlPr&gt;&lt;/m:sub&gt;&lt;/m:sSub&gt;&lt;m:ctrlPr&gt;&lt;w:rPr&gt;&lt;w:rFonts w:ascii=&quot;Cambria Math&quot; w:h-ansi=&quot;Cambria Math&quot; w:hint=&quot;default&quot;/&gt;&lt;w:color w:val=&quot;auto&quot;/&gt;&lt;/w:rPr&gt;&lt;/m:ctrlPr&gt;&lt;/m:den&gt;&lt;/m:f&gt;&lt;m:r&gt;&lt;m:rPr&gt;&lt;m:scr m:val=&quot;roman&quot;/&gt;&lt;/m:rPr&gt;&lt;w:rPr&gt;&lt;w:rFonts w:ascii=&quot;Cambria Math&quot; w:h-ansi=&quot;Cambria Math&quot; w:hint=&quot;fareast&quot;/&gt;&lt;w:color w:val=&quot;auto&quot;/&gt;&lt;/w:rPr&gt;&lt;m:t&gt;=&lt;/m:t&gt;&lt;/m:r&gt;&lt;m:f&gt;&lt;m:fPr&gt;&lt;m:ctrlPr&gt;&lt;w:rPr&gt;&lt;w:rFonts w:ascii=&quot;Cambria Math&quot; w:h-ansi=&quot;Cambria Math&quot; w:hint=&quot;default&quot;/&gt;&lt;w:i/&gt;&lt;w:color w:val=&quot;auto&quot;/&gt;&lt;/w:rPr&gt;&lt;/m:ctrlPr&gt;&lt;/m:fPr&gt;&lt;m:num&gt;&lt;m:r&gt;&lt;m:rPr&gt;&lt;m:scr m:val=&quot;roman&quot;/&gt;&lt;/m:rPr&gt;&lt;w:rPr&gt;&lt;w:rFonts w:ascii=&quot;Cambria Math&quot; w:h-ansi=&quot;Cambria Math&quot; w:hint=&quot;fareast&quot;/&gt;&lt;w:color w:val=&quot;auto&quot;/&gt;&lt;/w:rPr&gt;&lt;m:t&gt;1&lt;/m:t&gt;&lt;/m:r&gt;&lt;m:ctrlPr&gt;&lt;w:rPr&gt;&lt;w:rFonts w:ascii=&quot;Cambria Math&quot; w:h-ansi=&quot;Cambria Math&quot; w:hint=&quot;default&quot;/&gt;&lt;w:i/&gt;&lt;w:color w:val=&quot;auto&quot;/&gt;&lt;/w:rPr&gt;&lt;/m:ctrlPr&gt;&lt;/m:num&gt;&lt;m:den&gt;&lt;m:r&gt;&lt;m:rPr&gt;&lt;m:scr m:val=&quot;roman&quot;/&gt;&lt;/m:rPr&gt;&lt;w:rPr&gt;&lt;w:rFonts w:ascii=&quot;Cambria Math&quot; w:h-ansi=&quot;Cambria Math&quot; w:hint=&quot;fareast&quot;/&gt;&lt;w:color w:val=&quot;auto&quot;/&gt;&lt;/w:rPr&gt;&lt;m:t&gt;2&lt;/m:t&gt;&lt;/m:r&gt;&lt;m:ctrlPr&gt;&lt;w:rPr&gt;&lt;w:rFonts w:ascii=&quot;Cambria Math&quot; w:h-ansi=&quot;Cambria Math&quot; w:hint=&quot;default&quot;/&gt;&lt;w:i/&gt;&lt;w:color w:val=&quot;auto&quot;/&gt;&lt;/w:rPr&gt;&lt;/m:ctrlPr&gt;&lt;/m:den&gt;&lt;/m:f&gt;&lt;m:r&gt;&lt;m:rPr&gt;&lt;m:scr m:val=&quot;roman&quot;/&gt;&lt;/m:rPr&gt;&lt;w:rPr&gt;&lt;w:rFonts w:ascii=&quot;Cambria Math&quot; w:h-ansi=&quot;Cambria Math&quot; w:hint=&quot;fareast&quot;/&gt;&lt;w:color w:val=&quot;auto&quot;/&gt;&lt;/w:rPr&gt;&lt;m:t&gt;erfc&lt;/m:t&gt;&lt;/m:r&gt;&lt;m:d&gt;&lt;m:dPr&gt;&lt;m:ctrlPr&gt;&lt;w:rPr&gt;&lt;w:rFonts w:ascii=&quot;Cambria Math&quot; w:h-ansi=&quot;Cambria Math&quot; w:hint=&quot;default&quot;/&gt;&lt;w:i/&gt;&lt;w:color w:val=&quot;auto&quot;/&gt;&lt;/w:rPr&gt;&lt;/m:ctrlPr&gt;&lt;/m:dPr&gt;&lt;m:e&gt;&lt;m:f&gt;&lt;m:fPr&gt;&lt;m:ctrlPr&gt;&lt;w:rPr&gt;&lt;w:rFonts w:ascii=&quot;Cambria Math&quot; w:h-ansi=&quot;Cambria Math&quot; w:hint=&quot;default&quot;/&gt;&lt;w:i/&gt;&lt;w:color w:val=&quot;auto&quot;/&gt;&lt;/w:rPr&gt;&lt;/m:ctrlPr&gt;&lt;/m:fPr&gt;&lt;m:num&gt;&lt;m:r&gt;&lt;m:rPr&gt;&lt;m:scr m:val=&quot;roman&quot;/&gt;&lt;/m:rPr&gt;&lt;w:rPr&gt;&lt;w:rFonts w:ascii=&quot;Cambria Math&quot; w:h-ansi=&quot;Cambria Math&quot; w:hint=&quot;default&quot;/&gt;&lt;w:color w:val=&quot;auto&quot;/&gt;&lt;/w:rPr&gt;&lt;m:t&gt;x鈭抲t&lt;/m:t&gt;&lt;/m:r&gt;&lt;m:ctrlPr&gt;&lt;w:rPr&gt;&lt;w:rFonts w:ascii=&quot;Cambria Math&quot; w:h-ansi=&quot;Cambria Math&quot; w:hint=&quot;default&quot;/&gt;&lt;w:i/&gt;&lt;w:color w:val=&quot;auto&quot;/&gt;&lt;/w:rPr&gt;&lt;/m:ctrlPr&gt;&lt;/m:num&gt;&lt;m:den&gt;&lt;m:r&gt;&lt;m:rPr&gt;&lt;m:scr m:val=&quot;roman&quot;/&gt;&lt;/m:rPr&gt;&lt;w:rPr&gt;&lt;w:rFonts w:ascii=&quot;Cam&lt;/&lt;/&lt;/&lt;/&lt;/&lt;/&lt;/&lt;/&lt;/&lt;/&lt;/&lt;/&lt;/&lt;/&lt;/&lt;/&lt;/&lt;/bria Math&quot; w:h-ansi=&quot;Cambria Math&quot; w:hint=&quot;fareast&quot;/&gt;&lt;w:color w:val=&quot;auto&quot;/&gt;&lt;/w:rPr&gt;&lt;m:t&gt;2&lt;/m:t&gt;&lt;/m:r&gt;&lt;m:rad&gt;&lt;m:radPr&gt;&lt;m:degHide m:val=&quot;1&quot;/&gt;&lt;m:ctrlPr&gt;&lt;w:rPr&gt;&lt;w:rFonts w:ascii=&quot;Cambria Math&quot; w:h-ansi=&quot;Cambria Math&quot; w:hint=&quot;default&quot;/&gt;&lt;w:i/&gt;&lt;w:color w:val=&quot;auto&quot;/&gt;&lt;/w:rPr&gt;&lt;/m:ctrlPr&gt;&lt;/m:radPr&gt;&lt;m:deg&gt;&lt;m:ctrlPr&gt;&lt;w:rPr&gt;&lt;w:rFonts w:ascii=&quot;Cambria Math&quot; w:h-ansi=&quot;Cambria Math&quot; w:hint=&quot;default&quot;/&gt;&lt;w:i/&gt;&lt;w:color w:val=&quot;auto&quot;/&gt;&lt;/w:rPr&gt;&lt;/m:ctrlPr&gt;&lt;/m:deg&gt;&lt;m:e&gt;&lt;m:sSub&gt;&lt;m:sSubPr&gt;&lt;m:ctrlPr&gt;&lt;w:rPr&gt;&lt;w:rFonts w:ascii=&quot;Cambria Math&quot; w:h-ansi=&quot;Cambria Math&quot; w:hint=&quot;default&quot;/&gt;&lt;w:i/&gt;&lt;w:color w:val=&quot;auto&quot;/&gt;&lt;/w:rPr&gt;&lt;/m:ctrlPr&gt;&lt;/m:sSubPr&gt;&lt;m:e&gt;&lt;m:r&gt;&lt;m:rPr&gt;&lt;m:scr m:val=&quot;roman&quot;/&gt;&lt;/m:rPr&gt;&lt;w:rPr&gt;&lt;w:rFonts w:ascii=&quot;Cambria Math&quot; w:h-ansi=&quot;Cambria Math&quot; w:hint=&quot;fareast&quot;/&gt;&lt;w:color w:val=&quot;auto&quot;/&gt;&lt;/w:rPr&gt;&lt;m:t&gt;D&lt;/m:t&gt;&lt;/m:r&gt;&lt;m:ctrlPr&gt;&lt;w:rPr&gt;&lt;w:rFonts w:ascii=&quot;Cambria Math&quot; w:h-ansi=&quot;Cambria Math&quot; w:hint=&quot;default&quot;/&gt;&lt;w:i/&gt;&lt;w:color w:val=&quot;auto&quot;/&gt;&lt;/w:rPr&gt;&lt;/m:ctrlPr&gt;&lt;/m:e&gt;&lt;m:sub&gt;&lt;m:r&gt;&lt;m:rPr&gt;&lt;m:scr m:val=&quot;roman&quot;/&gt;&lt;/m:rPr&gt;&lt;w:rPr&gt;&lt;w:rFonts w:ascii=&quot;Cambria Math&quot; w:h-ansi=&quot;Cambria Math&quot; w:hint=&quot;fareast&quot;/&gt;&lt;w:color w:val=&quot;auto&quot;/&gt;&lt;/w:rPr&gt;&lt;m:t&gt;L&lt;/m:t&gt;&lt;/m:r&gt;&lt;m:ctrlPr&gt;&lt;w:rPr&gt;&lt;w:rFonts w:ascii=&quot;Cambria Math&quot; w:h-ansi=&quot;Cambria Math&quot; w:hint=&quot;default&quot;/&gt;&lt;w:i/&gt;&lt;w:color w:val=&quot;auto&quot;/&gt;&lt;/w:rPr&gt;&lt;/m:ctrlPr&gt;&lt;/m:sub&gt;&lt;/m:sSub&gt;&lt;m:r&gt;&lt;m:rPr&gt;&lt;m:scr m:val=&quot;roman&quot;/&gt;&lt;/m:rPr&gt;&lt;w:rPr&gt;&lt;w:rFonts w:ascii=&quot;Cambria Math&quot; w:h-ansi=&quot;Cambria Math&quot; w:hint=&quot;fareast&quot;/&gt;&lt;w:color w:val=&quot;auto&quot;/&gt;&lt;/w:rPr&gt;&lt;m:t&gt;t&lt;/m:t&gt;&lt;/m:r&gt;&lt;m:ctrlPr&gt;&lt;w:rPr&gt;&lt;w:rFonts w:ascii=&quot;Cambria Math&quot; w:h-ansi=&quot;Cambria Math&quot; w:hint=&quot;default&quot;/&gt;&lt;w:i/&gt;&lt;w:color w:val=&quot;auto&quot;/&gt;&lt;/w:rPr&gt;&lt;/m:ctrlPr&gt;&lt;/m:e&gt;&lt;/m:rad&gt;&lt;m:ctrlPr&gt;&lt;w:rPr&gt;&lt;w:rFonts w:ascii=&quot;Cambria Math&quot; w:h-ansi=&quot;Cambria Math&quot; w:hint=&quot;default&quot;/&gt;&lt;w:i/&gt;&lt;w:color w:val=&quot;auto&quot;/&gt;&lt;/w:rPr&gt;&lt;/m:ctrlPr&gt;&lt;/m:den&gt;&lt;/m:f&gt;&lt;m:ctrlPr&gt;&lt;w:rPr&gt;&lt;w:rFonts w:ascii=&quot;Cambria Math&quot; w:h-ansi=&quot;Cambria Math&quot; w:hint=&quot;default&quot;/&gt;&lt;w:i/&gt;&lt;w:color w:val=&quot;auto&quot;/&gt;&lt;/w:rPr&gt;&lt;/m:ctrlPr&gt;&lt;/m:e&gt;&lt;/m:d&gt;&lt;m:r&gt;&lt;m:rPr&gt;&lt;m:scr m:val=&quot;roman&quot;/&gt;&lt;/m:rPr&gt;&lt;w:rPr&gt;&lt;w:rFonts w:ascii=&quot;Cambria Math&quot; w:h-ansi=&quot;Cambria Math&quot; w:hint=&quot;fareast&quot;/&gt;&lt;w:color w:val=&quot;auto&quot;/&gt;&lt;/w:rPr&gt;&lt;m:t&gt;+&lt;/m:t&gt;&lt;/m:r&gt;&lt;m:f&gt;&lt;m:fPr&gt;&lt;m:ctrlPr&gt;&lt;w:rPr&gt;&lt;w:rFonts w:ascii=&quot;Cambria Math&quot; w:h-ansi=&quot;Cambria Math&quot; w:hint=&quot;default&quot;/&gt;&lt;w:i/&gt;&lt;w:color w:val=&quot;auto&quot;/&gt;&lt;/w:rPr&gt;&lt;/m:ctrlPr&gt;&lt;/m:fPr&gt;&lt;m:num&gt;&lt;m:r&gt;&lt;m:rPr&gt;&lt;m:scr m:val=&quot;roman&quot;/&gt;&lt;/m:rPr&gt;&lt;w:rPr&gt;&lt;w:rFonts w:ascii=&quot;Cambria Math&quot; w:h-ansi=&quot;Cambria Math&quot; w:hint=&quot;fareast&quot;/&gt;&lt;w:color w:val=&quot;auto&quot;/&gt;&lt;/w:rPr&gt;&lt;m:t&gt;1&lt;/m:t&gt;&lt;/m:r&gt;&lt;m:ctrlPr&gt;&lt;w:rPr&gt;&lt;w:rFonts w:ascii=&quot;Cambria Math&quot; w:h-ansi=&quot;Cambria Math&quot; w:hint=&quot;default&quot;/&gt;&lt;w:i/&gt;&lt;w:color w:val=&quot;auto&quot;/&gt;&lt;/w:rPr&gt;&lt;/m:ctrlPr&gt;&lt;/m:num&gt;&lt;m:den&gt;&lt;m:r&gt;&lt;m:rPr&gt;&lt;m:scr m:val=&quot;roman&quot;/&gt;&lt;/m:rPr&gt;&lt;w:rPr&gt;&lt;w:rFonts w:ascii=&quot;Cambria Math&quot; w:h-ansi=&quot;Cambria Math&quot; w:hint=&quot;fareast&quot;/&gt;&lt;w:color w:val=&quot;auto&quot;/&gt;&lt;/w:rPr&gt;&lt;m:t&gt;2&lt;/m:t&gt;&lt;/m:r&gt;&lt;m:ctrlPr&gt;&lt;w:rPr&gt;&lt;w:rFonts w:ascii=&quot;Cambria Math&quot; w:h-ansi=&quot;Cambria Math&quot; w:hint=&quot;default&quot;/&gt;&lt;w:i/&gt;&lt;w:color w:val=&quot;auto&quot;/&gt;&lt;/w:rPr&gt;&lt;/m:ctrlPr&gt;&lt;/m:den&gt;&lt;/m:f&gt;&lt;m:sSup&gt;&lt;m:sSupPr&gt;&lt;m:ctrlPr&gt;&lt;w:rPr&gt;&lt;w:rFonts w:ascii=&quot;Cambria Math&quot; w:h-ansi=&quot;Cambria Math&quot; w:hint=&quot;default&quot;/&gt;&lt;w:i/&gt;&lt;w:color w:val=&quot;auto&quot;/&gt;&lt;/w:rPr&gt;&lt;/m:ctrlPr&gt;&lt;/m:sSupPr&gt;&lt;m:e&gt;&lt;m:r&gt;&lt;m:rPr&gt;&lt;m:scr m:val=&quot;roman&quot;/&gt;&lt;/m:rPr&gt;&lt;w:rPr&gt;&lt;w:rFonts w:ascii=&quot;Cambria Math&quot; w:h-ansi=&quot;Cambria Math&quot; w:hint=&quot;fareast&quot;/&gt;&lt;w:color w:val=&quot;auto&quot;/&gt;&lt;/w:rPr&gt;&lt;m:t&gt;e&lt;/m:t&gt;&lt;/m:r&gt;&lt;m:ctrlPr&gt;&lt;w:rPr&gt;&lt;w:rFonts w:ascii=&quot;Cambria Math&quot; w:h-ansi=&quot;Cambria Math&quot; w:hint=&quot;default&quot;/&gt;&lt;w:i/&gt;&lt;w:color w:val=&quot;auto&quot;/&gt;&lt;/w:rPr&gt;&lt;/m:ctrlPr&gt;&lt;/m:e&gt;&lt;m:sup&gt;&lt;m:f&gt;&lt;m:fPr&gt;&lt;m:ctrlPr&gt;&lt;w:rPr&gt;&lt;w:rFonts w:ascii=&quot;Cambria Math&quot; w:h-ansi=&quot;Cambria Math&quot; w:hint=&quot;default&quot;/&gt;&lt;w:i/&gt;&lt;w:color w:val=&quot;auto&quot;/&gt;&lt;/w:rPr&gt;&lt;/m:ctrlPr&gt;&lt;/m:fPr&gt;&lt;m:num&gt;&lt;m:r&gt;&lt;m:rPr&gt;&lt;m:scr m:val=&quot;roman&quot;/&gt;&lt;/m:rPr&gt;&lt;w:rPr&gt;&lt;w:rFonts w:ascii=&quot;Cambria Math&quot; w:h-ansi=&quot;Cambria Math&quot; w:hint=&quot;fareast&quot;/&gt;&lt;w:color w:val=&quot;auto&quot;/&gt;&lt;/w:rPr&gt;&lt;m:t&gt;ux&lt;/m:t&gt;&lt;/m:r&gt;&lt;m:ctrlPr&gt;&lt;w:rPr&gt;&lt;w:rFonts w:ascii=&quot;Cambria Math&quot; w:h-ansi=&quot;Cambria Math&quot; w:hint=&quot;default&quot;/&gt;&lt;w:i/&gt;&lt;w:color w:val=&quot;auto&quot;/&gt;&lt;/w:rPr&gt;&lt;/m:ctrlPr&gt;&lt;/m:num&gt;&lt;m:den&gt;&lt;m:sSub&gt;&lt;m:sSubPr&gt;&lt;m:ctrlPr&gt;&lt;w:rPr&gt;&lt;w:rFonts w:ascii=&quot;Cambria Math&quot; w:h-ansi=&quot;Cambria Math&quot; w:hint=&quot;default&quot;/&gt;&lt;w:i/&gt;&lt;w:color w:val=&quot;auto&quot;/&gt;&lt;/w:rPr&gt;&lt;/m:ctrlPr&gt;&lt;/m:sSubPr&gt;&lt;m:e&gt;&lt;m:r&gt;&lt;m:rPr&gt;&lt;m:scr m:val=&quot;roman&quot;/&gt;&lt;/m:rPr&gt;&lt;w:rPr&gt;&lt;w:rFonts w:ascii=&quot;Cambria Math&quot; w:h-ansi=&quot;Cambria Math&quot; w:hint=&quot;fareast&quot;/&gt;&lt;w:color w:val=&quot;auto&quot;/&gt;&lt;/w:rPr&gt;&lt;m:t&gt;D&lt;/m:t&gt;&lt;/m:r&gt;&lt;m:ctrlPr&gt;&lt;w:rPr&gt;&lt;w:rFonts w:ascii=&quot;Cambria Math&quot; w:h-ansi=&quot;Cambria Math&quot; w:hint=&quot;default&quot;/&gt;&lt;w:i/&gt;&lt;w:color w:val=&quot;auto&quot;/&gt;&lt;/w:rPr&gt;&lt;/m:ctrlPr&gt;&lt;/m:e&gt;&lt;m:sub&gt;&lt;m:r&gt;&lt;m:rPr&gt;&lt;m:scr m:val=&quot;roman&quot;/&gt;&lt;/m:rPr&gt;&lt;w:rPr&gt;&lt;w:rFonts w:ascii=&quot;Cambria Math&quot; w:h-ansi=&quot;Cambria Math&quot; w:hint=&quot;fareast&quot;/&gt;&lt;w:color w:val=&quot;auto&quot;/&gt;&lt;/w:rPr&gt;&lt;m:t&gt;L&lt;/m:t&gt;&lt;/m:r&gt;&lt;m:ctrlPr&gt;&lt;w:rPr&gt;&lt;w:rFonts w:ascii=&quot;Cambria Math&quot; w:h-ansi=&quot;Cambria Math&quot; w:hint=&quot;default&quot;/&gt;&lt;w:i/&gt;&lt;w:color w:val=&quot;auto&quot;/&gt;&lt;/w:rPr&gt;&lt;/m:ctrlPr&gt;&lt;/m:sub&gt;&lt;/m:sSub&gt;&lt;m:ctrlPr&gt;&lt;w:rPr&gt;&lt;w:rFonts w:ascii=&quot;Cambria Math&quot; w:h-ansi=&quot;Cambria Math&quot; w:hint=&quot;default&quot;/&gt;&lt;w:i/&gt;&lt;w:color w:val=&quot;auto&quot;/&gt;&lt;/w:rPr&gt;&lt;/m:ctrlPr&gt;&lt;/m:den&gt;&lt;/m:f&gt;&lt;m:ctrlPr&gt;&lt;w:rPr&gt;&lt;w:rFonts w:ascii=&quot;Cambria Math&quot; w:h-ansi=&quot;Cambria Math&quot; w:hint=&quot;default&quot;/&gt;&lt;w:i/&gt;&lt;w:color w:val=&quot;auto&quot;/&gt;&lt;/w:rPr&gt;&lt;/m:ctrlPr&gt;&lt;/m:sup&gt;&lt;/m:sSup&gt;&lt;m:r&gt;&lt;m:rPr&gt;&lt;m:scr m:val=&quot;roman&quot;/&gt;&lt;/m:rPr&gt;&lt;w:rPr&gt;&lt;w:rFonts w:ascii=&quot;Cambria Math&quot; w:h-ansi=&quot;Cambria Math&quot; w:hint=&quot;fareast&quot;/&gt;&lt;w:color w:val=&quot;auto&quot;/&gt;&lt;/w:rPr&gt;&lt;m:t&gt;erfc&lt;/m:t&gt;&lt;/m:r&gt;&lt;m:d&gt;&lt;m:dPr&gt;&lt;m:ctrlPr&gt;&lt;w:rPr&gt;&lt;w:rFonts w:ascii=&quot;Cambria Math&quot; w:h-ansi=&quot;Cambria Math&quot; w:hint=&quot;default&quot;/&gt;&lt;w:i/&gt;&lt;w:color w:val=&quot;auto&quot;/&gt;&lt;/w:rPr&gt;&lt;/m:ctrlPr&gt;&lt;/m:dPr&gt;&lt;m:e&gt;&lt;m:f&gt;&lt;m:fPr&gt;&lt;m:ctrlPr&gt;&lt;w:rPr&gt;&lt;w:rFonts w:ascii=&quot;Cambria Math&quot; w:h-ansi=&quot;Cambria Math&quot; w:hint=&quot;default&quot;/&gt;&lt;w:i/&gt;&lt;w:color w:val=&quot;auto&quot;/&gt;&lt;/w:rPr&gt;&lt;/m:ctrlPr&gt;&lt;/m:fPr&gt;&lt;m:num&gt;&lt;m:r&gt;&lt;m:rPr&gt;&lt;m:scr m:val=&quot;roman&quot;/&gt;&lt;/m:rPr&gt;&lt;w:rPr&gt;&lt;w:rFonts w:ascii=&quot;Cambria Math&quot; w:h-ansi=&quot;Cambria Math&quot; w:hint=&quot;fareast&quot;/&gt;&lt;w:color w:val=&quot;auto&quot;/&gt;&lt;/w:rPr&gt;&lt;m:t&gt;x+ut&lt;/m:t&gt;&lt;/m:r&gt;&lt;m:ctrlPr&gt;&lt;w:rPr&gt;&lt;w:rFonts w:ascii=&quot;Cambria Math&quot; w:h-ansi=&quot;Cambria Math&quot; w:hint=&quot;default&quot;/&gt;&lt;w:i/&gt;&lt;w:color w:val=&quot;auto&quot;/&gt;&lt;/w:rPr&gt;&lt;/m:ctrlPr&gt;&lt;/m:num&gt;&lt;m:den&gt;&lt;m:r&gt;&lt;m:rPr&gt;&lt;m:scr m:val=&quot;roman&quot;/&gt;&lt;/m:rPr&gt;&lt;w:rPr&gt;&lt;w:rFonts w:ascii=&quot;Cambria Math&quot; w:h-ansi=&quot;Cambria Math&quot; w:hint=&quot;fareast&quot;/&gt;&lt;w:color w:val=&quot;auto&quot;/&gt;&lt;/w:rPr&gt;&lt;m:t&gt;2&lt;/m:t&gt;&lt;/m:r&gt;&lt;m:rad&gt;&lt;m:radPr&gt;&lt;m:degHide m:val=&quot;1&quot;/&gt;&lt;m:ctrlPr&gt;&lt;w:rPr&gt;&lt;w:rFonts w:ascii=&quot;Cambria Math&quot; w:h-ansi=&quot;Cambria Math&quot; w:hint=&quot;default&quot;/&gt;&lt;w:i/&gt;&lt;w:color w:val=&quot;auto&quot;/&gt;&lt;/w:rPr&gt;&lt;/m:ctrlPr&gt;&lt;/m:radPr&gt;&lt;m:deg&gt;&lt;m:ctrlPr&gt;&lt;w:rPr&gt;&lt;w:rFonts w:ascii=&quot;Cambria Math&quot; w:h-ansi=&quot;Cambria Math&quot; w:hint=&quot;default&quot;/&gt;&lt;w:i/&gt;&lt;w:color w:val=&quot;auto&quot;/&gt;&lt;/w:rPr&gt;&lt;/m:ctrlPr&gt;&lt;/m:deg&gt;&lt;m:e&gt;&lt;m:sSub&gt;&lt;m:sSubPr&gt;&lt;m:ctrlPr&gt;&lt;w:rPr&gt;&lt;w:rFonts w:ascii=&quot;Cambria Math&quot; w:h-ansi=&quot;Cambria Math&quot; w:hint=&quot;default&quot;/&gt;&lt;w:i/&gt;&lt;w:color w:val=&quot;auto&quot;/&gt;&lt;/w:rPr&gt;&lt;/m:ctrlPr&gt;&lt;/m:sSubPr&gt;&lt;m:e&gt;&lt;m:r&gt;&lt;m:rPr&gt;&lt;m:scr m:val=&quot;roman&quot;/&gt;&lt;/m:rPr&gt;&lt;w:rPr&gt;&lt;w:rFonts w:ascii=&quot;Cambria Math&quot; w:h-ansi=&quot;Cambria Math&quot; w:hint=&quot;fareast&quot;/&gt;&lt;w:color w:val=&quot;auto&quot;/&gt;&lt;/w:rPr&gt;&lt;m:t&gt;D&lt;/m:t&gt;&lt;/m:r&gt;&lt;m:ctrlPr&gt;&lt;w:rPr&gt;&lt;w:rFonts w:ascii=&quot;Cambria Math&quot; w:h-ansi=&quot;Cambria Math&quot; w:hint=&quot;default&quot;/&gt;&lt;w:i/&gt;&lt;w:color w:val=&quot;auto&quot;/&gt;&lt;/w:rPr&gt;&lt;/m:ctrlPr&gt;&lt;/m:e&gt;&lt;m:sub&gt;&lt;m:r&gt;&lt;m:rPr&gt;&lt;m:scr m:val=&quot;roman&quot;/&gt;&lt;/m:rPr&gt;&lt;w:rPr&gt;&lt;w:rFonts w:ascii=&quot;Cambria Math&quot; w:h-ansi=&quot;Cambria Math&quot; w:hint=&quot;fareast&quot;/&gt;&lt;w:color w:val=&quot;auto&quot;/&gt;&lt;/w:rPr&gt;&lt;m:t&gt;L&lt;/m:t&gt;&lt;/m:r&gt;&lt;m:ctrlPr&gt;&lt;w:rPr&gt;&lt;w:rFonts w:ascii=&quot;Cambria Math&quot; w:h-ansi=&quot;Cambria Math&quot; w:hint=&quot;default&quot;/&gt;&lt;w:i/&gt;&lt;w:color w:val=&quot;auto&quot;/&gt;&lt;/w:rPr&gt;&lt;/m:ctrlPr&gt;&lt;/m:sub&gt;&lt;/m:sSub&gt;&lt;m:r&gt;&lt;m:rPr&gt;&lt;m:scr m:val=&quot;roman&quot;/&gt;&lt;/m:rPr&gt;&lt;w:rPr&gt;&lt;w:rFonts w:ascii=&quot;Cambria Math&quot; w:h-ansi=&quot;Cambria Math&quot; w:hint=&quot;fareast&quot;/&gt;&lt;w:color w:val=&quot;auto&quot;/&gt;&lt;/w:rPr&gt;&lt;m:t&gt;t&lt;/m:t&gt;&lt;/m:r&gt;&lt;m:ctrlPr&gt;&lt;w:rPr&gt;&lt;w:rFonts w:ascii=&quot;Cambria Math&quot; w:h-ansi=&quot;Cambria Math&quot; w:hint=&quot;default&quot;/&gt;&lt;w:i/&gt;&lt;w:color w:val=&quot;auto&quot;/&gt;&lt;/w:rPr&gt;&lt;/m:ctrlPr&gt;&lt;/m:e&gt;&lt;/m:rad&gt;&lt;m:ctrlPr&gt;&lt;w:rPr&gt;&lt;w:rFonts w:ascii=&quot;Cambria Math&quot; w:h-ansi=&quot;Cambria Math&quot; w:hint=&quot;default&quot;/&gt;&lt;w:i/&gt;&lt;w:color w:val=&quot;auto&quot;/&gt;&lt;/w:rPr&gt;&lt;/m:ctrlPr&gt;&lt;/m:den&gt;&lt;/m:f&gt;&lt;m:ctrlPr&gt;&lt;w:rPr&gt;&lt;w:rFonts w:ascii=&quot;Cambria Math&quot; w:h-ansi=&quot;Cambria Math&quot; w:hint=&quot;default&quot;/&gt;&lt;w:i/&gt;&lt;w:color w:val=&quot;auto&quot;/&gt;&lt;/w:rPr&gt;&lt;/m:ctrlPr&gt;&lt;/m:e&gt;&lt;/m:d&gt;&lt;/m:oMath&gt;&lt;/m:oMathPara&gt;&lt;/w:p&gt;&lt;/wx:sect&gt;&lt;/w:body&gt;&lt;/w:wordDocument">
            <v:imagedata r:id="rId63" o:title=""/>
            <o:lock v:ext="edit" aspectratio="f"/>
          </v:shape>
        </w:pict>
      </w:r>
    </w:p>
    <w:p w14:paraId="7629BB86" w14:textId="77777777" w:rsidR="00D12939" w:rsidRDefault="004F47F5">
      <w:pPr>
        <w:pStyle w:val="afffffffffffff"/>
        <w:ind w:firstLineChars="0"/>
        <w:rPr>
          <w:szCs w:val="24"/>
        </w:rPr>
      </w:pPr>
      <w:r>
        <w:rPr>
          <w:szCs w:val="24"/>
        </w:rPr>
        <w:t>式中：</w:t>
      </w:r>
    </w:p>
    <w:p w14:paraId="3A0C0981" w14:textId="77777777" w:rsidR="00D12939" w:rsidRDefault="004F47F5">
      <w:pPr>
        <w:pStyle w:val="afffffffffffff"/>
        <w:ind w:leftChars="200" w:left="420" w:firstLineChars="0" w:firstLine="482"/>
        <w:rPr>
          <w:szCs w:val="24"/>
        </w:rPr>
      </w:pPr>
      <w:r>
        <w:rPr>
          <w:i/>
          <w:szCs w:val="24"/>
        </w:rPr>
        <w:t>x</w:t>
      </w:r>
      <w:r>
        <w:rPr>
          <w:szCs w:val="24"/>
        </w:rPr>
        <w:t>一距泄漏点的距离，</w:t>
      </w:r>
      <w:r>
        <w:rPr>
          <w:szCs w:val="24"/>
        </w:rPr>
        <w:t>m</w:t>
      </w:r>
      <w:r>
        <w:rPr>
          <w:szCs w:val="24"/>
        </w:rPr>
        <w:t>；</w:t>
      </w:r>
    </w:p>
    <w:p w14:paraId="7AD55D38" w14:textId="77777777" w:rsidR="00D12939" w:rsidRDefault="004F47F5">
      <w:pPr>
        <w:pStyle w:val="afffffffffffff"/>
        <w:ind w:leftChars="200" w:left="420" w:firstLineChars="0" w:firstLine="482"/>
        <w:rPr>
          <w:szCs w:val="24"/>
        </w:rPr>
      </w:pPr>
      <w:r>
        <w:rPr>
          <w:i/>
          <w:szCs w:val="24"/>
        </w:rPr>
        <w:t>t</w:t>
      </w:r>
      <w:r>
        <w:rPr>
          <w:szCs w:val="24"/>
        </w:rPr>
        <w:t>一时间，</w:t>
      </w:r>
      <w:r>
        <w:rPr>
          <w:szCs w:val="24"/>
        </w:rPr>
        <w:t>d</w:t>
      </w:r>
      <w:r>
        <w:rPr>
          <w:szCs w:val="24"/>
        </w:rPr>
        <w:t>；</w:t>
      </w:r>
    </w:p>
    <w:p w14:paraId="666638DC" w14:textId="77777777" w:rsidR="00D12939" w:rsidRDefault="004F47F5">
      <w:pPr>
        <w:pStyle w:val="afffffffffffff"/>
        <w:ind w:leftChars="200" w:left="420" w:firstLineChars="0" w:firstLine="482"/>
        <w:rPr>
          <w:szCs w:val="24"/>
        </w:rPr>
      </w:pPr>
      <w:r>
        <w:rPr>
          <w:i/>
          <w:szCs w:val="24"/>
        </w:rPr>
        <w:t>C</w:t>
      </w:r>
      <w:r>
        <w:rPr>
          <w:szCs w:val="24"/>
        </w:rPr>
        <w:t>一</w:t>
      </w:r>
      <w:r>
        <w:rPr>
          <w:i/>
          <w:szCs w:val="24"/>
        </w:rPr>
        <w:t>t</w:t>
      </w:r>
      <w:r>
        <w:rPr>
          <w:szCs w:val="24"/>
        </w:rPr>
        <w:t>时刻</w:t>
      </w:r>
      <w:r>
        <w:rPr>
          <w:i/>
          <w:szCs w:val="24"/>
        </w:rPr>
        <w:t>x</w:t>
      </w:r>
      <w:r>
        <w:rPr>
          <w:szCs w:val="24"/>
        </w:rPr>
        <w:t>处的地下水中的溶质浓度，</w:t>
      </w:r>
      <w:r>
        <w:rPr>
          <w:szCs w:val="24"/>
        </w:rPr>
        <w:t>mg/L</w:t>
      </w:r>
      <w:r>
        <w:rPr>
          <w:szCs w:val="24"/>
        </w:rPr>
        <w:t>；</w:t>
      </w:r>
    </w:p>
    <w:p w14:paraId="7AA03226" w14:textId="77777777" w:rsidR="00D12939" w:rsidRDefault="004F47F5">
      <w:pPr>
        <w:pStyle w:val="afffffffffffff"/>
        <w:ind w:leftChars="200" w:left="420" w:firstLineChars="0" w:firstLine="482"/>
        <w:rPr>
          <w:szCs w:val="24"/>
        </w:rPr>
      </w:pPr>
      <w:r>
        <w:rPr>
          <w:i/>
          <w:szCs w:val="24"/>
        </w:rPr>
        <w:t>C</w:t>
      </w:r>
      <w:r>
        <w:rPr>
          <w:i/>
          <w:szCs w:val="24"/>
          <w:vertAlign w:val="subscript"/>
        </w:rPr>
        <w:t>0</w:t>
      </w:r>
      <w:r>
        <w:rPr>
          <w:szCs w:val="24"/>
        </w:rPr>
        <w:t>一废水中的溶质浓度，</w:t>
      </w:r>
      <w:r>
        <w:rPr>
          <w:szCs w:val="24"/>
        </w:rPr>
        <w:t>mg/L</w:t>
      </w:r>
      <w:r>
        <w:rPr>
          <w:szCs w:val="24"/>
        </w:rPr>
        <w:t>；</w:t>
      </w:r>
    </w:p>
    <w:p w14:paraId="6EB0E106" w14:textId="77777777" w:rsidR="00D12939" w:rsidRDefault="004F47F5">
      <w:pPr>
        <w:pStyle w:val="afffffffffffff"/>
        <w:ind w:leftChars="200" w:left="420" w:firstLineChars="0" w:firstLine="482"/>
        <w:rPr>
          <w:szCs w:val="24"/>
        </w:rPr>
      </w:pPr>
      <w:r>
        <w:rPr>
          <w:i/>
          <w:szCs w:val="24"/>
        </w:rPr>
        <w:t>u</w:t>
      </w:r>
      <w:r>
        <w:rPr>
          <w:szCs w:val="24"/>
        </w:rPr>
        <w:t>一地下水孔隙平均流速，</w:t>
      </w:r>
      <w:r>
        <w:rPr>
          <w:szCs w:val="24"/>
        </w:rPr>
        <w:t>m/d</w:t>
      </w:r>
      <w:r>
        <w:rPr>
          <w:szCs w:val="24"/>
        </w:rPr>
        <w:t>；</w:t>
      </w:r>
    </w:p>
    <w:p w14:paraId="12B5A1E3" w14:textId="77777777" w:rsidR="00D12939" w:rsidRDefault="004F47F5">
      <w:pPr>
        <w:pStyle w:val="afffffffffffff"/>
        <w:ind w:leftChars="200" w:left="420" w:firstLineChars="0" w:firstLine="482"/>
        <w:rPr>
          <w:szCs w:val="24"/>
        </w:rPr>
      </w:pPr>
      <w:r>
        <w:rPr>
          <w:i/>
          <w:szCs w:val="24"/>
        </w:rPr>
        <w:t>D</w:t>
      </w:r>
      <w:r>
        <w:rPr>
          <w:i/>
          <w:szCs w:val="24"/>
          <w:vertAlign w:val="subscript"/>
        </w:rPr>
        <w:t>L</w:t>
      </w:r>
      <w:r>
        <w:rPr>
          <w:szCs w:val="24"/>
        </w:rPr>
        <w:t>一纵向弥散系数，</w:t>
      </w:r>
      <w:r>
        <w:rPr>
          <w:szCs w:val="24"/>
        </w:rPr>
        <w:t>m</w:t>
      </w:r>
      <w:r>
        <w:rPr>
          <w:szCs w:val="24"/>
          <w:vertAlign w:val="superscript"/>
        </w:rPr>
        <w:t>2</w:t>
      </w:r>
      <w:r>
        <w:rPr>
          <w:szCs w:val="24"/>
        </w:rPr>
        <w:t>/d</w:t>
      </w:r>
      <w:r>
        <w:rPr>
          <w:szCs w:val="24"/>
        </w:rPr>
        <w:t>；</w:t>
      </w:r>
    </w:p>
    <w:p w14:paraId="5D103AEF" w14:textId="77777777" w:rsidR="00D12939" w:rsidRDefault="004F47F5">
      <w:pPr>
        <w:pStyle w:val="afffffffffffff"/>
        <w:ind w:leftChars="200" w:left="420" w:firstLineChars="0" w:firstLine="482"/>
        <w:rPr>
          <w:szCs w:val="24"/>
        </w:rPr>
      </w:pPr>
      <w:r>
        <w:rPr>
          <w:szCs w:val="24"/>
        </w:rPr>
        <w:t>erfc</w:t>
      </w:r>
      <w:r>
        <w:rPr>
          <w:szCs w:val="24"/>
        </w:rPr>
        <w:t>（</w:t>
      </w:r>
      <w:r>
        <w:rPr>
          <w:szCs w:val="24"/>
        </w:rPr>
        <w:t xml:space="preserve"> </w:t>
      </w:r>
      <w:r>
        <w:rPr>
          <w:szCs w:val="24"/>
        </w:rPr>
        <w:t>）一余误差函数。</w:t>
      </w:r>
    </w:p>
    <w:p w14:paraId="52B1C8E0"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2</w:t>
      </w:r>
      <w:r>
        <w:rPr>
          <w:rFonts w:ascii="Times New Roman" w:eastAsia="宋体" w:hAnsi="Times New Roman" w:cs="Times New Roman"/>
          <w:sz w:val="24"/>
        </w:rPr>
        <w:t>）地下水污染预测</w:t>
      </w:r>
    </w:p>
    <w:p w14:paraId="0974225A"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t>根据上述的解析解公式，计算在非正常情况下，垃圾渗滤液调节池防渗层出现破损时，</w:t>
      </w:r>
      <w:r>
        <w:rPr>
          <w:rFonts w:ascii="Times New Roman" w:eastAsia="宋体" w:hAnsi="Times New Roman" w:cs="Times New Roman"/>
          <w:snapToGrid w:val="0"/>
          <w:kern w:val="0"/>
          <w:sz w:val="24"/>
          <w:szCs w:val="21"/>
        </w:rPr>
        <w:t>BOD</w:t>
      </w:r>
      <w:r>
        <w:rPr>
          <w:rFonts w:ascii="Times New Roman" w:eastAsia="宋体" w:hAnsi="Times New Roman" w:cs="Times New Roman"/>
          <w:snapToGrid w:val="0"/>
          <w:kern w:val="0"/>
          <w:sz w:val="24"/>
          <w:szCs w:val="21"/>
          <w:vertAlign w:val="subscript"/>
        </w:rPr>
        <w:t>5</w:t>
      </w:r>
      <w:r>
        <w:rPr>
          <w:rFonts w:ascii="Times New Roman" w:eastAsia="宋体" w:hAnsi="Times New Roman" w:cs="Times New Roman"/>
          <w:sz w:val="24"/>
        </w:rPr>
        <w:t>在地下水中的迁移过程，进一步分析污染物超标范围。其中，污染物超标范围参照《地下水质量标准》中</w:t>
      </w:r>
      <w:r>
        <w:rPr>
          <w:rFonts w:ascii="Times New Roman" w:eastAsia="宋体" w:hAnsi="Times New Roman" w:cs="Times New Roman"/>
          <w:sz w:val="24"/>
        </w:rPr>
        <w:t>Ⅲ</w:t>
      </w:r>
      <w:r>
        <w:rPr>
          <w:rFonts w:ascii="Times New Roman" w:eastAsia="宋体" w:hAnsi="Times New Roman" w:cs="Times New Roman"/>
          <w:sz w:val="24"/>
        </w:rPr>
        <w:t>类水的要求。</w:t>
      </w:r>
    </w:p>
    <w:p w14:paraId="47569C87" w14:textId="77777777" w:rsidR="00D12939" w:rsidRDefault="004F47F5">
      <w:pPr>
        <w:spacing w:line="360" w:lineRule="auto"/>
        <w:ind w:firstLine="480"/>
        <w:rPr>
          <w:rFonts w:ascii="Times New Roman" w:eastAsia="宋体" w:hAnsi="Times New Roman" w:cs="Times New Roman"/>
          <w:sz w:val="24"/>
        </w:rPr>
      </w:pPr>
      <w:r>
        <w:rPr>
          <w:rFonts w:ascii="Times New Roman" w:eastAsia="宋体" w:hAnsi="Times New Roman" w:cs="Times New Roman"/>
          <w:sz w:val="24"/>
        </w:rPr>
        <w:lastRenderedPageBreak/>
        <w:t>根据拟定的污染源位置和源强大小，利用解析公式对垃圾渗滤液调节池防渗层出现破损情况下</w:t>
      </w:r>
      <w:r>
        <w:rPr>
          <w:rFonts w:ascii="Times New Roman" w:eastAsia="宋体" w:hAnsi="Times New Roman" w:cs="Times New Roman"/>
          <w:snapToGrid w:val="0"/>
          <w:kern w:val="0"/>
          <w:sz w:val="24"/>
          <w:szCs w:val="21"/>
        </w:rPr>
        <w:t>BOD</w:t>
      </w:r>
      <w:r>
        <w:rPr>
          <w:rFonts w:ascii="Times New Roman" w:eastAsia="宋体" w:hAnsi="Times New Roman" w:cs="Times New Roman"/>
          <w:snapToGrid w:val="0"/>
          <w:kern w:val="0"/>
          <w:sz w:val="24"/>
          <w:szCs w:val="21"/>
          <w:vertAlign w:val="subscript"/>
        </w:rPr>
        <w:t>5</w:t>
      </w:r>
      <w:r>
        <w:rPr>
          <w:rFonts w:ascii="Times New Roman" w:eastAsia="宋体" w:hAnsi="Times New Roman" w:cs="Times New Roman"/>
          <w:sz w:val="24"/>
        </w:rPr>
        <w:t>的运移情况不同时间不同位置污染物浓度进行了模拟预测，预测结果如下：</w:t>
      </w:r>
    </w:p>
    <w:p w14:paraId="60BFCBF8" w14:textId="77777777" w:rsidR="00D12939" w:rsidRDefault="004F47F5">
      <w:pPr>
        <w:snapToGrid w:val="0"/>
        <w:ind w:firstLineChars="200" w:firstLine="480"/>
        <w:jc w:val="right"/>
        <w:rPr>
          <w:rFonts w:ascii="黑体" w:eastAsia="黑体" w:hAnsi="黑体" w:cs="Times New Roman"/>
          <w:sz w:val="24"/>
          <w:szCs w:val="21"/>
        </w:rPr>
      </w:pPr>
      <w:r>
        <w:rPr>
          <w:rFonts w:ascii="黑体" w:eastAsia="黑体" w:hAnsi="黑体" w:cs="Times New Roman"/>
          <w:sz w:val="24"/>
          <w:szCs w:val="21"/>
        </w:rPr>
        <w:t>表7.4-4    BOD污染羽中心浓度随时间和距离的变化特征    单位：mg/L</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921"/>
        <w:gridCol w:w="1049"/>
        <w:gridCol w:w="1246"/>
        <w:gridCol w:w="1500"/>
      </w:tblGrid>
      <w:tr w:rsidR="00D12939" w14:paraId="17422C64" w14:textId="77777777">
        <w:trPr>
          <w:trHeight w:val="348"/>
          <w:jc w:val="center"/>
        </w:trPr>
        <w:tc>
          <w:tcPr>
            <w:tcW w:w="3046" w:type="pct"/>
            <w:tcBorders>
              <w:top w:val="single" w:sz="12" w:space="0" w:color="auto"/>
              <w:left w:val="single" w:sz="12" w:space="0" w:color="auto"/>
              <w:bottom w:val="single" w:sz="6" w:space="0" w:color="auto"/>
              <w:right w:val="single" w:sz="6" w:space="0" w:color="auto"/>
            </w:tcBorders>
            <w:shd w:val="clear" w:color="auto" w:fill="auto"/>
            <w:vAlign w:val="center"/>
          </w:tcPr>
          <w:p w14:paraId="3900DCA2"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迁移时间（</w:t>
            </w:r>
            <w:r>
              <w:rPr>
                <w:rFonts w:ascii="Times New Roman" w:eastAsia="宋体" w:hAnsi="Times New Roman" w:cs="Times New Roman"/>
                <w:szCs w:val="21"/>
              </w:rPr>
              <w:t>d</w:t>
            </w:r>
            <w:r>
              <w:rPr>
                <w:rFonts w:ascii="Times New Roman" w:eastAsia="宋体" w:hAnsi="Times New Roman" w:cs="Times New Roman"/>
                <w:szCs w:val="21"/>
              </w:rPr>
              <w:t>）</w:t>
            </w:r>
          </w:p>
        </w:tc>
        <w:tc>
          <w:tcPr>
            <w:tcW w:w="540" w:type="pct"/>
            <w:tcBorders>
              <w:top w:val="single" w:sz="12" w:space="0" w:color="auto"/>
              <w:left w:val="single" w:sz="6" w:space="0" w:color="auto"/>
              <w:bottom w:val="single" w:sz="6" w:space="0" w:color="auto"/>
              <w:right w:val="single" w:sz="6" w:space="0" w:color="auto"/>
            </w:tcBorders>
            <w:shd w:val="clear" w:color="auto" w:fill="auto"/>
            <w:vAlign w:val="center"/>
          </w:tcPr>
          <w:p w14:paraId="711D1022" w14:textId="77777777" w:rsidR="00D12939" w:rsidRDefault="004F47F5">
            <w:pPr>
              <w:spacing w:line="240" w:lineRule="exact"/>
              <w:jc w:val="center"/>
              <w:rPr>
                <w:rFonts w:ascii="Times New Roman" w:eastAsia="宋体" w:hAnsi="Times New Roman" w:cs="Times New Roman"/>
                <w:bCs/>
                <w:szCs w:val="21"/>
              </w:rPr>
            </w:pPr>
            <w:r>
              <w:rPr>
                <w:rFonts w:ascii="Times New Roman" w:eastAsia="宋体" w:hAnsi="Times New Roman" w:cs="Times New Roman"/>
                <w:bCs/>
                <w:szCs w:val="21"/>
              </w:rPr>
              <w:t>100</w:t>
            </w:r>
          </w:p>
        </w:tc>
        <w:tc>
          <w:tcPr>
            <w:tcW w:w="641" w:type="pct"/>
            <w:tcBorders>
              <w:top w:val="single" w:sz="12" w:space="0" w:color="auto"/>
              <w:left w:val="single" w:sz="6" w:space="0" w:color="auto"/>
              <w:bottom w:val="single" w:sz="6" w:space="0" w:color="auto"/>
              <w:right w:val="single" w:sz="6" w:space="0" w:color="auto"/>
            </w:tcBorders>
            <w:shd w:val="clear" w:color="auto" w:fill="auto"/>
            <w:vAlign w:val="center"/>
          </w:tcPr>
          <w:p w14:paraId="0300EE07" w14:textId="77777777" w:rsidR="00D12939" w:rsidRDefault="004F47F5">
            <w:pPr>
              <w:spacing w:line="240" w:lineRule="exact"/>
              <w:jc w:val="center"/>
              <w:rPr>
                <w:rFonts w:ascii="Times New Roman" w:eastAsia="宋体" w:hAnsi="Times New Roman" w:cs="Times New Roman"/>
                <w:bCs/>
                <w:szCs w:val="21"/>
              </w:rPr>
            </w:pPr>
            <w:r>
              <w:rPr>
                <w:rFonts w:ascii="Times New Roman" w:eastAsia="宋体" w:hAnsi="Times New Roman" w:cs="Times New Roman"/>
                <w:bCs/>
                <w:szCs w:val="21"/>
              </w:rPr>
              <w:t>365</w:t>
            </w:r>
          </w:p>
        </w:tc>
        <w:tc>
          <w:tcPr>
            <w:tcW w:w="772" w:type="pct"/>
            <w:tcBorders>
              <w:top w:val="single" w:sz="12" w:space="0" w:color="auto"/>
              <w:left w:val="single" w:sz="6" w:space="0" w:color="auto"/>
              <w:bottom w:val="single" w:sz="6" w:space="0" w:color="auto"/>
              <w:right w:val="single" w:sz="12" w:space="0" w:color="auto"/>
            </w:tcBorders>
            <w:shd w:val="clear" w:color="auto" w:fill="auto"/>
            <w:vAlign w:val="center"/>
          </w:tcPr>
          <w:p w14:paraId="55B837D1" w14:textId="77777777" w:rsidR="00D12939" w:rsidRDefault="004F47F5">
            <w:pPr>
              <w:spacing w:line="240" w:lineRule="exact"/>
              <w:jc w:val="center"/>
              <w:rPr>
                <w:rFonts w:ascii="Times New Roman" w:eastAsia="宋体" w:hAnsi="Times New Roman" w:cs="Times New Roman"/>
                <w:bCs/>
                <w:szCs w:val="21"/>
              </w:rPr>
            </w:pPr>
            <w:r>
              <w:rPr>
                <w:rFonts w:ascii="Times New Roman" w:eastAsia="宋体" w:hAnsi="Times New Roman" w:cs="Times New Roman"/>
                <w:bCs/>
                <w:szCs w:val="21"/>
              </w:rPr>
              <w:t>1000</w:t>
            </w:r>
          </w:p>
        </w:tc>
      </w:tr>
      <w:tr w:rsidR="00D12939" w14:paraId="4021BFBA" w14:textId="77777777">
        <w:trPr>
          <w:trHeight w:val="350"/>
          <w:jc w:val="center"/>
        </w:trPr>
        <w:tc>
          <w:tcPr>
            <w:tcW w:w="3046" w:type="pct"/>
            <w:tcBorders>
              <w:top w:val="single" w:sz="6" w:space="0" w:color="auto"/>
              <w:left w:val="single" w:sz="12" w:space="0" w:color="auto"/>
              <w:bottom w:val="single" w:sz="6" w:space="0" w:color="auto"/>
              <w:right w:val="single" w:sz="6" w:space="0" w:color="auto"/>
            </w:tcBorders>
            <w:shd w:val="clear" w:color="auto" w:fill="auto"/>
            <w:vAlign w:val="center"/>
          </w:tcPr>
          <w:p w14:paraId="60ADAC2D"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下游最大浓度（</w:t>
            </w:r>
            <w:r>
              <w:rPr>
                <w:rFonts w:ascii="Times New Roman" w:eastAsia="宋体" w:hAnsi="Times New Roman" w:cs="Times New Roman"/>
                <w:szCs w:val="21"/>
              </w:rPr>
              <w:t>mg/L</w:t>
            </w:r>
            <w:r>
              <w:rPr>
                <w:rFonts w:ascii="Times New Roman" w:eastAsia="宋体" w:hAnsi="Times New Roman" w:cs="Times New Roman"/>
                <w:szCs w:val="21"/>
              </w:rPr>
              <w:t>）</w:t>
            </w:r>
          </w:p>
        </w:tc>
        <w:tc>
          <w:tcPr>
            <w:tcW w:w="540" w:type="pct"/>
            <w:tcBorders>
              <w:top w:val="single" w:sz="6" w:space="0" w:color="auto"/>
              <w:left w:val="single" w:sz="6" w:space="0" w:color="auto"/>
              <w:bottom w:val="single" w:sz="6" w:space="0" w:color="auto"/>
              <w:right w:val="single" w:sz="6" w:space="0" w:color="auto"/>
            </w:tcBorders>
            <w:shd w:val="clear" w:color="auto" w:fill="auto"/>
            <w:vAlign w:val="center"/>
          </w:tcPr>
          <w:p w14:paraId="01B32EDE"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5.15</w:t>
            </w:r>
          </w:p>
        </w:tc>
        <w:tc>
          <w:tcPr>
            <w:tcW w:w="641" w:type="pct"/>
            <w:tcBorders>
              <w:top w:val="single" w:sz="6" w:space="0" w:color="auto"/>
              <w:left w:val="single" w:sz="6" w:space="0" w:color="auto"/>
              <w:bottom w:val="single" w:sz="6" w:space="0" w:color="auto"/>
              <w:right w:val="single" w:sz="6" w:space="0" w:color="auto"/>
            </w:tcBorders>
            <w:shd w:val="clear" w:color="auto" w:fill="auto"/>
            <w:vAlign w:val="center"/>
          </w:tcPr>
          <w:p w14:paraId="52199912"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1.43</w:t>
            </w:r>
          </w:p>
        </w:tc>
        <w:tc>
          <w:tcPr>
            <w:tcW w:w="772" w:type="pct"/>
            <w:tcBorders>
              <w:top w:val="single" w:sz="6" w:space="0" w:color="auto"/>
              <w:left w:val="single" w:sz="6" w:space="0" w:color="auto"/>
              <w:bottom w:val="single" w:sz="6" w:space="0" w:color="auto"/>
              <w:right w:val="single" w:sz="12" w:space="0" w:color="auto"/>
            </w:tcBorders>
            <w:shd w:val="clear" w:color="auto" w:fill="auto"/>
            <w:vAlign w:val="center"/>
          </w:tcPr>
          <w:p w14:paraId="3B1217A4"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0.5</w:t>
            </w:r>
          </w:p>
        </w:tc>
      </w:tr>
      <w:tr w:rsidR="00D12939" w14:paraId="2134C2EB" w14:textId="77777777">
        <w:trPr>
          <w:trHeight w:val="350"/>
          <w:jc w:val="center"/>
        </w:trPr>
        <w:tc>
          <w:tcPr>
            <w:tcW w:w="3046" w:type="pct"/>
            <w:tcBorders>
              <w:top w:val="single" w:sz="6" w:space="0" w:color="auto"/>
              <w:left w:val="single" w:sz="12" w:space="0" w:color="auto"/>
              <w:bottom w:val="single" w:sz="6" w:space="0" w:color="auto"/>
              <w:right w:val="single" w:sz="6" w:space="0" w:color="auto"/>
            </w:tcBorders>
            <w:shd w:val="clear" w:color="auto" w:fill="auto"/>
            <w:vAlign w:val="center"/>
          </w:tcPr>
          <w:p w14:paraId="69C5118B"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最大超标倍数</w:t>
            </w:r>
          </w:p>
        </w:tc>
        <w:tc>
          <w:tcPr>
            <w:tcW w:w="540" w:type="pct"/>
            <w:tcBorders>
              <w:top w:val="single" w:sz="6" w:space="0" w:color="auto"/>
              <w:left w:val="single" w:sz="6" w:space="0" w:color="auto"/>
              <w:bottom w:val="single" w:sz="6" w:space="0" w:color="auto"/>
              <w:right w:val="single" w:sz="6" w:space="0" w:color="auto"/>
            </w:tcBorders>
            <w:shd w:val="clear" w:color="auto" w:fill="auto"/>
            <w:vAlign w:val="center"/>
          </w:tcPr>
          <w:p w14:paraId="483EEC92"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1.28</w:t>
            </w:r>
          </w:p>
        </w:tc>
        <w:tc>
          <w:tcPr>
            <w:tcW w:w="641" w:type="pct"/>
            <w:tcBorders>
              <w:top w:val="single" w:sz="6" w:space="0" w:color="auto"/>
              <w:left w:val="single" w:sz="6" w:space="0" w:color="auto"/>
              <w:bottom w:val="single" w:sz="6" w:space="0" w:color="auto"/>
              <w:right w:val="single" w:sz="6" w:space="0" w:color="auto"/>
            </w:tcBorders>
            <w:shd w:val="clear" w:color="auto" w:fill="auto"/>
            <w:vAlign w:val="center"/>
          </w:tcPr>
          <w:p w14:paraId="3106662C"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c>
          <w:tcPr>
            <w:tcW w:w="772" w:type="pct"/>
            <w:tcBorders>
              <w:top w:val="single" w:sz="6" w:space="0" w:color="auto"/>
              <w:left w:val="single" w:sz="6" w:space="0" w:color="auto"/>
              <w:bottom w:val="single" w:sz="6" w:space="0" w:color="auto"/>
              <w:right w:val="single" w:sz="12" w:space="0" w:color="auto"/>
            </w:tcBorders>
            <w:shd w:val="clear" w:color="auto" w:fill="auto"/>
            <w:vAlign w:val="center"/>
          </w:tcPr>
          <w:p w14:paraId="5D8A6440"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7727A22D" w14:textId="77777777">
        <w:trPr>
          <w:trHeight w:val="350"/>
          <w:jc w:val="center"/>
        </w:trPr>
        <w:tc>
          <w:tcPr>
            <w:tcW w:w="3046" w:type="pct"/>
            <w:tcBorders>
              <w:top w:val="single" w:sz="6" w:space="0" w:color="auto"/>
              <w:left w:val="single" w:sz="12" w:space="0" w:color="auto"/>
              <w:bottom w:val="single" w:sz="6" w:space="0" w:color="auto"/>
              <w:right w:val="single" w:sz="6" w:space="0" w:color="auto"/>
            </w:tcBorders>
            <w:shd w:val="clear" w:color="auto" w:fill="auto"/>
            <w:vAlign w:val="center"/>
          </w:tcPr>
          <w:p w14:paraId="002678C8"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下游最远超标距离（</w:t>
            </w:r>
            <w:r>
              <w:rPr>
                <w:rFonts w:ascii="Times New Roman" w:eastAsia="宋体" w:hAnsi="Times New Roman" w:cs="Times New Roman"/>
                <w:szCs w:val="21"/>
              </w:rPr>
              <w:t>m</w:t>
            </w:r>
            <w:r>
              <w:rPr>
                <w:rFonts w:ascii="Times New Roman" w:eastAsia="宋体" w:hAnsi="Times New Roman" w:cs="Times New Roman"/>
                <w:szCs w:val="21"/>
              </w:rPr>
              <w:t>）</w:t>
            </w:r>
          </w:p>
        </w:tc>
        <w:tc>
          <w:tcPr>
            <w:tcW w:w="540" w:type="pct"/>
            <w:tcBorders>
              <w:top w:val="single" w:sz="6" w:space="0" w:color="auto"/>
              <w:left w:val="single" w:sz="6" w:space="0" w:color="auto"/>
              <w:bottom w:val="single" w:sz="6" w:space="0" w:color="auto"/>
              <w:right w:val="single" w:sz="6" w:space="0" w:color="auto"/>
            </w:tcBorders>
            <w:shd w:val="clear" w:color="auto" w:fill="auto"/>
            <w:vAlign w:val="center"/>
          </w:tcPr>
          <w:p w14:paraId="5EF4481A"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57</w:t>
            </w:r>
          </w:p>
        </w:tc>
        <w:tc>
          <w:tcPr>
            <w:tcW w:w="641" w:type="pct"/>
            <w:tcBorders>
              <w:top w:val="single" w:sz="6" w:space="0" w:color="auto"/>
              <w:left w:val="single" w:sz="6" w:space="0" w:color="auto"/>
              <w:bottom w:val="single" w:sz="6" w:space="0" w:color="auto"/>
              <w:right w:val="single" w:sz="6" w:space="0" w:color="auto"/>
            </w:tcBorders>
            <w:shd w:val="clear" w:color="auto" w:fill="auto"/>
            <w:vAlign w:val="center"/>
          </w:tcPr>
          <w:p w14:paraId="5C7EF72B"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c>
          <w:tcPr>
            <w:tcW w:w="772" w:type="pct"/>
            <w:tcBorders>
              <w:top w:val="single" w:sz="6" w:space="0" w:color="auto"/>
              <w:left w:val="single" w:sz="6" w:space="0" w:color="auto"/>
              <w:bottom w:val="single" w:sz="6" w:space="0" w:color="auto"/>
              <w:right w:val="single" w:sz="12" w:space="0" w:color="auto"/>
            </w:tcBorders>
            <w:shd w:val="clear" w:color="auto" w:fill="auto"/>
            <w:vAlign w:val="center"/>
          </w:tcPr>
          <w:p w14:paraId="0DDD202A"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67C3FEBF" w14:textId="77777777">
        <w:trPr>
          <w:trHeight w:val="350"/>
          <w:jc w:val="center"/>
        </w:trPr>
        <w:tc>
          <w:tcPr>
            <w:tcW w:w="3046" w:type="pct"/>
            <w:tcBorders>
              <w:top w:val="single" w:sz="6" w:space="0" w:color="auto"/>
              <w:left w:val="single" w:sz="12" w:space="0" w:color="auto"/>
              <w:bottom w:val="single" w:sz="6" w:space="0" w:color="auto"/>
              <w:right w:val="single" w:sz="6" w:space="0" w:color="auto"/>
            </w:tcBorders>
            <w:shd w:val="clear" w:color="auto" w:fill="auto"/>
            <w:vAlign w:val="center"/>
          </w:tcPr>
          <w:p w14:paraId="46859E05"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下游最远影响距离（</w:t>
            </w:r>
            <w:r>
              <w:rPr>
                <w:rFonts w:ascii="Times New Roman" w:eastAsia="宋体" w:hAnsi="Times New Roman" w:cs="Times New Roman"/>
                <w:szCs w:val="21"/>
              </w:rPr>
              <w:t>m</w:t>
            </w:r>
            <w:r>
              <w:rPr>
                <w:rFonts w:ascii="Times New Roman" w:eastAsia="宋体" w:hAnsi="Times New Roman" w:cs="Times New Roman"/>
                <w:szCs w:val="21"/>
              </w:rPr>
              <w:t>）</w:t>
            </w:r>
          </w:p>
        </w:tc>
        <w:tc>
          <w:tcPr>
            <w:tcW w:w="540" w:type="pct"/>
            <w:tcBorders>
              <w:top w:val="single" w:sz="6" w:space="0" w:color="auto"/>
              <w:left w:val="single" w:sz="6" w:space="0" w:color="auto"/>
              <w:bottom w:val="single" w:sz="6" w:space="0" w:color="auto"/>
              <w:right w:val="single" w:sz="6" w:space="0" w:color="auto"/>
            </w:tcBorders>
            <w:shd w:val="clear" w:color="auto" w:fill="auto"/>
            <w:vAlign w:val="center"/>
          </w:tcPr>
          <w:p w14:paraId="0F0C0175"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120</w:t>
            </w:r>
          </w:p>
        </w:tc>
        <w:tc>
          <w:tcPr>
            <w:tcW w:w="641" w:type="pct"/>
            <w:tcBorders>
              <w:top w:val="single" w:sz="6" w:space="0" w:color="auto"/>
              <w:left w:val="single" w:sz="6" w:space="0" w:color="auto"/>
              <w:bottom w:val="single" w:sz="6" w:space="0" w:color="auto"/>
              <w:right w:val="single" w:sz="6" w:space="0" w:color="auto"/>
            </w:tcBorders>
            <w:shd w:val="clear" w:color="auto" w:fill="auto"/>
            <w:vAlign w:val="center"/>
          </w:tcPr>
          <w:p w14:paraId="5AA09E99"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200</w:t>
            </w:r>
          </w:p>
        </w:tc>
        <w:tc>
          <w:tcPr>
            <w:tcW w:w="772" w:type="pct"/>
            <w:tcBorders>
              <w:top w:val="single" w:sz="6" w:space="0" w:color="auto"/>
              <w:left w:val="single" w:sz="6" w:space="0" w:color="auto"/>
              <w:bottom w:val="single" w:sz="6" w:space="0" w:color="auto"/>
              <w:right w:val="single" w:sz="12" w:space="0" w:color="auto"/>
            </w:tcBorders>
            <w:shd w:val="clear" w:color="auto" w:fill="auto"/>
            <w:vAlign w:val="center"/>
          </w:tcPr>
          <w:p w14:paraId="5EF13D28"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0669D83B" w14:textId="77777777">
        <w:trPr>
          <w:trHeight w:val="350"/>
          <w:jc w:val="center"/>
        </w:trPr>
        <w:tc>
          <w:tcPr>
            <w:tcW w:w="3046" w:type="pct"/>
            <w:tcBorders>
              <w:top w:val="single" w:sz="6" w:space="0" w:color="auto"/>
              <w:left w:val="single" w:sz="12" w:space="0" w:color="auto"/>
              <w:bottom w:val="single" w:sz="6" w:space="0" w:color="auto"/>
              <w:right w:val="single" w:sz="6" w:space="0" w:color="auto"/>
            </w:tcBorders>
            <w:shd w:val="clear" w:color="auto" w:fill="auto"/>
            <w:vAlign w:val="center"/>
          </w:tcPr>
          <w:p w14:paraId="6510CFB5"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超标面积（</w:t>
            </w:r>
            <w:r>
              <w:rPr>
                <w:rFonts w:ascii="Times New Roman" w:eastAsia="宋体" w:hAnsi="Times New Roman" w:cs="Times New Roman"/>
                <w:szCs w:val="21"/>
              </w:rPr>
              <w:t>m</w:t>
            </w:r>
            <w:r>
              <w:rPr>
                <w:rFonts w:ascii="Times New Roman" w:eastAsia="宋体" w:hAnsi="Times New Roman" w:cs="Times New Roman"/>
                <w:szCs w:val="21"/>
                <w:vertAlign w:val="superscript"/>
              </w:rPr>
              <w:t>2</w:t>
            </w:r>
            <w:r>
              <w:rPr>
                <w:rFonts w:ascii="Times New Roman" w:eastAsia="宋体" w:hAnsi="Times New Roman" w:cs="Times New Roman"/>
                <w:szCs w:val="21"/>
              </w:rPr>
              <w:t>）</w:t>
            </w:r>
          </w:p>
        </w:tc>
        <w:tc>
          <w:tcPr>
            <w:tcW w:w="540" w:type="pct"/>
            <w:tcBorders>
              <w:top w:val="single" w:sz="6" w:space="0" w:color="auto"/>
              <w:left w:val="single" w:sz="6" w:space="0" w:color="auto"/>
              <w:bottom w:val="single" w:sz="6" w:space="0" w:color="auto"/>
              <w:right w:val="single" w:sz="6" w:space="0" w:color="auto"/>
            </w:tcBorders>
            <w:shd w:val="clear" w:color="auto" w:fill="auto"/>
            <w:vAlign w:val="center"/>
          </w:tcPr>
          <w:p w14:paraId="50FD494A"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189</w:t>
            </w:r>
          </w:p>
        </w:tc>
        <w:tc>
          <w:tcPr>
            <w:tcW w:w="641" w:type="pct"/>
            <w:tcBorders>
              <w:top w:val="single" w:sz="6" w:space="0" w:color="auto"/>
              <w:left w:val="single" w:sz="6" w:space="0" w:color="auto"/>
              <w:bottom w:val="single" w:sz="6" w:space="0" w:color="auto"/>
              <w:right w:val="single" w:sz="6" w:space="0" w:color="auto"/>
            </w:tcBorders>
            <w:shd w:val="clear" w:color="auto" w:fill="auto"/>
            <w:vAlign w:val="center"/>
          </w:tcPr>
          <w:p w14:paraId="1FF1835C"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c>
          <w:tcPr>
            <w:tcW w:w="772" w:type="pct"/>
            <w:tcBorders>
              <w:top w:val="single" w:sz="6" w:space="0" w:color="auto"/>
              <w:left w:val="single" w:sz="6" w:space="0" w:color="auto"/>
              <w:bottom w:val="single" w:sz="6" w:space="0" w:color="auto"/>
              <w:right w:val="single" w:sz="12" w:space="0" w:color="auto"/>
            </w:tcBorders>
            <w:shd w:val="clear" w:color="auto" w:fill="auto"/>
            <w:vAlign w:val="center"/>
          </w:tcPr>
          <w:p w14:paraId="0F493458"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r w:rsidR="00D12939" w14:paraId="56B7DC96" w14:textId="77777777">
        <w:trPr>
          <w:trHeight w:val="350"/>
          <w:jc w:val="center"/>
        </w:trPr>
        <w:tc>
          <w:tcPr>
            <w:tcW w:w="3046" w:type="pct"/>
            <w:tcBorders>
              <w:top w:val="single" w:sz="6" w:space="0" w:color="auto"/>
              <w:left w:val="single" w:sz="12" w:space="0" w:color="auto"/>
              <w:bottom w:val="single" w:sz="12" w:space="0" w:color="auto"/>
              <w:right w:val="single" w:sz="6" w:space="0" w:color="auto"/>
            </w:tcBorders>
            <w:shd w:val="clear" w:color="auto" w:fill="auto"/>
            <w:vAlign w:val="center"/>
          </w:tcPr>
          <w:p w14:paraId="2599151E"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影响面积（</w:t>
            </w:r>
            <w:r>
              <w:rPr>
                <w:rFonts w:ascii="Times New Roman" w:eastAsia="宋体" w:hAnsi="Times New Roman" w:cs="Times New Roman"/>
                <w:szCs w:val="21"/>
              </w:rPr>
              <w:t>m</w:t>
            </w:r>
            <w:r>
              <w:rPr>
                <w:rFonts w:ascii="Times New Roman" w:eastAsia="宋体" w:hAnsi="Times New Roman" w:cs="Times New Roman"/>
                <w:szCs w:val="21"/>
                <w:vertAlign w:val="superscript"/>
              </w:rPr>
              <w:t>2</w:t>
            </w:r>
            <w:r>
              <w:rPr>
                <w:rFonts w:ascii="Times New Roman" w:eastAsia="宋体" w:hAnsi="Times New Roman" w:cs="Times New Roman"/>
                <w:szCs w:val="21"/>
              </w:rPr>
              <w:t>）</w:t>
            </w:r>
          </w:p>
        </w:tc>
        <w:tc>
          <w:tcPr>
            <w:tcW w:w="540" w:type="pct"/>
            <w:tcBorders>
              <w:top w:val="single" w:sz="6" w:space="0" w:color="auto"/>
              <w:left w:val="single" w:sz="6" w:space="0" w:color="auto"/>
              <w:bottom w:val="single" w:sz="12" w:space="0" w:color="auto"/>
              <w:right w:val="single" w:sz="6" w:space="0" w:color="auto"/>
            </w:tcBorders>
            <w:shd w:val="clear" w:color="auto" w:fill="auto"/>
            <w:vAlign w:val="center"/>
          </w:tcPr>
          <w:p w14:paraId="7CCBF6E3"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13856</w:t>
            </w:r>
          </w:p>
        </w:tc>
        <w:tc>
          <w:tcPr>
            <w:tcW w:w="641" w:type="pct"/>
            <w:tcBorders>
              <w:top w:val="single" w:sz="6" w:space="0" w:color="auto"/>
              <w:left w:val="single" w:sz="6" w:space="0" w:color="auto"/>
              <w:bottom w:val="single" w:sz="12" w:space="0" w:color="auto"/>
              <w:right w:val="single" w:sz="6" w:space="0" w:color="auto"/>
            </w:tcBorders>
            <w:shd w:val="clear" w:color="auto" w:fill="auto"/>
            <w:vAlign w:val="center"/>
          </w:tcPr>
          <w:p w14:paraId="37CB5E3F"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38564</w:t>
            </w:r>
          </w:p>
        </w:tc>
        <w:tc>
          <w:tcPr>
            <w:tcW w:w="772" w:type="pct"/>
            <w:tcBorders>
              <w:top w:val="single" w:sz="6" w:space="0" w:color="auto"/>
              <w:left w:val="single" w:sz="6" w:space="0" w:color="auto"/>
              <w:bottom w:val="single" w:sz="12" w:space="0" w:color="auto"/>
              <w:right w:val="single" w:sz="12" w:space="0" w:color="auto"/>
            </w:tcBorders>
            <w:shd w:val="clear" w:color="auto" w:fill="auto"/>
            <w:vAlign w:val="center"/>
          </w:tcPr>
          <w:p w14:paraId="0FEB736D" w14:textId="77777777" w:rsidR="00D12939" w:rsidRDefault="004F47F5">
            <w:pPr>
              <w:spacing w:line="240" w:lineRule="exact"/>
              <w:jc w:val="center"/>
              <w:rPr>
                <w:rFonts w:ascii="Times New Roman" w:eastAsia="宋体" w:hAnsi="Times New Roman" w:cs="Times New Roman"/>
                <w:szCs w:val="21"/>
              </w:rPr>
            </w:pPr>
            <w:r>
              <w:rPr>
                <w:rFonts w:ascii="Times New Roman" w:eastAsia="宋体" w:hAnsi="Times New Roman" w:cs="Times New Roman"/>
                <w:szCs w:val="21"/>
              </w:rPr>
              <w:t>/</w:t>
            </w:r>
          </w:p>
        </w:tc>
      </w:tr>
    </w:tbl>
    <w:p w14:paraId="669644FA" w14:textId="77777777" w:rsidR="00D12939" w:rsidRDefault="004F47F5">
      <w:pPr>
        <w:ind w:firstLine="480"/>
        <w:jc w:val="center"/>
        <w:rPr>
          <w:rFonts w:cs="Times New Roman"/>
        </w:rPr>
      </w:pPr>
      <w:r>
        <w:rPr>
          <w:rFonts w:ascii="Times New Roman" w:eastAsia="宋体" w:hAnsi="Times New Roman" w:cs="Times New Roman"/>
          <w:noProof/>
          <w:snapToGrid w:val="0"/>
          <w:szCs w:val="21"/>
        </w:rPr>
        <w:drawing>
          <wp:inline distT="0" distB="0" distL="114300" distR="114300">
            <wp:extent cx="5271135" cy="2923540"/>
            <wp:effectExtent l="0" t="0" r="5715" b="10160"/>
            <wp:docPr id="232" name="图片 232" descr="1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100d"/>
                    <pic:cNvPicPr>
                      <a:picLocks noChangeAspect="1"/>
                    </pic:cNvPicPr>
                  </pic:nvPicPr>
                  <pic:blipFill>
                    <a:blip r:embed="rId64"/>
                    <a:stretch>
                      <a:fillRect/>
                    </a:stretch>
                  </pic:blipFill>
                  <pic:spPr>
                    <a:xfrm>
                      <a:off x="0" y="0"/>
                      <a:ext cx="5271135" cy="2923540"/>
                    </a:xfrm>
                    <a:prstGeom prst="rect">
                      <a:avLst/>
                    </a:prstGeom>
                  </pic:spPr>
                </pic:pic>
              </a:graphicData>
            </a:graphic>
          </wp:inline>
        </w:drawing>
      </w:r>
    </w:p>
    <w:p w14:paraId="2DE10689" w14:textId="77777777" w:rsidR="00D12939" w:rsidRDefault="004F47F5">
      <w:pPr>
        <w:ind w:firstLine="420"/>
        <w:jc w:val="center"/>
        <w:rPr>
          <w:rFonts w:eastAsia="宋体"/>
          <w:szCs w:val="21"/>
        </w:rPr>
      </w:pPr>
      <w:r>
        <w:rPr>
          <w:rFonts w:ascii="黑体" w:eastAsia="黑体" w:hAnsi="黑体" w:cs="Times New Roman" w:hint="eastAsia"/>
          <w:bCs/>
          <w:kern w:val="0"/>
          <w:sz w:val="24"/>
          <w:szCs w:val="21"/>
        </w:rPr>
        <w:t>图</w:t>
      </w:r>
      <w:r>
        <w:rPr>
          <w:rFonts w:ascii="黑体" w:eastAsia="黑体" w:hAnsi="黑体" w:cs="Times New Roman"/>
          <w:bCs/>
          <w:kern w:val="0"/>
          <w:sz w:val="24"/>
          <w:szCs w:val="21"/>
        </w:rPr>
        <w:t xml:space="preserve">7.4-1 </w:t>
      </w:r>
      <w:r>
        <w:rPr>
          <w:rFonts w:ascii="黑体" w:eastAsia="黑体" w:hAnsi="黑体"/>
          <w:sz w:val="24"/>
          <w:szCs w:val="21"/>
        </w:rPr>
        <w:t>渗漏100d</w:t>
      </w:r>
      <w:r>
        <w:rPr>
          <w:rFonts w:ascii="黑体" w:eastAsia="黑体" w:hAnsi="黑体" w:hint="eastAsia"/>
          <w:sz w:val="24"/>
          <w:szCs w:val="21"/>
        </w:rPr>
        <w:t>污染物</w:t>
      </w:r>
      <w:r>
        <w:rPr>
          <w:rFonts w:ascii="黑体" w:eastAsia="黑体" w:hAnsi="黑体"/>
          <w:sz w:val="24"/>
          <w:szCs w:val="21"/>
        </w:rPr>
        <w:t>BOD</w:t>
      </w:r>
      <w:r>
        <w:rPr>
          <w:rFonts w:ascii="黑体" w:eastAsia="黑体" w:hAnsi="黑体"/>
          <w:sz w:val="24"/>
          <w:szCs w:val="21"/>
          <w:vertAlign w:val="subscript"/>
        </w:rPr>
        <w:t>5</w:t>
      </w:r>
      <w:r>
        <w:rPr>
          <w:rFonts w:ascii="黑体" w:eastAsia="黑体" w:hAnsi="黑体" w:hint="eastAsia"/>
          <w:sz w:val="24"/>
          <w:szCs w:val="21"/>
        </w:rPr>
        <w:t>污染晕</w:t>
      </w:r>
    </w:p>
    <w:p w14:paraId="2CC475D6" w14:textId="77777777" w:rsidR="00D12939" w:rsidRDefault="004F47F5">
      <w:pPr>
        <w:ind w:firstLine="420"/>
        <w:jc w:val="center"/>
        <w:rPr>
          <w:rFonts w:eastAsia="宋体"/>
          <w:szCs w:val="21"/>
        </w:rPr>
      </w:pPr>
      <w:r>
        <w:rPr>
          <w:rFonts w:ascii="Times New Roman" w:eastAsia="宋体" w:hAnsi="Times New Roman" w:cs="Times New Roman"/>
          <w:noProof/>
          <w:snapToGrid w:val="0"/>
          <w:sz w:val="24"/>
          <w:szCs w:val="24"/>
        </w:rPr>
        <w:drawing>
          <wp:inline distT="0" distB="0" distL="114300" distR="114300">
            <wp:extent cx="5274945" cy="3046730"/>
            <wp:effectExtent l="0" t="0" r="1905" b="1270"/>
            <wp:docPr id="233" name="图片 233" descr="36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365d"/>
                    <pic:cNvPicPr>
                      <a:picLocks noChangeAspect="1"/>
                    </pic:cNvPicPr>
                  </pic:nvPicPr>
                  <pic:blipFill>
                    <a:blip r:embed="rId65"/>
                    <a:stretch>
                      <a:fillRect/>
                    </a:stretch>
                  </pic:blipFill>
                  <pic:spPr>
                    <a:xfrm>
                      <a:off x="0" y="0"/>
                      <a:ext cx="5274945" cy="3046730"/>
                    </a:xfrm>
                    <a:prstGeom prst="rect">
                      <a:avLst/>
                    </a:prstGeom>
                  </pic:spPr>
                </pic:pic>
              </a:graphicData>
            </a:graphic>
          </wp:inline>
        </w:drawing>
      </w:r>
    </w:p>
    <w:p w14:paraId="07E951D6" w14:textId="77777777" w:rsidR="00D12939" w:rsidRDefault="004F47F5">
      <w:pPr>
        <w:ind w:firstLine="420"/>
        <w:jc w:val="center"/>
        <w:rPr>
          <w:rFonts w:eastAsia="宋体"/>
          <w:szCs w:val="21"/>
        </w:rPr>
      </w:pPr>
      <w:r>
        <w:rPr>
          <w:rFonts w:ascii="黑体" w:eastAsia="黑体" w:hAnsi="黑体" w:cs="Times New Roman" w:hint="eastAsia"/>
          <w:bCs/>
          <w:kern w:val="0"/>
          <w:sz w:val="24"/>
          <w:szCs w:val="21"/>
        </w:rPr>
        <w:lastRenderedPageBreak/>
        <w:t>图</w:t>
      </w:r>
      <w:r>
        <w:rPr>
          <w:rFonts w:ascii="黑体" w:eastAsia="黑体" w:hAnsi="黑体" w:cs="Times New Roman"/>
          <w:bCs/>
          <w:kern w:val="0"/>
          <w:sz w:val="24"/>
          <w:szCs w:val="21"/>
        </w:rPr>
        <w:t xml:space="preserve">7.4-2 </w:t>
      </w:r>
      <w:r>
        <w:rPr>
          <w:rFonts w:ascii="黑体" w:eastAsia="黑体" w:hAnsi="黑体"/>
          <w:sz w:val="24"/>
          <w:szCs w:val="21"/>
        </w:rPr>
        <w:t>渗漏365d</w:t>
      </w:r>
      <w:r>
        <w:rPr>
          <w:rFonts w:ascii="黑体" w:eastAsia="黑体" w:hAnsi="黑体" w:hint="eastAsia"/>
          <w:sz w:val="24"/>
          <w:szCs w:val="21"/>
        </w:rPr>
        <w:t>污染物</w:t>
      </w:r>
      <w:r>
        <w:rPr>
          <w:rFonts w:ascii="黑体" w:eastAsia="黑体" w:hAnsi="黑体"/>
          <w:sz w:val="24"/>
          <w:szCs w:val="21"/>
        </w:rPr>
        <w:t>BOD</w:t>
      </w:r>
      <w:r>
        <w:rPr>
          <w:rFonts w:ascii="黑体" w:eastAsia="黑体" w:hAnsi="黑体"/>
          <w:sz w:val="24"/>
          <w:szCs w:val="21"/>
          <w:vertAlign w:val="subscript"/>
        </w:rPr>
        <w:t>5</w:t>
      </w:r>
      <w:r>
        <w:rPr>
          <w:rFonts w:ascii="黑体" w:eastAsia="黑体" w:hAnsi="黑体" w:hint="eastAsia"/>
          <w:sz w:val="24"/>
          <w:szCs w:val="21"/>
        </w:rPr>
        <w:t>污染晕</w:t>
      </w:r>
    </w:p>
    <w:p w14:paraId="1CF52FF9" w14:textId="77777777" w:rsidR="00D12939" w:rsidRDefault="004F47F5">
      <w:pPr>
        <w:ind w:firstLine="420"/>
        <w:jc w:val="center"/>
        <w:rPr>
          <w:rFonts w:eastAsia="宋体"/>
          <w:szCs w:val="21"/>
        </w:rPr>
      </w:pPr>
      <w:r>
        <w:rPr>
          <w:rFonts w:ascii="Times New Roman" w:eastAsia="宋体" w:hAnsi="Times New Roman" w:cs="Times New Roman"/>
          <w:noProof/>
        </w:rPr>
        <w:drawing>
          <wp:inline distT="0" distB="0" distL="114300" distR="114300">
            <wp:extent cx="5483225" cy="2842895"/>
            <wp:effectExtent l="0" t="0" r="3175" b="1460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66"/>
                    <a:stretch>
                      <a:fillRect/>
                    </a:stretch>
                  </pic:blipFill>
                  <pic:spPr>
                    <a:xfrm>
                      <a:off x="0" y="0"/>
                      <a:ext cx="5483225" cy="2842895"/>
                    </a:xfrm>
                    <a:prstGeom prst="rect">
                      <a:avLst/>
                    </a:prstGeom>
                    <a:noFill/>
                    <a:ln>
                      <a:noFill/>
                    </a:ln>
                  </pic:spPr>
                </pic:pic>
              </a:graphicData>
            </a:graphic>
          </wp:inline>
        </w:drawing>
      </w:r>
    </w:p>
    <w:p w14:paraId="053E23E6" w14:textId="77777777" w:rsidR="00D12939" w:rsidRDefault="004F47F5">
      <w:pPr>
        <w:ind w:firstLine="420"/>
        <w:jc w:val="center"/>
        <w:rPr>
          <w:rFonts w:ascii="黑体" w:eastAsia="黑体" w:hAnsi="黑体" w:cs="Times New Roman"/>
          <w:bCs/>
          <w:kern w:val="0"/>
          <w:sz w:val="24"/>
          <w:szCs w:val="21"/>
        </w:rPr>
      </w:pPr>
      <w:r>
        <w:rPr>
          <w:rFonts w:ascii="黑体" w:eastAsia="黑体" w:hAnsi="黑体" w:cs="Times New Roman" w:hint="eastAsia"/>
          <w:bCs/>
          <w:kern w:val="0"/>
          <w:sz w:val="24"/>
          <w:szCs w:val="21"/>
        </w:rPr>
        <w:t>图</w:t>
      </w:r>
      <w:r>
        <w:rPr>
          <w:rFonts w:ascii="黑体" w:eastAsia="黑体" w:hAnsi="黑体" w:cs="Times New Roman"/>
          <w:bCs/>
          <w:kern w:val="0"/>
          <w:sz w:val="24"/>
          <w:szCs w:val="21"/>
        </w:rPr>
        <w:t xml:space="preserve">7.4-3  </w:t>
      </w:r>
      <w:r>
        <w:rPr>
          <w:rFonts w:ascii="黑体" w:eastAsia="黑体" w:hAnsi="黑体" w:cs="Times New Roman" w:hint="eastAsia"/>
          <w:bCs/>
          <w:kern w:val="0"/>
          <w:sz w:val="24"/>
          <w:szCs w:val="21"/>
        </w:rPr>
        <w:t>厂界处</w:t>
      </w:r>
      <w:r>
        <w:rPr>
          <w:rFonts w:ascii="黑体" w:eastAsia="黑体" w:hAnsi="黑体" w:cs="Times New Roman"/>
          <w:bCs/>
          <w:kern w:val="0"/>
          <w:sz w:val="24"/>
          <w:szCs w:val="21"/>
        </w:rPr>
        <w:t>BOD</w:t>
      </w:r>
      <w:r>
        <w:rPr>
          <w:rFonts w:ascii="黑体" w:eastAsia="黑体" w:hAnsi="黑体" w:cs="Times New Roman"/>
          <w:bCs/>
          <w:kern w:val="0"/>
          <w:sz w:val="24"/>
          <w:szCs w:val="21"/>
          <w:vertAlign w:val="subscript"/>
        </w:rPr>
        <w:t>5</w:t>
      </w:r>
      <w:r>
        <w:rPr>
          <w:rFonts w:ascii="黑体" w:eastAsia="黑体" w:hAnsi="黑体" w:cs="Times New Roman"/>
          <w:bCs/>
          <w:kern w:val="0"/>
          <w:sz w:val="24"/>
          <w:szCs w:val="21"/>
        </w:rPr>
        <w:t>的C-T图</w:t>
      </w:r>
    </w:p>
    <w:p w14:paraId="3BF3EA20" w14:textId="77777777" w:rsidR="00D12939" w:rsidRDefault="004F47F5">
      <w:pPr>
        <w:pStyle w:val="30"/>
        <w:spacing w:before="0" w:after="0" w:line="360" w:lineRule="auto"/>
        <w:rPr>
          <w:rFonts w:ascii="Times New Roman" w:eastAsia="黑体" w:hAnsi="Times New Roman" w:cs="Times New Roman"/>
          <w:b w:val="0"/>
          <w:sz w:val="24"/>
        </w:rPr>
      </w:pPr>
      <w:bookmarkStart w:id="511" w:name="_Toc121411781"/>
      <w:r>
        <w:rPr>
          <w:rFonts w:ascii="Times New Roman" w:eastAsia="黑体" w:hAnsi="Times New Roman" w:cs="Times New Roman"/>
          <w:b w:val="0"/>
          <w:sz w:val="24"/>
        </w:rPr>
        <w:t>7.4.4</w:t>
      </w:r>
      <w:r>
        <w:rPr>
          <w:rFonts w:ascii="Times New Roman" w:eastAsia="黑体" w:hAnsi="Times New Roman" w:cs="Times New Roman"/>
          <w:b w:val="0"/>
          <w:sz w:val="24"/>
        </w:rPr>
        <w:t>预测结论</w:t>
      </w:r>
      <w:bookmarkEnd w:id="511"/>
    </w:p>
    <w:p w14:paraId="1769909D" w14:textId="77777777" w:rsidR="00D12939" w:rsidRDefault="004F47F5">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结果表明，污水处理池泄漏对地下水会产生很小程度的污染，当泄漏后持续运移</w:t>
      </w:r>
      <w:r>
        <w:rPr>
          <w:rFonts w:ascii="Times New Roman" w:eastAsia="宋体" w:hAnsi="Times New Roman" w:cs="Times New Roman"/>
          <w:kern w:val="0"/>
          <w:sz w:val="24"/>
          <w:szCs w:val="24"/>
        </w:rPr>
        <w:t>100d</w:t>
      </w:r>
      <w:r>
        <w:rPr>
          <w:rFonts w:ascii="Times New Roman" w:eastAsia="宋体" w:hAnsi="Times New Roman" w:cs="Times New Roman"/>
          <w:kern w:val="0"/>
          <w:sz w:val="24"/>
          <w:szCs w:val="24"/>
        </w:rPr>
        <w:t>时，此时</w:t>
      </w:r>
      <w:r>
        <w:rPr>
          <w:rFonts w:ascii="Times New Roman" w:eastAsia="宋体" w:hAnsi="Times New Roman" w:cs="Times New Roman"/>
          <w:kern w:val="0"/>
          <w:sz w:val="24"/>
          <w:szCs w:val="24"/>
        </w:rPr>
        <w:t>BOD</w:t>
      </w:r>
      <w:r>
        <w:rPr>
          <w:rFonts w:ascii="Times New Roman" w:eastAsia="宋体" w:hAnsi="Times New Roman" w:cs="Times New Roman"/>
          <w:kern w:val="0"/>
          <w:sz w:val="24"/>
          <w:szCs w:val="24"/>
          <w:vertAlign w:val="subscript"/>
        </w:rPr>
        <w:t>5</w:t>
      </w:r>
      <w:r>
        <w:rPr>
          <w:rFonts w:ascii="Times New Roman" w:eastAsia="宋体" w:hAnsi="Times New Roman" w:cs="Times New Roman"/>
          <w:kern w:val="0"/>
          <w:sz w:val="24"/>
          <w:szCs w:val="24"/>
        </w:rPr>
        <w:t>运移中心点浓度为</w:t>
      </w:r>
      <w:r>
        <w:rPr>
          <w:rFonts w:ascii="Times New Roman" w:eastAsia="宋体" w:hAnsi="Times New Roman" w:cs="Times New Roman"/>
          <w:kern w:val="0"/>
          <w:sz w:val="24"/>
          <w:szCs w:val="24"/>
        </w:rPr>
        <w:t>5.15mg/L</w:t>
      </w:r>
      <w:r>
        <w:rPr>
          <w:rFonts w:ascii="Times New Roman" w:eastAsia="宋体" w:hAnsi="Times New Roman" w:cs="Times New Roman"/>
          <w:kern w:val="0"/>
          <w:sz w:val="24"/>
          <w:szCs w:val="24"/>
        </w:rPr>
        <w:t>，超标</w:t>
      </w:r>
      <w:r>
        <w:rPr>
          <w:rFonts w:ascii="Times New Roman" w:eastAsia="宋体" w:hAnsi="Times New Roman" w:cs="Times New Roman"/>
          <w:kern w:val="0"/>
          <w:sz w:val="24"/>
          <w:szCs w:val="24"/>
        </w:rPr>
        <w:t>1.28</w:t>
      </w:r>
      <w:r>
        <w:rPr>
          <w:rFonts w:ascii="Times New Roman" w:eastAsia="宋体" w:hAnsi="Times New Roman" w:cs="Times New Roman"/>
          <w:kern w:val="0"/>
          <w:sz w:val="24"/>
          <w:szCs w:val="24"/>
        </w:rPr>
        <w:t>倍，最大超标运移距离为</w:t>
      </w:r>
      <w:r>
        <w:rPr>
          <w:rFonts w:ascii="Times New Roman" w:eastAsia="宋体" w:hAnsi="Times New Roman" w:cs="Times New Roman"/>
          <w:kern w:val="0"/>
          <w:sz w:val="24"/>
          <w:szCs w:val="24"/>
        </w:rPr>
        <w:t>57m</w:t>
      </w:r>
      <w:r>
        <w:rPr>
          <w:rFonts w:ascii="Times New Roman" w:eastAsia="宋体" w:hAnsi="Times New Roman" w:cs="Times New Roman"/>
          <w:kern w:val="0"/>
          <w:sz w:val="24"/>
          <w:szCs w:val="24"/>
        </w:rPr>
        <w:t>，未出厂界；当泄漏后持续运移</w:t>
      </w:r>
      <w:r>
        <w:rPr>
          <w:rFonts w:ascii="Times New Roman" w:eastAsia="宋体" w:hAnsi="Times New Roman" w:cs="Times New Roman"/>
          <w:kern w:val="0"/>
          <w:sz w:val="24"/>
          <w:szCs w:val="24"/>
        </w:rPr>
        <w:t>365d</w:t>
      </w:r>
      <w:r>
        <w:rPr>
          <w:rFonts w:ascii="Times New Roman" w:eastAsia="宋体" w:hAnsi="Times New Roman" w:cs="Times New Roman"/>
          <w:kern w:val="0"/>
          <w:sz w:val="24"/>
          <w:szCs w:val="24"/>
        </w:rPr>
        <w:t>时，此时</w:t>
      </w:r>
      <w:r>
        <w:rPr>
          <w:rFonts w:ascii="Times New Roman" w:eastAsia="宋体" w:hAnsi="Times New Roman" w:cs="Times New Roman"/>
          <w:kern w:val="0"/>
          <w:sz w:val="24"/>
          <w:szCs w:val="24"/>
        </w:rPr>
        <w:t>BOD</w:t>
      </w:r>
      <w:r>
        <w:rPr>
          <w:rFonts w:ascii="Times New Roman" w:eastAsia="宋体" w:hAnsi="Times New Roman" w:cs="Times New Roman"/>
          <w:kern w:val="0"/>
          <w:sz w:val="24"/>
          <w:szCs w:val="24"/>
          <w:vertAlign w:val="subscript"/>
        </w:rPr>
        <w:t>5</w:t>
      </w:r>
      <w:r>
        <w:rPr>
          <w:rFonts w:ascii="Times New Roman" w:eastAsia="宋体" w:hAnsi="Times New Roman" w:cs="Times New Roman"/>
          <w:kern w:val="0"/>
          <w:sz w:val="24"/>
          <w:szCs w:val="24"/>
        </w:rPr>
        <w:t>运移中心点浓度为</w:t>
      </w:r>
      <w:r>
        <w:rPr>
          <w:rFonts w:ascii="Times New Roman" w:eastAsia="宋体" w:hAnsi="Times New Roman" w:cs="Times New Roman"/>
          <w:kern w:val="0"/>
          <w:sz w:val="24"/>
          <w:szCs w:val="24"/>
        </w:rPr>
        <w:t>1.43mg/L</w:t>
      </w:r>
      <w:r>
        <w:rPr>
          <w:rFonts w:ascii="Times New Roman" w:eastAsia="宋体" w:hAnsi="Times New Roman" w:cs="Times New Roman"/>
          <w:kern w:val="0"/>
          <w:sz w:val="24"/>
          <w:szCs w:val="24"/>
        </w:rPr>
        <w:t>，达标；当泄漏后持续运移</w:t>
      </w:r>
      <w:r>
        <w:rPr>
          <w:rFonts w:ascii="Times New Roman" w:eastAsia="宋体" w:hAnsi="Times New Roman" w:cs="Times New Roman"/>
          <w:kern w:val="0"/>
          <w:sz w:val="24"/>
          <w:szCs w:val="24"/>
        </w:rPr>
        <w:t>1000d</w:t>
      </w:r>
      <w:r>
        <w:rPr>
          <w:rFonts w:ascii="Times New Roman" w:eastAsia="宋体" w:hAnsi="Times New Roman" w:cs="Times New Roman"/>
          <w:kern w:val="0"/>
          <w:sz w:val="24"/>
          <w:szCs w:val="24"/>
        </w:rPr>
        <w:t>时，</w:t>
      </w:r>
      <w:r>
        <w:rPr>
          <w:rFonts w:ascii="Times New Roman" w:eastAsia="宋体" w:hAnsi="Times New Roman" w:cs="Times New Roman"/>
          <w:kern w:val="0"/>
          <w:sz w:val="24"/>
          <w:szCs w:val="24"/>
        </w:rPr>
        <w:t>BOD</w:t>
      </w:r>
      <w:r>
        <w:rPr>
          <w:rFonts w:ascii="Times New Roman" w:eastAsia="宋体" w:hAnsi="Times New Roman" w:cs="Times New Roman"/>
          <w:kern w:val="0"/>
          <w:sz w:val="24"/>
          <w:szCs w:val="24"/>
          <w:vertAlign w:val="subscript"/>
        </w:rPr>
        <w:t>5</w:t>
      </w:r>
      <w:r>
        <w:rPr>
          <w:rFonts w:ascii="Times New Roman" w:eastAsia="宋体" w:hAnsi="Times New Roman" w:cs="Times New Roman"/>
          <w:kern w:val="0"/>
          <w:sz w:val="24"/>
          <w:szCs w:val="24"/>
        </w:rPr>
        <w:t>运移中心点浓度为</w:t>
      </w:r>
      <w:r>
        <w:rPr>
          <w:rFonts w:ascii="Times New Roman" w:eastAsia="宋体" w:hAnsi="Times New Roman" w:cs="Times New Roman"/>
          <w:kern w:val="0"/>
          <w:sz w:val="24"/>
          <w:szCs w:val="24"/>
        </w:rPr>
        <w:t>0.5mg/L</w:t>
      </w:r>
      <w:r>
        <w:rPr>
          <w:rFonts w:ascii="Times New Roman" w:eastAsia="宋体" w:hAnsi="Times New Roman" w:cs="Times New Roman"/>
          <w:kern w:val="0"/>
          <w:sz w:val="24"/>
          <w:szCs w:val="24"/>
        </w:rPr>
        <w:t>，在</w:t>
      </w:r>
      <w:r>
        <w:rPr>
          <w:rFonts w:ascii="Times New Roman" w:eastAsia="宋体" w:hAnsi="Times New Roman" w:cs="Times New Roman"/>
          <w:kern w:val="0"/>
          <w:sz w:val="24"/>
          <w:szCs w:val="24"/>
        </w:rPr>
        <w:t>0-1000</w:t>
      </w:r>
      <w:r>
        <w:rPr>
          <w:rFonts w:ascii="Times New Roman" w:eastAsia="宋体" w:hAnsi="Times New Roman" w:cs="Times New Roman"/>
          <w:kern w:val="0"/>
          <w:sz w:val="24"/>
          <w:szCs w:val="24"/>
        </w:rPr>
        <w:t>天的整个运移过程中，主要污染物</w:t>
      </w:r>
      <w:r>
        <w:rPr>
          <w:rFonts w:ascii="Times New Roman" w:eastAsia="宋体" w:hAnsi="Times New Roman" w:cs="Times New Roman"/>
          <w:kern w:val="0"/>
          <w:sz w:val="24"/>
          <w:szCs w:val="24"/>
        </w:rPr>
        <w:t>BOD</w:t>
      </w:r>
      <w:r>
        <w:rPr>
          <w:rFonts w:ascii="Times New Roman" w:eastAsia="宋体" w:hAnsi="Times New Roman" w:cs="Times New Roman"/>
          <w:kern w:val="0"/>
          <w:sz w:val="24"/>
          <w:szCs w:val="24"/>
          <w:vertAlign w:val="subscript"/>
        </w:rPr>
        <w:t>5</w:t>
      </w:r>
      <w:r>
        <w:rPr>
          <w:rFonts w:ascii="Times New Roman" w:eastAsia="宋体" w:hAnsi="Times New Roman" w:cs="Times New Roman"/>
          <w:kern w:val="0"/>
          <w:sz w:val="24"/>
          <w:szCs w:val="24"/>
        </w:rPr>
        <w:t>超标区域未出厂界，对地下水水质影响不大。</w:t>
      </w:r>
    </w:p>
    <w:p w14:paraId="47DD9959" w14:textId="77777777" w:rsidR="00D12939" w:rsidRDefault="004F47F5">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由于本次预测考虑危害最大化，不考虑包气带的吸附、生物降解等阻滞作用，采用持续及瞬时排放模式进行预测。该假设条件远远大于实际情况下地下水中污染物的浓度，因此本次预测污染物迁移速度将大于实际情况下污染物在地下水中的迁移速度，污染物的运移范围小于实际情况下的运移范围，对下游地下水环境的影响很小，地下水环境影响可以接受。</w:t>
      </w:r>
    </w:p>
    <w:p w14:paraId="1B50BBA8" w14:textId="77777777" w:rsidR="00D12939" w:rsidRDefault="004F47F5">
      <w:pPr>
        <w:pStyle w:val="2"/>
        <w:spacing w:line="360" w:lineRule="auto"/>
        <w:ind w:firstLine="560"/>
        <w:rPr>
          <w:sz w:val="28"/>
        </w:rPr>
      </w:pPr>
      <w:bookmarkStart w:id="512" w:name="_Toc30089279"/>
      <w:bookmarkStart w:id="513" w:name="_Toc113952293"/>
      <w:bookmarkStart w:id="514" w:name="_Toc121411782"/>
      <w:r>
        <w:rPr>
          <w:sz w:val="28"/>
        </w:rPr>
        <w:t>7.5</w:t>
      </w:r>
      <w:r>
        <w:rPr>
          <w:sz w:val="28"/>
        </w:rPr>
        <w:t>土壤环境</w:t>
      </w:r>
      <w:bookmarkEnd w:id="512"/>
      <w:bookmarkEnd w:id="513"/>
      <w:r>
        <w:rPr>
          <w:sz w:val="28"/>
        </w:rPr>
        <w:t>影响预测与分析</w:t>
      </w:r>
      <w:bookmarkEnd w:id="514"/>
    </w:p>
    <w:p w14:paraId="033BEB16"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15" w:name="_Toc121411783"/>
      <w:r>
        <w:rPr>
          <w:rFonts w:ascii="Times New Roman" w:eastAsia="黑体" w:hAnsi="Times New Roman" w:cs="Times New Roman"/>
          <w:b w:val="0"/>
          <w:sz w:val="24"/>
        </w:rPr>
        <w:t>7.5</w:t>
      </w:r>
      <w:r>
        <w:rPr>
          <w:rFonts w:ascii="Times New Roman" w:eastAsia="黑体" w:hAnsi="Times New Roman" w:cs="Times New Roman" w:hint="eastAsia"/>
          <w:b w:val="0"/>
          <w:sz w:val="24"/>
        </w:rPr>
        <w:t>.1</w:t>
      </w:r>
      <w:r>
        <w:rPr>
          <w:rFonts w:ascii="Times New Roman" w:eastAsia="黑体" w:hAnsi="Times New Roman" w:cs="Times New Roman" w:hint="eastAsia"/>
          <w:b w:val="0"/>
          <w:sz w:val="24"/>
        </w:rPr>
        <w:t>影响识别</w:t>
      </w:r>
      <w:r>
        <w:rPr>
          <w:rFonts w:ascii="Times New Roman" w:eastAsia="黑体" w:hAnsi="Times New Roman" w:cs="Times New Roman"/>
          <w:b w:val="0"/>
          <w:sz w:val="24"/>
        </w:rPr>
        <w:t>分析</w:t>
      </w:r>
      <w:bookmarkEnd w:id="515"/>
    </w:p>
    <w:p w14:paraId="2CB6504F" w14:textId="77777777" w:rsidR="00D12939" w:rsidRDefault="004F47F5">
      <w:pPr>
        <w:pStyle w:val="Q-"/>
      </w:pPr>
      <w:r>
        <w:rPr>
          <w:rFonts w:hint="eastAsia"/>
        </w:rPr>
        <w:t>根据工程概况及工程分析，本项目土壤环境影响类型为污染影响型。污染影响型建设项目土壤环境影响源及影响因子识别情况见</w:t>
      </w:r>
      <w:r>
        <w:fldChar w:fldCharType="begin"/>
      </w:r>
      <w:r>
        <w:instrText xml:space="preserve"> </w:instrText>
      </w:r>
      <w:r>
        <w:rPr>
          <w:rFonts w:hint="eastAsia"/>
        </w:rPr>
        <w:instrText>REF _Ref109051184 \h</w:instrText>
      </w:r>
      <w:r>
        <w:instrText xml:space="preserve"> </w:instrText>
      </w:r>
      <w:r>
        <w:fldChar w:fldCharType="separate"/>
      </w:r>
      <w:r>
        <w:rPr>
          <w:rFonts w:hint="eastAsia"/>
        </w:rPr>
        <w:t>表</w:t>
      </w:r>
      <w:r>
        <w:t>7.5-1</w:t>
      </w:r>
      <w:r>
        <w:fldChar w:fldCharType="end"/>
      </w:r>
      <w:r>
        <w:rPr>
          <w:rFonts w:hint="eastAsia"/>
        </w:rPr>
        <w:t>。</w:t>
      </w:r>
    </w:p>
    <w:p w14:paraId="6933ABB5" w14:textId="77777777" w:rsidR="00D12939" w:rsidRDefault="004F47F5">
      <w:pPr>
        <w:pStyle w:val="aa"/>
        <w:spacing w:before="0" w:after="0" w:line="360" w:lineRule="auto"/>
        <w:ind w:firstLine="480"/>
        <w:jc w:val="center"/>
        <w:rPr>
          <w:rFonts w:ascii="黑体" w:hAnsi="黑体"/>
          <w:sz w:val="24"/>
        </w:rPr>
      </w:pPr>
      <w:bookmarkStart w:id="516" w:name="_Ref109051184"/>
      <w:r>
        <w:rPr>
          <w:rFonts w:ascii="黑体" w:hAnsi="黑体" w:hint="eastAsia"/>
          <w:sz w:val="24"/>
        </w:rPr>
        <w:t>表</w:t>
      </w:r>
      <w:bookmarkEnd w:id="516"/>
      <w:r>
        <w:rPr>
          <w:rFonts w:ascii="黑体" w:hAnsi="黑体"/>
          <w:sz w:val="24"/>
        </w:rPr>
        <w:t xml:space="preserve">7.5-1   </w:t>
      </w:r>
      <w:r>
        <w:rPr>
          <w:rFonts w:ascii="黑体" w:hAnsi="黑体" w:hint="eastAsia"/>
          <w:sz w:val="24"/>
        </w:rPr>
        <w:t>建设项目土壤环境影响类型及影响途径表</w:t>
      </w:r>
    </w:p>
    <w:tbl>
      <w:tblPr>
        <w:tblW w:w="9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3"/>
        <w:gridCol w:w="1961"/>
        <w:gridCol w:w="1961"/>
        <w:gridCol w:w="1961"/>
        <w:gridCol w:w="1965"/>
      </w:tblGrid>
      <w:tr w:rsidR="00D12939" w14:paraId="2EB52778" w14:textId="77777777">
        <w:trPr>
          <w:trHeight w:val="252"/>
        </w:trPr>
        <w:tc>
          <w:tcPr>
            <w:tcW w:w="1963" w:type="dxa"/>
          </w:tcPr>
          <w:p w14:paraId="7E4F3AC2" w14:textId="77777777" w:rsidR="00D12939" w:rsidRDefault="00D12939">
            <w:pPr>
              <w:pStyle w:val="Q-0"/>
            </w:pPr>
          </w:p>
        </w:tc>
        <w:tc>
          <w:tcPr>
            <w:tcW w:w="1961" w:type="dxa"/>
          </w:tcPr>
          <w:p w14:paraId="408E15EB" w14:textId="77777777" w:rsidR="00D12939" w:rsidRDefault="004F47F5">
            <w:pPr>
              <w:pStyle w:val="Q-0"/>
            </w:pPr>
            <w:r>
              <w:t>大气沉降</w:t>
            </w:r>
          </w:p>
        </w:tc>
        <w:tc>
          <w:tcPr>
            <w:tcW w:w="1961" w:type="dxa"/>
          </w:tcPr>
          <w:p w14:paraId="25EBB283" w14:textId="77777777" w:rsidR="00D12939" w:rsidRDefault="004F47F5">
            <w:pPr>
              <w:pStyle w:val="Q-0"/>
            </w:pPr>
            <w:r>
              <w:t>地面漫流</w:t>
            </w:r>
          </w:p>
        </w:tc>
        <w:tc>
          <w:tcPr>
            <w:tcW w:w="1961" w:type="dxa"/>
          </w:tcPr>
          <w:p w14:paraId="5E2C12C5" w14:textId="77777777" w:rsidR="00D12939" w:rsidRDefault="004F47F5">
            <w:pPr>
              <w:pStyle w:val="Q-0"/>
            </w:pPr>
            <w:r>
              <w:t>垂直入渗</w:t>
            </w:r>
          </w:p>
        </w:tc>
        <w:tc>
          <w:tcPr>
            <w:tcW w:w="1965" w:type="dxa"/>
          </w:tcPr>
          <w:p w14:paraId="5BD8FED5" w14:textId="77777777" w:rsidR="00D12939" w:rsidRDefault="004F47F5">
            <w:pPr>
              <w:pStyle w:val="Q-0"/>
            </w:pPr>
            <w:r>
              <w:t>其他</w:t>
            </w:r>
          </w:p>
        </w:tc>
      </w:tr>
      <w:tr w:rsidR="00D12939" w14:paraId="10E3FB18" w14:textId="77777777">
        <w:trPr>
          <w:trHeight w:val="264"/>
        </w:trPr>
        <w:tc>
          <w:tcPr>
            <w:tcW w:w="1963" w:type="dxa"/>
          </w:tcPr>
          <w:p w14:paraId="76B7E442" w14:textId="77777777" w:rsidR="00D12939" w:rsidRDefault="004F47F5">
            <w:pPr>
              <w:pStyle w:val="Q-0"/>
            </w:pPr>
            <w:r>
              <w:t>建设期</w:t>
            </w:r>
          </w:p>
        </w:tc>
        <w:tc>
          <w:tcPr>
            <w:tcW w:w="1961" w:type="dxa"/>
          </w:tcPr>
          <w:p w14:paraId="07BCA4A0" w14:textId="77777777" w:rsidR="00D12939" w:rsidRDefault="004F47F5">
            <w:pPr>
              <w:pStyle w:val="Q-0"/>
            </w:pPr>
            <w:r>
              <w:t>/</w:t>
            </w:r>
          </w:p>
        </w:tc>
        <w:tc>
          <w:tcPr>
            <w:tcW w:w="1961" w:type="dxa"/>
          </w:tcPr>
          <w:p w14:paraId="6B045049" w14:textId="77777777" w:rsidR="00D12939" w:rsidRDefault="004F47F5">
            <w:pPr>
              <w:pStyle w:val="Q-0"/>
            </w:pPr>
            <w:r>
              <w:t>/</w:t>
            </w:r>
          </w:p>
        </w:tc>
        <w:tc>
          <w:tcPr>
            <w:tcW w:w="1961" w:type="dxa"/>
          </w:tcPr>
          <w:p w14:paraId="1F88E946" w14:textId="77777777" w:rsidR="00D12939" w:rsidRDefault="004F47F5">
            <w:pPr>
              <w:pStyle w:val="Q-0"/>
            </w:pPr>
            <w:r>
              <w:t>/</w:t>
            </w:r>
          </w:p>
        </w:tc>
        <w:tc>
          <w:tcPr>
            <w:tcW w:w="1965" w:type="dxa"/>
          </w:tcPr>
          <w:p w14:paraId="6269D382" w14:textId="77777777" w:rsidR="00D12939" w:rsidRDefault="004F47F5">
            <w:pPr>
              <w:pStyle w:val="Q-0"/>
            </w:pPr>
            <w:r>
              <w:t>/</w:t>
            </w:r>
          </w:p>
        </w:tc>
      </w:tr>
      <w:tr w:rsidR="00D12939" w14:paraId="4FABB3F9" w14:textId="77777777">
        <w:trPr>
          <w:trHeight w:val="252"/>
        </w:trPr>
        <w:tc>
          <w:tcPr>
            <w:tcW w:w="1963" w:type="dxa"/>
          </w:tcPr>
          <w:p w14:paraId="15248B88" w14:textId="77777777" w:rsidR="00D12939" w:rsidRDefault="004F47F5">
            <w:pPr>
              <w:pStyle w:val="Q-0"/>
            </w:pPr>
            <w:r>
              <w:t>运营期</w:t>
            </w:r>
          </w:p>
        </w:tc>
        <w:tc>
          <w:tcPr>
            <w:tcW w:w="1961" w:type="dxa"/>
          </w:tcPr>
          <w:p w14:paraId="3609A2A5" w14:textId="77777777" w:rsidR="00D12939" w:rsidRDefault="004F47F5">
            <w:pPr>
              <w:pStyle w:val="Q-0"/>
            </w:pPr>
            <w:r>
              <w:t>√</w:t>
            </w:r>
          </w:p>
        </w:tc>
        <w:tc>
          <w:tcPr>
            <w:tcW w:w="1961" w:type="dxa"/>
          </w:tcPr>
          <w:p w14:paraId="2AB15D4C" w14:textId="77777777" w:rsidR="00D12939" w:rsidRDefault="004F47F5">
            <w:pPr>
              <w:pStyle w:val="Q-0"/>
            </w:pPr>
            <w:r>
              <w:t>/</w:t>
            </w:r>
          </w:p>
        </w:tc>
        <w:tc>
          <w:tcPr>
            <w:tcW w:w="1961" w:type="dxa"/>
          </w:tcPr>
          <w:p w14:paraId="7154FFC7" w14:textId="77777777" w:rsidR="00D12939" w:rsidRDefault="004F47F5">
            <w:pPr>
              <w:pStyle w:val="Q-0"/>
            </w:pPr>
            <w:r>
              <w:t>√</w:t>
            </w:r>
          </w:p>
        </w:tc>
        <w:tc>
          <w:tcPr>
            <w:tcW w:w="1965" w:type="dxa"/>
          </w:tcPr>
          <w:p w14:paraId="64E566F5" w14:textId="77777777" w:rsidR="00D12939" w:rsidRDefault="004F47F5">
            <w:pPr>
              <w:pStyle w:val="Q-0"/>
            </w:pPr>
            <w:r>
              <w:t>/</w:t>
            </w:r>
          </w:p>
        </w:tc>
      </w:tr>
      <w:tr w:rsidR="00D12939" w14:paraId="1FB8B6E6" w14:textId="77777777">
        <w:trPr>
          <w:trHeight w:val="264"/>
        </w:trPr>
        <w:tc>
          <w:tcPr>
            <w:tcW w:w="1963" w:type="dxa"/>
          </w:tcPr>
          <w:p w14:paraId="092431AD" w14:textId="77777777" w:rsidR="00D12939" w:rsidRDefault="004F47F5">
            <w:pPr>
              <w:pStyle w:val="Q-0"/>
            </w:pPr>
            <w:r>
              <w:t>服务期满后</w:t>
            </w:r>
          </w:p>
        </w:tc>
        <w:tc>
          <w:tcPr>
            <w:tcW w:w="1961" w:type="dxa"/>
          </w:tcPr>
          <w:p w14:paraId="4C9261A2" w14:textId="77777777" w:rsidR="00D12939" w:rsidRDefault="004F47F5">
            <w:pPr>
              <w:pStyle w:val="Q-0"/>
            </w:pPr>
            <w:r>
              <w:t>/</w:t>
            </w:r>
          </w:p>
        </w:tc>
        <w:tc>
          <w:tcPr>
            <w:tcW w:w="1961" w:type="dxa"/>
          </w:tcPr>
          <w:p w14:paraId="26B86F00" w14:textId="77777777" w:rsidR="00D12939" w:rsidRDefault="004F47F5">
            <w:pPr>
              <w:pStyle w:val="Q-0"/>
            </w:pPr>
            <w:r>
              <w:t>/</w:t>
            </w:r>
          </w:p>
        </w:tc>
        <w:tc>
          <w:tcPr>
            <w:tcW w:w="1961" w:type="dxa"/>
          </w:tcPr>
          <w:p w14:paraId="0C87231A" w14:textId="77777777" w:rsidR="00D12939" w:rsidRDefault="004F47F5">
            <w:pPr>
              <w:pStyle w:val="Q-0"/>
            </w:pPr>
            <w:r>
              <w:t>√</w:t>
            </w:r>
          </w:p>
        </w:tc>
        <w:tc>
          <w:tcPr>
            <w:tcW w:w="1965" w:type="dxa"/>
          </w:tcPr>
          <w:p w14:paraId="375A5697" w14:textId="77777777" w:rsidR="00D12939" w:rsidRDefault="004F47F5">
            <w:pPr>
              <w:pStyle w:val="Q-0"/>
            </w:pPr>
            <w:r>
              <w:t>/</w:t>
            </w:r>
          </w:p>
        </w:tc>
      </w:tr>
      <w:tr w:rsidR="00D12939" w14:paraId="0E6D0D42" w14:textId="77777777">
        <w:trPr>
          <w:trHeight w:val="252"/>
        </w:trPr>
        <w:tc>
          <w:tcPr>
            <w:tcW w:w="9811" w:type="dxa"/>
            <w:gridSpan w:val="5"/>
          </w:tcPr>
          <w:p w14:paraId="0C4D5971" w14:textId="77777777" w:rsidR="00D12939" w:rsidRDefault="004F47F5">
            <w:pPr>
              <w:pStyle w:val="Q-0"/>
              <w:jc w:val="left"/>
            </w:pPr>
            <w:r>
              <w:lastRenderedPageBreak/>
              <w:t>注：在可能产生的土壤环境影响类型处打</w:t>
            </w:r>
            <w:r>
              <w:t>“√”</w:t>
            </w:r>
          </w:p>
        </w:tc>
      </w:tr>
    </w:tbl>
    <w:p w14:paraId="08A26237" w14:textId="77777777" w:rsidR="00D12939" w:rsidRDefault="004F47F5">
      <w:pPr>
        <w:pStyle w:val="Q-"/>
      </w:pPr>
      <w:r>
        <w:t>本项目运营期间土壤环境污染途径为大气沉降和垂直入渗。大气沉降主要由于生活垃圾没有压实导致颗粒物或者生活垃圾在风力作用下飞散至填埋区范围外的地面，对土壤造成影响。</w:t>
      </w:r>
    </w:p>
    <w:p w14:paraId="589E8529"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本项目按照《生活垃圾填埋场污染控制标准》（</w:t>
      </w:r>
      <w:r>
        <w:rPr>
          <w:rFonts w:ascii="Times New Roman" w:eastAsia="宋体" w:hAnsi="Times New Roman" w:cs="Times New Roman"/>
          <w:kern w:val="0"/>
          <w:sz w:val="24"/>
        </w:rPr>
        <w:t>GB16889-2008</w:t>
      </w:r>
      <w:r>
        <w:rPr>
          <w:rFonts w:ascii="Times New Roman" w:eastAsia="宋体" w:hAnsi="Times New Roman" w:cs="Times New Roman"/>
          <w:kern w:val="0"/>
          <w:sz w:val="24"/>
        </w:rPr>
        <w:t>）与《生活垃圾卫生填埋处理技术规范》（</w:t>
      </w:r>
      <w:r>
        <w:rPr>
          <w:rFonts w:ascii="Times New Roman" w:eastAsia="宋体" w:hAnsi="Times New Roman" w:cs="Times New Roman"/>
          <w:kern w:val="0"/>
          <w:sz w:val="24"/>
        </w:rPr>
        <w:t>GB50869-2013</w:t>
      </w:r>
      <w:r>
        <w:rPr>
          <w:rFonts w:ascii="Times New Roman" w:eastAsia="宋体" w:hAnsi="Times New Roman" w:cs="Times New Roman"/>
          <w:kern w:val="0"/>
          <w:sz w:val="24"/>
        </w:rPr>
        <w:t>）关于人工防渗的要求，结合场地地质条件，本项目采用双层防渗结构系统。在运营过程中，正常情况下</w:t>
      </w:r>
      <w:r>
        <w:rPr>
          <w:rFonts w:ascii="Times New Roman" w:eastAsia="宋体" w:hAnsi="Times New Roman" w:cs="Times New Roman" w:hint="eastAsia"/>
          <w:kern w:val="0"/>
          <w:sz w:val="24"/>
        </w:rPr>
        <w:t>渗滤液</w:t>
      </w:r>
      <w:r>
        <w:rPr>
          <w:rFonts w:ascii="Times New Roman" w:eastAsia="宋体" w:hAnsi="Times New Roman" w:cs="Times New Roman"/>
          <w:kern w:val="0"/>
          <w:sz w:val="24"/>
        </w:rPr>
        <w:t>几乎不会下渗，不会对土壤产生不利影响。</w:t>
      </w:r>
    </w:p>
    <w:p w14:paraId="5467640A" w14:textId="77777777" w:rsidR="00D12939" w:rsidRDefault="004F47F5">
      <w:pPr>
        <w:pStyle w:val="Q-"/>
      </w:pPr>
      <w:r>
        <w:t>通过分析本项目工艺流程，垂直入渗途径发生在运营期间事故工况下</w:t>
      </w:r>
      <w:r>
        <w:rPr>
          <w:rFonts w:hint="eastAsia"/>
        </w:rPr>
        <w:t>渗滤液</w:t>
      </w:r>
      <w:r>
        <w:t>调节池渗漏工况，</w:t>
      </w:r>
      <w:r>
        <w:rPr>
          <w:rFonts w:hint="eastAsia"/>
        </w:rPr>
        <w:t>渗滤液</w:t>
      </w:r>
      <w:r>
        <w:t>中全部污染因子为：</w:t>
      </w:r>
      <w:r>
        <w:t>COD</w:t>
      </w:r>
      <w:r>
        <w:t>、</w:t>
      </w:r>
      <w:r>
        <w:t>BOD</w:t>
      </w:r>
      <w:r>
        <w:rPr>
          <w:vertAlign w:val="subscript"/>
        </w:rPr>
        <w:t>5</w:t>
      </w:r>
      <w:r>
        <w:t>、</w:t>
      </w:r>
      <w:r>
        <w:t>NH</w:t>
      </w:r>
      <w:r>
        <w:rPr>
          <w:vertAlign w:val="subscript"/>
        </w:rPr>
        <w:t>3</w:t>
      </w:r>
      <w:r>
        <w:t>-N</w:t>
      </w:r>
      <w:r>
        <w:t>、</w:t>
      </w:r>
      <w:r>
        <w:t>Cr</w:t>
      </w:r>
      <w:r>
        <w:t>、</w:t>
      </w:r>
      <w:r>
        <w:t>Hg</w:t>
      </w:r>
      <w:r>
        <w:t>、</w:t>
      </w:r>
      <w:r>
        <w:t>Cd</w:t>
      </w:r>
      <w:r>
        <w:t>等。结合同类工程</w:t>
      </w:r>
      <w:r>
        <w:rPr>
          <w:rFonts w:hint="eastAsia"/>
        </w:rPr>
        <w:t>渗滤液</w:t>
      </w:r>
      <w:r>
        <w:t>监测报告并对比《土壤环境质量</w:t>
      </w:r>
      <w:r>
        <w:t xml:space="preserve"> </w:t>
      </w:r>
      <w:r>
        <w:t>建设用地土壤污染风险管控标准》（</w:t>
      </w:r>
      <w:r>
        <w:t>GB36600-2018</w:t>
      </w:r>
      <w:r>
        <w:t>），确定本工程通过垂直入渗途径造成土壤环境影响的特征因子为</w:t>
      </w:r>
      <w:r>
        <w:t>Pb</w:t>
      </w:r>
      <w:r>
        <w:rPr>
          <w:vertAlign w:val="superscript"/>
        </w:rPr>
        <w:t>2+</w:t>
      </w:r>
      <w:r>
        <w:t>。本项目土壤环境影响源及影响因子识别表见</w:t>
      </w:r>
      <w:r>
        <w:fldChar w:fldCharType="begin"/>
      </w:r>
      <w:r>
        <w:instrText xml:space="preserve"> REF _Ref109051680 \h </w:instrText>
      </w:r>
      <w:r>
        <w:fldChar w:fldCharType="separate"/>
      </w:r>
      <w:r>
        <w:t>表</w:t>
      </w:r>
      <w:r>
        <w:t xml:space="preserve"> 7.5-2</w:t>
      </w:r>
      <w:r>
        <w:fldChar w:fldCharType="end"/>
      </w:r>
      <w:r>
        <w:t>。</w:t>
      </w:r>
    </w:p>
    <w:p w14:paraId="1D75ADED" w14:textId="77777777" w:rsidR="00D12939" w:rsidRDefault="004F47F5">
      <w:pPr>
        <w:pStyle w:val="aa"/>
        <w:spacing w:before="0" w:after="0" w:line="360" w:lineRule="auto"/>
        <w:ind w:firstLine="480"/>
        <w:jc w:val="center"/>
        <w:rPr>
          <w:rFonts w:ascii="黑体" w:hAnsi="黑体"/>
          <w:sz w:val="24"/>
        </w:rPr>
      </w:pPr>
      <w:bookmarkStart w:id="517" w:name="_Ref109051680"/>
      <w:r>
        <w:rPr>
          <w:rFonts w:ascii="黑体" w:hAnsi="黑体" w:hint="eastAsia"/>
          <w:sz w:val="24"/>
        </w:rPr>
        <w:t>表</w:t>
      </w:r>
      <w:bookmarkEnd w:id="517"/>
      <w:r>
        <w:rPr>
          <w:rFonts w:ascii="黑体" w:hAnsi="黑体"/>
          <w:sz w:val="24"/>
        </w:rPr>
        <w:t xml:space="preserve">7.5-2     </w:t>
      </w:r>
      <w:r>
        <w:rPr>
          <w:rFonts w:ascii="黑体" w:hAnsi="黑体" w:hint="eastAsia"/>
          <w:sz w:val="24"/>
        </w:rPr>
        <w:t>污染影响型建设项目土壤环境影响源及影响因子识别表</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526"/>
        <w:gridCol w:w="743"/>
        <w:gridCol w:w="2618"/>
        <w:gridCol w:w="1775"/>
        <w:gridCol w:w="1843"/>
      </w:tblGrid>
      <w:tr w:rsidR="00D12939" w14:paraId="74FDCCDE" w14:textId="77777777">
        <w:tc>
          <w:tcPr>
            <w:tcW w:w="1271" w:type="dxa"/>
            <w:vAlign w:val="center"/>
          </w:tcPr>
          <w:p w14:paraId="469E0BDA" w14:textId="77777777" w:rsidR="00D12939" w:rsidRDefault="004F47F5">
            <w:pPr>
              <w:pStyle w:val="Q-0"/>
            </w:pPr>
            <w:r>
              <w:t>污染源</w:t>
            </w:r>
          </w:p>
        </w:tc>
        <w:tc>
          <w:tcPr>
            <w:tcW w:w="1526" w:type="dxa"/>
          </w:tcPr>
          <w:p w14:paraId="38399139" w14:textId="77777777" w:rsidR="00D12939" w:rsidRDefault="004F47F5">
            <w:pPr>
              <w:pStyle w:val="Q-0"/>
            </w:pPr>
            <w:r>
              <w:t>工艺流程</w:t>
            </w:r>
            <w:r>
              <w:t>/</w:t>
            </w:r>
            <w:r>
              <w:t>节点</w:t>
            </w:r>
          </w:p>
        </w:tc>
        <w:tc>
          <w:tcPr>
            <w:tcW w:w="743" w:type="dxa"/>
          </w:tcPr>
          <w:p w14:paraId="1385082F" w14:textId="77777777" w:rsidR="00D12939" w:rsidRDefault="004F47F5">
            <w:pPr>
              <w:pStyle w:val="Q-0"/>
            </w:pPr>
            <w:r>
              <w:t>污染途径</w:t>
            </w:r>
          </w:p>
        </w:tc>
        <w:tc>
          <w:tcPr>
            <w:tcW w:w="2618" w:type="dxa"/>
            <w:vAlign w:val="center"/>
          </w:tcPr>
          <w:p w14:paraId="7197A9B2" w14:textId="77777777" w:rsidR="00D12939" w:rsidRDefault="004F47F5">
            <w:pPr>
              <w:pStyle w:val="Q-0"/>
            </w:pPr>
            <w:r>
              <w:t>全部污染物指标</w:t>
            </w:r>
            <w:r>
              <w:rPr>
                <w:vertAlign w:val="superscript"/>
              </w:rPr>
              <w:t>a</w:t>
            </w:r>
          </w:p>
        </w:tc>
        <w:tc>
          <w:tcPr>
            <w:tcW w:w="1775" w:type="dxa"/>
            <w:vAlign w:val="center"/>
          </w:tcPr>
          <w:p w14:paraId="6255FB76" w14:textId="77777777" w:rsidR="00D12939" w:rsidRDefault="004F47F5">
            <w:pPr>
              <w:pStyle w:val="Q-0"/>
            </w:pPr>
            <w:r>
              <w:t>特征因子</w:t>
            </w:r>
          </w:p>
        </w:tc>
        <w:tc>
          <w:tcPr>
            <w:tcW w:w="1843" w:type="dxa"/>
            <w:vAlign w:val="center"/>
          </w:tcPr>
          <w:p w14:paraId="179CC9FE" w14:textId="77777777" w:rsidR="00D12939" w:rsidRDefault="004F47F5">
            <w:pPr>
              <w:pStyle w:val="Q-0"/>
            </w:pPr>
            <w:r>
              <w:t>备注</w:t>
            </w:r>
            <w:r>
              <w:rPr>
                <w:vertAlign w:val="superscript"/>
              </w:rPr>
              <w:t>b</w:t>
            </w:r>
          </w:p>
        </w:tc>
      </w:tr>
      <w:tr w:rsidR="00D12939" w14:paraId="4C794ED5" w14:textId="77777777">
        <w:tc>
          <w:tcPr>
            <w:tcW w:w="1271" w:type="dxa"/>
            <w:vAlign w:val="center"/>
          </w:tcPr>
          <w:p w14:paraId="47A9584F" w14:textId="77777777" w:rsidR="00D12939" w:rsidRDefault="004F47F5">
            <w:pPr>
              <w:pStyle w:val="Q-0"/>
            </w:pPr>
            <w:r>
              <w:t>垃圾</w:t>
            </w:r>
          </w:p>
        </w:tc>
        <w:tc>
          <w:tcPr>
            <w:tcW w:w="1526" w:type="dxa"/>
            <w:vAlign w:val="center"/>
          </w:tcPr>
          <w:p w14:paraId="46ADABAF" w14:textId="77777777" w:rsidR="00D12939" w:rsidRDefault="004F47F5">
            <w:pPr>
              <w:pStyle w:val="Q-0"/>
            </w:pPr>
            <w:r>
              <w:t>垃圾填埋作业、填埋气体</w:t>
            </w:r>
          </w:p>
        </w:tc>
        <w:tc>
          <w:tcPr>
            <w:tcW w:w="743" w:type="dxa"/>
            <w:vAlign w:val="center"/>
          </w:tcPr>
          <w:p w14:paraId="0FA04260" w14:textId="77777777" w:rsidR="00D12939" w:rsidRDefault="004F47F5">
            <w:pPr>
              <w:pStyle w:val="Q-0"/>
            </w:pPr>
            <w:r>
              <w:t>大气沉降</w:t>
            </w:r>
          </w:p>
        </w:tc>
        <w:tc>
          <w:tcPr>
            <w:tcW w:w="2618" w:type="dxa"/>
            <w:vAlign w:val="center"/>
          </w:tcPr>
          <w:p w14:paraId="121F22A3" w14:textId="77777777" w:rsidR="00D12939" w:rsidRDefault="004F47F5">
            <w:pPr>
              <w:pStyle w:val="Q-0"/>
            </w:pPr>
            <w:r>
              <w:t>甲烷、</w:t>
            </w:r>
            <w:r>
              <w:t>H</w:t>
            </w:r>
            <w:r>
              <w:rPr>
                <w:vertAlign w:val="subscript"/>
              </w:rPr>
              <w:t>2</w:t>
            </w:r>
            <w:r>
              <w:t>S</w:t>
            </w:r>
            <w:r>
              <w:t>、</w:t>
            </w:r>
            <w:r>
              <w:t>NH</w:t>
            </w:r>
            <w:r>
              <w:rPr>
                <w:vertAlign w:val="subscript"/>
              </w:rPr>
              <w:t>3</w:t>
            </w:r>
            <w:r>
              <w:t>、</w:t>
            </w:r>
            <w:r>
              <w:t>NOx</w:t>
            </w:r>
            <w:r>
              <w:t>、</w:t>
            </w:r>
            <w:r>
              <w:t>SO</w:t>
            </w:r>
            <w:r>
              <w:rPr>
                <w:vertAlign w:val="subscript"/>
              </w:rPr>
              <w:t>2</w:t>
            </w:r>
          </w:p>
        </w:tc>
        <w:tc>
          <w:tcPr>
            <w:tcW w:w="1775" w:type="dxa"/>
            <w:vAlign w:val="center"/>
          </w:tcPr>
          <w:p w14:paraId="4F807ED0" w14:textId="77777777" w:rsidR="00D12939" w:rsidRDefault="004F47F5">
            <w:pPr>
              <w:pStyle w:val="Q-0"/>
            </w:pPr>
            <w:r>
              <w:t>甲烷、</w:t>
            </w:r>
            <w:r>
              <w:t>H</w:t>
            </w:r>
            <w:r>
              <w:rPr>
                <w:vertAlign w:val="subscript"/>
              </w:rPr>
              <w:t>2</w:t>
            </w:r>
            <w:r>
              <w:t>S</w:t>
            </w:r>
            <w:r>
              <w:t>、</w:t>
            </w:r>
            <w:r>
              <w:t>NH</w:t>
            </w:r>
            <w:r>
              <w:rPr>
                <w:vertAlign w:val="subscript"/>
              </w:rPr>
              <w:t>3</w:t>
            </w:r>
            <w:r>
              <w:t>、</w:t>
            </w:r>
            <w:r>
              <w:t>NOx</w:t>
            </w:r>
            <w:r>
              <w:t>、</w:t>
            </w:r>
            <w:r>
              <w:t>SO</w:t>
            </w:r>
            <w:r>
              <w:rPr>
                <w:vertAlign w:val="subscript"/>
              </w:rPr>
              <w:t>2</w:t>
            </w:r>
          </w:p>
        </w:tc>
        <w:tc>
          <w:tcPr>
            <w:tcW w:w="1843" w:type="dxa"/>
            <w:vAlign w:val="center"/>
          </w:tcPr>
          <w:p w14:paraId="0F8DC2DD" w14:textId="77777777" w:rsidR="00D12939" w:rsidRDefault="004F47F5">
            <w:pPr>
              <w:pStyle w:val="Q-0"/>
            </w:pPr>
            <w:r>
              <w:t>连续产生，大气环境影响沉降范围内的土壤环境敏感目标</w:t>
            </w:r>
          </w:p>
        </w:tc>
      </w:tr>
      <w:tr w:rsidR="00D12939" w14:paraId="33939374" w14:textId="77777777">
        <w:tc>
          <w:tcPr>
            <w:tcW w:w="1271" w:type="dxa"/>
            <w:vAlign w:val="center"/>
          </w:tcPr>
          <w:p w14:paraId="64D22435" w14:textId="77777777" w:rsidR="00D12939" w:rsidRDefault="004F47F5">
            <w:pPr>
              <w:pStyle w:val="Q-0"/>
            </w:pPr>
            <w:r>
              <w:rPr>
                <w:rFonts w:hint="eastAsia"/>
              </w:rPr>
              <w:t>渗滤液</w:t>
            </w:r>
            <w:r>
              <w:t>调节池</w:t>
            </w:r>
          </w:p>
        </w:tc>
        <w:tc>
          <w:tcPr>
            <w:tcW w:w="1526" w:type="dxa"/>
            <w:vAlign w:val="center"/>
          </w:tcPr>
          <w:p w14:paraId="6CC3F57E" w14:textId="77777777" w:rsidR="00D12939" w:rsidRDefault="004F47F5">
            <w:pPr>
              <w:pStyle w:val="Q-0"/>
            </w:pPr>
            <w:r>
              <w:rPr>
                <w:rFonts w:hint="eastAsia"/>
              </w:rPr>
              <w:t>渗滤液</w:t>
            </w:r>
            <w:r>
              <w:t>调节池渗漏</w:t>
            </w:r>
          </w:p>
        </w:tc>
        <w:tc>
          <w:tcPr>
            <w:tcW w:w="743" w:type="dxa"/>
            <w:vAlign w:val="center"/>
          </w:tcPr>
          <w:p w14:paraId="34ADE6B9" w14:textId="77777777" w:rsidR="00D12939" w:rsidRDefault="004F47F5">
            <w:pPr>
              <w:pStyle w:val="Q-0"/>
            </w:pPr>
            <w:r>
              <w:t>垂直入渗</w:t>
            </w:r>
          </w:p>
        </w:tc>
        <w:tc>
          <w:tcPr>
            <w:tcW w:w="2618" w:type="dxa"/>
            <w:vAlign w:val="center"/>
          </w:tcPr>
          <w:p w14:paraId="0E791C1B" w14:textId="77777777" w:rsidR="00D12939" w:rsidRDefault="004F47F5">
            <w:pPr>
              <w:pStyle w:val="Q-0"/>
            </w:pPr>
            <w:r>
              <w:t>COD</w:t>
            </w:r>
            <w:r>
              <w:t>、</w:t>
            </w:r>
            <w:r>
              <w:t>BOD</w:t>
            </w:r>
            <w:r>
              <w:rPr>
                <w:vertAlign w:val="subscript"/>
              </w:rPr>
              <w:t>5</w:t>
            </w:r>
            <w:r>
              <w:t>、</w:t>
            </w:r>
            <w:r>
              <w:t>NH</w:t>
            </w:r>
            <w:r>
              <w:rPr>
                <w:vertAlign w:val="subscript"/>
              </w:rPr>
              <w:t>3</w:t>
            </w:r>
            <w:r>
              <w:t>-N</w:t>
            </w:r>
          </w:p>
        </w:tc>
        <w:tc>
          <w:tcPr>
            <w:tcW w:w="1775" w:type="dxa"/>
            <w:vAlign w:val="center"/>
          </w:tcPr>
          <w:p w14:paraId="5737E391" w14:textId="77777777" w:rsidR="00D12939" w:rsidRDefault="004F47F5">
            <w:pPr>
              <w:pStyle w:val="Q-0"/>
            </w:pPr>
            <w:r>
              <w:t>COD</w:t>
            </w:r>
            <w:r>
              <w:t>、</w:t>
            </w:r>
            <w:r>
              <w:t>BOD</w:t>
            </w:r>
            <w:r>
              <w:rPr>
                <w:vertAlign w:val="subscript"/>
              </w:rPr>
              <w:t>5</w:t>
            </w:r>
            <w:r>
              <w:t>、</w:t>
            </w:r>
            <w:r>
              <w:t>NH</w:t>
            </w:r>
            <w:r>
              <w:rPr>
                <w:vertAlign w:val="subscript"/>
              </w:rPr>
              <w:t>3</w:t>
            </w:r>
            <w:r>
              <w:t>-N</w:t>
            </w:r>
          </w:p>
        </w:tc>
        <w:tc>
          <w:tcPr>
            <w:tcW w:w="1843" w:type="dxa"/>
            <w:vAlign w:val="center"/>
          </w:tcPr>
          <w:p w14:paraId="16220E84" w14:textId="77777777" w:rsidR="00D12939" w:rsidRDefault="004F47F5">
            <w:pPr>
              <w:pStyle w:val="Q-0"/>
            </w:pPr>
            <w:r>
              <w:t>事故</w:t>
            </w:r>
          </w:p>
        </w:tc>
      </w:tr>
      <w:tr w:rsidR="00D12939" w14:paraId="0063783A" w14:textId="77777777">
        <w:tc>
          <w:tcPr>
            <w:tcW w:w="9776" w:type="dxa"/>
            <w:gridSpan w:val="6"/>
          </w:tcPr>
          <w:p w14:paraId="3F8C9724" w14:textId="77777777" w:rsidR="00D12939" w:rsidRDefault="004F47F5">
            <w:pPr>
              <w:pStyle w:val="Q-0"/>
              <w:jc w:val="both"/>
            </w:pPr>
            <w:r>
              <w:t>a</w:t>
            </w:r>
            <w:r>
              <w:t>根据工艺分析结果填写。</w:t>
            </w:r>
          </w:p>
          <w:p w14:paraId="0F8F1D4B" w14:textId="77777777" w:rsidR="00D12939" w:rsidRDefault="004F47F5">
            <w:pPr>
              <w:pStyle w:val="Q-0"/>
              <w:jc w:val="both"/>
            </w:pPr>
            <w:r>
              <w:t>b</w:t>
            </w:r>
            <w:r>
              <w:t>应描述污染源特征，如持续、间断、正常、事故等；涉及大气沉降途径的，应识别事故工程周边的土壤环境敏感目标。</w:t>
            </w:r>
          </w:p>
        </w:tc>
      </w:tr>
    </w:tbl>
    <w:p w14:paraId="03080278"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18" w:name="_Toc121411784"/>
      <w:r>
        <w:rPr>
          <w:rFonts w:ascii="Times New Roman" w:eastAsia="黑体" w:hAnsi="Times New Roman" w:cs="Times New Roman"/>
          <w:b w:val="0"/>
          <w:sz w:val="24"/>
        </w:rPr>
        <w:t>7.5</w:t>
      </w:r>
      <w:r>
        <w:rPr>
          <w:rFonts w:ascii="Times New Roman" w:eastAsia="黑体" w:hAnsi="Times New Roman" w:cs="Times New Roman" w:hint="eastAsia"/>
          <w:b w:val="0"/>
          <w:sz w:val="24"/>
        </w:rPr>
        <w:t>.2</w:t>
      </w:r>
      <w:r>
        <w:rPr>
          <w:rFonts w:ascii="Times New Roman" w:eastAsia="黑体" w:hAnsi="Times New Roman" w:cs="Times New Roman" w:hint="eastAsia"/>
          <w:b w:val="0"/>
          <w:sz w:val="24"/>
        </w:rPr>
        <w:t>运营期土壤</w:t>
      </w:r>
      <w:r>
        <w:rPr>
          <w:rFonts w:ascii="Times New Roman" w:eastAsia="黑体" w:hAnsi="Times New Roman" w:cs="Times New Roman"/>
          <w:b w:val="0"/>
          <w:sz w:val="24"/>
        </w:rPr>
        <w:t>环境影响分析</w:t>
      </w:r>
      <w:bookmarkEnd w:id="518"/>
    </w:p>
    <w:p w14:paraId="65536E50" w14:textId="77777777" w:rsidR="00D12939" w:rsidRDefault="004F47F5">
      <w:pPr>
        <w:pStyle w:val="Q-"/>
        <w:rPr>
          <w:szCs w:val="24"/>
        </w:rPr>
      </w:pPr>
      <w:bookmarkStart w:id="519" w:name="_Ref30058519"/>
      <w:r>
        <w:rPr>
          <w:szCs w:val="24"/>
        </w:rPr>
        <w:t>（</w:t>
      </w:r>
      <w:r>
        <w:rPr>
          <w:szCs w:val="24"/>
        </w:rPr>
        <w:t>1</w:t>
      </w:r>
      <w:r>
        <w:rPr>
          <w:szCs w:val="24"/>
        </w:rPr>
        <w:t>）大气沉降影响分析</w:t>
      </w:r>
    </w:p>
    <w:p w14:paraId="4CBBEE88"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本报告要求生活垃圾入场填埋应及时进行压实处理。此外，在生活垃圾填埋场周围设置围墙、绿化带等隔离措施，大气沉降作用在采取压实、隔离、植物吸收等措施后对土壤环境影响较小。</w:t>
      </w:r>
    </w:p>
    <w:p w14:paraId="60BABE82" w14:textId="77777777" w:rsidR="00D12939" w:rsidRDefault="004F47F5">
      <w:pPr>
        <w:pStyle w:val="Q-"/>
        <w:rPr>
          <w:szCs w:val="24"/>
        </w:rPr>
      </w:pPr>
      <w:r>
        <w:rPr>
          <w:szCs w:val="24"/>
        </w:rPr>
        <w:t>（</w:t>
      </w:r>
      <w:r>
        <w:rPr>
          <w:szCs w:val="24"/>
        </w:rPr>
        <w:t>2</w:t>
      </w:r>
      <w:r>
        <w:rPr>
          <w:szCs w:val="24"/>
        </w:rPr>
        <w:t>）垂直入渗影响分析</w:t>
      </w:r>
    </w:p>
    <w:p w14:paraId="772B58AA" w14:textId="77777777" w:rsidR="00D12939" w:rsidRDefault="004F47F5">
      <w:pPr>
        <w:pStyle w:val="Q-"/>
        <w:rPr>
          <w:szCs w:val="24"/>
        </w:rPr>
      </w:pPr>
      <w:r>
        <w:rPr>
          <w:szCs w:val="24"/>
        </w:rPr>
        <w:t>1</w:t>
      </w:r>
      <w:r>
        <w:rPr>
          <w:szCs w:val="24"/>
        </w:rPr>
        <w:t>）预测情景设置</w:t>
      </w:r>
    </w:p>
    <w:p w14:paraId="54F570FC"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本次以</w:t>
      </w:r>
      <w:r>
        <w:rPr>
          <w:rFonts w:ascii="Times New Roman" w:eastAsia="宋体" w:hAnsi="Times New Roman" w:cs="Times New Roman"/>
          <w:sz w:val="24"/>
          <w:szCs w:val="24"/>
        </w:rPr>
        <w:t>垃圾渗滤液</w:t>
      </w:r>
      <w:r>
        <w:rPr>
          <w:rFonts w:ascii="Times New Roman" w:eastAsia="宋体" w:hAnsi="Times New Roman" w:cs="Times New Roman"/>
          <w:bCs/>
          <w:sz w:val="24"/>
          <w:szCs w:val="24"/>
        </w:rPr>
        <w:t>调节池防渗层破损作为预测情景，分析</w:t>
      </w:r>
      <w:r>
        <w:rPr>
          <w:rFonts w:ascii="Times New Roman" w:eastAsia="宋体" w:hAnsi="Times New Roman" w:cs="Times New Roman"/>
          <w:sz w:val="24"/>
          <w:szCs w:val="24"/>
        </w:rPr>
        <w:t>垃圾渗滤液</w:t>
      </w:r>
      <w:r>
        <w:rPr>
          <w:rFonts w:ascii="Times New Roman" w:eastAsia="宋体" w:hAnsi="Times New Roman" w:cs="Times New Roman"/>
          <w:bCs/>
          <w:sz w:val="24"/>
          <w:szCs w:val="24"/>
        </w:rPr>
        <w:t>对土壤环境的影响。</w:t>
      </w:r>
    </w:p>
    <w:p w14:paraId="66FC5DDE" w14:textId="77777777" w:rsidR="00D12939" w:rsidRDefault="004F47F5">
      <w:pPr>
        <w:pStyle w:val="Q-"/>
        <w:rPr>
          <w:szCs w:val="24"/>
        </w:rPr>
      </w:pPr>
      <w:r>
        <w:rPr>
          <w:szCs w:val="24"/>
        </w:rPr>
        <w:t>2</w:t>
      </w:r>
      <w:r>
        <w:rPr>
          <w:szCs w:val="24"/>
        </w:rPr>
        <w:t>）预测与评价因子</w:t>
      </w:r>
    </w:p>
    <w:p w14:paraId="7AAA042F" w14:textId="77777777" w:rsidR="00D12939" w:rsidRDefault="004F47F5">
      <w:pPr>
        <w:pStyle w:val="Q-"/>
        <w:rPr>
          <w:szCs w:val="24"/>
        </w:rPr>
      </w:pPr>
      <w:r>
        <w:rPr>
          <w:szCs w:val="24"/>
        </w:rPr>
        <w:lastRenderedPageBreak/>
        <w:t>本次评价主要考虑垃圾渗滤液可能对土壤环境的影响，选择与地下水预测情形一致的</w:t>
      </w:r>
      <w:r>
        <w:rPr>
          <w:szCs w:val="24"/>
        </w:rPr>
        <w:t>BOD</w:t>
      </w:r>
      <w:r>
        <w:rPr>
          <w:szCs w:val="24"/>
          <w:vertAlign w:val="subscript"/>
        </w:rPr>
        <w:t>5</w:t>
      </w:r>
      <w:r>
        <w:rPr>
          <w:szCs w:val="24"/>
        </w:rPr>
        <w:t>作为评价因子，土壤中</w:t>
      </w:r>
      <w:r>
        <w:t>BOD</w:t>
      </w:r>
      <w:r>
        <w:rPr>
          <w:vertAlign w:val="subscript"/>
        </w:rPr>
        <w:t>5</w:t>
      </w:r>
      <w:r>
        <w:t>没有评价标准，因此仅对污染物做趋势分析</w:t>
      </w:r>
      <w:r>
        <w:rPr>
          <w:szCs w:val="24"/>
        </w:rPr>
        <w:t>。预测源强见</w:t>
      </w:r>
      <w:r>
        <w:rPr>
          <w:szCs w:val="24"/>
        </w:rPr>
        <w:fldChar w:fldCharType="begin"/>
      </w:r>
      <w:r>
        <w:rPr>
          <w:szCs w:val="24"/>
        </w:rPr>
        <w:instrText xml:space="preserve"> REF _Ref30058519 \h  \* MERGEFORMAT </w:instrText>
      </w:r>
      <w:r>
        <w:rPr>
          <w:szCs w:val="24"/>
        </w:rPr>
      </w:r>
      <w:r>
        <w:rPr>
          <w:szCs w:val="24"/>
        </w:rPr>
        <w:fldChar w:fldCharType="separate"/>
      </w:r>
      <w:r>
        <w:rPr>
          <w:szCs w:val="24"/>
        </w:rPr>
        <w:t>表</w:t>
      </w:r>
      <w:r>
        <w:rPr>
          <w:szCs w:val="24"/>
        </w:rPr>
        <w:t xml:space="preserve"> 7.5-3</w:t>
      </w:r>
      <w:r>
        <w:rPr>
          <w:szCs w:val="24"/>
        </w:rPr>
        <w:fldChar w:fldCharType="end"/>
      </w:r>
      <w:r>
        <w:rPr>
          <w:szCs w:val="24"/>
        </w:rPr>
        <w:t>。</w:t>
      </w:r>
    </w:p>
    <w:p w14:paraId="676F668C" w14:textId="77777777" w:rsidR="00D12939" w:rsidRDefault="004F47F5">
      <w:pPr>
        <w:pStyle w:val="aa"/>
        <w:spacing w:before="0" w:after="0" w:line="360" w:lineRule="auto"/>
        <w:ind w:firstLine="480"/>
        <w:jc w:val="center"/>
        <w:rPr>
          <w:rFonts w:ascii="黑体" w:hAnsi="黑体"/>
          <w:sz w:val="24"/>
        </w:rPr>
      </w:pPr>
      <w:r>
        <w:rPr>
          <w:rFonts w:ascii="黑体" w:hAnsi="黑体" w:hint="eastAsia"/>
          <w:sz w:val="24"/>
        </w:rPr>
        <w:t>表</w:t>
      </w:r>
      <w:bookmarkEnd w:id="519"/>
      <w:r>
        <w:rPr>
          <w:rFonts w:ascii="黑体" w:hAnsi="黑体"/>
          <w:sz w:val="24"/>
        </w:rPr>
        <w:t>7.5-3         土壤预测源强</w:t>
      </w:r>
    </w:p>
    <w:tbl>
      <w:tblPr>
        <w:tblStyle w:val="65"/>
        <w:tblW w:w="9824" w:type="dxa"/>
        <w:jc w:val="center"/>
        <w:tblLayout w:type="fixed"/>
        <w:tblLook w:val="04A0" w:firstRow="1" w:lastRow="0" w:firstColumn="1" w:lastColumn="0" w:noHBand="0" w:noVBand="1"/>
      </w:tblPr>
      <w:tblGrid>
        <w:gridCol w:w="3016"/>
        <w:gridCol w:w="1896"/>
        <w:gridCol w:w="2456"/>
        <w:gridCol w:w="2456"/>
      </w:tblGrid>
      <w:tr w:rsidR="00D12939" w14:paraId="3D1D85FB" w14:textId="77777777">
        <w:trPr>
          <w:trHeight w:val="250"/>
          <w:jc w:val="center"/>
        </w:trPr>
        <w:tc>
          <w:tcPr>
            <w:tcW w:w="3016" w:type="dxa"/>
            <w:vAlign w:val="center"/>
          </w:tcPr>
          <w:p w14:paraId="37BE0338"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泄漏点</w:t>
            </w:r>
          </w:p>
        </w:tc>
        <w:tc>
          <w:tcPr>
            <w:tcW w:w="1896" w:type="dxa"/>
            <w:vAlign w:val="center"/>
          </w:tcPr>
          <w:p w14:paraId="0F8E4693"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污染因子</w:t>
            </w:r>
          </w:p>
        </w:tc>
        <w:tc>
          <w:tcPr>
            <w:tcW w:w="2456" w:type="dxa"/>
            <w:vAlign w:val="center"/>
          </w:tcPr>
          <w:p w14:paraId="603636F7"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浓度</w:t>
            </w:r>
          </w:p>
        </w:tc>
        <w:tc>
          <w:tcPr>
            <w:tcW w:w="2456" w:type="dxa"/>
            <w:vAlign w:val="center"/>
          </w:tcPr>
          <w:p w14:paraId="1AE77919"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kern w:val="0"/>
                <w:szCs w:val="21"/>
              </w:rPr>
              <w:t>泄漏特征</w:t>
            </w:r>
          </w:p>
        </w:tc>
      </w:tr>
      <w:tr w:rsidR="00D12939" w14:paraId="0E07B427" w14:textId="77777777">
        <w:trPr>
          <w:trHeight w:val="263"/>
          <w:jc w:val="center"/>
        </w:trPr>
        <w:tc>
          <w:tcPr>
            <w:tcW w:w="3016" w:type="dxa"/>
            <w:vAlign w:val="center"/>
          </w:tcPr>
          <w:p w14:paraId="30A9B61E" w14:textId="77777777" w:rsidR="00D12939" w:rsidRDefault="004F47F5">
            <w:pPr>
              <w:autoSpaceDE w:val="0"/>
              <w:autoSpaceDN w:val="0"/>
              <w:adjustRightIn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渗沥液调节池</w:t>
            </w:r>
          </w:p>
        </w:tc>
        <w:tc>
          <w:tcPr>
            <w:tcW w:w="1896" w:type="dxa"/>
            <w:vAlign w:val="center"/>
          </w:tcPr>
          <w:p w14:paraId="79BC5EC2" w14:textId="77777777" w:rsidR="00D12939" w:rsidRDefault="004F47F5">
            <w:pPr>
              <w:autoSpaceDE w:val="0"/>
              <w:autoSpaceDN w:val="0"/>
              <w:adjustRightInd w:val="0"/>
              <w:jc w:val="center"/>
              <w:rPr>
                <w:rFonts w:ascii="Times New Roman" w:eastAsia="宋体" w:hAnsi="Times New Roman" w:cs="Times New Roman"/>
                <w:kern w:val="0"/>
                <w:sz w:val="20"/>
                <w:szCs w:val="21"/>
              </w:rPr>
            </w:pPr>
            <w:r>
              <w:rPr>
                <w:rFonts w:ascii="Times New Roman" w:eastAsia="宋体" w:hAnsi="Times New Roman" w:cs="Times New Roman"/>
                <w:kern w:val="0"/>
                <w:szCs w:val="21"/>
              </w:rPr>
              <w:t>BOD</w:t>
            </w:r>
            <w:r>
              <w:rPr>
                <w:rFonts w:ascii="Times New Roman" w:eastAsia="宋体" w:hAnsi="Times New Roman" w:cs="Times New Roman"/>
                <w:kern w:val="0"/>
                <w:szCs w:val="21"/>
                <w:vertAlign w:val="subscript"/>
              </w:rPr>
              <w:t>5</w:t>
            </w:r>
          </w:p>
        </w:tc>
        <w:tc>
          <w:tcPr>
            <w:tcW w:w="2456" w:type="dxa"/>
            <w:vAlign w:val="center"/>
          </w:tcPr>
          <w:p w14:paraId="4A8C2BB7" w14:textId="77777777" w:rsidR="00D12939" w:rsidRDefault="004F47F5">
            <w:pPr>
              <w:autoSpaceDE w:val="0"/>
              <w:autoSpaceDN w:val="0"/>
              <w:adjustRightInd w:val="0"/>
              <w:jc w:val="center"/>
              <w:rPr>
                <w:rFonts w:ascii="Times New Roman" w:eastAsia="宋体" w:hAnsi="Times New Roman" w:cs="Times New Roman"/>
                <w:kern w:val="0"/>
                <w:sz w:val="20"/>
                <w:szCs w:val="21"/>
              </w:rPr>
            </w:pPr>
            <w:r>
              <w:rPr>
                <w:rFonts w:ascii="Times New Roman" w:eastAsia="宋体" w:hAnsi="Times New Roman" w:cs="Times New Roman"/>
                <w:kern w:val="0"/>
                <w:szCs w:val="21"/>
              </w:rPr>
              <w:t>12000mg/L</w:t>
            </w:r>
          </w:p>
        </w:tc>
        <w:tc>
          <w:tcPr>
            <w:tcW w:w="2456" w:type="dxa"/>
            <w:vAlign w:val="center"/>
          </w:tcPr>
          <w:p w14:paraId="7E75F367" w14:textId="77777777" w:rsidR="00D12939" w:rsidRDefault="004F47F5">
            <w:pPr>
              <w:autoSpaceDE w:val="0"/>
              <w:autoSpaceDN w:val="0"/>
              <w:adjustRightInd w:val="0"/>
              <w:jc w:val="center"/>
              <w:rPr>
                <w:rFonts w:ascii="Times New Roman" w:eastAsia="宋体" w:hAnsi="Times New Roman" w:cs="Times New Roman"/>
                <w:kern w:val="0"/>
                <w:sz w:val="20"/>
                <w:szCs w:val="21"/>
              </w:rPr>
            </w:pPr>
            <w:r>
              <w:rPr>
                <w:rFonts w:ascii="Times New Roman" w:eastAsia="宋体" w:hAnsi="Times New Roman" w:cs="Times New Roman"/>
                <w:kern w:val="0"/>
                <w:szCs w:val="21"/>
              </w:rPr>
              <w:t>短时，垂直入渗</w:t>
            </w:r>
          </w:p>
        </w:tc>
      </w:tr>
    </w:tbl>
    <w:p w14:paraId="5896E7DA" w14:textId="77777777" w:rsidR="00D12939" w:rsidRDefault="004F47F5">
      <w:pPr>
        <w:pStyle w:val="Q-"/>
        <w:rPr>
          <w:szCs w:val="24"/>
        </w:rPr>
      </w:pPr>
      <w:r>
        <w:rPr>
          <w:rFonts w:hint="eastAsia"/>
          <w:szCs w:val="24"/>
        </w:rPr>
        <w:t>3</w:t>
      </w:r>
      <w:r>
        <w:rPr>
          <w:rFonts w:hint="eastAsia"/>
          <w:szCs w:val="24"/>
        </w:rPr>
        <w:t>）</w:t>
      </w:r>
      <w:r>
        <w:rPr>
          <w:szCs w:val="24"/>
        </w:rPr>
        <w:t>预测与评价方法</w:t>
      </w:r>
    </w:p>
    <w:p w14:paraId="30496C10" w14:textId="77777777" w:rsidR="00D12939" w:rsidRDefault="004F47F5">
      <w:pPr>
        <w:pStyle w:val="Q-"/>
        <w:rPr>
          <w:szCs w:val="24"/>
        </w:rPr>
      </w:pPr>
      <w:r>
        <w:rPr>
          <w:szCs w:val="24"/>
        </w:rPr>
        <w:t>根据《环境影响技术评价</w:t>
      </w:r>
      <w:r>
        <w:rPr>
          <w:szCs w:val="24"/>
        </w:rPr>
        <w:t>-</w:t>
      </w:r>
      <w:r>
        <w:rPr>
          <w:szCs w:val="24"/>
        </w:rPr>
        <w:t>土壤环境》（</w:t>
      </w:r>
      <w:r>
        <w:rPr>
          <w:szCs w:val="24"/>
        </w:rPr>
        <w:t>HJ964-2018</w:t>
      </w:r>
      <w:r>
        <w:rPr>
          <w:szCs w:val="24"/>
        </w:rPr>
        <w:t>）相关准则，土壤环境垂直入渗预测采用附录</w:t>
      </w:r>
      <w:r>
        <w:rPr>
          <w:szCs w:val="24"/>
        </w:rPr>
        <w:t>E.2</w:t>
      </w:r>
      <w:r>
        <w:rPr>
          <w:szCs w:val="24"/>
        </w:rPr>
        <w:t>中一维非饱和溶质模型，并利用</w:t>
      </w:r>
      <w:r>
        <w:rPr>
          <w:szCs w:val="24"/>
        </w:rPr>
        <w:t>Hydrus-1d</w:t>
      </w:r>
      <w:r>
        <w:rPr>
          <w:szCs w:val="24"/>
        </w:rPr>
        <w:t>软件进行模型的构建和数值求解，预测污染物可能影响到的深度。</w:t>
      </w:r>
      <w:r>
        <w:rPr>
          <w:szCs w:val="24"/>
        </w:rPr>
        <w:t>Hydrus-1d</w:t>
      </w:r>
      <w:r>
        <w:rPr>
          <w:szCs w:val="24"/>
        </w:rPr>
        <w:t>软件是美国盐土实验室开发的软件，用于计算模拟饱和</w:t>
      </w:r>
      <w:r>
        <w:rPr>
          <w:szCs w:val="24"/>
        </w:rPr>
        <w:t>-</w:t>
      </w:r>
      <w:r>
        <w:rPr>
          <w:szCs w:val="24"/>
        </w:rPr>
        <w:t>非饱和带的水分运动和溶质运移。</w:t>
      </w:r>
    </w:p>
    <w:p w14:paraId="0BC381CD" w14:textId="77777777" w:rsidR="00D12939" w:rsidRDefault="004F47F5">
      <w:pPr>
        <w:pStyle w:val="Q-"/>
        <w:rPr>
          <w:szCs w:val="24"/>
        </w:rPr>
      </w:pPr>
      <w:r>
        <w:rPr>
          <w:szCs w:val="24"/>
        </w:rPr>
        <w:t>本次预测所采用的预测模型如下：</w:t>
      </w:r>
    </w:p>
    <w:p w14:paraId="66573CBC" w14:textId="77777777" w:rsidR="00D12939" w:rsidRDefault="004F47F5">
      <w:pPr>
        <w:pStyle w:val="Q-"/>
        <w:rPr>
          <w:szCs w:val="24"/>
        </w:rPr>
      </w:pPr>
      <w:r>
        <w:rPr>
          <w:szCs w:val="24"/>
        </w:rPr>
        <w:t>a)</w:t>
      </w:r>
      <w:r>
        <w:rPr>
          <w:szCs w:val="24"/>
        </w:rPr>
        <w:t>一维非饱和溶质垂向运移控制方程：</w:t>
      </w:r>
    </w:p>
    <w:p w14:paraId="3BC1D908" w14:textId="77777777" w:rsidR="00D12939" w:rsidRDefault="002A4A5F">
      <w:pPr>
        <w:ind w:firstLineChars="200" w:firstLine="420"/>
        <w:jc w:val="center"/>
        <w:rPr>
          <w:rFonts w:ascii="Times New Roman" w:eastAsia="宋体" w:hAnsi="Times New Roman" w:cs="Times New Roman"/>
          <w:bCs/>
          <w:szCs w:val="24"/>
        </w:rPr>
      </w:pPr>
      <w:r>
        <w:rPr>
          <w:rFonts w:ascii="Times New Roman" w:eastAsia="宋体" w:hAnsi="Times New Roman" w:cs="Times New Roman"/>
          <w:bCs/>
          <w:szCs w:val="24"/>
        </w:rPr>
        <w:pict w14:anchorId="41A73EE0">
          <v:shape id="_x0000_i1028" type="#_x0000_t75" style="width:150.9pt;height:28.4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f&gt;&lt;m:fPr&gt;&lt;m:ctrlPr&gt;&lt;w:rPr&gt;&lt;w:rFonts w:ascii=&quot;Cambria Math&quot; w:h-ansi=&quot;Cambria Math&quot; w:fareast=&quot;瀹嬩綋&quot; w:cs=&quot;Times New Roman&quot; w:hint=&quot;default&quot;/&gt;&lt;w:b-cs/&gt;&lt;w:color w:val=&quot;auto&quot;/&gt;&lt;w:sz-cs w:val=&quot;24&quot;/&gt;&lt;/w:rPr&gt;&lt;/m:ctrlPr&gt;&lt;/m:fPr&gt;&lt;m:num&gt;&lt;m:r&gt;&lt;m:rPr&gt;&lt;m:scr m:val=&quot;roman&quot;/&gt;&lt;/m:rPr&gt;&lt;w:rPr&gt;&lt;w:rFonts w:ascii=&quot;Cambriambrmbrmbrmbrmbrmbrmbrmbrmbrmbrmbrmbrmbrmbrmbrmbr Math&quot; w:h-ansi=&quot;Cambria Math&quot; w:fareast=&quot;瀹嬩綋&quot; w:cs=&quot;Times New Roman&quot; w:hint=&quot;default&quot;/&gt;&lt;w:color w:val=&quot;auto&quot;/&gt;&lt;w:sz-cs w:val=&quot;24&quot;/&gt;&lt;/w:rPr&gt;&lt;m:t&gt;鈭?/m:t&gt;&lt;/m:r&gt;&lt;m:d&gt;&lt;m:dPr&gt;&lt;m:ctrlPr&gt;&lt;w:rPr&gt;&lt;w:rFonts w:ascii=&quot;ambrCamambrbriambra Mambrathambr&quot; wambr:h-ambransambri=&quot;ambrCamambrbriambra Mambrathambr&quot; wambr:faambrreiambrast=&quot;瀹嬩綋&quot; w:cs=&quot;Times New Roman&quot; w:hint=&quot;default&quot;/&gt;&lt;w:b-cs/&gt;&lt;w:i/&gt;&lt;w:color w:val=&quot;auto&quot;/&gt;&lt;w:sz-cs w:val=&quot;24&quot;/&gt;&lt;/w:rPr&gt;&lt;/m:ctrlPr&gt;&lt;/m:dPr&gt;&lt;m:e&gt;&lt;m:r&gt;mbr&lt;m:rPr&gt;mbr&lt;m:scr mbrm:val=&quot;mbrroman&quot;/mbr&gt;&lt;/m:rPmbrr&gt;&lt;w:rPmbrr&gt;&lt;w:rFmbronts w:mbrascii=&quot;mbrCambriambr Math&quot; mbrw:h-ansmbri=&quot;Cambmbrria Matmbrh&quot; w:fambrreast=&quot;瀹嬩綋&quot; w:cs=&quot;Times New Roman&quot; w:hint=&quot;default&quot;/&gt;&lt;w:color w:val=&quot;auto&quot;/&gt;&lt;w:sz-cs w:val=&quot;24&quot;/&gt;&lt;/w:rmbrPr&gt;&lt;m:t&gt;胃&gt;mbrc&lt;/m:t&gt;&lt;/m mbr:r&gt;&lt;m:ctrl&quot;mbrPr&gt;&lt;w:rPr&gt;/mbr&lt;w:rFonts Pmbrw:ascii=&quot;CPmbrambria MatFmbrh&quot; w:h-ans:mbri=&quot;Cambria&quot;mbr Math&quot; w:fambrareast=&quot;瀹&quot; mbr嬩綋&quot; w:cs-ansmbr=&quot;Times NeCambmbrw Roman&quot; w Matmbr:hint=&quot;defw:fambrault&quot;/&gt;&lt;w:b-cs/&gt;&lt;w:i/&gt;&lt;w:color wrmbr:val=&quot;auto&quot;/&gt;&lt;mbrw:sz-cs w:val=mbr&quot;24&quot;/&gt;&lt;/w:rPr&gt;mbr&lt;/m:ctrlPr&gt;&lt;/mmbr:e&gt;&lt;/m:d&gt;&lt;m:ctmbrrlPr&gt;&lt;w:rPr&gt;&lt;wmbr:rFonts w:ascimbri=&quot;Cambria Matmbrh&quot; w:h-ansi=&quot;Cmbrambria Math&quot; wmbr:fareast=&quot;瀹嬩? mbr? w:cs=&quot;Times Nembrw Roman&quot; w:hint=&quot;mbrdefault&quot;/&gt;&lt;w:b-csmbr/&gt;&lt;w:cobrlor w:val=mbr&quot;autbro&quot;/&gt;&lt;w:sz-cs w:vabrl=&quot;24&quot;/&gt;&lt;/w:rPr&gt;&lt;br/m:ctrlPr&gt;&lt;/m:numbr&gt;&lt;m:den&gt;&lt;m:r&gt;&lt;m:rbrPr&gt;&lt;m:scr m:val=&quot;brroman&quot;/&gt;&lt;/m:rPr&gt;&lt;brw:rPr&gt;&lt;w:rFonts wbr:ascii=&quot;Cambria Mbrath&quot; w:h-ansi=&quot;Cabrmbria Math&quot; w:farerast=&quot;瀹嬩綋&quot; w:cs=&quot;Tmbrimes New Roman&quot; w:himbrobrnt=&quot;default&quot;/&gt;&lt;w:cotbrlmbror w:val=&quot;auto&quot;abr/&gt;&lt;w:mbrsz-cs w:val&lt;br=&quot;24&quot;/&gt;&lt;/w:rPr&gt;&lt;m:tmbr&gt;鈭倀&lt;/m:t&gt;&lt;/m:r&gt;&lt;mm:rbr:ctrlPr&gt;&lt;w:rPr&gt;&lt;w:rl=&quot;brFonts w:ascii=&quot;Cambr&gt;&lt;brria Math&quot; w:h-ansi=s wbr&quot;Cambria Math&quot; w:faa Mbrreast=&quot;瀹嬩綋&quot; w:cssi=&quot;Cabr=&quot;Times New Roman&quot;  brobrw:farerw:hint=&quot;defaultcotbr&quot;/&gt;&lt;w:b-&quot;Tmbrcs/&gt;&lt;w:coo&quot;abrlor w:val=&quot;authimbro&quot;/al&lt;br&gt;&lt;w:sz-cs w:val=&quot;24&quot;ol:tmbrmbr/&gt;&lt;/w:rPr&gt;&lt;/m:ctrlPr&gt;rbr&lt;/w:mbrm:den&gt;&lt;/m:f&gt;&lt;m:r&gt;&quot;br&lt;m:rPr&gt;&lt;m:sty m:val=&quot;p&quot;/&lt;br&gt;&lt;m:scr m:val=&quot;roman&quot;/&gt;&lt;wbr/m:rPr&gt;&lt;w:rPr&gt;&lt;w:rFonts Mbrw:ascii=&quot;Cambria Math&quot; w:h-ansi=&quot;Cambria Math&quot; w:fareast=&quot;瀹嬩綋&quot; abrw:cs=&quot;Times New mbrRoman&quot; w&lt;br:hint=&quot;default&quot;/&gt;&lt;w:mbrcolombrr w:val=&quot;auto&quot;/&gt;&lt;w:sz-csmbrrbr w:val=&quot;24&quot;/&gt;&lt;/w:rPr&gt;&lt;m:t&gt;=&quot;br&lt;mbr/m:t&gt;&lt;/m:r&gt;&lt;m:f&gt;&lt;m:fPr&gt;&lt;br&lt;m:ctrlPr&gt;&lt;w:rPr&gt;&lt;w:rFonts wbrw:ascii=&quot;Cambria MCamath&quot; w:h-Mbransi=&quot;Cambria Mbriath&quot; w:farea:h-st=&quot;瀹嬩綋&quot; w:cabrs=&quot;Times New:farea Roman&quot; w:hi&lt;brnt=&quot;default&quot;/&gt;&lt;w:b-mbrcs/&gt;&lt;w:cmbrolor w:val=&quot;auto&quot;/&gt;&lt;w:smbrz-csrbr w:val=&quot;24&quot;/&gt;&lt;/w:rPr&gt;&lt;/m:ctmbr&quot;brrlPr&gt;&lt;/m:fPr&gt;&lt;m:num&gt;&lt;m:r&gt;&lt;m:rP&lt;brrmbr&gt;&lt;m:scr m:val=&quot;roman&quot;/&gt;Cam&lt;/mwbr:rPr&gt;&lt;w:rPr&gt;&lt;w:rFonts w:briascii=Mbr&quot;Cambria Math&quot; w:h-ansi=&quot;Cambr:h-ia Math&quot; w:fareast=&quot;瀹嬩br綋&quot; w:cs=rea&quot;Times New Roman&quot; w:hmbrint=&quot;default&quot;mbr/&gt;&lt;w:color w:val=rbr&quot;auto&quot;/&gt;&lt;w:sz-cs mbrw:val=&quot;24&quot;/&gt;&lt;&quot;br/w:rPr&gt;&lt;m:t&gt;鈭?/m:t&gt;&lt;tmbr/m:r&gt;&lt;m:P&lt;brctrlPr&gt;&lt;w&gt;Cam:rPr&gt;&lt;w:rFonts wPrmbr:asmwbrcii=&quot;:briCambria Math&quot; w:h-ansi=&quot;Camb=Mbrrnsi=ia Math&quot; w:fareast=&quot;瀹嬩綋&quot; w:csamb&quot;瀹嬩brr:h-=&quot;Times New Roman&quot; w:hint=&quot;defauhmbrlt&quot;/=rea&gt;&lt;w:b-cs/&gt;&lt;w:color w:val=&quot;au=rbrto&quot;/&gt;&lt;w:s&quot;mbrz-cs w:val=&quot;24&quot;/&gt;&lt;/w:rP&lt;&quot;brr&gt;&lt;/m:ctrlPr&gt;&lt; mbr/w&gt;Camm:num&gt;&lt;m:den&gt;&lt;m:r&gt;&lt;br&lt;m:rPr&gt;&lt;m:scr m:&quot;:brivalmbr=&quot;roman&quot;/&gt;&lt;/m:rwbrPr&gt;&lt;w:rPr&gt;&lt;w:rnsi=rFonts w:ambrscii=&quot;CambrMbria Math&quot; w:h-ansi=&quot;Cambria Math&quot; w:fareast=&quot;瀹嬩綋&quot; w:cmbrs=&quot;Times New Roman&quot; w:hinreat=&quot;default&quot;/rbr&gt;&lt;w:color w:val=&quot;auto&quot;/&gt;&lt;w:szmbr-cs w:va&quot;brCaml=&quot;24&quot;/&gt;&lt;/w:rPr&gt;&lt;m:t&gt;鈭倆&lt;/m:t&gt;&lt;/&lt; mbrm:r&gt;&quot;:bri&lt;brr&gt;&lt;m:ctrlPr&gt;&lt;w:rPr&gt;&lt;w:rFonts w:ascii=&quot;Crnsi=a:rwbrlmbrambria Math&quot; w:h-ansi=&quot;Cambria M:h-anath&quot;brMbr w:fa:ambrreast=&quot;瀹嬩綋&quot; w:cs=&quot;Tim:cmbres New w:farea Roman&quot; w:hint=&quot;default&quot;/&gt;&lt;w:&quot;/rbrb-cs/&gt;&lt;w:colorinrebrCama w:val=&quot;auto&quot;/&gt;&lt;w:sz-cs va&quot;brw:val=&quot;24&quot;/&gt;&lt;/w:rbriPr&gt;szmbr&lt;/m:ctrlPr&gt;&lt;/m:den&gt;&lt;&lt;br/m:f&gt;&lt;m:d&gt;&lt;m:dPrsi=&gt;&lt;m:ctrlPrmbr&gt;&lt;w:rPr&gt;&lt;w:rFontwbrs w:ascii=&quot;Camb-anria Math&quot; w:h-ambrnsi=&quot;CambriaMbr Math&quot; w:fareast=&quot;瀹嬩綋&quot; w:cs=&quot;Tia:ambrmes New reaRoman&quot; w:hinrbrt=&quot;defCamault&quot;/&gt;&lt;w:b-cs/&gt;&lt;w:i/&gt;&lt;w:colorrea w:val=&quot;a&quot;bruto&quot;/bri&gt;&lt;w:sz-cs w:val=&quot;24&quot;/&gt;&lt;/w:rPr&gt;&lt;/m:cmbrtrlPr&lt;br&gt;&lt;/msi=:dPr&gt;&lt;m:e&gt;&lt;m:r&gt;&lt;m:rPr&gt;&lt;m:scr m:val=&quot;romambrnwbr&quot;/&gt;-an&lt;/m:rPr&gt;&lt;w:rPr&gt;&lt;w:rFonts w:ascii=&quot;Cambria MatMbreasmbrh&quot; w:h-ansi=&quot;Cambria Math&quot; w:fareast=&quot;瀹嬩am綋&quot; w:rbrreacs=&quot;mbrTimes New Roman&quot; w:hint=&quot;default&quot;/bri&gt;&lt;w:col&quot;bror reaw:val=&quot;auto&quot;/&gt;&lt;w:sz-cs w:val=&quot;24&quot;/&gt;&lt;/si=w:rPr&gt;&lt;m&lt;br:t&gt;胃D&lt;cmbr/m:t&gt;&lt;/m:r&gt;&lt;m:f&gt;&lt;m:fPr&gt;&lt;m:ctrlP&gt;-anr&gt;&lt;w:rPr&gt;nwbr&lt;w:rFonts w:ambrascii=&quot;Cambria Math&quot; wreas:h-ansi=&quot;CambtMbrria Math&quot; w:faamreatmbrst=&quot;瀹嬩綋&quot; w:cs:rbr=&quot;Times New Roman:rea&quot; w:hint/bri=&quot;default&quot;/&gt;&lt;w&quot;mbr:b-cs/&gt;l&quot;br&lt;w:i/&gt;&lt;w:color w:val= rea&quot;a/si=uto&quot;/&gt;&lt;w:sz-cs w:val=&quot;24&quot;/&gt;m&lt;br&lt;/w:rPr&gt;&lt;/m:ctrlPr&gt;&lt;/m:fPr-an&gt;mbr&lt;m:num&gt;&lt;m:r&gt;&lt;m:rPr&gt;&lt;m:scrwbr m:val=&quot;roman&quot;/&gt;&lt;/m:rPreas&gt;&lt;w:rPr&gt;mbr&lt;w:rFoaamnts w:ascii=&quot;CaMbrmbria Math&quot; w:h-ansi=&quot;Cambria Math&quot;mbr w:fareast=&quot;瀹嬩綋&quot; reaw:cs=&quot;Times New Roma&quot;brn&quot; w:hint=&quot;defaultsi=&quot;mbr/&gt;&lt;w:color w:valrea=&quot;auto&quot;/&gt;&lt;w:sz-cs&lt;br w:val=&quot;24&quot;/&gt;&lt;/w:-anrPr&gt;&lt;m:t&gt;鈭俢&lt;/m:t&gt;&lt;/m:r&gt;r&gt;mbr&lt;m:ctrlPr&gt;&lt;crwbrw:rPr&gt;&lt;w:rFoPreasnts w:Foaamascii=&quot;Cambria Math&quot; w:h-ansi=r&gt;mbr&quot;CambCaMbrria Matsi=&quot;Ch&quot; r w:fw:fareast=&quot;瀹嬩綋&quot; w:cs=&quot;Times New Roman&quot; w:Math&quot;mb&quot; rearhma&quot;brltsi=int=&quot;default&quot;/&gt;&lt;w:b-cs/&gt;&lt;w:i/&gt;&lt;w:color w:val=&quot;auto&quot;/&gt;&lt;w:sz-alcsw:-an&lt;brreacst&quot;mbr w:val=&quot;24&quot;/&gt;&lt;/w:rPr&gt;&lt;/m:ctrlPr&gt;&lt;/m:num&gt;&lt;aamm:den&gt;&lt;m:easr&gt;&lt;wbrm:rPmbrr&gt;&lt;m:scr m:val=&quot;roman&quot;/&gt;&lt;/m:rPr&gt;&lt;w:rPr&gt;&lt;w:fw:rFonts w=&quot;C:asciiMbr=&quot;Cambrimbra Math&quot; w:h-ansi=&quot;Cambria Math&quot; w:fareast=&quot;瀹?r浣? w:csrea=&quot;Times New mbrRoman&quot; w:hint=&quot;default&quot;/&gt;&lt;w:coanlor w:val&lt;br=&quot;auto&quot;/&gt;&lt;w:reasz-cs w:val=&quot;24&quot;mbr/&gt;&lt;am/w:rPr&gt;&lt;m:t&gt;鈭倆&lt;:eas/m:t&gt;&lt;/m:r&gt;&lt;&gt;&lt;wbrm:ctrlPr&gt;&lt;w:rPr&gt;rPmbr&lt;w:rFonts&lt;w:f w:ascii=&quot;Cambria Mw=&quot;Cath&quot; w:h-ansi=&quot;CaiiMbrmbria Math&quot; w:fareast=r w:fimbr&quot;瀹嬩綋&quot; w:cs=&quot;Tist=&quot;瀹?rmes New Roman&quot; w:hint=&quot;decsreafault&quot;/&gt;&lt;w:w:coanb-cs/&gt;&lt;w:i/&gt;&lt;w:cow mbrlor w:al&lt;brvar/&gt;&lt;aml=&quot;auto&quot;/&gt;&lt;w:sz-cs w:val=&quot;24w:rea&quot;/:eas&gt;&lt;/w:rPr&gt;&lt;/m:ctrlPr&gt;&lt;/m:den&gt;&lt;/m:4&lt;w:f&quot;wbrmbrf&gt;&lt;m:ctrlPr&gt;&lt;w:rPr&gt;&lt;w:rFonts ww=&quot;C:asmbrcii=&quot;Cambria Math&quot; w:h-an w:fsi=&quot;CamMbrbria Math&quot; w:fareast=&quot;瀹嬩綋&quot; w:c瀹?rs=&quot;Time=rimbrs New Roman&quot; w:hcoanint=&quot;defaultrea&quot;/&gt;&lt;w:b-&gt;&lt;amcs/&gt;&lt;w:i/&gt;&lt;w:color w:v&lt;bral=&quot;auto&quot;/&gt;&lt;w:sz-mbrcs w:v:easal=&quot;24&quot;/&gt;&lt;/w:rPr&gt;&lt;rea&lt;w:f/m:ctrlPr&gt;&lt;/m:e&gt;&lt;/m:d&gt;&lt;m:r&gt;wbr&lt;m:rPr&gt;&lt;m:sty m:val=&quot;p&quot;w=&quot;C/mbr&gt;&lt;m:scr m:val=&quot; w:froman&quot;mbr/&gt;&lt;/m:rPr&gt;&lt;w:rPr&gt;&lt;w:rFoMbrnts w:ascii=&quot;Cambria Math&quot; w:h-ansi=&quot;Cambria Math&quot; w:fareast=&quot;瀹嬩綋&quot; w:cs=&quot;Treaimes New Roman&quot; w:hin&lt;brt=&quot;default&quot;/&gt;&lt;w:coleasor w:val=&quot;autow:f&quot;/mbr&gt;&lt;w:sz-cs w:val=&quot;2rea4&quot;/&gt;&lt;/w:rPr&gt;&lt;m:t&gt;?wbr?/m:t&gt;&lt;/m:r&gt;&lt;m:f&gt;=&quot;C&lt;m:fPr&gt;&lt;m:ctrw:flPr&gt;&lt;w:rPr&quot;/mbr&gt;&lt;w:rFonts w:a&quot;mbrscii=&quot;CambriaoMbr Math&quot; w:h-ansiMat=&quot;Cambria Maia th&quot; w:astfareast=&quot;瀹嬩綋&quot; w:cs=&quot;Times Newh&quot; w:fa Roman&quot; Treaw:hint=&quot;def&lt;brault&quot;/&gt;&lt;w:easb-cs/w:f&gt;&lt;w:color w:val=&quot;auto&quot;/&gt;&lt;w:sz-cs w:val=&quot;24&quot;/&gt;&lt;//mbrw:r2reaPr&gt;&lt;/m?wbr:ctrlPr&gt;=&quot;C&lt;/m:w:ffPr&gt;&lt;m:num&gt;&lt;m:r&gt;&lt;m:rPr&gt;&lt;m:scr m:val=&quot;roman&quot;/&gt;&lt;/m:rPr&gt;&lt;w:rPr&gt;&lt;mbrmbrw:MbrrFontMats wastia :ascii=&quot;Cambria Math&quot; w:h-ansi=&quot;Cambria Math&quot; w:fareast=&quot;瀹嬩綋&quot; w:cs=&quot;Time:reaf&lt;brw:faeass New Roman&quot; w:hint=&quot;default&quot;/&gt;&lt;w:color w:val=&quot;auto&quot;/&gt;&lt;w:sz-cs w:val=&quot;24&quot;/&gt;&lt;/w:rPrw:fwb=&quot;Crrea&gt;&lt;mmbr:t&gt;鈭?/m:t&gt;&lt;/m:r&gt;&lt;m:ctrlPr&gt;&lt;w:rPr&gt;&lt;w:rFonts w:ascii=&quot;Cambria Mwastath&quot; w:h-wia anstMati:Mbr=&quot;Carmbrmbria&gt;&lt;mbr Math&quot; w:fareast=&quot;瀹嬩綋&quot; w:cs=&quot;Times New Romarw:fn&quot; w:hint=&quot;aeasdefaulf&lt;brt&quot;/&gt;&lt;w:rea:b-cs/&gt;&lt;we:fa:color w:val=&quot;auto&quot;/&gt;&lt;w:sz-cs w:val=&quot;24&quot;/rw:f&gt;&lt;/w:rPr&gt;&lt;/m:b=&quot;CctrlPr&gt;&lt;/rwbrm:num&gt;&lt;m:derrean&gt;&lt;m:r&gt;&lt;m:rPr&gt;mmbr&lt;m:scrast m:val=&quot;roman&quot;/&gt;&lt;/m:ria Pr&gt;&lt;w:rPr&gt;&lt;w:rFMatonts w:ascii=Mbr&quot;Cambria Math&quot; wmbr:h-ansi=&quot;Cambria Mmbrath&quot; w:fareast=&quot;?畫浣? w:cs=&quot;Time&lt;brs New Roman&quot; w:hireant=&quot;default&quot;/&gt;&lt;w:col:faor w:val=:f&quot;auto&quot;/&gt;&lt;w:sz-cs w:=&quot;Cval=&quot;24&quot;/&gt;&lt;/w:rPr&gt;&lt;wbrm:t&gt;鈭倆&lt;/m:t&gt;&lt;/m:r&gt;&lt;errastream:ctrlPr&gt;&lt;w:rPr&gt;&lt;w:rFonria t&gt;mmbrs w:ascii=&quot;CamrFMatbria Math&quot; w:h-ansi=&quot;Ci=Mbrambria Mathbria&quot; w:fareast=&quot;瀹?&quot; wmbr浣? weast=&quot;?:cs=&quot;Times New Roman&quot; wria Me&lt;brmbr:hint=&quot;default&quot;/&gt;&lt;w:b-cs/il=:frea&gt;&lt;w:color w:val=&quot;auto&quot;/&gt;&lt;w:sz-:=&quot;Ccs ol:faw:val=&quot;24&quot;/&gt;&lt;/stw:rPr&gt;&lt;/m&lt;wbr:ctrlPr&gt;&lt;/m:den&gt;&lt;/m:f&gt;&lt;m:a d&gt;&lt;m:dPr&gt;&lt;eam:ctrlPr&gt;&lt;w:rPr&gt;&lt;w:rFontats w:ascii=&quot;Cambmbrriaia Math&quot; w:h-ansbri=&quot;Cambria Math&quot; w:fareast=&quot;瀹嬩綋&quot; w: wmbrcs=&quot;Times New Rom&lt;bran&quot; w:hint=&quot;defaul=:ft&quot;/&gt;&lt;w:b-cmbrs/&gt;&lt;w:irea/&gt;&lt;w:color w:val=&quot;C=&quot;auto&quot;/&gt;&lt;w:/stsz-cs w:val=&quot;24&quot;/:fa&gt;&lt;/w:rPrwbr&gt;&lt;/m:ctrlPr&gt;&lt;/:a m:dPr&gt;&lt;m:e&gt;&lt;m:r&gt;&lt;m:rPr&gt;&lt;m:sc&lt;ear m:val=&quot;rtatoman&quot;/&gt;ria&lt;/m:rPr&gt;&lt;w:rPr&gt;&lt;w:rFonts w:ascii=mbrsbr&quot;Cambrifara Math&quot; w:h-ansi=&quot;Cambria Math&quot; w:fareast=&quot;瀹嬩br綋&quot; =:fw:cs=&quot;Times New Roman&quot; w:hint=&quot;default&quot;/&gt;&lt;wrea:c/st=&quot;Cmbrolor w:val=&quot;auto&quot;/&gt;&lt;w:sz-cs w:val=&quot;24&quot;/&gt;&lt;/w:rwbr:a P:far&gt;&lt;m:t&gt;qc&lt;/m:t&gt;&lt;/m:r&gt;&lt;m:ctrlPr&gt;&lt;w:rPr&gt;&lt;w:riarFonttats&lt;ea w:ascii=&quot;Cambria Math&quot; w:h-ansi=&quot;Cambria Mfarath&quot;sbr w:fareasmbrt=&quot;瀹嬩綋&quot; w:cs=&quot;Times New R=:foman&quot; w:瀹嬩brhint=&quot;dreast=efault&quot;/&gt;&lt;w:b-c:c/sts/&gt;&lt;w:i/&gt;&lt;w:col:c=&quot;Cor w:val=&quot;autreao&quot;/&gt;&lt;w:sz-cs w:val=&quot;mbr24&quot;/br:a &gt;&lt;/w:rPr&gt;&lt;/m:ctrlwbrPr&gt;&lt;/m:e&gt;&lt;/m:d&gt;&lt;/w:riam::faoMath&gt;&lt;/m:oMathParanttat&gt;&lt;/w:p&gt;&lt;/wx:sect&gt;&lt;/&lt;eaw:body&gt;&lt;/w:word MfarDocumentamb=&quot;C瀹嬩cses">
            <v:imagedata r:id="rId67" o:title=""/>
            <o:lock v:ext="edit" aspectratio="f"/>
          </v:shape>
        </w:pict>
      </w:r>
    </w:p>
    <w:p w14:paraId="2517C618"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式中：</w:t>
      </w:r>
      <w:r w:rsidR="002A4A5F">
        <w:rPr>
          <w:rFonts w:ascii="Times New Roman" w:eastAsia="宋体" w:hAnsi="Times New Roman" w:cs="Times New Roman"/>
          <w:bCs/>
          <w:sz w:val="24"/>
          <w:szCs w:val="24"/>
        </w:rPr>
        <w:pict w14:anchorId="77FA7B57">
          <v:shape id="_x0000_i1029" type="#_x0000_t75" style="width:29.1pt;height:14.5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r&gt;&lt;m:rPr&gt;&lt;m:scr m:val=&quot;roman&quot;/&gt;&lt;/m:rPr&gt;&lt;w:rPr&gt;&lt;w:rFonts w:ascii=&quot;Cambria Math&quot; w:h-ansi=&quot;Cambria Math&quot; w:fareast=&quot;瀹嬩綋&quot; w:cs=&quot;Times New Roman&quot; w:hint=&quot;default&quot;/&gt;&lt;w:color w:val=&quot;auto&quot;/&gt;&lt;w:sz-cs w:val=&quot;24&quot;/&gt;&lt;/w:rPr&gt;&lt;m:t&gt;c&lt;/m:t&gt;&lt;/m:r&gt;&lt;/m:oMath&gt;&lt;/m:oMathPara&gt;&lt;/w:p&gt;&lt;/wx:sect&gt;&lt;/w:body&gt;&lt;/w:wordDocumentw:rPr&gt;&lt;w:rw:rw:rw:rw:rw:rw:rw:rw:rw:rw:rw:rw:rw:">
            <v:imagedata r:id="rId68" o:title=""/>
            <o:lock v:ext="edit" aspectratio="f"/>
          </v:shape>
        </w:pict>
      </w:r>
      <w:r>
        <w:rPr>
          <w:rFonts w:ascii="Times New Roman" w:eastAsia="宋体" w:hAnsi="Times New Roman" w:cs="Times New Roman"/>
          <w:bCs/>
          <w:sz w:val="24"/>
          <w:szCs w:val="24"/>
        </w:rPr>
        <w:t>——</w:t>
      </w:r>
      <w:r>
        <w:rPr>
          <w:rFonts w:ascii="Times New Roman" w:eastAsia="宋体" w:hAnsi="Times New Roman" w:cs="Times New Roman"/>
          <w:bCs/>
          <w:sz w:val="24"/>
          <w:szCs w:val="24"/>
        </w:rPr>
        <w:t>污染物介质中的浓度，</w:t>
      </w:r>
      <w:r>
        <w:rPr>
          <w:rFonts w:ascii="Times New Roman" w:eastAsia="宋体" w:hAnsi="Times New Roman" w:cs="Times New Roman"/>
          <w:bCs/>
          <w:sz w:val="24"/>
          <w:szCs w:val="24"/>
        </w:rPr>
        <w:t>mg/L;</w:t>
      </w:r>
    </w:p>
    <w:p w14:paraId="363FD138" w14:textId="77777777" w:rsidR="00D12939" w:rsidRDefault="004F47F5">
      <w:pPr>
        <w:spacing w:line="360" w:lineRule="auto"/>
        <w:ind w:firstLineChars="700" w:firstLine="1680"/>
        <w:rPr>
          <w:rFonts w:ascii="Times New Roman" w:eastAsia="宋体" w:hAnsi="Times New Roman" w:cs="Times New Roman"/>
          <w:bCs/>
          <w:sz w:val="24"/>
          <w:szCs w:val="24"/>
        </w:rPr>
      </w:pPr>
      <w:r>
        <w:rPr>
          <w:rFonts w:ascii="Times New Roman" w:eastAsia="宋体" w:hAnsi="Times New Roman" w:cs="Times New Roman"/>
          <w:bCs/>
          <w:sz w:val="24"/>
          <w:szCs w:val="24"/>
        </w:rPr>
        <w:t>D——</w:t>
      </w:r>
      <w:r>
        <w:rPr>
          <w:rFonts w:ascii="Times New Roman" w:eastAsia="宋体" w:hAnsi="Times New Roman" w:cs="Times New Roman"/>
          <w:bCs/>
          <w:sz w:val="24"/>
          <w:szCs w:val="24"/>
        </w:rPr>
        <w:t>弥散系数，</w:t>
      </w:r>
      <w:r>
        <w:rPr>
          <w:rFonts w:ascii="Times New Roman" w:eastAsia="宋体" w:hAnsi="Times New Roman" w:cs="Times New Roman"/>
          <w:bCs/>
          <w:sz w:val="24"/>
          <w:szCs w:val="24"/>
        </w:rPr>
        <w:t>m</w:t>
      </w:r>
      <w:r>
        <w:rPr>
          <w:rFonts w:ascii="Times New Roman" w:eastAsia="宋体" w:hAnsi="Times New Roman" w:cs="Times New Roman"/>
          <w:bCs/>
          <w:sz w:val="24"/>
          <w:szCs w:val="24"/>
          <w:vertAlign w:val="superscript"/>
        </w:rPr>
        <w:t>2</w:t>
      </w:r>
      <w:r>
        <w:rPr>
          <w:rFonts w:ascii="Times New Roman" w:eastAsia="宋体" w:hAnsi="Times New Roman" w:cs="Times New Roman"/>
          <w:bCs/>
          <w:sz w:val="24"/>
          <w:szCs w:val="24"/>
        </w:rPr>
        <w:t>/d;</w:t>
      </w:r>
    </w:p>
    <w:p w14:paraId="494A3200" w14:textId="77777777" w:rsidR="00D12939" w:rsidRDefault="004F47F5">
      <w:pPr>
        <w:spacing w:line="360" w:lineRule="auto"/>
        <w:ind w:firstLineChars="694" w:firstLine="1666"/>
        <w:rPr>
          <w:rFonts w:ascii="Times New Roman" w:eastAsia="宋体" w:hAnsi="Times New Roman" w:cs="Times New Roman"/>
          <w:bCs/>
          <w:sz w:val="24"/>
          <w:szCs w:val="24"/>
        </w:rPr>
      </w:pPr>
      <w:r>
        <w:rPr>
          <w:rFonts w:ascii="Times New Roman" w:eastAsia="宋体" w:hAnsi="Times New Roman" w:cs="Times New Roman"/>
          <w:bCs/>
          <w:sz w:val="24"/>
          <w:szCs w:val="24"/>
        </w:rPr>
        <w:t>q——</w:t>
      </w:r>
      <w:r>
        <w:rPr>
          <w:rFonts w:ascii="Times New Roman" w:eastAsia="宋体" w:hAnsi="Times New Roman" w:cs="Times New Roman"/>
          <w:bCs/>
          <w:sz w:val="24"/>
          <w:szCs w:val="24"/>
        </w:rPr>
        <w:t>渗流速率，</w:t>
      </w:r>
      <w:r>
        <w:rPr>
          <w:rFonts w:ascii="Times New Roman" w:eastAsia="宋体" w:hAnsi="Times New Roman" w:cs="Times New Roman"/>
          <w:bCs/>
          <w:sz w:val="24"/>
          <w:szCs w:val="24"/>
        </w:rPr>
        <w:t>m/d</w:t>
      </w:r>
    </w:p>
    <w:p w14:paraId="3E6D0FFA" w14:textId="77777777" w:rsidR="00D12939" w:rsidRDefault="004F47F5">
      <w:pPr>
        <w:spacing w:line="360" w:lineRule="auto"/>
        <w:ind w:firstLineChars="694" w:firstLine="1666"/>
        <w:rPr>
          <w:rFonts w:ascii="Times New Roman" w:eastAsia="宋体" w:hAnsi="Times New Roman" w:cs="Times New Roman"/>
          <w:bCs/>
          <w:sz w:val="24"/>
          <w:szCs w:val="24"/>
        </w:rPr>
      </w:pPr>
      <w:r>
        <w:rPr>
          <w:rFonts w:ascii="Times New Roman" w:eastAsia="宋体" w:hAnsi="Times New Roman" w:cs="Times New Roman"/>
          <w:bCs/>
          <w:sz w:val="24"/>
          <w:szCs w:val="24"/>
        </w:rPr>
        <w:t>z——</w:t>
      </w:r>
      <w:r>
        <w:rPr>
          <w:rFonts w:ascii="Times New Roman" w:eastAsia="宋体" w:hAnsi="Times New Roman" w:cs="Times New Roman"/>
          <w:bCs/>
          <w:sz w:val="24"/>
          <w:szCs w:val="24"/>
        </w:rPr>
        <w:t>沿</w:t>
      </w:r>
      <w:r>
        <w:rPr>
          <w:rFonts w:ascii="Times New Roman" w:eastAsia="宋体" w:hAnsi="Times New Roman" w:cs="Times New Roman"/>
          <w:bCs/>
          <w:sz w:val="24"/>
          <w:szCs w:val="24"/>
        </w:rPr>
        <w:t>z</w:t>
      </w:r>
      <w:r>
        <w:rPr>
          <w:rFonts w:ascii="Times New Roman" w:eastAsia="宋体" w:hAnsi="Times New Roman" w:cs="Times New Roman"/>
          <w:bCs/>
          <w:sz w:val="24"/>
          <w:szCs w:val="24"/>
        </w:rPr>
        <w:t>轴的距离，</w:t>
      </w:r>
      <w:r>
        <w:rPr>
          <w:rFonts w:ascii="Times New Roman" w:eastAsia="宋体" w:hAnsi="Times New Roman" w:cs="Times New Roman"/>
          <w:bCs/>
          <w:sz w:val="24"/>
          <w:szCs w:val="24"/>
        </w:rPr>
        <w:t>m;</w:t>
      </w:r>
    </w:p>
    <w:p w14:paraId="790ACBD3" w14:textId="77777777" w:rsidR="00D12939" w:rsidRDefault="004F47F5">
      <w:pPr>
        <w:spacing w:line="360" w:lineRule="auto"/>
        <w:ind w:firstLineChars="694" w:firstLine="1666"/>
        <w:rPr>
          <w:rFonts w:ascii="Times New Roman" w:eastAsia="宋体" w:hAnsi="Times New Roman" w:cs="Times New Roman"/>
          <w:bCs/>
          <w:sz w:val="24"/>
          <w:szCs w:val="24"/>
        </w:rPr>
      </w:pPr>
      <w:r>
        <w:rPr>
          <w:rFonts w:ascii="Times New Roman" w:eastAsia="宋体" w:hAnsi="Times New Roman" w:cs="Times New Roman"/>
          <w:bCs/>
          <w:sz w:val="24"/>
          <w:szCs w:val="24"/>
        </w:rPr>
        <w:t>t——</w:t>
      </w:r>
      <w:r>
        <w:rPr>
          <w:rFonts w:ascii="Times New Roman" w:eastAsia="宋体" w:hAnsi="Times New Roman" w:cs="Times New Roman"/>
          <w:bCs/>
          <w:sz w:val="24"/>
          <w:szCs w:val="24"/>
        </w:rPr>
        <w:t>时间变量，</w:t>
      </w:r>
      <w:r>
        <w:rPr>
          <w:rFonts w:ascii="Times New Roman" w:eastAsia="宋体" w:hAnsi="Times New Roman" w:cs="Times New Roman"/>
          <w:bCs/>
          <w:sz w:val="24"/>
          <w:szCs w:val="24"/>
        </w:rPr>
        <w:t>d</w:t>
      </w:r>
      <w:r>
        <w:rPr>
          <w:rFonts w:ascii="Times New Roman" w:eastAsia="宋体" w:hAnsi="Times New Roman" w:cs="Times New Roman"/>
          <w:bCs/>
          <w:sz w:val="24"/>
          <w:szCs w:val="24"/>
        </w:rPr>
        <w:t>；</w:t>
      </w:r>
    </w:p>
    <w:p w14:paraId="2E3A4DF9" w14:textId="77777777" w:rsidR="00D12939" w:rsidRDefault="004F47F5">
      <w:pPr>
        <w:spacing w:line="360" w:lineRule="auto"/>
        <w:ind w:firstLineChars="295" w:firstLine="708"/>
        <w:rPr>
          <w:rFonts w:ascii="Times New Roman" w:eastAsia="宋体" w:hAnsi="Times New Roman" w:cs="Times New Roman"/>
          <w:bCs/>
          <w:sz w:val="24"/>
          <w:szCs w:val="24"/>
        </w:rPr>
      </w:pPr>
      <w:r>
        <w:rPr>
          <w:rFonts w:ascii="Times New Roman" w:eastAsia="宋体" w:hAnsi="Times New Roman" w:cs="Times New Roman"/>
          <w:bCs/>
          <w:sz w:val="24"/>
          <w:szCs w:val="24"/>
        </w:rPr>
        <w:t xml:space="preserve">  </w:t>
      </w:r>
      <w:r w:rsidR="002A4A5F">
        <w:rPr>
          <w:rFonts w:ascii="Times New Roman" w:eastAsia="宋体" w:hAnsi="Times New Roman" w:cs="Times New Roman"/>
          <w:bCs/>
          <w:sz w:val="24"/>
          <w:szCs w:val="24"/>
        </w:rPr>
        <w:pict w14:anchorId="7E1D1BF3">
          <v:shape id="_x0000_i1030" type="#_x0000_t75" style="width:42.25pt;height:14.5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r&gt;&lt;m:rPr&gt;&lt;m:scr m:val=&quot;roman&quot;/&gt;&lt;/m:rPr&gt;&lt;w:rPr&gt;&lt;w:rFonts w:ascii=&quot;Cambria Math&quot; w:h-ansi=&quot;Cambria Math&quot; w:fareast=&quot;瀹嬩綋&quot; w:cs=&quot;Times New Roman&quot; w:hint=&quot;default&quot;/&gt;&lt;w:color w:val=&quot;auto&quot;/&gt;&lt;w:sz-cs w:val=&quot;24&quot;/&gt;&lt;/w:rPr&gt;&lt;m:t&gt;胃&lt;/m:t&gt;&lt;/m:r&gt;&lt;/m:oMath&gt;&lt;/m:oMathPara&gt;&lt;/w:p&gt;&lt;/wx:sect&gt;&lt;/w:body&gt;&lt;/w:wordDocumentw:rPr&gt;&lt;w:r&lt;w:r&lt;w:r&lt;w:r&lt;w:r&lt;w:r&lt;w:r&lt;w:r&lt;w:r&lt;w:r&lt;w:r&lt;w:r&lt;w:r&lt;w:r&lt;w">
            <v:imagedata r:id="rId69" o:title=""/>
            <o:lock v:ext="edit" aspectratio="f"/>
          </v:shape>
        </w:pict>
      </w:r>
      <w:r>
        <w:rPr>
          <w:rFonts w:ascii="Times New Roman" w:eastAsia="宋体" w:hAnsi="Times New Roman" w:cs="Times New Roman"/>
          <w:bCs/>
          <w:sz w:val="24"/>
          <w:szCs w:val="24"/>
        </w:rPr>
        <w:t>——</w:t>
      </w:r>
      <w:r>
        <w:rPr>
          <w:rFonts w:ascii="Times New Roman" w:eastAsia="宋体" w:hAnsi="Times New Roman" w:cs="Times New Roman"/>
          <w:bCs/>
          <w:sz w:val="24"/>
          <w:szCs w:val="24"/>
        </w:rPr>
        <w:t>土壤含水率，</w:t>
      </w:r>
      <w:r>
        <w:rPr>
          <w:rFonts w:ascii="Times New Roman" w:eastAsia="宋体" w:hAnsi="Times New Roman" w:cs="Times New Roman"/>
          <w:bCs/>
          <w:sz w:val="24"/>
          <w:szCs w:val="24"/>
        </w:rPr>
        <w:t>%</w:t>
      </w:r>
      <w:r>
        <w:rPr>
          <w:rFonts w:ascii="Times New Roman" w:eastAsia="宋体" w:hAnsi="Times New Roman" w:cs="Times New Roman"/>
          <w:bCs/>
          <w:sz w:val="24"/>
          <w:szCs w:val="24"/>
        </w:rPr>
        <w:t>。</w:t>
      </w:r>
    </w:p>
    <w:p w14:paraId="7A4A01F9"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b)</w:t>
      </w:r>
      <w:r>
        <w:rPr>
          <w:rFonts w:ascii="Times New Roman" w:eastAsia="宋体" w:hAnsi="Times New Roman" w:cs="Times New Roman"/>
          <w:bCs/>
          <w:sz w:val="24"/>
          <w:szCs w:val="24"/>
        </w:rPr>
        <w:t>初始条件</w:t>
      </w:r>
    </w:p>
    <w:p w14:paraId="043AB2AF" w14:textId="77777777" w:rsidR="00D12939" w:rsidRDefault="002A4A5F">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pict w14:anchorId="511A07EE">
          <v:shape id="_x0000_i1031" type="#_x0000_t75" style="width:150.25pt;height:14.5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fareast=&quot;瀹嬩綋&quot; w:cs=&quot;Times New Roman&quot; w:hint=&quot;default&quot;/&gt;&lt;w:color w:val=&quot;auto&quot;/&gt;&lt;w:sz-cs w:val=&quot;24&quot;/&gt;&lt;/w:rPr&gt;&lt;m:t&gt;c&lt;/m:t&gt;&lt;/m:r&gt;&lt;m:d&gt;&lt;m:dPr&gt;&lt;m:ctrlPr&gt;&lt;w:rPr&gt;&lt;w:rFonts w:ascii=&quot;Cambri/&gt;&lt;/&gt;&lt;/&gt;&lt;/&gt;&lt;/&gt;&lt;/&gt;&lt;/&gt;&lt;/&gt;&lt;/&gt;&lt;/&gt;&lt;/&gt;&lt;/&gt;&lt;/&gt;&lt;/&gt;&lt;/&gt;&lt;/&gt;&lt;a Math&quot; w:h-ansi=&quot;Cambria Math&quot; w:fareast=&quot;瀹嬩綋&quot; w:cs=&quot;Times New Roman&quot; w:hint=&quot;default&quot;/&gt;&lt;w:b-cs/&gt;&lt;w:color w:val=&quot;auto&quot;/&gt;&lt;w:sz-cs w:val=&quot;24&quot;/&gt;&lt;/w:rPr&gt;&lt;/m:ctrlPr&gt;&lt;/m:dPr&gt;&lt;m:e&gt;&lt;m:r&gt;&lt;m:rPr&gt;&lt;m:scr m:val=&quot;roman&quot;//&gt;&lt;&gt;&lt;//&gt;&lt;m:r/&gt;&lt;Pr&gt;/&gt;&lt;&lt;w:/&gt;&lt;rPr/&gt;&lt;&gt;&lt;w/&gt;&lt;:rF/&gt;&lt;ont/&gt;&lt;s w/&gt;&lt;:as/&gt;&lt;cii/&gt;&lt;=&quot;C/&gt;&lt;amb/&gt;&lt;ria/&gt;&lt; Ma/&gt;&lt;th&quot; w:h-ansi=&quot;Cambria Math&quot; w:fareast=&quot;瀹嬩綋&quot; w:cs=&quot;Times New Roman&quot; w:hint=&quot;default&quot;/&gt;&lt;w:color w:val=&quot;auto&quot;/&gt;&lt;w:sz-cs w:val=&quot;24&quot;/&gt;&lt;/w:rPr&gt;&lt;m:t&gt;z,t&lt;/m:t&gt;&lt;/m:r&gt;&lt;m:ct/&gt;&lt;rlPr&gt;&lt;/&gt;&lt;w:rPr&gt;/&gt;&lt;&lt;w:rFo/&gt;&lt;nts w:/&gt;&lt;ascii=/&gt;&lt;&quot;Cambr/&gt;&lt;ia Mat/&gt;&lt;h&quot; w:h/&gt;&lt;-ansi=/&gt;&lt;&quot;Cambr/&gt;&lt;ia Mat/&gt;&lt;h&quot; w:f/&gt;&lt;areast/&gt;&lt;=&quot;瀹嬩ia/&gt;&lt;綋&quot; w: Ma/&gt;&lt;cs=&quot;Times New Roman&quot; w:hint=&quot;default&quot;/&gt;&lt;w:b-cs/&gt;&lt;w:color w:val=&quot;auto&quot;/&gt;&lt;w:sz-cs w:val=&quot;24&quot;/&gt;&lt;/w:rPr&gt;&lt;/m:ctrlPr&gt;&lt;/m:/&gt;&lt;e&gt;&lt;/m:d&gt;&lt;/&gt;&lt;m:r&gt;&lt;m:rP/&gt;&lt;r&gt;&lt;m:scr /&gt;&lt;m:val=&quot;ro/&gt;&lt;man&quot;/&gt;&lt;/m/&gt;&lt;:rPr&gt;&lt;w:r/&gt;&lt;Pr&gt;&lt;w:rFo/&gt;&lt;nts w:asc/&gt;&lt;ii=&quot;Cambr/&gt;&lt;ia Math&quot; /&gt;&lt;w:h-ansi=/&gt;&lt;&quot;Cambria /&gt;&lt;Math&quot; w:f/&gt;&lt;areast=&quot;瀹?&gt;&lt;浣? w:cs=&quot;T/&gt;&lt;imes New Roman&quot; w:hint=&quot;default&quot;/&gt;&lt;w:color w:val=&quot;auto&quot;/&gt;&lt;w:sz-cs w:val=&gt;&lt;&quot;24&quot;/&gt;&lt;/w:rP&gt;&lt;r&gt;&lt;m:t&gt;=0   &gt;&lt;   t=0,L鈮 /&gt;&lt;&amp;lt;0&lt;/m:t&gt;&lt;o/&gt;&lt;/m:r&gt;&lt;/m:oMam/&gt;&lt;th&gt;&lt;/m:oMathr/&gt;&lt;Para&gt;&lt;/w:p&gt;&lt;o/&gt;&lt;/wx:sect&gt;&lt;/wc/&gt;&lt;:body&gt;&lt;/w:wor/&gt;&lt;rdDocumenti= /&gt;&lt;ambrMath:h-a=/&gt;&lt;&gt;&lt; ws=">
            <v:imagedata r:id="rId70" o:title=""/>
            <o:lock v:ext="edit" aspectratio="f"/>
          </v:shape>
        </w:pict>
      </w:r>
    </w:p>
    <w:p w14:paraId="4F1B556D"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c)</w:t>
      </w:r>
      <w:r>
        <w:rPr>
          <w:rFonts w:ascii="Times New Roman" w:eastAsia="宋体" w:hAnsi="Times New Roman" w:cs="Times New Roman"/>
          <w:bCs/>
          <w:sz w:val="24"/>
          <w:szCs w:val="24"/>
        </w:rPr>
        <w:t>边界条件</w:t>
      </w:r>
    </w:p>
    <w:p w14:paraId="66A91215"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第一类</w:t>
      </w:r>
      <w:r>
        <w:rPr>
          <w:rFonts w:ascii="Times New Roman" w:eastAsia="宋体" w:hAnsi="Times New Roman" w:cs="Times New Roman"/>
          <w:bCs/>
          <w:sz w:val="24"/>
          <w:szCs w:val="24"/>
        </w:rPr>
        <w:t>Dirichlet</w:t>
      </w:r>
      <w:r>
        <w:rPr>
          <w:rFonts w:ascii="Times New Roman" w:eastAsia="宋体" w:hAnsi="Times New Roman" w:cs="Times New Roman"/>
          <w:bCs/>
          <w:sz w:val="24"/>
          <w:szCs w:val="24"/>
        </w:rPr>
        <w:t>边界条件：</w:t>
      </w:r>
    </w:p>
    <w:p w14:paraId="7F27A783" w14:textId="77777777" w:rsidR="00D12939" w:rsidRDefault="004F47F5">
      <w:pPr>
        <w:widowControl/>
        <w:numPr>
          <w:ilvl w:val="0"/>
          <w:numId w:val="9"/>
        </w:numPr>
        <w:adjustRightInd w:val="0"/>
        <w:snapToGrid w:val="0"/>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连续点源：</w:t>
      </w:r>
      <w:r w:rsidR="002A4A5F">
        <w:rPr>
          <w:rFonts w:ascii="Times New Roman" w:eastAsia="宋体" w:hAnsi="Times New Roman" w:cs="Times New Roman"/>
          <w:bCs/>
          <w:sz w:val="24"/>
          <w:szCs w:val="24"/>
        </w:rPr>
        <w:pict w14:anchorId="70F5823F">
          <v:shape id="_x0000_i1032" type="#_x0000_t75" style="width:198pt;height:14.5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fareast=&quot;瀹嬩綋&quot; w:cs=&quot;Times New Roman&quot; w:hint=&quot;default&quot;/&gt;&lt;w:color w:val=&quot;auto&quot;/&gt;&lt;w:sz-cs w:val=&quot;24&quot;/&gt;&lt;/w:rPr&gt;&lt;m:t&gt;c&lt;/m:t&gt;&lt;/m:r&gt;&lt;m:d&gt;&lt;m:dPr&gt;&lt;m:ctrlPr&gt;&lt;w:rPr&gt;&lt;w:rFonts w:ascii=&quot;Cambri/&gt;&lt;/&gt;&lt;/&gt;&lt;/&gt;&lt;/&gt;&lt;/&gt;&lt;/&gt;&lt;/&gt;&lt;/&gt;&lt;/&gt;&lt;/&gt;&lt;/&gt;&lt;/&gt;&lt;/&gt;&lt;/&gt;&lt;/&gt;&lt;a Math&quot; w:h-ansi=&quot;Cambria Math&quot; w:fareast=&quot;瀹嬩綋&quot; w:cs=&quot;Times New Roman&quot; w:hint=&quot;default&quot;/&gt;&lt;w:b-cs/&gt;&lt;w:color w:val=&quot;auto&quot;/&gt;&lt;w:sz-cs w:val=&quot;24&quot;/&gt;&lt;/w:rPr&gt;&lt;/m:ctrlPr&gt;&lt;/m:dPr&gt;&lt;m:e&gt;&lt;m:r&gt;&lt;m:rPr&gt;&lt;m:scr m:val=&quot;roman&quot;//&gt;&lt;&gt;&lt;//&gt;&lt;m:r/&gt;&lt;Pr&gt;/&gt;&lt;&lt;w:/&gt;&lt;rPr/&gt;&lt;&gt;&lt;w/&gt;&lt;:rF/&gt;&lt;ont/&gt;&lt;s w/&gt;&lt;:as/&gt;&lt;cii/&gt;&lt;=&quot;C/&gt;&lt;amb/&gt;&lt;ria/&gt;&lt; Ma/&gt;&lt;th&quot; w:h-ansi=&quot;Cambria Math&quot; w:fareast=&quot;瀹嬩綋&quot; w:cs=&quot;Times New Roman&quot; w:hint=&quot;default&quot;/&gt;&lt;w:color w:val=&quot;auto&quot;/&gt;&lt;w:sz-cs w:val=&quot;24&quot;/&gt;&lt;/w:rPr&gt;&lt;m:t&gt;z,t&lt;/m:t&gt;&lt;/m:r&gt;&lt;m:ct/&gt;&lt;rlPr&gt;&lt;/&gt;&lt;w:rPr&gt;/&gt;&lt;&lt;w:rFo/&gt;&lt;nts w:/&gt;&lt;ascii=/&gt;&lt;&quot;Cambr/&gt;&lt;ia Mat/&gt;&lt;h&quot; w:h/&gt;&lt;-ansi=/&gt;&lt;&quot;Cambr/&gt;&lt;ia Mat/&gt;&lt;h&quot; w:f/&gt;&lt;areast/&gt;&lt;=&quot;瀹嬩ia/&gt;&lt;綋&quot; w: Ma/&gt;&lt;cs=&quot;Times New Roman&quot; w:hint=&quot;default&quot;/&gt;&lt;w:b-cs/&gt;&lt;w:color w:val=&quot;auto&quot;/&gt;&lt;w:sz-cs w:val=&quot;24&quot;/&gt;&lt;/w:rPr&gt;&lt;/m:ctrlPr&gt;&lt;/m:/&gt;&lt;e&gt;&lt;/m:d&gt;&lt;/&gt;&lt;m:r&gt;&lt;m:rP/&gt;&lt;r&gt;&lt;m:scr /&gt;&lt;m:val=&quot;ro/&gt;&lt;man&quot;/&gt;&lt;/m/&gt;&lt;:rPr&gt;&lt;w:r/&gt;&lt;Pr&gt;&lt;w:rFo/&gt;&lt;nts w:asc/&gt;&lt;ii=&quot;Cambr/&gt;&lt;ia Math&quot; /&gt;&lt;w:h-ansi=/&gt;&lt;&quot;Cambria /&gt;&lt;Math&quot; w:f/&gt;&lt;areast=&quot;瀹?&gt;&lt;浣? w:cs=&quot;T/&gt;&lt;imes New Roman&quot; w:hint=&quot;default&quot;/&gt;&lt;w:color w:val=&quot;auto&quot;/&gt;&lt;w:sz-cs w:val=&gt;&lt;&quot;24&quot;/&gt;&lt;/w:rP&gt;&lt;r&gt;&lt;m:t&gt;=&lt;/m:&gt;&lt;t&gt;&lt;/m:r&gt;&lt;m:s&gt;&lt;Sub&gt;&lt;m:sSubP&gt;&lt;r&gt;&lt;m:ctrlPr&gt;&gt;&lt;&lt;w:rPr&gt;&lt;w:rF&gt;&lt;onts w:ascii&gt;&lt;=&quot;Cambria Ma&gt;&lt;th&quot; w:h-ansi&gt;&lt;=&quot;Cambria Ma&gt;&lt;th&quot; w:fareas&gt;&lt;t=&quot;瀹嬩綋&quot; wa /&gt;&lt;:cs=&quot;Times N:f/&gt;&lt;ew Roman&quot; w:&quot;瀹?&gt;&lt;hint=&quot;default&quot;//&gt;&lt;&gt;&lt;w:b-cs/&gt;&lt;w:i/&gt;&lt;w:color w:val=l=&gt;&lt;&quot;auto&quot;/&gt;&lt;w:sz-rP&gt;&lt;cs w:val=&quot;24&quot;/m:&gt;&lt;&gt;&lt;/w:rPr&gt;&lt;/m:c:s&gt;&lt;trlPr&gt;&lt;/m:sSubbP&gt;&lt;Pr&gt;&lt;m:e&gt;&lt;m:r&gt;&lt;r&gt;&gt;&lt;m:rPr&gt;&lt;m:scr mrF&gt;&lt;:val=&quot;roman&quot;/&gt;ii&gt;&lt;&lt;/m:rPr&gt;&lt;w:rPrMa&gt;&lt;&gt;&lt;w:rFonts w:asi&gt;&lt;scii=&quot;Cambria Ma&gt;&lt;Math&quot; w:h-ansias&gt;&lt;=&quot;Cambria Math&quot; w&lt;:fareast=&quot;瀹嬩綋&quot;f/&gt;&lt; w:cs=&quot;Times New R=&gt;&lt;?&gt;&lt;oman&quot; w:hint=&quot;dP&gt;&lt;efa/&gt;&lt;ult&quot;/&gt;&lt;w:col:&gt;&lt;or w:val=&quot;auto&quot;/&gt;&lt;s&gt;&lt;w:sz-cs w:val=&quot;24&quot;P&gt;&lt;/&gt;&lt;/w:rPr&gt;&lt;m:t&gt;c&lt;/&gt;&gt;&lt;m:t&gt;&lt;/m:r&gt;&lt;m:ctrlPF&gt;&lt;r&gt;&lt;w:rPr&gt;&lt;w:rFontsi&gt;&lt; w:ascii=&quot;Cambria a&gt;&lt;Math&quot; w:h-ansi=&quot;Cai&gt;&lt;mbria Math&quot; w:farea&gt;&lt;ast=&quot;瀹嬩綋&quot; w:cs=sias&gt;&lt;&quot;Times New Roman&quot; th&quot;=&gt;&lt; w&lt;w:hint=&quot;default&quot;/&gt;P&gt;&lt;&lt;w:/&gt;&lt;b-cs/&gt;&lt;w:i/&gt;&lt;w::&gt;&lt;color ?&gt;&lt;w:val=&quot;auto&quot;s&gt;&lt;/&gt;&lt;w:sz-c/&gt;&lt;s w:val=&quot;P&gt;&lt;24&quot;/&gt;&lt;/w:rPr&gt;&lt;/m:ctrl&gt;&gt;&lt;Pr&gt;&lt;/m:e&gt;&lt;m:sub&gt;&lt;m:r&gt;F&gt;&lt;&lt;m:rPr&gt;&lt;m:scr m:val=&quot;i&gt;&lt;roman&quot;/&gt;&lt;/m:rPr&gt;&lt;w:rPa&gt;&lt;r&gt;&lt;w:rFonts w:ascii=&quot;i&gt;&lt;Cambria Math&quot; w:h-ansa&gt;&lt;i=&quot;Cambria Math&quot; w:fareast=&quot;瀹嬩綋&quot; w:cP&gt;&lt;s=&quot;Times  w&lt;New Roman&quot; w:&gt;&lt;:hint=&quot;defau/&gt;&lt;lt&quot;/&gt;&lt;w:cs&gt;&lt;olor w:val=&quot;aut?&gt;&lt;o&quot;/&gt;&lt;wP&gt;&lt;:sz-cs w:val=&quot;24&quot;//&gt;&lt;&gt;&lt;/&gt;&gt;&lt;w:rPr&gt;&lt;m:t&gt;0&lt;/m:t&gt;&lt;/m:r&gt;F&gt;&lt;&lt;m:ctrlPr&gt;&lt;w:rPr&gt;&lt;w:rFoni&gt;&lt;ts w:ascii=&quot;Cambria Matha&gt;&lt;&quot; w:h-ansi=&quot;Cambria Mathi&gt;&lt;&quot; w:fareast=ath&quot;瀹嬩綋&quot; w:cansa&gt;&lt;s=&quot;Times P&gt;&lt;New Roman&quot; w:hi:fareant=&quot;de:&gt;&lt;fault&quot;/&gt;&lt;w:b-cs/&gt;&lt;w:i w&lt;/&gt;&lt;s&gt;&lt;w:color w:val=&quot;auto&quot;/&gt;&lt;w/&gt;&lt;P&gt;&lt;:sz-cs w:val=&quot;24&quot;/&gt;&lt;/w:rPr&gt;&gt;&gt;&lt;?&gt;&lt;&lt;/m:ctrlPr&gt;&lt;/m:sub&gt;&lt;/m:sF&gt;&lt;Sub/&gt;&lt;&gt;&lt;m:r&gt;&lt;m:rPr&gt;&lt;m:scr mi&gt;&lt;:val=&quot;roman&quot;/&gt;&lt;/m:rPr&gt;&lt;w:rPa&gt;&lt;r&gt;&lt;w:rFonts w:aathscii=&quot;Cambrii&gt;&lt;a Math&quot; w:h-ansi=&quot;Cambria Math&quot; w:fareast=&quot;瀹&lt;嬩綋&quot; w:cs=&quot;Timreaes New Romans&gt;&lt;&quot; w:hint=&quot;default&quot; w&lt;/&gt;&lt;w:coloP&gt;&lt;r w:val=&quot;auto&quot;/&gt;&lt;w:sz/&gt;&lt;-cs w:&gt;&gt;&lt;val=&quot;24&quot;/&gt;&lt;/w:rPr&gt;&lt;m:t&gt; ?&gt;&lt;   F&gt;&lt;  t&amp;gt;0,z=0&lt;/m:t&gt;&lt;/m:r&gt;&lt;/m/&gt;&lt;i&gt;&lt;:oMath&gt;&lt;/m:oMathPara&gt;&lt;/w:p&gt;&lt;/athwa&gt;&lt;x:sect&gt;&lt;/w:body&gt;&lt;/w:wordDoanscumei&gt;&lt;ntia a ">
            <v:imagedata r:id="rId71" o:title=""/>
            <o:lock v:ext="edit" aspectratio="f"/>
          </v:shape>
        </w:pict>
      </w:r>
    </w:p>
    <w:p w14:paraId="33A3E698" w14:textId="77777777" w:rsidR="00D12939" w:rsidRDefault="004F47F5">
      <w:pPr>
        <w:widowControl/>
        <w:numPr>
          <w:ilvl w:val="0"/>
          <w:numId w:val="9"/>
        </w:numPr>
        <w:adjustRightInd w:val="0"/>
        <w:snapToGrid w:val="0"/>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非连续点源：</w:t>
      </w:r>
      <w:r w:rsidR="002A4A5F">
        <w:rPr>
          <w:rFonts w:ascii="Times New Roman" w:eastAsia="宋体" w:hAnsi="Times New Roman" w:cs="Times New Roman"/>
          <w:bCs/>
          <w:sz w:val="24"/>
          <w:szCs w:val="24"/>
        </w:rPr>
        <w:pict w14:anchorId="71D10303">
          <v:shape id="_x0000_i1033" type="#_x0000_t75" style="width:195.9pt;height:27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fareast=&quot;瀹嬩綋&quot; w:cs=&quot;Times New Roman&quot; w:hint=&quot;default&quot;/&gt;&lt;w:color w:val=&quot;auto&quot;/&gt;&lt;w:sz-cs w:val=&quot;24&quot;/&gt;&lt;/w:rPr&gt;&lt;m:t&gt;c&lt;/m:t&gt;&lt;/m:r&gt;&lt;m:d&gt;&lt;m:dPr&gt;&lt;m:ctrlPr&gt;&lt;w:rPr&gt;&lt;w:rFonts w:ascii=&quot;Cambri/&gt;&lt;/&gt;&lt;/&gt;&lt;/&gt;&lt;/&gt;&lt;/&gt;&lt;/&gt;&lt;/&gt;&lt;/&gt;&lt;/&gt;&lt;/&gt;&lt;/&gt;&lt;/&gt;&lt;/&gt;&lt;/&gt;&lt;/&gt;&lt;a Math&quot; w:h-ansi=&quot;Cambria Math&quot; w:fareast=&quot;瀹嬩綋&quot; w:cs=&quot;Times New Roman&quot; w:hint=&quot;default&quot;/&gt;&lt;w:b-cs/&gt;&lt;w:color w:val=&quot;auto&quot;/&gt;&lt;w:sz-cs w:val=&quot;24&quot;/&gt;&lt;/w:rPr&gt;&lt;/m:ctrlPr&gt;&lt;/m:dPr&gt;&lt;m:e&gt;&lt;m:r&gt;&lt;m:rPr&gt;&lt;m:scr m:val=&quot;roman&quot;//&gt;&lt;&gt;&lt;//&gt;&lt;m:r/&gt;&lt;Pr&gt;/&gt;&lt;&lt;w:/&gt;&lt;rPr/&gt;&lt;&gt;&lt;w/&gt;&lt;:rF/&gt;&lt;ont/&gt;&lt;s w/&gt;&lt;:as/&gt;&lt;cii/&gt;&lt;=&quot;C/&gt;&lt;amb/&gt;&lt;ria/&gt;&lt; Ma/&gt;&lt;th&quot; w:h-ansi=&quot;Cambria Math&quot; w:fareast=&quot;瀹嬩綋&quot; w:cs=&quot;Times New Roman&quot; w:hint=&quot;default&quot;/&gt;&lt;w:color w:val=&quot;auto&quot;/&gt;&lt;w:sz-cs w:val=&quot;24&quot;/&gt;&lt;/w:rPr&gt;&lt;m:t&gt;z,t&lt;/m:t&gt;&lt;/m:r&gt;&lt;m:ct/&gt;&lt;rlPr&gt;&lt;/&gt;&lt;w:rPr&gt;/&gt;&lt;&lt;w:rFo/&gt;&lt;nts w:/&gt;&lt;ascii=/&gt;&lt;&quot;Cambr/&gt;&lt;ia Mat/&gt;&lt;h&quot; w:h/&gt;&lt;-ansi=/&gt;&lt;&quot;Cambr/&gt;&lt;ia Mat/&gt;&lt;h&quot; w:f/&gt;&lt;areast/&gt;&lt;=&quot;瀹嬩ia/&gt;&lt;綋&quot; w: Ma/&gt;&lt;cs=&quot;Times New Roman&quot; w:hint=&quot;default&quot;/&gt;&lt;w:b-cs/&gt;&lt;w:color w:val=&quot;auto&quot;/&gt;&lt;w:sz-cs w:val=&quot;24&quot;/&gt;&lt;/w:rPr&gt;&lt;/m:ctrlPr&gt;&lt;/m:/&gt;&lt;e&gt;&lt;/m:d&gt;&lt;/&gt;&lt;m:r&gt;&lt;m:rP/&gt;&lt;r&gt;&lt;m:scr /&gt;&lt;m:val=&quot;ro/&gt;&lt;man&quot;/&gt;&lt;/m/&gt;&lt;:rPr&gt;&lt;w:r/&gt;&lt;Pr&gt;&lt;w:rFo/&gt;&lt;nts w:asc/&gt;&lt;ii=&quot;Cambr/&gt;&lt;ia Math&quot; /&gt;&lt;w:h-ansi=/&gt;&lt;&quot;Cambria /&gt;&lt;Math&quot; w:f/&gt;&lt;areast=&quot;瀹?&gt;&lt;浣? w:cs=&quot;T/&gt;&lt;imes New Roman&quot; w:hint=&quot;default&quot;/&gt;&lt;w:color w:val=&quot;auto&quot;/&gt;&lt;w:sz-cs w:val=&gt;&lt;&quot;24&quot;/&gt;&lt;/w:rP&gt;&lt;r&gt;&lt;m:t&gt;=&lt;/m:&gt;&lt;t&gt;&lt;/m:r&gt;&lt;m:d&gt;&lt;&gt;&lt;m:dPr&gt;&lt;m:b&gt;&lt;egChr m:val=&gt;&lt;&quot;{&quot;/&gt;&lt;m:endC&gt;&lt;hr m:val=&quot;&quot;/&gt;&lt;&gt;&lt;m:ctrlPr&gt;&lt;&gt;&lt;w:rPr&gt;&lt;w:rFo&gt;&lt;nts w:ascii=&gt;&lt;&quot;Cambria Mat&gt;&lt;h&quot; w:h-ansi=&gt;&lt;&quot;Cambria Mat&gt;&lt;h&quot; w:fareast&gt;&lt;=&quot;瀹嬩綋&quot; w:cs=/&gt;&lt;&quot;Times New Roman&quot; w:hint=&quot;default&quot;/&gt;&lt;w:b-=&gt;&lt;cs/&gt;&lt;w:i/&gt;&lt;w:cP&gt;&lt;olor w:val=&quot;au:&gt;&lt;to&quot;/&gt;&lt;w:sz-cs d&gt;&lt;w:val=&quot;24&quot;/&gt;&lt;/b&gt;&lt;w:rPr&gt;&lt;/m:ctrl=&gt;&lt;Pr&gt;&lt;/m:dPr&gt;&lt;m:C&gt;&lt;e&gt;&lt;m:m&gt;&lt;m:mPr&gt;/&gt;&lt;&lt;m:mcs&gt;&lt;m:mc&gt;&lt;&lt;&gt;&lt;m:mcPr&gt;&lt;m:couno&gt;&lt;t m:val=&quot;1&quot;/&gt;&lt;=&gt;&lt;m:mcJc m:val=&quot;t&gt;&lt;center&quot;/&gt;&lt;/m:m=&gt;&lt;cPr&gt;&lt;/m:mc&gt;&lt;/mt&gt;&lt;:mcs&gt;&lt;m:ctrlPrt&gt;&lt;&gt;&lt;w:rPr&gt;&lt;w:rFonts w:ascii=&quot;Cambria Math&quot; w:h-ansi=&quot;Cambria Math&quot; w:fareast=&quot;瀹嬩綋&quot; wb&gt;&lt;:cs=&quot;Times New Ro=&gt;&lt;man&quot; w:hint=&quot;defaC&gt;&lt;ult&quot;/&gt;&lt;w:b-cs/&gt;&lt;w/&gt;&lt;:i/&gt;&lt;w:color w:va&lt;&gt;&lt;l=&quot;auto&quot;/&gt;&lt;w:sz-co&gt;&lt;s w:val=&quot;24&quot;/&gt;&lt;/w=&gt;&lt;:rPr&gt;&lt;/m:ctrlPr&gt;&lt;t&gt;&lt;/m:mPr&gt;&lt;m:mr&gt;&lt;m:e=&gt;&lt;&gt;&lt;m:sSub&gt;&lt;m:sSubPt&gt;&lt;r&gt;&lt;mnts:ctrlPr&gt;&lt;w:rPt&gt;&lt;rria&gt;&lt;w:rFonts w:ascii=&quot;ts i=&quot;Cambria Matw:fh&quot; w:h-ansi=&quot;Cambria Math&quot; w:fareast=&quot;瀹&lt;嬩綋&quot; w:cs=&quot;Times NeC&gt;&lt;w Roman&quot; w:hint=&quot;def/&gt;&lt;ault&quot;/&gt;&lt;w:b-cs/&gt;&lt;w:i&lt;&gt;&lt;/&gt;&lt;w:color w:val=&quot;auo&gt;&lt;to&quot;/&gt;&lt;w:sz-cs w:val==&gt;&lt;&quot;24&quot;/&gt;&lt;/w:rPr&gt;&lt;/m:ctt&gt;&lt;rlPr&gt;&lt;/m:sSubPr&gt;nts&lt;m:e=&gt;&lt;&gt;&lt;m:r&gt;&lt;m:rPr&gt;ria&lt;m:scr t&gt;&lt;m:val=&quot;romi=&quot;an&quot;/&gt;&lt;/m:rt&gt;&lt;Pr&gt;&lt;w:rw:fPr&gt;&lt;w:rFonts wts :asriacii=&quot;Cambria Math&quot; w:瀹&lt;h-ansi=&quot;Cambria Math&quot; w:fareast=&quot;瀹嬩綋&quot; w:cs=/&gt;&lt;&quot;Times New Roman&quot; w:hin&lt;&gt;&lt;t=&quot;default&quot;/&gt;&lt;w:color wo&gt;&lt;:val=&quot;auto&quot;/&gt;&lt;w:sz-cs w=&gt;&lt;:val=&quot;24&quot;/&gt;&lt;&gt;nts/w:rPr&gt;&lt;m:tt&gt;&lt;&gt;c&lt;/m:t&gt;&lt;&gt;ria/m:r&gt;&lt;m:ctrlPr=&gt;&lt;&gt;&lt;w:rPmi=&quot;r&gt;&lt;w:rFonts w:asct&gt;&lt;ii=rw:f&quot;Cambria Math&quot; w:h-at&gt;&lt;sriansi=&quot;Cambria Math&quot; w:far:瀹&lt;ts east=&quot;瀹嬩綋&quot; w:cs=&quot;ath&quot; wTimes New Roman&quot; w:hint=&quot;d/&gt;&lt;efault&quot;/&gt;&lt;w:b-cs/&gt;&lt;w:i/&gt;&lt;w&lt;&gt;&lt;:color w:val=&quot;auto&quot;/&gt;&lt;w:szo&gt;&lt;-cs&gt;nts w:val=&quot;24&quot;/&gt;&lt;/w:rPr&gt;&lt;/=&gt;&lt;m&gt;ria:ctrlPr&gt;&lt;/m:e&gt;&lt;m:sub&gt;&lt;m:rt&gt;mi=&quot;&lt;&gt;&lt;m:rPr&gt;&lt;m:scr m:val=&quot;romarw:f=&gt;&lt;n&quot;/&gt;&lt;/m:rPr&gt;&lt;w:rPr&gt;&lt;w:rFsriaont&gt;&lt;ts w:ascii=&quot;Cambria Mat:瀹&lt;h&quot; t&gt;&lt;w:h-ansi=&quot;Cambria Math&quot; w:fts areast=&quot;瀹嬩綋&quot; w:cs=&quot;/&gt;&lt;Times New Roman&quot; w:hint=&quot;defa&lt;&gt;&lt;ult&quot;/&gt;&gt;nts&lt;w:color w:val=&quot;auto&quot;/&gt;o&gt;&lt;&lt;w:sz&gt;ria-cs w:val=&quot;24&quot;/&gt;&lt;/w:rPr&gt;=&gt;&lt;&lt;m:tmi=&quot;&gt;0&lt;/m:t&gt;&lt;/m:r&gt;&lt;m:ctrlPr&gt;&lt;t&gt;&lt;w:rrw:fPr&gt;&lt;w:rFonts w:ascii=&quot;Camb=&gt;&lt;risriaa Math&quot; w:h-ansi=&quot;Cambria Mt&gt;&lt;at:瀹&lt;h&quot; w:fareast=&quot;瀹嬩綋&quot; w:cs=h&quot; Math&quot; t&gt;&lt;&quot;Times New Roman&quot; w:hint=&quot;de/&gt;&lt;faw:fts u&gt;ntslt&quot;/&gt;&lt;w:b-cs/&gt;&lt;w:i/&gt;&lt;w:&lt;&gt;&lt;color w:v&gt;riaal=&quot;auto&quot;/&gt;&lt;w:sz-cs w:vo&gt;&lt;al=&quot;24&quot;/&gt;mi=&quot;&lt;/w:rPr&gt;&lt;/m:ctrlPr&gt;&lt;/m:=&gt;&lt;sub&gt;&lt;/m:srw:fSub&gt;&lt;m:r&gt;&lt;m:rPr&gt;&lt;m:scr t&gt;&lt;m:val=&quot;rosriaman&quot;/&gt;&lt;/m:rPr&gt;&lt;w:rPr&gt;&lt;w=&gt;&lt;:rFonts w::瀹&lt;ascii=&quot;Cambria Math&quot; wt&gt;&lt;:h-ansi=&quot;Cambria Math&quot; w:fareast=&quot;s?畫浣? w:cs&gt;&lt;=&quot;Times New Roman&quot; w:hinttrias =&quot;defau&gt;&lt;lt&quot;/&gt;&lt;w:color w:val=&quot;auto&quot;/&gt;i=&quot;&lt;w:sz-c&gt;&lt;s w:val=&quot;24&quot;/&gt;&lt;/w:rPr&gt;&lt;m:t&gt;   w:f   0&amp;&gt;&lt;lt;t鈮?/m:t&gt;&lt;/m:r&gt;&lt;m:sSub&gt;&lt;m:sSusriabPrt&gt;&lt;&gt;&lt;m:ctrlPr&gt;&lt;w:rPr&gt;&lt;w:rFonts w:asci:瀹&lt;i=&gt;&lt;=&quot;Cambria Math&quot; w:h-ansi=&quot;Cambr=&quot;Cia Mt=&quot;st&gt;&lt;ath&quot; w:fareast=&quot;瀹嬩綋&quot; w:cs=&quot;cs&gt;&lt;Timeettriaast=&quot;?s New Roman&quot; w:hint=&quot;defauau&gt;&lt;lt&quot;/&gt;&lt;/&gt;i=&quot;w:b-csntts /&gt;&lt;w:i/&gt;&lt;w:color w:v-c&gt;&lt;al=&quot;aut  w:fo&quot;/&gt;&lt;w:sz-cs w:val=&quot;24&quot;/&gt;&lt;/w:r0&amp;&gt;&lt;Pr&gt;&lt;/m:ctsriarlPr&gt;&lt;/m:sSubPr&gt;&lt;m:e&gt;&lt;m:r&gt;&lt;m:t&gt;&lt;rPr&gt;&lt;m:scr m:瀹&lt;:val=&quot;roman&quot;/&gt;&lt;/m:rt=&quot;sPr&gt;&lt;w:r=&gt;&lt;Pr&gt;&lt;w:rFo=&quot;Cnts w:ascii=&quot;Cambria Matha&quot; w:t&gt;&lt;h-ansi=&quot;Cambria Math&quot; w:fareast=&quot;瀹嬩綋&quot;&gt;i=&quot; =&quot;?w:cs=&quot;u&gt;&lt;Times New Roman&quot; w:hint=&quot;default&quot;/ w:f&gt;&lt;wts :c&gt;&lt;color w:val=&quot;auto&quot;/&gt;&lt;w:sz-cs w:val=&quot;2sria4&quot;/&gt;&amp;&gt;&lt;&lt;/w:rPr&gt;&lt;m:t&gt;t&lt;/m:t&gt;&lt;/m:r&gt;&lt;m:ctrlPr&gt;&lt;w:rP:瀹&lt;t&gt;t=&quot;s&lt;r&gt;&lt;w:rFonts w:ascii=&quot;Cambria Math&quot; w:h=&quot;C-an=&gt;&lt;athasi=&quot;Cambria Math&quot; w:fareast=&quot;瀹嬩綋nsi=&quot;C&quot; w:cs w:t&gt;i=&quot;&gt;&lt;=&quot;Times New Roman&quot; w:hint=&quot;defauu&gt;&lt;lt&quot;/&gt;&lt;w:b-cs=&quot; w:f?/&gt;&lt;w:i/&gt;&lt;w:color w:val=&quot;auto&quot;c&gt;&lt;/&gt;&lt;w:sz-cs w:val=tsrias &quot;24&quot;/&gt;&lt;/w:rPr&gt;&lt;/m:ctrlPr&amp;&gt;&lt;&gt;&lt;/m:e&gt;&lt;m=&quot;s:sub&gt;&lt;m:r&gt;&lt;m:r:瀹&lt;Pr&gt;&lt;m:scr m:val=&quot;romat&gt;&lt;n&quot;/&gt;&lt;/m:rPathar&gt;&lt;w:rPr&gt;&lt;=&quot;Cw:rFonts w:ascii=&quot;Cambri=&gt;&lt;a Math&quot; w:h-ans&quot;i=&quot;Cambria Math&quot; w:fareast=&quot;瀹嬩&gt;&lt;綋&quot; w:cs=&quot;Times Neu&gt;&lt; w:fw Roman&quot; w:hint=&quot;default&quot;/&gt;&lt;w=&quot;?:color w:val=&quot;ac&gt;&lt;uto&quot;/sria&gt;&lt;w:sz-cs w:val=&quot;24&quot;/&gt;&lt;/wm=&quot;s:rPrts &gt;&lt;m:t&gt;0&lt;/m&amp;&gt;&lt;:t&gt;&lt;/m:r&gt;&lt;m:瀹&lt;:ctrlPr&gt;&lt;w:rPr&gt;&lt;w:rFoathants w:ascii=&quot;Cat&gt;&lt;mbria Ma=&quot;Cth&quot; w:h-ansi=&quot;Cambria Math&quot;ans&quot; w:fareast=&quot;=&gt;&lt;瀹嬩?i=&quot;Ca? w:cs=&quot;Times New Roman&quot; w:hint=&quot;dw:fefault&quot;/&gt;瀹嬩&gt;&lt;Neu&gt;&lt;&lt;w:b-cs/&gt;&lt;w:i/&gt;&lt;w:color w:val=&quot;auto&quot;/&gt;&lt;/sriaw:sz-cs wwm=&quot;s:v&quot;ac&gt;&lt;=&quot;?al=&quot;24&quot;/&gt;&lt;/w:rPr&gt;&lt;/m:ctrlPr&gt;&lt;/m:sub&gt;&lt;/m:sm:瀹&lt;Sub&gt;oatha&lt;m/m&amp;&gt;&lt;:ctrlts Pr&gt;&lt;w:rPr&gt;&lt;w:rFonts w:ascii=&quot;Caa=&quot;Cmbria Math&quot;ans&quot;&quot;Cat&gt;&lt; w:h-ansi=&quot;Cambria Math&quot; w:fareast=&quot;Ca&quot;瀹嬩綋&quot; w:cs=&quot;ast=&quot;dw:f=&quot;=&gt;&lt;Times New Roman&quot; w:hint=&quot;defaultu&gt;&lt;&quot;/&gt;&lt;w:b-cs/&gt;&lt;w:i/m=&quot;s&gt;&lt;w:co?sria?&lt;lor w:val=&quot;auto&quot;/&gt;&lt;w:sz-cs wac&gt;&lt;:val=&quot;24&quot;/&gt;&lt;/w:rPr&gt;&lt;tha/m:ct=&quot;?rlm:瀹&lt;Pr&gt;&lt;/m:e&gt;&lt;/m:mr&gt;&lt;m:mr&gt;&lt;m:m&amp;&gt;&lt;e&gt;&lt;m:r&gt;&lt;m:rPr&gt;&lt;m:scr ans&quot;m:vaa=&quot;Cl=&quot;ts roman&quot;/&gt;&lt;/m:rPr&gt;&lt;w:rPr&gt;&lt;at&gt;&lt;w:rFonts w:ascii=&quot;Ca=&quot;Cambfria Math&quot; w:h-ansi=&quot;Cambria Math&quot; w:&lt;fareast=&quot;瀹?&quot;s浣? w:tu&gt;&lt;cs=&quot;Tim?sriaes New Roman&quot; w:hint=&quot;default&quot;/&gt;&lt;嬩&gt;&lt;w:color &gt;&lt;thaw:val=&quot;ac&gt;&lt;auto&quot;/&gt;&lt;w:sz-cm:瀹&lt;s w:val=&quot;24&quot;/&gt;&lt;/w:rPr&gt;&lt;m:t&gt;=&quot;?0         ans&quot;      m&amp;&gt;&lt; t&amp;gt;&lt;/ma=&quot;C:t&gt;&lt;/m:r&gt;&lt;m:sSub&gt;&lt;m:sSubPr&gt;&lt;m:ctrlts Pr&gt;&lt;w:rPrCambf&gt;&lt;w:at&gt;&lt;rFon=&quot;Cats w:ascii=&quot;Cambri瀹?&quot;sa Math&quot; w:h-ansi=&quot;Cambria Math&quot; w:far iaw:&lt;eas&lt;t=&quot;瀹嬩綋&quot; w:cs=&quot;Times New&lt;tha Roman&quot; w:hint=&quot;default&quot;/&gt;&lt;w:b-cs/嬩&gt;ac&gt;&lt;&lt;m:瀹&lt;&gt;&lt;w:i/&gt;&lt;w:color w:val=&quot;auto ans&quot;&quot;/&gt;&lt;w:sz-cs w:val=&quot;24&quot;/&gt;&lt;/w:rPr&gt;=&quot;?a=&quot;Cm&amp;&gt;&lt;&lt;/m:ctrlPr&gt;&lt;/m:sSubPr&gt;&lt;m:e&gt;&lt;m:rCambf&gt;&lt;m:rPr&gt;&lt;m:scr m:vali瀹?&quot;s=&quot;roman=&quot;Ca&quot;/&gt;tsat&gt;&lt; &lt;/m:rPr&gt;&lt;w:rPr&gt;&lt;w:rFonts w:ascii=ar ia&quot;Cambria Math&quot; w:hha-aeas&lt;nsi=&quot;Camb w:&lt;ria Math&quot; w:fareast=&quot;瀹嬩綋&quot; w:cs=&quot;Times Ne:瀹&lt;w Roman&quot; w:c&gt;ans&quot;&lt;hint=&quot;default嬩&gt;&lt;&quot;/&gt;&lt;w:color w:val=&quot;auto&quot;/&gt;&lt;w:sz-cs a=&quot;Cw:val=&quot;24&quot;/&gt;&lt;/wm&amp;&gt;&lt;:rPCambfr&gt;&lt;m:t&gt;t&lt;i瀹?&quot;s=&quot;?/m:t&gt;&lt;/m:r&gt;&lt;m:ctrlPr&gt;&lt;w:rPr&gt;&lt;w:r=&quot;CaFonts w:ascii=&quot;Cambrat&gt;&lt;ia Mathar ia&quot; w:w:hhahts -ansi=&quot;Cambria Math&quot; w:fareaeas&lt;st=&quot;瀹嬩綋&quot; w:cs=&quot;Times amb w:&lt;New Roman&quot; w:e:?ans&quot;?hint=&quot;default&quot;/&gt;&lt;w:b-cs/&gt;&lt;:c&gt;&lt;w:i/&gt;&lt;w:color w:val=&quot;auto&quot;/&gt;&lt;w:s嬩&gt;&lt;z-csa=&quot;C w:val=&quot;C瀹?&quot;sambf24&quot;/&gt;&lt;/w:rPr&gt;&lt;/m:ctrlPrm&amp;&gt;&lt;&gt;&lt;/m:e&gt;&lt;m:sub&gt;&lt;m:r&gt;&lt;m:rPr&gt;&lt;m:s=&quot;?cr=&quot;Ca m:val=&quot;roman&quot;:hha/&gt;&lt;/ar iam:rPr&gt;&lt;w:rPr&gt;&lt;w:rFat&gt;&lt;onts w:ascii=&quot;Cambria Math&quot; wtseas&lt; :h-ansi=&quot;Cambria Mas&quot;th&quot; w:fareas&lt;t=&quot;瀹嬩綋&quot;  w:&lt;w:cs=&quot;Times New Roman&quot; w:hi:c&gt;&lt;nt=&quot;default&quot;/&gt;&lt;w:col?&quot;sor w:val=&quot;mbfC=&quot;auto&quot;/&gt;&lt;w:sz-cs w:嬩&gt;&lt;val=&quot;24&quot;/&gt;&lt;/w:rPr&gt;&lt;m:t&gt;m&amp;&gt;&lt;0&lt;/m:t&gt;&lt;/m:r&gt;&lt;m:ctrlPr&gt;:hha=&quot;Ca&lt;w:rPr&gt;&lt;w:r iarFonts w:asc=&quot;?ii=&quot;Cambria Math&quot; w:h-ansi=at&gt;&lt;&quot;Cambria Math&quot; w:faeas&lt;rMas&quot;east=&quot;瀹嬩綋&quot; w:cs=&quot;fareas&lt;Tim&quot; wts es New Roman&quot; w:hint=&quot;default w:&lt;&quot;/l?&quot;s&gt;&lt;w:b-cs/&gt;&lt;w::c&gt;&lt;i/&gt;&lt;&quot;mbfw:color w:val=&quot;Cl=&quot;auto&quot;/&gt;&lt;w:sz-cs w:val=&quot;24&quot;/&gt;&lt;/w:rPr&gt;&lt;/m:ctrlP嬩&gt;:hha&lt;r&gt;&lt;/m:sub&gt;&lt;m&amp;&gt;&lt;/m:sSub&gt;&lt;mr ia:=&quot;CactrlPr&gt;&lt;w:rPr&gt;&lt;w:rFonts w:ascii=&quot;Cambria Math&quot; w:=&quot;?h-ansMas&quot;i=&quot;Cambria at&gt;&lt;Math&quot; weas&lt;:fareast=&lt;&quot;瀹嬩綋&quot; w:cs=&quot;Times New Rol?&quot;sman&quot; w:hint=&quot;defats ult&quot;/&gt;&lt;w:b-cs&quot;mbf/&gt;&lt;w:i w:&lt;/&gt;&lt;:c&gt;&lt;w:col=&quot;Clor w:val=&quot;auto&quot;/&gt;&lt;w:sz-cs w:val=&quot;hha24&quot;/&gt;&lt;/w:rPr&gt;&lt;/m:ctrlPr&gt;&lt;/m:e&gt;&lt;/m:mr&gt;&lt; ia/m:m嬩&gt;m&amp;&gt;=&quot;Ca&lt;&lt;&gt;&lt;m:ctrlPr&gt;&lt;w:rPr&gt;&lt;w:rFonts w:ascii=&quot;CaMas&quot;mbria Math&quot; w:h-ansi=&quot;Cambria Math&quot;=&quot;? w:fest=&lt;as&lt;aat&gt;&lt;rseast=&quot;瀹嬩綋&quot; w:cs=&quot;Times New Roman&quot; w:hint=&quot;mbf&quot;default&quot;/&gt;&lt;w:b-cs/&gt;&lt;w:i/&gt;&lt;w:ts l=&quot;Ccolo:c&gt;&lt;r w:v w&quot;hha:&lt;al=&quot;auto&quot;/&gt;&lt;w:sz-cs w:val=&quot;24&quot;/&gt;&lt;/w:rPr&gt;&lt;/m:ctr&lt; ialPr&gt;&lt;/m:e&gt;&lt;/m:d&gt;&lt;/m:oM&quot;Caath&gt;&lt;/m:o&amp;&gt;&lt;MathPara&gt;?as&quot;?&lt;&lt;/w:p&gt;&lt;/wx:sect&gt;&lt;/w:body&gt;&lt;/w:wordDocumentambhh-&lt;rsan&quot;rast=&lt;th&quot; ae&quot;&quot;">
            <v:imagedata r:id="rId72" o:title=""/>
            <o:lock v:ext="edit" aspectratio="f"/>
          </v:shape>
        </w:pict>
      </w:r>
    </w:p>
    <w:p w14:paraId="57D7EB8F"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第二类</w:t>
      </w:r>
      <w:r>
        <w:rPr>
          <w:rFonts w:ascii="Times New Roman" w:eastAsia="宋体" w:hAnsi="Times New Roman" w:cs="Times New Roman"/>
          <w:bCs/>
          <w:sz w:val="24"/>
          <w:szCs w:val="24"/>
        </w:rPr>
        <w:t>Neumann</w:t>
      </w:r>
      <w:r>
        <w:rPr>
          <w:rFonts w:ascii="Times New Roman" w:eastAsia="宋体" w:hAnsi="Times New Roman" w:cs="Times New Roman"/>
          <w:bCs/>
          <w:sz w:val="24"/>
          <w:szCs w:val="24"/>
        </w:rPr>
        <w:t>零梯度边界：</w:t>
      </w:r>
    </w:p>
    <w:p w14:paraId="1174C01E" w14:textId="77777777" w:rsidR="00D12939" w:rsidRDefault="002A4A5F">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pict w14:anchorId="6F270C63">
          <v:shape id="_x0000_i1034" type="#_x0000_t75" style="width:130.85pt;height:27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CompressPunctuation&quot;/&gt;&lt;w:documentProtection w:enforcement=&quot;off&quot;/&gt;&lt;w:doNotEmbedSystemFonts/&gt;&lt;w:defaultTabStop w:val=&quot;420&quot;/&gt;&lt;w:drawingGridVerticalSpacing w:val=&quot;156&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ParaPr&gt;&lt;m:jc m:val=&quot;center&quot;/&gt;&lt;/m:oMathParaPr&gt;&lt;m:oMath&gt;&lt;m:r&gt;&lt;m:rPr&gt;&lt;m:sty m:val=&quot;p&quot;/&gt;&lt;m:scr m:val=&quot;roman&quot;/&gt;&lt;/m:rPr&gt;&lt;w:rPr&gt;&lt;w:rFonts w:ascii=&quot;Cambria Math&quot; w:h-ansi=&quot;Cambria Math&quot; w:fareast=&quot;瀹嬩綋&quot; w:cs=&quot;Times New Roman&quot; w:hint=&quot;default&quot;/&gt;&lt;w:color w:val=&quot;auto&quot;/&gt;&lt;w:sz-cs w:val=&quot;24&quot;/&gt;&lt;/w:rPr&gt;&lt;m:t&gt;鈭捨窪&lt;/m:t&gt;&lt;/oMath&gt;oMath&gt;oMath&gt;oMath&gt;oMath&gt;oMath&gt;oMath&gt;oMath&gt;oMath&gt;oMath&gt;oMath&gt;oMath&gt;oMath&gt;oMath&gt;oMath&gt;oMath&gt;m:r&gt;&lt;m:f&gt;&lt;m:fPr&gt;&lt;m:ctrlPr&gt;&lt;w:rPr&gt;&lt;w:rFonts w:ascii=&quot;Cambria Math&quot; w:h-ansi=&quot;Cambria Math&quot; w:fareast=&quot;瀹嬩綋&quot; w:cs=&quot;Times New Roman&quot; w:hint=&quot;default&quot;/&gt;&lt;w:b-cs/&gt;&lt;w:colth&gt;or w:vth&gt;al=&quot;auth&gt;to&quot;/&gt;&lt;th&gt;w:sz-cth&gt;s w:vath&gt;l=&quot;24&quot;th&gt;/&gt;&lt;/w:th&gt;rPr&gt;&lt;/th&gt;m:ctrlth&gt;Pr&gt;&lt;/mth&gt;:fPr&gt;&lt;th&gt;m:num&gt;th&gt;&lt;m:r&gt;&lt;th&gt;m:rPr&gt;th&gt;&lt;m:scrth&gt; m:val=&quot;roman&quot;/&gt;&lt;/m:rPr&gt;&lt;w:rPr&gt;&lt;w:rFonts w:ascii=&quot;Cambria Math&quot; w:h-ansi=&quot;Cambria Math&quot; w:fareast=&quot;瀹嬩綋&quot; w:cs=&quot;Times Nth&gt;ew Roman&quot;th&gt; w:hint=&quot;th&gt;default&quot;/th&gt;&gt;&lt;w:colorth&gt; w:val=&quot;ath&gt;uto&quot;/&gt;&lt;w:th&gt;sz-cs w:vth&gt;al=&quot;24&quot;/&gt;th&gt;&lt;/w:rPr&gt;&lt;th&gt;m:t&gt;鈭俢&lt;/mth&gt;/m:t&gt;&lt;/m:&gt;&lt;th&gt;r&gt;&lt;m:ctrlm&gt;th&gt;Pr&gt;&lt;w:rPr&gt;&lt;th&gt;&gt;&lt;w:rFontr&gt;th&gt;s w:asciicrth&gt;=&quot;Cambria Math&quot; w:h-ansi=&quot;Cambria Math&quot; w:fareast=&quot;瀹嬩綋&quot; w:cs Nth&gt;=&quot;Times New n&quot;th&gt;Roman&quot; w:hin=&quot;th&gt;t=&quot;default&quot;/&quot;/th&gt;&gt;&lt;w:b-cs/&gt;&lt;worth&gt;:color w:val&quot;ath&gt;=&quot;auto&quot;/&gt;&lt;w:w:th&gt;sz-cs w:val=:vth&gt;&quot;24&quot;/&gt;&lt;/w:rP/&gt;th&gt;r&gt;&lt;/m:ctrlPr&gt;&lt;th&gt;&gt;&lt;/m:num&gt;&lt;m:deth&gt;n&gt;&lt;m:r&gt;&lt;m:rPr&gt;th&gt;&lt;m:scr m:val=&quot;th&gt;roman&quot;/&gt;&lt;/m:rPth&gt;r&gt;&lt;w:rPr&gt;&lt;w:rFth&gt;onts w:ascii=&quot;th&gt;Cambria Math&quot; w:h-ansi=&quot;Cambria Math&quot; w:fareast=&quot;瀹&gt;嬩綋&quot; w:cs=&quot;Timesth&gt; New Roman&quot; w:hinth&gt;t=&quot;default&quot;/&gt;&lt;w:cth&gt;olor w:val=&quot;auto&quot;th&gt;/&gt;&lt;w:sz-cs w:val=th&gt;&quot;24&quot;/&gt;&lt;/w:rPr&gt;&lt;m:th&gt;t&gt;鈭倆&lt;/m:t&gt;&lt;/m:rdeth&gt;&gt;&lt;m:ctrlPr&gt;&lt;w:rPrr&gt;th&gt;&gt;&lt;w:rFonts w:asci=&quot;th&gt;i=&quot;Cambria Math&quot; =&quot;th&gt;rPth&gt;w:h-ansi=&quot;Ca&quot; w:hmbriarFth&gt; Math&quot; ia Maw:fareast==&quot;th&gt;&quot;瀹t=&quot;瀹&gt;嬩綋&quot; w:cs=&quot;Times Neesth&gt;w Roman&quot; w:hint=&quot;definth&gt;ault&quot;/&gt;&lt;w:b-cs/&gt;&lt;w:c:cth&gt;olor w:val=&quot;auto&quot;/&gt;&lt;o&quot;th&gt;w:sz-cs w:val=&quot;24&quot;/&gt;l=th&gt;&lt;/w:rPr&gt;&lt;/m:ctrlPr&gt;&lt;m:th&gt;/m:den&gt;&lt;/m:f&gt;&lt;m:r&gt;&lt;m:rth&gt;Pr&gt;&lt;m:scr m:&quot;th&gt;val=&quot;romanth&gt;&quot;/&gt;&lt;/m:rP w:hr&gt;&lt;w:rPr&gt;&lt;w:rth&gt;Fonts a Maw:ascii=&quot;Cambriath&gt; Math瀹&gt;&quot; w:h-ansi=&quot;Cambrth&gt;ia Math&quot; w:fareast=&quot;瀹&quot;th&gt;嬩綋th&gt;&quot; w:cs=&quot;Times New Roman&quot; th&gt;w:hint=&quot;default&quot;/&gt;&lt;w:coloth&gt;r w:val=&quot;auto&quot;/&gt;&lt;w:sz-cs th&gt;w:val=&quot;24&quot;/&gt;&lt;/w:rPr&gt;&lt;m:t&gt;th&gt;=0    t&amp;gt;&quot;th&gt;0,z=L&lt;/m:t&gt;&lt;/mth&gt;:r&gt;&lt;/m:oM w:hath&gt;&lt;/m:oMathParth&gt;a&gt;&lt;/w:pa Ma&gt;&lt;/wx:sect&gt;&lt;/w:bodth&gt;y&gt;&lt;/w:h瀹&gt;wordDocumentsc&quot;Caiatth&gt;&quot;at">
            <v:imagedata r:id="rId73" o:title=""/>
            <o:lock v:ext="edit" aspectratio="f"/>
          </v:shape>
        </w:pict>
      </w:r>
    </w:p>
    <w:p w14:paraId="21AC8210" w14:textId="77777777" w:rsidR="00D12939" w:rsidRDefault="004F47F5">
      <w:pPr>
        <w:pStyle w:val="Q-"/>
        <w:rPr>
          <w:szCs w:val="24"/>
        </w:rPr>
      </w:pPr>
      <w:r>
        <w:rPr>
          <w:szCs w:val="24"/>
        </w:rPr>
        <w:lastRenderedPageBreak/>
        <w:t>4</w:t>
      </w:r>
      <w:r>
        <w:rPr>
          <w:szCs w:val="24"/>
        </w:rPr>
        <w:t>）数值模型</w:t>
      </w:r>
    </w:p>
    <w:p w14:paraId="720660FF"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a</w:t>
      </w:r>
      <w:r>
        <w:rPr>
          <w:rFonts w:ascii="Times New Roman" w:eastAsia="宋体" w:hAnsi="Times New Roman" w:cs="Times New Roman"/>
          <w:bCs/>
          <w:sz w:val="24"/>
          <w:szCs w:val="24"/>
        </w:rPr>
        <w:t>）土壤概化</w:t>
      </w:r>
    </w:p>
    <w:p w14:paraId="79C417E3"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根据现场调查，填埋区土壤岩性主要为粉质粘土。垂直方向上岩性变化特征不明显，将整体岩性概化为一层，土层其他相关参数参考</w:t>
      </w:r>
      <w:r>
        <w:rPr>
          <w:rFonts w:ascii="Times New Roman" w:eastAsia="宋体" w:hAnsi="Times New Roman" w:cs="Times New Roman"/>
          <w:bCs/>
          <w:sz w:val="24"/>
          <w:szCs w:val="24"/>
        </w:rPr>
        <w:t>HYDRUS-1d</w:t>
      </w:r>
      <w:r>
        <w:rPr>
          <w:rFonts w:ascii="Times New Roman" w:eastAsia="宋体" w:hAnsi="Times New Roman" w:cs="Times New Roman"/>
          <w:bCs/>
          <w:sz w:val="24"/>
          <w:szCs w:val="24"/>
        </w:rPr>
        <w:t>程序中所推荐的包气带基本岩性参数进行取值。本次将土层划分为</w:t>
      </w:r>
      <w:r>
        <w:rPr>
          <w:rFonts w:ascii="Times New Roman" w:eastAsia="宋体" w:hAnsi="Times New Roman" w:cs="Times New Roman"/>
          <w:bCs/>
          <w:sz w:val="24"/>
          <w:szCs w:val="24"/>
        </w:rPr>
        <w:t>300</w:t>
      </w:r>
      <w:r>
        <w:rPr>
          <w:rFonts w:ascii="Times New Roman" w:eastAsia="宋体" w:hAnsi="Times New Roman" w:cs="Times New Roman"/>
          <w:bCs/>
          <w:sz w:val="24"/>
          <w:szCs w:val="24"/>
        </w:rPr>
        <w:t>层，共</w:t>
      </w:r>
      <w:r>
        <w:rPr>
          <w:rFonts w:ascii="Times New Roman" w:eastAsia="宋体" w:hAnsi="Times New Roman" w:cs="Times New Roman"/>
          <w:bCs/>
          <w:sz w:val="24"/>
          <w:szCs w:val="24"/>
        </w:rPr>
        <w:t>301</w:t>
      </w:r>
      <w:r>
        <w:rPr>
          <w:rFonts w:ascii="Times New Roman" w:eastAsia="宋体" w:hAnsi="Times New Roman" w:cs="Times New Roman"/>
          <w:bCs/>
          <w:sz w:val="24"/>
          <w:szCs w:val="24"/>
        </w:rPr>
        <w:t>个节点，每层</w:t>
      </w:r>
      <w:r>
        <w:rPr>
          <w:rFonts w:ascii="Times New Roman" w:eastAsia="宋体" w:hAnsi="Times New Roman" w:cs="Times New Roman"/>
          <w:bCs/>
          <w:sz w:val="24"/>
          <w:szCs w:val="24"/>
        </w:rPr>
        <w:t>10cm</w:t>
      </w:r>
      <w:r>
        <w:rPr>
          <w:rFonts w:ascii="Times New Roman" w:eastAsia="宋体" w:hAnsi="Times New Roman" w:cs="Times New Roman"/>
          <w:bCs/>
          <w:sz w:val="24"/>
          <w:szCs w:val="24"/>
        </w:rPr>
        <w:t>。</w:t>
      </w:r>
    </w:p>
    <w:p w14:paraId="72D5460A"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b</w:t>
      </w:r>
      <w:r>
        <w:rPr>
          <w:rFonts w:ascii="Times New Roman" w:eastAsia="宋体" w:hAnsi="Times New Roman" w:cs="Times New Roman"/>
          <w:bCs/>
          <w:sz w:val="24"/>
          <w:szCs w:val="24"/>
        </w:rPr>
        <w:t>）模型概化</w:t>
      </w:r>
    </w:p>
    <w:p w14:paraId="7AECE118"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土壤水分模型采用单孔隙模型中的</w:t>
      </w:r>
      <w:r>
        <w:rPr>
          <w:rFonts w:ascii="Times New Roman" w:eastAsia="宋体" w:hAnsi="Times New Roman" w:cs="Times New Roman"/>
          <w:bCs/>
          <w:sz w:val="24"/>
          <w:szCs w:val="24"/>
        </w:rPr>
        <w:t>VanGenuchten-Mualem</w:t>
      </w:r>
      <w:r>
        <w:rPr>
          <w:rFonts w:ascii="Times New Roman" w:eastAsia="宋体" w:hAnsi="Times New Roman" w:cs="Times New Roman"/>
          <w:bCs/>
          <w:sz w:val="24"/>
          <w:szCs w:val="24"/>
        </w:rPr>
        <w:t>模型，忽略水分滞后效应，不考虑土壤吸附作用。模型中水流模拟的上边界为定水头边界，水流模拟的下边界为自由排水边界。土壤溶质运移模拟的上边界概化为稳定的污染物定水头补给边界，下边界选择零浓度梯度边界。本次设定模型运行时间分别为</w:t>
      </w:r>
      <w:r>
        <w:rPr>
          <w:rFonts w:ascii="Times New Roman" w:eastAsia="宋体" w:hAnsi="Times New Roman" w:cs="Times New Roman"/>
          <w:bCs/>
          <w:sz w:val="24"/>
          <w:szCs w:val="24"/>
        </w:rPr>
        <w:t>100d</w:t>
      </w:r>
      <w:r>
        <w:rPr>
          <w:rFonts w:ascii="Times New Roman" w:eastAsia="宋体" w:hAnsi="Times New Roman" w:cs="Times New Roman"/>
          <w:bCs/>
          <w:sz w:val="24"/>
          <w:szCs w:val="24"/>
        </w:rPr>
        <w:t>和</w:t>
      </w:r>
      <w:r>
        <w:rPr>
          <w:rFonts w:ascii="Times New Roman" w:eastAsia="宋体" w:hAnsi="Times New Roman" w:cs="Times New Roman"/>
          <w:bCs/>
          <w:sz w:val="24"/>
          <w:szCs w:val="24"/>
        </w:rPr>
        <w:t>1000d</w:t>
      </w:r>
      <w:r>
        <w:rPr>
          <w:rFonts w:ascii="Times New Roman" w:eastAsia="宋体" w:hAnsi="Times New Roman" w:cs="Times New Roman"/>
          <w:bCs/>
          <w:sz w:val="24"/>
          <w:szCs w:val="24"/>
        </w:rPr>
        <w:t>，假定</w:t>
      </w:r>
      <w:r>
        <w:rPr>
          <w:rFonts w:ascii="Times New Roman" w:eastAsia="宋体" w:hAnsi="Times New Roman" w:cs="Times New Roman" w:hint="eastAsia"/>
          <w:sz w:val="24"/>
          <w:szCs w:val="24"/>
        </w:rPr>
        <w:t>渗滤液</w:t>
      </w:r>
      <w:r>
        <w:rPr>
          <w:rFonts w:ascii="Times New Roman" w:eastAsia="宋体" w:hAnsi="Times New Roman" w:cs="Times New Roman"/>
          <w:bCs/>
          <w:sz w:val="24"/>
          <w:szCs w:val="24"/>
        </w:rPr>
        <w:t>持续渗漏持续时间为</w:t>
      </w:r>
      <w:r>
        <w:rPr>
          <w:rFonts w:ascii="Times New Roman" w:eastAsia="宋体" w:hAnsi="Times New Roman" w:cs="Times New Roman"/>
          <w:bCs/>
          <w:sz w:val="24"/>
          <w:szCs w:val="24"/>
        </w:rPr>
        <w:t>30d</w:t>
      </w:r>
      <w:r>
        <w:rPr>
          <w:rFonts w:ascii="Times New Roman" w:eastAsia="宋体" w:hAnsi="Times New Roman" w:cs="Times New Roman"/>
          <w:bCs/>
          <w:sz w:val="24"/>
          <w:szCs w:val="24"/>
        </w:rPr>
        <w:t>。</w:t>
      </w:r>
    </w:p>
    <w:p w14:paraId="6C845279" w14:textId="77777777" w:rsidR="00D12939" w:rsidRDefault="004F47F5">
      <w:pPr>
        <w:pStyle w:val="Q-"/>
        <w:rPr>
          <w:szCs w:val="24"/>
        </w:rPr>
      </w:pPr>
      <w:r>
        <w:rPr>
          <w:szCs w:val="24"/>
        </w:rPr>
        <w:t>5</w:t>
      </w:r>
      <w:r>
        <w:rPr>
          <w:szCs w:val="24"/>
        </w:rPr>
        <w:t>）预测结果</w:t>
      </w:r>
    </w:p>
    <w:p w14:paraId="2B5CD66F" w14:textId="77777777" w:rsidR="00D12939" w:rsidRDefault="004F47F5">
      <w:pPr>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bCs/>
          <w:sz w:val="24"/>
          <w:szCs w:val="24"/>
        </w:rPr>
        <w:t>根据《土壤环境质量</w:t>
      </w:r>
      <w:r>
        <w:rPr>
          <w:rFonts w:ascii="Times New Roman" w:eastAsia="宋体" w:hAnsi="Times New Roman" w:cs="Times New Roman"/>
          <w:bCs/>
          <w:sz w:val="24"/>
          <w:szCs w:val="24"/>
        </w:rPr>
        <w:t xml:space="preserve"> </w:t>
      </w:r>
      <w:r>
        <w:rPr>
          <w:rFonts w:ascii="Times New Roman" w:eastAsia="宋体" w:hAnsi="Times New Roman" w:cs="Times New Roman"/>
          <w:bCs/>
          <w:sz w:val="24"/>
          <w:szCs w:val="24"/>
        </w:rPr>
        <w:t>建设用地土壤污染风险管控标准》（</w:t>
      </w:r>
      <w:r>
        <w:rPr>
          <w:rFonts w:ascii="Times New Roman" w:eastAsia="宋体" w:hAnsi="Times New Roman" w:cs="Times New Roman"/>
          <w:bCs/>
          <w:sz w:val="24"/>
          <w:szCs w:val="24"/>
        </w:rPr>
        <w:t>GB36600-2018</w:t>
      </w:r>
      <w:r>
        <w:rPr>
          <w:rFonts w:ascii="Times New Roman" w:eastAsia="宋体" w:hAnsi="Times New Roman" w:cs="Times New Roman"/>
          <w:bCs/>
          <w:sz w:val="24"/>
          <w:szCs w:val="24"/>
        </w:rPr>
        <w:t>），土壤污染风险筛选值（第二类用地）中土壤污染风险筛选值单位和监测标准检出单位均为</w:t>
      </w:r>
      <w:r>
        <w:rPr>
          <w:rFonts w:ascii="Times New Roman" w:eastAsia="宋体" w:hAnsi="Times New Roman" w:cs="Times New Roman"/>
          <w:bCs/>
          <w:sz w:val="24"/>
          <w:szCs w:val="24"/>
        </w:rPr>
        <w:t>mg/kg</w:t>
      </w:r>
      <w:r>
        <w:rPr>
          <w:rFonts w:ascii="Times New Roman" w:eastAsia="宋体" w:hAnsi="Times New Roman" w:cs="Times New Roman"/>
          <w:bCs/>
          <w:sz w:val="24"/>
          <w:szCs w:val="24"/>
        </w:rPr>
        <w:t>，而预测结果为非饱和带土壤水中浓度（单位为</w:t>
      </w:r>
      <w:r>
        <w:rPr>
          <w:rFonts w:ascii="Times New Roman" w:eastAsia="宋体" w:hAnsi="Times New Roman" w:cs="Times New Roman"/>
          <w:bCs/>
          <w:sz w:val="24"/>
          <w:szCs w:val="24"/>
        </w:rPr>
        <w:t>mg/cm</w:t>
      </w:r>
      <w:r>
        <w:rPr>
          <w:rFonts w:ascii="Times New Roman" w:eastAsia="宋体" w:hAnsi="Times New Roman" w:cs="Times New Roman"/>
          <w:bCs/>
          <w:sz w:val="24"/>
          <w:szCs w:val="24"/>
          <w:vertAlign w:val="superscript"/>
        </w:rPr>
        <w:t>3</w:t>
      </w:r>
      <w:r>
        <w:rPr>
          <w:rFonts w:ascii="Times New Roman" w:eastAsia="宋体" w:hAnsi="Times New Roman" w:cs="Times New Roman"/>
          <w:bCs/>
          <w:sz w:val="24"/>
          <w:szCs w:val="24"/>
        </w:rPr>
        <w:t>），因此需要进行单位换算，换算公式为：</w:t>
      </w:r>
    </w:p>
    <w:p w14:paraId="239B1826" w14:textId="77777777" w:rsidR="00D12939" w:rsidRDefault="004F47F5">
      <w:pPr>
        <w:spacing w:line="360" w:lineRule="auto"/>
        <w:ind w:firstLineChars="200" w:firstLine="480"/>
        <w:rPr>
          <w:rFonts w:ascii="Times New Roman" w:eastAsia="宋体" w:hAnsi="Times New Roman" w:cs="Times New Roman"/>
          <w:bCs/>
          <w:sz w:val="24"/>
          <w:szCs w:val="24"/>
          <w:shd w:val="clear" w:color="auto" w:fill="FFFFFF"/>
        </w:rPr>
      </w:pPr>
      <w:r>
        <w:rPr>
          <w:rFonts w:ascii="Times New Roman" w:eastAsia="宋体" w:hAnsi="Times New Roman" w:cs="Times New Roman"/>
          <w:bCs/>
          <w:sz w:val="24"/>
          <w:szCs w:val="24"/>
        </w:rPr>
        <w:t>X</w:t>
      </w:r>
      <w:r>
        <w:rPr>
          <w:rFonts w:ascii="Times New Roman" w:eastAsia="宋体" w:hAnsi="Times New Roman" w:cs="Times New Roman"/>
          <w:bCs/>
          <w:sz w:val="24"/>
          <w:szCs w:val="24"/>
          <w:vertAlign w:val="subscript"/>
        </w:rPr>
        <w:t>1</w:t>
      </w:r>
      <w:r>
        <w:rPr>
          <w:rFonts w:ascii="Times New Roman" w:eastAsia="宋体" w:hAnsi="Times New Roman" w:cs="Times New Roman"/>
          <w:bCs/>
          <w:sz w:val="24"/>
          <w:szCs w:val="24"/>
        </w:rPr>
        <w:t>=X</w:t>
      </w:r>
      <w:r>
        <w:rPr>
          <w:rFonts w:ascii="Times New Roman" w:eastAsia="宋体" w:hAnsi="Times New Roman" w:cs="Times New Roman"/>
          <w:bCs/>
          <w:sz w:val="24"/>
          <w:szCs w:val="24"/>
          <w:vertAlign w:val="subscript"/>
        </w:rPr>
        <w:t>0</w:t>
      </w:r>
      <w:r>
        <w:rPr>
          <w:rFonts w:ascii="Times New Roman" w:eastAsia="宋体" w:hAnsi="Times New Roman" w:cs="Times New Roman"/>
          <w:bCs/>
          <w:sz w:val="24"/>
          <w:szCs w:val="24"/>
        </w:rPr>
        <w:t>×</w:t>
      </w:r>
      <w:r>
        <w:rPr>
          <w:rFonts w:ascii="Times New Roman" w:eastAsia="宋体" w:hAnsi="Times New Roman" w:cs="Times New Roman"/>
          <w:bCs/>
          <w:sz w:val="24"/>
          <w:szCs w:val="24"/>
          <w:shd w:val="clear" w:color="auto" w:fill="FFFFFF"/>
        </w:rPr>
        <w:t>θ/Gs×1000</w:t>
      </w:r>
    </w:p>
    <w:p w14:paraId="0FFA29A6" w14:textId="77777777" w:rsidR="00D12939" w:rsidRDefault="004F47F5">
      <w:pPr>
        <w:spacing w:line="360" w:lineRule="auto"/>
        <w:ind w:firstLineChars="200" w:firstLine="480"/>
        <w:rPr>
          <w:rFonts w:ascii="Times New Roman" w:eastAsia="宋体" w:hAnsi="Times New Roman" w:cs="Times New Roman"/>
          <w:bCs/>
          <w:sz w:val="24"/>
          <w:szCs w:val="24"/>
          <w:shd w:val="clear" w:color="auto" w:fill="FFFFFF"/>
        </w:rPr>
      </w:pPr>
      <w:r>
        <w:rPr>
          <w:rFonts w:ascii="Times New Roman" w:eastAsia="宋体" w:hAnsi="Times New Roman" w:cs="Times New Roman"/>
          <w:bCs/>
          <w:sz w:val="24"/>
          <w:szCs w:val="24"/>
          <w:shd w:val="clear" w:color="auto" w:fill="FFFFFF"/>
        </w:rPr>
        <w:t>式中：</w:t>
      </w:r>
      <w:r>
        <w:rPr>
          <w:rFonts w:ascii="Times New Roman" w:eastAsia="宋体" w:hAnsi="Times New Roman" w:cs="Times New Roman"/>
          <w:bCs/>
          <w:sz w:val="24"/>
          <w:szCs w:val="24"/>
          <w:shd w:val="clear" w:color="auto" w:fill="FFFFFF"/>
        </w:rPr>
        <w:t>X</w:t>
      </w:r>
      <w:r>
        <w:rPr>
          <w:rFonts w:ascii="Times New Roman" w:eastAsia="宋体" w:hAnsi="Times New Roman" w:cs="Times New Roman"/>
          <w:bCs/>
          <w:sz w:val="24"/>
          <w:szCs w:val="24"/>
          <w:shd w:val="clear" w:color="auto" w:fill="FFFFFF"/>
          <w:vertAlign w:val="subscript"/>
        </w:rPr>
        <w:t>1</w:t>
      </w:r>
      <w:r>
        <w:rPr>
          <w:rFonts w:ascii="Times New Roman" w:eastAsia="宋体" w:hAnsi="Times New Roman" w:cs="Times New Roman"/>
          <w:bCs/>
          <w:sz w:val="24"/>
          <w:szCs w:val="24"/>
          <w:shd w:val="clear" w:color="auto" w:fill="FFFFFF"/>
        </w:rPr>
        <w:t>——</w:t>
      </w:r>
      <w:r>
        <w:rPr>
          <w:rFonts w:ascii="Times New Roman" w:eastAsia="宋体" w:hAnsi="Times New Roman" w:cs="Times New Roman"/>
          <w:bCs/>
          <w:sz w:val="24"/>
          <w:szCs w:val="24"/>
          <w:shd w:val="clear" w:color="auto" w:fill="FFFFFF"/>
        </w:rPr>
        <w:t>转换后污染物的浓度限值，</w:t>
      </w:r>
      <w:r>
        <w:rPr>
          <w:rFonts w:ascii="Times New Roman" w:eastAsia="宋体" w:hAnsi="Times New Roman" w:cs="Times New Roman"/>
          <w:bCs/>
          <w:sz w:val="24"/>
          <w:szCs w:val="24"/>
          <w:shd w:val="clear" w:color="auto" w:fill="FFFFFF"/>
        </w:rPr>
        <w:t>mg/kg</w:t>
      </w:r>
      <w:r>
        <w:rPr>
          <w:rFonts w:ascii="Times New Roman" w:eastAsia="宋体" w:hAnsi="Times New Roman" w:cs="Times New Roman"/>
          <w:bCs/>
          <w:sz w:val="24"/>
          <w:szCs w:val="24"/>
          <w:shd w:val="clear" w:color="auto" w:fill="FFFFFF"/>
        </w:rPr>
        <w:t>；</w:t>
      </w:r>
    </w:p>
    <w:p w14:paraId="0B1C6F7E" w14:textId="77777777" w:rsidR="00D12939" w:rsidRDefault="004F47F5">
      <w:pPr>
        <w:spacing w:line="360" w:lineRule="auto"/>
        <w:ind w:firstLineChars="500" w:firstLine="1200"/>
        <w:rPr>
          <w:rFonts w:ascii="Times New Roman" w:eastAsia="宋体" w:hAnsi="Times New Roman" w:cs="Times New Roman"/>
          <w:bCs/>
          <w:sz w:val="24"/>
          <w:szCs w:val="24"/>
          <w:shd w:val="clear" w:color="auto" w:fill="FFFFFF"/>
        </w:rPr>
      </w:pPr>
      <w:r>
        <w:rPr>
          <w:rFonts w:ascii="Times New Roman" w:eastAsia="宋体" w:hAnsi="Times New Roman" w:cs="Times New Roman"/>
          <w:bCs/>
          <w:sz w:val="24"/>
          <w:szCs w:val="24"/>
          <w:shd w:val="clear" w:color="auto" w:fill="FFFFFF"/>
        </w:rPr>
        <w:t>X</w:t>
      </w:r>
      <w:r>
        <w:rPr>
          <w:rFonts w:ascii="Times New Roman" w:eastAsia="宋体" w:hAnsi="Times New Roman" w:cs="Times New Roman"/>
          <w:bCs/>
          <w:sz w:val="24"/>
          <w:szCs w:val="24"/>
          <w:shd w:val="clear" w:color="auto" w:fill="FFFFFF"/>
          <w:vertAlign w:val="subscript"/>
        </w:rPr>
        <w:t>0</w:t>
      </w:r>
      <w:r>
        <w:rPr>
          <w:rFonts w:ascii="Times New Roman" w:eastAsia="宋体" w:hAnsi="Times New Roman" w:cs="Times New Roman"/>
          <w:bCs/>
          <w:sz w:val="24"/>
          <w:szCs w:val="24"/>
          <w:shd w:val="clear" w:color="auto" w:fill="FFFFFF"/>
        </w:rPr>
        <w:t>——</w:t>
      </w:r>
      <w:r>
        <w:rPr>
          <w:rFonts w:ascii="Times New Roman" w:eastAsia="宋体" w:hAnsi="Times New Roman" w:cs="Times New Roman"/>
          <w:bCs/>
          <w:sz w:val="24"/>
          <w:szCs w:val="24"/>
          <w:shd w:val="clear" w:color="auto" w:fill="FFFFFF"/>
        </w:rPr>
        <w:t>转换前污染物质量比限值，</w:t>
      </w:r>
      <w:r>
        <w:rPr>
          <w:rFonts w:ascii="Times New Roman" w:eastAsia="宋体" w:hAnsi="Times New Roman" w:cs="Times New Roman"/>
          <w:bCs/>
          <w:sz w:val="24"/>
          <w:szCs w:val="24"/>
          <w:shd w:val="clear" w:color="auto" w:fill="FFFFFF"/>
        </w:rPr>
        <w:t>mg/cm</w:t>
      </w:r>
      <w:r>
        <w:rPr>
          <w:rFonts w:ascii="Times New Roman" w:eastAsia="宋体" w:hAnsi="Times New Roman" w:cs="Times New Roman"/>
          <w:bCs/>
          <w:sz w:val="24"/>
          <w:szCs w:val="24"/>
          <w:shd w:val="clear" w:color="auto" w:fill="FFFFFF"/>
          <w:vertAlign w:val="superscript"/>
        </w:rPr>
        <w:t>3</w:t>
      </w:r>
      <w:r>
        <w:rPr>
          <w:rFonts w:ascii="Times New Roman" w:eastAsia="宋体" w:hAnsi="Times New Roman" w:cs="Times New Roman"/>
          <w:bCs/>
          <w:sz w:val="24"/>
          <w:szCs w:val="24"/>
          <w:shd w:val="clear" w:color="auto" w:fill="FFFFFF"/>
        </w:rPr>
        <w:t>；</w:t>
      </w:r>
    </w:p>
    <w:p w14:paraId="5CEDF25D" w14:textId="77777777" w:rsidR="00D12939" w:rsidRDefault="004F47F5">
      <w:pPr>
        <w:spacing w:line="360" w:lineRule="auto"/>
        <w:ind w:firstLineChars="500" w:firstLine="1200"/>
        <w:rPr>
          <w:rFonts w:ascii="Times New Roman" w:eastAsia="宋体" w:hAnsi="Times New Roman" w:cs="Times New Roman"/>
          <w:bCs/>
          <w:sz w:val="24"/>
          <w:szCs w:val="24"/>
          <w:shd w:val="clear" w:color="auto" w:fill="FFFFFF"/>
        </w:rPr>
      </w:pPr>
      <w:r>
        <w:rPr>
          <w:rFonts w:ascii="Times New Roman" w:eastAsia="宋体" w:hAnsi="Times New Roman" w:cs="Times New Roman"/>
          <w:bCs/>
          <w:sz w:val="24"/>
          <w:szCs w:val="24"/>
          <w:shd w:val="clear" w:color="auto" w:fill="FFFFFF"/>
        </w:rPr>
        <w:t>Gs——</w:t>
      </w:r>
      <w:r>
        <w:rPr>
          <w:rFonts w:ascii="Times New Roman" w:eastAsia="宋体" w:hAnsi="Times New Roman" w:cs="Times New Roman"/>
          <w:bCs/>
          <w:sz w:val="24"/>
          <w:szCs w:val="24"/>
          <w:shd w:val="clear" w:color="auto" w:fill="FFFFFF"/>
        </w:rPr>
        <w:t>土壤容重，</w:t>
      </w:r>
      <w:r>
        <w:rPr>
          <w:rFonts w:ascii="Times New Roman" w:eastAsia="宋体" w:hAnsi="Times New Roman" w:cs="Times New Roman"/>
          <w:bCs/>
          <w:sz w:val="24"/>
          <w:szCs w:val="24"/>
          <w:shd w:val="clear" w:color="auto" w:fill="FFFFFF"/>
        </w:rPr>
        <w:t>g/cm</w:t>
      </w:r>
      <w:r>
        <w:rPr>
          <w:rFonts w:ascii="Times New Roman" w:eastAsia="宋体" w:hAnsi="Times New Roman" w:cs="Times New Roman"/>
          <w:bCs/>
          <w:sz w:val="24"/>
          <w:szCs w:val="24"/>
          <w:shd w:val="clear" w:color="auto" w:fill="FFFFFF"/>
          <w:vertAlign w:val="superscript"/>
        </w:rPr>
        <w:t>3</w:t>
      </w:r>
    </w:p>
    <w:p w14:paraId="2F77BF77" w14:textId="77777777" w:rsidR="00D12939" w:rsidRDefault="004F47F5">
      <w:pPr>
        <w:spacing w:line="360" w:lineRule="auto"/>
        <w:ind w:firstLineChars="500" w:firstLine="1200"/>
        <w:rPr>
          <w:rFonts w:ascii="Times New Roman" w:eastAsia="宋体" w:hAnsi="Times New Roman" w:cs="Times New Roman"/>
          <w:bCs/>
          <w:sz w:val="24"/>
          <w:szCs w:val="24"/>
          <w:shd w:val="clear" w:color="auto" w:fill="FFFFFF"/>
        </w:rPr>
      </w:pPr>
      <w:r>
        <w:rPr>
          <w:rFonts w:ascii="Times New Roman" w:eastAsia="宋体" w:hAnsi="Times New Roman" w:cs="Times New Roman"/>
          <w:bCs/>
          <w:sz w:val="24"/>
          <w:szCs w:val="24"/>
          <w:shd w:val="clear" w:color="auto" w:fill="FFFFFF"/>
        </w:rPr>
        <w:t>θ——</w:t>
      </w:r>
      <w:r>
        <w:rPr>
          <w:rFonts w:ascii="Times New Roman" w:eastAsia="宋体" w:hAnsi="Times New Roman" w:cs="Times New Roman"/>
          <w:bCs/>
          <w:sz w:val="24"/>
          <w:szCs w:val="24"/>
          <w:shd w:val="clear" w:color="auto" w:fill="FFFFFF"/>
        </w:rPr>
        <w:t>土壤含水率</w:t>
      </w:r>
    </w:p>
    <w:p w14:paraId="1FF8FE5E" w14:textId="77777777" w:rsidR="00D12939" w:rsidRDefault="004F47F5">
      <w:pPr>
        <w:pStyle w:val="Q-"/>
        <w:rPr>
          <w:szCs w:val="24"/>
        </w:rPr>
      </w:pPr>
      <w:r>
        <w:rPr>
          <w:szCs w:val="24"/>
        </w:rPr>
        <w:t>垃圾渗滤液调节池防渗措施破损后污染物非饱和带一维垂直迁移随时间、深度、变化结果见</w:t>
      </w:r>
      <w:r>
        <w:rPr>
          <w:szCs w:val="24"/>
        </w:rPr>
        <w:fldChar w:fldCharType="begin"/>
      </w:r>
      <w:r>
        <w:rPr>
          <w:szCs w:val="24"/>
        </w:rPr>
        <w:instrText xml:space="preserve"> REF _Ref30083939 \h  \* MERGEFORMAT </w:instrText>
      </w:r>
      <w:r>
        <w:rPr>
          <w:szCs w:val="24"/>
        </w:rPr>
      </w:r>
      <w:r>
        <w:rPr>
          <w:szCs w:val="24"/>
        </w:rPr>
        <w:fldChar w:fldCharType="separate"/>
      </w:r>
      <w:r>
        <w:rPr>
          <w:szCs w:val="24"/>
        </w:rPr>
        <w:t>图</w:t>
      </w:r>
      <w:r>
        <w:rPr>
          <w:szCs w:val="24"/>
        </w:rPr>
        <w:t>7.5-1</w:t>
      </w:r>
      <w:r>
        <w:rPr>
          <w:szCs w:val="24"/>
        </w:rPr>
        <w:fldChar w:fldCharType="end"/>
      </w:r>
      <w:r>
        <w:rPr>
          <w:szCs w:val="24"/>
        </w:rPr>
        <w:t>和</w:t>
      </w:r>
      <w:r>
        <w:rPr>
          <w:szCs w:val="24"/>
        </w:rPr>
        <w:fldChar w:fldCharType="begin"/>
      </w:r>
      <w:r>
        <w:rPr>
          <w:szCs w:val="24"/>
        </w:rPr>
        <w:instrText xml:space="preserve"> REF _Ref106979622 \h  \* MERGEFORMAT </w:instrText>
      </w:r>
      <w:r>
        <w:rPr>
          <w:szCs w:val="24"/>
        </w:rPr>
      </w:r>
      <w:r>
        <w:rPr>
          <w:szCs w:val="24"/>
        </w:rPr>
        <w:fldChar w:fldCharType="separate"/>
      </w:r>
      <w:r>
        <w:rPr>
          <w:szCs w:val="24"/>
        </w:rPr>
        <w:t>图</w:t>
      </w:r>
      <w:r>
        <w:rPr>
          <w:szCs w:val="24"/>
        </w:rPr>
        <w:t xml:space="preserve"> 7.5-2</w:t>
      </w:r>
      <w:r>
        <w:rPr>
          <w:szCs w:val="24"/>
        </w:rPr>
        <w:fldChar w:fldCharType="end"/>
      </w:r>
      <w:r>
        <w:rPr>
          <w:szCs w:val="24"/>
        </w:rPr>
        <w:t>。</w:t>
      </w:r>
    </w:p>
    <w:p w14:paraId="2E43103A" w14:textId="77777777" w:rsidR="00D12939" w:rsidRDefault="004F47F5">
      <w:pPr>
        <w:pStyle w:val="Q-"/>
        <w:ind w:firstLine="400"/>
        <w:jc w:val="center"/>
        <w:rPr>
          <w:rFonts w:ascii="黑体" w:eastAsia="黑体" w:hAnsi="黑体"/>
          <w:bCs/>
          <w:szCs w:val="21"/>
        </w:rPr>
      </w:pPr>
      <w:r>
        <w:rPr>
          <w:bCs/>
          <w:noProof/>
          <w:sz w:val="20"/>
          <w:szCs w:val="21"/>
        </w:rPr>
        <w:drawing>
          <wp:inline distT="0" distB="0" distL="114300" distR="114300">
            <wp:extent cx="3378200" cy="2289810"/>
            <wp:effectExtent l="0" t="0" r="0" b="0"/>
            <wp:docPr id="33" name="图片 3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1"/>
                    <pic:cNvPicPr>
                      <a:picLocks noChangeAspect="1"/>
                    </pic:cNvPicPr>
                  </pic:nvPicPr>
                  <pic:blipFill>
                    <a:blip r:embed="rId74"/>
                    <a:stretch>
                      <a:fillRect/>
                    </a:stretch>
                  </pic:blipFill>
                  <pic:spPr>
                    <a:xfrm>
                      <a:off x="0" y="0"/>
                      <a:ext cx="3397243" cy="2303102"/>
                    </a:xfrm>
                    <a:prstGeom prst="rect">
                      <a:avLst/>
                    </a:prstGeom>
                  </pic:spPr>
                </pic:pic>
              </a:graphicData>
            </a:graphic>
          </wp:inline>
        </w:drawing>
      </w:r>
      <w:bookmarkStart w:id="520" w:name="_Ref30083939"/>
    </w:p>
    <w:p w14:paraId="5DD23DC3" w14:textId="77777777" w:rsidR="00D12939" w:rsidRDefault="004F47F5">
      <w:pPr>
        <w:pStyle w:val="Q-"/>
        <w:jc w:val="center"/>
        <w:rPr>
          <w:rFonts w:ascii="黑体" w:eastAsia="黑体" w:hAnsi="黑体"/>
          <w:bCs/>
          <w:szCs w:val="21"/>
        </w:rPr>
      </w:pPr>
      <w:r>
        <w:rPr>
          <w:rFonts w:ascii="黑体" w:eastAsia="黑体" w:hAnsi="黑体" w:hint="eastAsia"/>
          <w:bCs/>
          <w:szCs w:val="21"/>
        </w:rPr>
        <w:t>图</w:t>
      </w:r>
      <w:bookmarkEnd w:id="520"/>
      <w:r>
        <w:rPr>
          <w:rFonts w:ascii="黑体" w:eastAsia="黑体" w:hAnsi="黑体"/>
          <w:bCs/>
          <w:szCs w:val="21"/>
        </w:rPr>
        <w:t xml:space="preserve">7.5-1 </w:t>
      </w:r>
      <w:r>
        <w:rPr>
          <w:rFonts w:ascii="黑体" w:eastAsia="黑体" w:hAnsi="黑体" w:hint="eastAsia"/>
          <w:bCs/>
          <w:szCs w:val="21"/>
        </w:rPr>
        <w:t>不同时间段污染物在水中的浓度</w:t>
      </w:r>
    </w:p>
    <w:p w14:paraId="6598409F" w14:textId="77777777" w:rsidR="00D12939" w:rsidRDefault="004F47F5">
      <w:pPr>
        <w:ind w:firstLineChars="200" w:firstLine="400"/>
        <w:jc w:val="center"/>
        <w:rPr>
          <w:rFonts w:eastAsia="黑体" w:cs="Times New Roman"/>
          <w:bCs/>
          <w:kern w:val="0"/>
          <w:szCs w:val="21"/>
        </w:rPr>
      </w:pPr>
      <w:r>
        <w:rPr>
          <w:rFonts w:ascii="Times New Roman" w:eastAsia="宋体" w:hAnsi="Times New Roman" w:cs="Times New Roman"/>
          <w:bCs/>
          <w:noProof/>
          <w:kern w:val="0"/>
          <w:sz w:val="20"/>
          <w:szCs w:val="21"/>
        </w:rPr>
        <w:lastRenderedPageBreak/>
        <w:drawing>
          <wp:inline distT="0" distB="0" distL="114300" distR="114300">
            <wp:extent cx="4580255" cy="2971165"/>
            <wp:effectExtent l="0" t="0" r="0" b="635"/>
            <wp:docPr id="34" name="图片 3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2"/>
                    <pic:cNvPicPr>
                      <a:picLocks noChangeAspect="1"/>
                    </pic:cNvPicPr>
                  </pic:nvPicPr>
                  <pic:blipFill>
                    <a:blip r:embed="rId75"/>
                    <a:stretch>
                      <a:fillRect/>
                    </a:stretch>
                  </pic:blipFill>
                  <pic:spPr>
                    <a:xfrm>
                      <a:off x="0" y="0"/>
                      <a:ext cx="4587662" cy="2976257"/>
                    </a:xfrm>
                    <a:prstGeom prst="rect">
                      <a:avLst/>
                    </a:prstGeom>
                  </pic:spPr>
                </pic:pic>
              </a:graphicData>
            </a:graphic>
          </wp:inline>
        </w:drawing>
      </w:r>
    </w:p>
    <w:p w14:paraId="1CF40B5A" w14:textId="77777777" w:rsidR="00D12939" w:rsidRDefault="004F47F5">
      <w:pPr>
        <w:ind w:firstLineChars="200" w:firstLine="480"/>
        <w:jc w:val="center"/>
        <w:rPr>
          <w:rFonts w:ascii="黑体" w:eastAsia="黑体" w:hAnsi="黑体" w:cs="Times New Roman"/>
          <w:bCs/>
          <w:kern w:val="0"/>
          <w:sz w:val="24"/>
          <w:szCs w:val="21"/>
        </w:rPr>
      </w:pPr>
      <w:bookmarkStart w:id="521" w:name="_Ref106979622"/>
      <w:r>
        <w:rPr>
          <w:rFonts w:ascii="黑体" w:eastAsia="黑体" w:hAnsi="黑体" w:cs="Times New Roman" w:hint="eastAsia"/>
          <w:bCs/>
          <w:kern w:val="0"/>
          <w:sz w:val="24"/>
          <w:szCs w:val="21"/>
        </w:rPr>
        <w:t xml:space="preserve">图 </w:t>
      </w:r>
      <w:bookmarkEnd w:id="521"/>
      <w:r>
        <w:rPr>
          <w:rFonts w:ascii="黑体" w:eastAsia="黑体" w:hAnsi="黑体" w:cs="Times New Roman"/>
          <w:bCs/>
          <w:kern w:val="0"/>
          <w:sz w:val="24"/>
          <w:szCs w:val="21"/>
        </w:rPr>
        <w:t xml:space="preserve">7.5-2 </w:t>
      </w:r>
      <w:r>
        <w:rPr>
          <w:rFonts w:ascii="黑体" w:eastAsia="黑体" w:hAnsi="黑体" w:cs="Times New Roman" w:hint="eastAsia"/>
          <w:bCs/>
          <w:kern w:val="0"/>
          <w:sz w:val="24"/>
          <w:szCs w:val="21"/>
        </w:rPr>
        <w:t>不同时间段污染物在土壤中的浓度</w:t>
      </w:r>
    </w:p>
    <w:p w14:paraId="59642B46" w14:textId="77777777" w:rsidR="00D12939" w:rsidRDefault="004F47F5">
      <w:pPr>
        <w:adjustRightInd w:val="0"/>
        <w:snapToGrid w:val="0"/>
        <w:spacing w:line="360" w:lineRule="auto"/>
        <w:ind w:firstLineChars="200" w:firstLine="480"/>
        <w:rPr>
          <w:rFonts w:ascii="Times New Roman" w:eastAsia="宋体" w:hAnsi="Times New Roman" w:cs="Times New Roman"/>
          <w:snapToGrid w:val="0"/>
          <w:kern w:val="0"/>
          <w:sz w:val="24"/>
          <w:szCs w:val="24"/>
        </w:rPr>
      </w:pPr>
      <w:r>
        <w:rPr>
          <w:rFonts w:ascii="Times New Roman" w:eastAsia="宋体" w:hAnsi="Times New Roman" w:cs="Times New Roman"/>
          <w:snapToGrid w:val="0"/>
          <w:kern w:val="0"/>
          <w:sz w:val="24"/>
          <w:szCs w:val="24"/>
        </w:rPr>
        <w:t>通过对以上预测结果分析可知：非正常状况下，运行期污水处理池泄漏导致污染物垂直入渗。随着时间的推移，运移深度的增加，污染物的浓度逐渐降低。污染物在土壤中运移范围及深度有限，项目对土壤环境影响有限，可控制在项目范围内，因此对评价范围周边敏感目标影响较小，建设项目土壤环境影响可接受。</w:t>
      </w:r>
    </w:p>
    <w:p w14:paraId="72DD0361" w14:textId="77777777" w:rsidR="00D12939" w:rsidRDefault="004F47F5">
      <w:pPr>
        <w:spacing w:line="360" w:lineRule="auto"/>
        <w:ind w:firstLineChars="200" w:firstLine="480"/>
        <w:rPr>
          <w:rFonts w:ascii="Times New Roman" w:eastAsia="宋体" w:hAnsi="Times New Roman" w:cs="Times New Roman"/>
          <w:snapToGrid w:val="0"/>
          <w:kern w:val="0"/>
          <w:sz w:val="24"/>
          <w:szCs w:val="24"/>
        </w:rPr>
      </w:pPr>
      <w:r>
        <w:rPr>
          <w:rFonts w:ascii="Times New Roman" w:eastAsia="宋体" w:hAnsi="Times New Roman" w:cs="Times New Roman"/>
          <w:snapToGrid w:val="0"/>
          <w:kern w:val="0"/>
          <w:sz w:val="24"/>
          <w:szCs w:val="24"/>
        </w:rPr>
        <w:t>环评要求，在生产运行过程中，必须强化监控手段，定期进行防渗检漏工作，及时发现非正常状况，切断污染源，采取以上措施后，拟建项目对土壤环境的影响较小。</w:t>
      </w:r>
    </w:p>
    <w:p w14:paraId="23D7901C"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22" w:name="_Toc121411785"/>
      <w:r>
        <w:rPr>
          <w:rFonts w:ascii="Times New Roman" w:eastAsia="黑体" w:hAnsi="Times New Roman" w:cs="Times New Roman"/>
          <w:b w:val="0"/>
          <w:sz w:val="24"/>
        </w:rPr>
        <w:t>7.5</w:t>
      </w:r>
      <w:r>
        <w:rPr>
          <w:rFonts w:ascii="Times New Roman" w:eastAsia="黑体" w:hAnsi="Times New Roman" w:cs="Times New Roman" w:hint="eastAsia"/>
          <w:b w:val="0"/>
          <w:sz w:val="24"/>
        </w:rPr>
        <w:t>.3</w:t>
      </w:r>
      <w:r>
        <w:rPr>
          <w:rFonts w:ascii="Times New Roman" w:eastAsia="黑体" w:hAnsi="Times New Roman" w:cs="Times New Roman"/>
          <w:b w:val="0"/>
          <w:sz w:val="24"/>
        </w:rPr>
        <w:t>预测评价结果</w:t>
      </w:r>
      <w:bookmarkEnd w:id="522"/>
    </w:p>
    <w:p w14:paraId="1FC03CFE" w14:textId="77777777" w:rsidR="00D12939" w:rsidRDefault="004F47F5">
      <w:pPr>
        <w:spacing w:line="360" w:lineRule="auto"/>
        <w:ind w:firstLineChars="200" w:firstLine="480"/>
        <w:rPr>
          <w:rFonts w:ascii="Times New Roman" w:eastAsia="宋体" w:hAnsi="Times New Roman" w:cs="Times New Roman"/>
          <w:bCs/>
          <w:sz w:val="24"/>
          <w:szCs w:val="21"/>
        </w:rPr>
      </w:pPr>
      <w:bookmarkStart w:id="523" w:name="_Ref30061823"/>
      <w:bookmarkStart w:id="524" w:name="_Ref30061818"/>
      <w:r>
        <w:rPr>
          <w:rFonts w:ascii="Times New Roman" w:eastAsia="宋体" w:hAnsi="Times New Roman" w:cs="Times New Roman"/>
          <w:bCs/>
          <w:sz w:val="24"/>
          <w:szCs w:val="21"/>
        </w:rPr>
        <w:t>通过定量与定性相结合的方法，从垂直入渗分析了本项目对土壤的影响。项目严格做好减少垃圾渗滤液产生措施及地面分区防渗措施后，并在进行必要的检修、监测、管理措施条件下，本项目对土壤的影响可接受。</w:t>
      </w:r>
    </w:p>
    <w:p w14:paraId="2CF0A64E" w14:textId="77777777" w:rsidR="00D12939" w:rsidRDefault="004F47F5">
      <w:pPr>
        <w:spacing w:line="360" w:lineRule="auto"/>
        <w:ind w:firstLineChars="200" w:firstLine="480"/>
        <w:rPr>
          <w:rFonts w:ascii="Times New Roman" w:eastAsia="宋体" w:hAnsi="Times New Roman" w:cs="Times New Roman"/>
          <w:bCs/>
          <w:sz w:val="24"/>
          <w:szCs w:val="21"/>
        </w:rPr>
      </w:pPr>
      <w:r>
        <w:rPr>
          <w:rFonts w:ascii="Times New Roman" w:eastAsia="宋体" w:hAnsi="Times New Roman" w:cs="Times New Roman"/>
          <w:bCs/>
          <w:sz w:val="24"/>
          <w:szCs w:val="21"/>
        </w:rPr>
        <w:t>本项目土壤环境影响评价自查表见</w:t>
      </w:r>
      <w:r>
        <w:rPr>
          <w:rFonts w:ascii="Times New Roman" w:eastAsia="宋体" w:hAnsi="Times New Roman" w:cs="Times New Roman"/>
          <w:bCs/>
          <w:sz w:val="24"/>
          <w:szCs w:val="21"/>
        </w:rPr>
        <w:fldChar w:fldCharType="begin"/>
      </w:r>
      <w:r>
        <w:rPr>
          <w:rFonts w:ascii="Times New Roman" w:eastAsia="宋体" w:hAnsi="Times New Roman" w:cs="Times New Roman"/>
          <w:bCs/>
          <w:sz w:val="24"/>
          <w:szCs w:val="21"/>
        </w:rPr>
        <w:instrText xml:space="preserve"> REF _Ref30061823 \h  \* MERGEFORMAT </w:instrText>
      </w:r>
      <w:r>
        <w:rPr>
          <w:rFonts w:ascii="Times New Roman" w:eastAsia="宋体" w:hAnsi="Times New Roman" w:cs="Times New Roman"/>
          <w:bCs/>
          <w:sz w:val="24"/>
          <w:szCs w:val="21"/>
        </w:rPr>
      </w:r>
      <w:r>
        <w:rPr>
          <w:rFonts w:ascii="Times New Roman" w:eastAsia="宋体" w:hAnsi="Times New Roman" w:cs="Times New Roman"/>
          <w:bCs/>
          <w:sz w:val="24"/>
          <w:szCs w:val="21"/>
        </w:rPr>
        <w:fldChar w:fldCharType="separate"/>
      </w:r>
      <w:r>
        <w:rPr>
          <w:rFonts w:ascii="Times New Roman" w:eastAsia="宋体" w:hAnsi="Times New Roman" w:cs="Times New Roman"/>
          <w:bCs/>
          <w:sz w:val="24"/>
          <w:szCs w:val="21"/>
        </w:rPr>
        <w:t>表</w:t>
      </w:r>
      <w:r>
        <w:rPr>
          <w:rFonts w:ascii="Times New Roman" w:eastAsia="宋体" w:hAnsi="Times New Roman" w:cs="Times New Roman"/>
          <w:bCs/>
          <w:sz w:val="24"/>
          <w:szCs w:val="21"/>
        </w:rPr>
        <w:t>7.5-4</w:t>
      </w:r>
      <w:r>
        <w:rPr>
          <w:rFonts w:ascii="Times New Roman" w:eastAsia="宋体" w:hAnsi="Times New Roman" w:cs="Times New Roman"/>
          <w:bCs/>
          <w:sz w:val="24"/>
          <w:szCs w:val="21"/>
        </w:rPr>
        <w:fldChar w:fldCharType="end"/>
      </w:r>
      <w:r>
        <w:rPr>
          <w:rFonts w:ascii="Times New Roman" w:eastAsia="宋体" w:hAnsi="Times New Roman" w:cs="Times New Roman"/>
          <w:bCs/>
          <w:sz w:val="24"/>
          <w:szCs w:val="21"/>
        </w:rPr>
        <w:t>。</w:t>
      </w:r>
    </w:p>
    <w:p w14:paraId="2728C37F" w14:textId="77777777" w:rsidR="00D12939" w:rsidRDefault="004F47F5">
      <w:pPr>
        <w:ind w:firstLine="420"/>
        <w:jc w:val="center"/>
        <w:rPr>
          <w:rFonts w:ascii="黑体" w:eastAsia="黑体" w:hAnsi="黑体" w:cs="Times New Roman"/>
          <w:bCs/>
          <w:kern w:val="0"/>
          <w:sz w:val="24"/>
          <w:szCs w:val="21"/>
        </w:rPr>
      </w:pPr>
      <w:r>
        <w:rPr>
          <w:rFonts w:ascii="黑体" w:eastAsia="黑体" w:hAnsi="黑体" w:cs="Times New Roman" w:hint="eastAsia"/>
          <w:bCs/>
          <w:kern w:val="0"/>
          <w:sz w:val="24"/>
          <w:szCs w:val="21"/>
        </w:rPr>
        <w:t>表</w:t>
      </w:r>
      <w:bookmarkEnd w:id="523"/>
      <w:r>
        <w:rPr>
          <w:rFonts w:ascii="黑体" w:eastAsia="黑体" w:hAnsi="黑体" w:cs="Times New Roman"/>
          <w:bCs/>
          <w:kern w:val="0"/>
          <w:sz w:val="24"/>
          <w:szCs w:val="21"/>
        </w:rPr>
        <w:t>7.5-4   土壤环境影响评价自查表</w:t>
      </w:r>
      <w:bookmarkEnd w:id="524"/>
    </w:p>
    <w:tbl>
      <w:tblPr>
        <w:tblW w:w="99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14"/>
        <w:gridCol w:w="1788"/>
        <w:gridCol w:w="1726"/>
        <w:gridCol w:w="448"/>
        <w:gridCol w:w="1359"/>
        <w:gridCol w:w="815"/>
        <w:gridCol w:w="957"/>
        <w:gridCol w:w="1218"/>
        <w:gridCol w:w="1090"/>
      </w:tblGrid>
      <w:tr w:rsidR="00D12939" w14:paraId="365EB499" w14:textId="77777777">
        <w:trPr>
          <w:trHeight w:val="273"/>
          <w:jc w:val="center"/>
        </w:trPr>
        <w:tc>
          <w:tcPr>
            <w:tcW w:w="2302" w:type="dxa"/>
            <w:gridSpan w:val="2"/>
            <w:vAlign w:val="center"/>
          </w:tcPr>
          <w:p w14:paraId="61E0ABB6"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工作内容</w:t>
            </w:r>
          </w:p>
        </w:tc>
        <w:tc>
          <w:tcPr>
            <w:tcW w:w="6523" w:type="dxa"/>
            <w:gridSpan w:val="6"/>
            <w:vAlign w:val="center"/>
          </w:tcPr>
          <w:p w14:paraId="03285763"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完成情况</w:t>
            </w:r>
          </w:p>
        </w:tc>
        <w:tc>
          <w:tcPr>
            <w:tcW w:w="1090" w:type="dxa"/>
          </w:tcPr>
          <w:p w14:paraId="3DAD2484"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备注</w:t>
            </w:r>
          </w:p>
        </w:tc>
      </w:tr>
      <w:tr w:rsidR="00D12939" w14:paraId="48036DB7" w14:textId="77777777">
        <w:trPr>
          <w:trHeight w:val="287"/>
          <w:jc w:val="center"/>
        </w:trPr>
        <w:tc>
          <w:tcPr>
            <w:tcW w:w="514" w:type="dxa"/>
            <w:vMerge w:val="restart"/>
            <w:vAlign w:val="center"/>
          </w:tcPr>
          <w:p w14:paraId="6A43177D"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影响识别</w:t>
            </w:r>
          </w:p>
        </w:tc>
        <w:tc>
          <w:tcPr>
            <w:tcW w:w="1788" w:type="dxa"/>
            <w:vAlign w:val="center"/>
          </w:tcPr>
          <w:p w14:paraId="2AE9024F"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影响类型</w:t>
            </w:r>
          </w:p>
        </w:tc>
        <w:tc>
          <w:tcPr>
            <w:tcW w:w="6523" w:type="dxa"/>
            <w:gridSpan w:val="6"/>
            <w:vAlign w:val="center"/>
          </w:tcPr>
          <w:p w14:paraId="480A59C1"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污染影响型</w:t>
            </w:r>
            <w:r>
              <w:rPr>
                <w:rFonts w:ascii="Times New Roman" w:eastAsia="宋体" w:hAnsi="Times New Roman" w:cs="Times New Roman"/>
                <w:szCs w:val="21"/>
              </w:rPr>
              <w:sym w:font="Wingdings 2" w:char="F052"/>
            </w:r>
            <w:r>
              <w:rPr>
                <w:rFonts w:ascii="Times New Roman" w:eastAsia="宋体" w:hAnsi="Times New Roman" w:cs="Times New Roman"/>
                <w:szCs w:val="21"/>
              </w:rPr>
              <w:t>；生态影响型</w:t>
            </w:r>
            <w:r>
              <w:rPr>
                <w:rFonts w:ascii="Times New Roman" w:eastAsia="宋体" w:hAnsi="Times New Roman" w:cs="Times New Roman"/>
                <w:bCs/>
                <w:szCs w:val="21"/>
              </w:rPr>
              <w:t>□</w:t>
            </w:r>
            <w:r>
              <w:rPr>
                <w:rFonts w:ascii="Times New Roman" w:eastAsia="宋体" w:hAnsi="Times New Roman" w:cs="Times New Roman"/>
                <w:szCs w:val="21"/>
              </w:rPr>
              <w:t>；两种兼有</w:t>
            </w:r>
            <w:r>
              <w:rPr>
                <w:rFonts w:ascii="Times New Roman" w:eastAsia="宋体" w:hAnsi="Times New Roman" w:cs="Times New Roman"/>
                <w:bCs/>
                <w:szCs w:val="21"/>
              </w:rPr>
              <w:t>□</w:t>
            </w:r>
          </w:p>
        </w:tc>
        <w:tc>
          <w:tcPr>
            <w:tcW w:w="1090" w:type="dxa"/>
          </w:tcPr>
          <w:p w14:paraId="50221EC6"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2AF431F4" w14:textId="77777777">
        <w:trPr>
          <w:trHeight w:val="546"/>
          <w:jc w:val="center"/>
        </w:trPr>
        <w:tc>
          <w:tcPr>
            <w:tcW w:w="514" w:type="dxa"/>
            <w:vMerge/>
            <w:vAlign w:val="center"/>
          </w:tcPr>
          <w:p w14:paraId="4694F2E0"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5B365CB5"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土地利用类型</w:t>
            </w:r>
          </w:p>
        </w:tc>
        <w:tc>
          <w:tcPr>
            <w:tcW w:w="6523" w:type="dxa"/>
            <w:gridSpan w:val="6"/>
            <w:vAlign w:val="center"/>
          </w:tcPr>
          <w:p w14:paraId="4F8F63B8"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建设用地</w:t>
            </w:r>
            <w:r>
              <w:rPr>
                <w:rFonts w:ascii="Times New Roman" w:eastAsia="宋体" w:hAnsi="Times New Roman" w:cs="Times New Roman"/>
                <w:szCs w:val="21"/>
              </w:rPr>
              <w:sym w:font="Wingdings 2" w:char="F052"/>
            </w:r>
            <w:r>
              <w:rPr>
                <w:rFonts w:ascii="Times New Roman" w:eastAsia="宋体" w:hAnsi="Times New Roman" w:cs="Times New Roman"/>
                <w:szCs w:val="21"/>
              </w:rPr>
              <w:t>；农用地</w:t>
            </w:r>
            <w:r>
              <w:rPr>
                <w:rFonts w:ascii="Times New Roman" w:eastAsia="宋体" w:hAnsi="Times New Roman" w:cs="Times New Roman"/>
                <w:bCs/>
                <w:szCs w:val="21"/>
              </w:rPr>
              <w:t>□</w:t>
            </w:r>
            <w:r>
              <w:rPr>
                <w:rFonts w:ascii="Times New Roman" w:eastAsia="宋体" w:hAnsi="Times New Roman" w:cs="Times New Roman"/>
                <w:szCs w:val="21"/>
              </w:rPr>
              <w:t>；未利用地</w:t>
            </w:r>
            <w:r>
              <w:rPr>
                <w:rFonts w:ascii="Times New Roman" w:eastAsia="宋体" w:hAnsi="Times New Roman" w:cs="Times New Roman"/>
                <w:szCs w:val="21"/>
              </w:rPr>
              <w:t xml:space="preserve"> </w:t>
            </w:r>
            <w:r>
              <w:rPr>
                <w:rFonts w:ascii="Times New Roman" w:eastAsia="宋体" w:hAnsi="Times New Roman" w:cs="Times New Roman"/>
                <w:bCs/>
                <w:szCs w:val="21"/>
              </w:rPr>
              <w:t>□</w:t>
            </w:r>
          </w:p>
        </w:tc>
        <w:tc>
          <w:tcPr>
            <w:tcW w:w="1090" w:type="dxa"/>
          </w:tcPr>
          <w:p w14:paraId="4AF16D20"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土地利用类型图</w:t>
            </w:r>
          </w:p>
        </w:tc>
      </w:tr>
      <w:tr w:rsidR="00D12939" w14:paraId="4D125B94" w14:textId="77777777">
        <w:trPr>
          <w:trHeight w:val="287"/>
          <w:jc w:val="center"/>
        </w:trPr>
        <w:tc>
          <w:tcPr>
            <w:tcW w:w="514" w:type="dxa"/>
            <w:vMerge/>
            <w:vAlign w:val="center"/>
          </w:tcPr>
          <w:p w14:paraId="752D227F"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5F915F91"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占地规模</w:t>
            </w:r>
          </w:p>
        </w:tc>
        <w:tc>
          <w:tcPr>
            <w:tcW w:w="6523" w:type="dxa"/>
            <w:gridSpan w:val="6"/>
            <w:vAlign w:val="center"/>
          </w:tcPr>
          <w:p w14:paraId="670C1A36"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13.0</w:t>
            </w:r>
            <w:r>
              <w:rPr>
                <w:rFonts w:ascii="Times New Roman" w:eastAsia="宋体" w:hAnsi="Times New Roman" w:cs="Times New Roman"/>
                <w:szCs w:val="21"/>
              </w:rPr>
              <w:t>）</w:t>
            </w:r>
            <w:r>
              <w:rPr>
                <w:rFonts w:ascii="Times New Roman" w:eastAsia="宋体" w:hAnsi="Times New Roman" w:cs="Times New Roman"/>
                <w:szCs w:val="21"/>
              </w:rPr>
              <w:t>hm</w:t>
            </w:r>
            <w:r>
              <w:rPr>
                <w:rFonts w:ascii="Times New Roman" w:eastAsia="宋体" w:hAnsi="Times New Roman" w:cs="Times New Roman"/>
                <w:szCs w:val="21"/>
                <w:vertAlign w:val="superscript"/>
              </w:rPr>
              <w:t>2</w:t>
            </w:r>
          </w:p>
        </w:tc>
        <w:tc>
          <w:tcPr>
            <w:tcW w:w="1090" w:type="dxa"/>
          </w:tcPr>
          <w:p w14:paraId="56566FF8"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7D642876" w14:textId="77777777">
        <w:trPr>
          <w:trHeight w:val="287"/>
          <w:jc w:val="center"/>
        </w:trPr>
        <w:tc>
          <w:tcPr>
            <w:tcW w:w="514" w:type="dxa"/>
            <w:vMerge/>
            <w:vAlign w:val="center"/>
          </w:tcPr>
          <w:p w14:paraId="5450187A"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1FC7E6C0"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敏感目标信息</w:t>
            </w:r>
          </w:p>
        </w:tc>
        <w:tc>
          <w:tcPr>
            <w:tcW w:w="6523" w:type="dxa"/>
            <w:gridSpan w:val="6"/>
            <w:vAlign w:val="center"/>
          </w:tcPr>
          <w:p w14:paraId="52EC12D7" w14:textId="77777777" w:rsidR="00D12939" w:rsidRDefault="004F47F5">
            <w:pPr>
              <w:widowControl/>
              <w:adjustRightInd w:val="0"/>
              <w:snapToGrid w:val="0"/>
              <w:rPr>
                <w:rFonts w:ascii="Times New Roman" w:eastAsia="宋体" w:hAnsi="Times New Roman" w:cs="Times New Roman"/>
                <w:szCs w:val="21"/>
              </w:rPr>
            </w:pPr>
            <w:r>
              <w:rPr>
                <w:rFonts w:ascii="Times New Roman" w:eastAsia="宋体" w:hAnsi="Times New Roman" w:cs="Times New Roman"/>
                <w:szCs w:val="21"/>
              </w:rPr>
              <w:t>敏感目标（</w:t>
            </w:r>
            <w:r>
              <w:rPr>
                <w:rFonts w:ascii="Times New Roman" w:eastAsia="宋体" w:hAnsi="Times New Roman" w:cs="Times New Roman"/>
                <w:szCs w:val="21"/>
              </w:rPr>
              <w:t>/</w:t>
            </w:r>
            <w:r>
              <w:rPr>
                <w:rFonts w:ascii="Times New Roman" w:eastAsia="宋体" w:hAnsi="Times New Roman" w:cs="Times New Roman"/>
                <w:szCs w:val="21"/>
              </w:rPr>
              <w:t>）、方位（</w:t>
            </w:r>
            <w:r>
              <w:rPr>
                <w:rFonts w:ascii="Times New Roman" w:eastAsia="宋体" w:hAnsi="Times New Roman" w:cs="Times New Roman"/>
                <w:szCs w:val="21"/>
              </w:rPr>
              <w:t>/</w:t>
            </w:r>
            <w:r>
              <w:rPr>
                <w:rFonts w:ascii="Times New Roman" w:eastAsia="宋体" w:hAnsi="Times New Roman" w:cs="Times New Roman"/>
                <w:szCs w:val="21"/>
              </w:rPr>
              <w:t>）、距离（</w:t>
            </w:r>
            <w:r>
              <w:rPr>
                <w:rFonts w:ascii="Times New Roman" w:eastAsia="宋体" w:hAnsi="Times New Roman" w:cs="Times New Roman"/>
                <w:szCs w:val="21"/>
              </w:rPr>
              <w:t>/</w:t>
            </w:r>
            <w:r>
              <w:rPr>
                <w:rFonts w:ascii="Times New Roman" w:eastAsia="宋体" w:hAnsi="Times New Roman" w:cs="Times New Roman"/>
                <w:szCs w:val="21"/>
              </w:rPr>
              <w:t>）</w:t>
            </w:r>
          </w:p>
        </w:tc>
        <w:tc>
          <w:tcPr>
            <w:tcW w:w="1090" w:type="dxa"/>
          </w:tcPr>
          <w:p w14:paraId="459B99B2" w14:textId="77777777" w:rsidR="00D12939" w:rsidRDefault="00D12939">
            <w:pPr>
              <w:widowControl/>
              <w:adjustRightInd w:val="0"/>
              <w:snapToGrid w:val="0"/>
              <w:jc w:val="center"/>
              <w:rPr>
                <w:rFonts w:ascii="Times New Roman" w:eastAsia="宋体" w:hAnsi="Times New Roman" w:cs="Times New Roman"/>
                <w:szCs w:val="21"/>
              </w:rPr>
            </w:pPr>
          </w:p>
        </w:tc>
      </w:tr>
      <w:tr w:rsidR="00D12939" w14:paraId="5A51AE85" w14:textId="77777777">
        <w:trPr>
          <w:trHeight w:val="575"/>
          <w:jc w:val="center"/>
        </w:trPr>
        <w:tc>
          <w:tcPr>
            <w:tcW w:w="514" w:type="dxa"/>
            <w:vMerge/>
            <w:vAlign w:val="center"/>
          </w:tcPr>
          <w:p w14:paraId="06713F2A"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4190F152"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影响途径</w:t>
            </w:r>
          </w:p>
        </w:tc>
        <w:tc>
          <w:tcPr>
            <w:tcW w:w="6523" w:type="dxa"/>
            <w:gridSpan w:val="6"/>
            <w:vAlign w:val="center"/>
          </w:tcPr>
          <w:p w14:paraId="7086A011"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大气沉降</w:t>
            </w:r>
            <w:r>
              <w:rPr>
                <w:rFonts w:ascii="Times New Roman" w:eastAsia="宋体" w:hAnsi="Times New Roman" w:cs="Times New Roman"/>
                <w:bCs/>
                <w:szCs w:val="21"/>
              </w:rPr>
              <w:t>□</w:t>
            </w:r>
            <w:r>
              <w:rPr>
                <w:rFonts w:ascii="Times New Roman" w:eastAsia="宋体" w:hAnsi="Times New Roman" w:cs="Times New Roman"/>
                <w:szCs w:val="21"/>
              </w:rPr>
              <w:t>；地面漫流</w:t>
            </w:r>
            <w:r>
              <w:rPr>
                <w:rFonts w:ascii="Times New Roman" w:eastAsia="宋体" w:hAnsi="Times New Roman" w:cs="Times New Roman"/>
                <w:bCs/>
                <w:szCs w:val="21"/>
              </w:rPr>
              <w:t>□</w:t>
            </w:r>
            <w:r>
              <w:rPr>
                <w:rFonts w:ascii="Times New Roman" w:eastAsia="宋体" w:hAnsi="Times New Roman" w:cs="Times New Roman"/>
                <w:szCs w:val="21"/>
              </w:rPr>
              <w:t>；垂直入渗</w:t>
            </w:r>
            <w:r>
              <w:rPr>
                <w:rFonts w:ascii="Times New Roman" w:eastAsia="宋体" w:hAnsi="Times New Roman" w:cs="Times New Roman"/>
                <w:szCs w:val="21"/>
              </w:rPr>
              <w:sym w:font="Wingdings 2" w:char="F052"/>
            </w:r>
            <w:r>
              <w:rPr>
                <w:rFonts w:ascii="Times New Roman" w:eastAsia="宋体" w:hAnsi="Times New Roman" w:cs="Times New Roman"/>
                <w:szCs w:val="21"/>
              </w:rPr>
              <w:t>；地下水位</w:t>
            </w:r>
            <w:r>
              <w:rPr>
                <w:rFonts w:ascii="Times New Roman" w:eastAsia="宋体" w:hAnsi="Times New Roman" w:cs="Times New Roman"/>
                <w:bCs/>
                <w:szCs w:val="21"/>
              </w:rPr>
              <w:t>□</w:t>
            </w:r>
            <w:r>
              <w:rPr>
                <w:rFonts w:ascii="Times New Roman" w:eastAsia="宋体" w:hAnsi="Times New Roman" w:cs="Times New Roman"/>
                <w:szCs w:val="21"/>
              </w:rPr>
              <w:t>；其他（）</w:t>
            </w:r>
          </w:p>
        </w:tc>
        <w:tc>
          <w:tcPr>
            <w:tcW w:w="1090" w:type="dxa"/>
          </w:tcPr>
          <w:p w14:paraId="77B79EBD"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417D2BE2" w14:textId="77777777">
        <w:trPr>
          <w:trHeight w:val="287"/>
          <w:jc w:val="center"/>
        </w:trPr>
        <w:tc>
          <w:tcPr>
            <w:tcW w:w="514" w:type="dxa"/>
            <w:vMerge/>
            <w:vAlign w:val="center"/>
          </w:tcPr>
          <w:p w14:paraId="0AA119E2"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616AA65A"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全部污染物</w:t>
            </w:r>
          </w:p>
        </w:tc>
        <w:tc>
          <w:tcPr>
            <w:tcW w:w="6523" w:type="dxa"/>
            <w:gridSpan w:val="6"/>
            <w:vAlign w:val="center"/>
          </w:tcPr>
          <w:p w14:paraId="537CADD3"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rPr>
              <w:t>甲烷、</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rPr>
              <w:t>NOx</w:t>
            </w:r>
            <w:r>
              <w:rPr>
                <w:rFonts w:ascii="Times New Roman" w:eastAsia="宋体" w:hAnsi="Times New Roman" w:cs="Times New Roman"/>
              </w:rPr>
              <w:t>、</w:t>
            </w:r>
            <w:r>
              <w:rPr>
                <w:rFonts w:ascii="Times New Roman" w:eastAsia="宋体" w:hAnsi="Times New Roman" w:cs="Times New Roman"/>
              </w:rPr>
              <w:t>SO</w:t>
            </w:r>
            <w:r>
              <w:rPr>
                <w:rFonts w:ascii="Times New Roman" w:eastAsia="宋体" w:hAnsi="Times New Roman" w:cs="Times New Roman"/>
                <w:vertAlign w:val="subscript"/>
              </w:rPr>
              <w:t>2</w:t>
            </w:r>
            <w:r>
              <w:rPr>
                <w:rFonts w:ascii="Times New Roman" w:eastAsia="宋体" w:hAnsi="Times New Roman" w:cs="Times New Roman"/>
              </w:rPr>
              <w:t>、</w:t>
            </w:r>
            <w:r>
              <w:rPr>
                <w:rFonts w:ascii="Times New Roman" w:eastAsia="宋体" w:hAnsi="Times New Roman" w:cs="Times New Roman"/>
              </w:rPr>
              <w:t>COD</w:t>
            </w:r>
            <w:r>
              <w:rPr>
                <w:rFonts w:ascii="Times New Roman" w:eastAsia="宋体" w:hAnsi="Times New Roman" w:cs="Times New Roman"/>
              </w:rPr>
              <w:t>、</w:t>
            </w:r>
            <w:r>
              <w:rPr>
                <w:rFonts w:ascii="Times New Roman" w:eastAsia="宋体" w:hAnsi="Times New Roman" w:cs="Times New Roman"/>
              </w:rPr>
              <w:t>BOD</w:t>
            </w:r>
            <w:r>
              <w:rPr>
                <w:rFonts w:ascii="Times New Roman" w:eastAsia="宋体" w:hAnsi="Times New Roman" w:cs="Times New Roman"/>
                <w:vertAlign w:val="subscript"/>
              </w:rPr>
              <w:t>5</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-N</w:t>
            </w:r>
          </w:p>
        </w:tc>
        <w:tc>
          <w:tcPr>
            <w:tcW w:w="1090" w:type="dxa"/>
          </w:tcPr>
          <w:p w14:paraId="71255D67"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41A88D7A" w14:textId="77777777">
        <w:trPr>
          <w:trHeight w:val="287"/>
          <w:jc w:val="center"/>
        </w:trPr>
        <w:tc>
          <w:tcPr>
            <w:tcW w:w="514" w:type="dxa"/>
            <w:vMerge/>
            <w:vAlign w:val="center"/>
          </w:tcPr>
          <w:p w14:paraId="7A09537E"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52D4F32C"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特征因子</w:t>
            </w:r>
          </w:p>
        </w:tc>
        <w:tc>
          <w:tcPr>
            <w:tcW w:w="6523" w:type="dxa"/>
            <w:gridSpan w:val="6"/>
            <w:vAlign w:val="center"/>
          </w:tcPr>
          <w:p w14:paraId="4E81B620"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rPr>
              <w:t>甲烷、</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w:t>
            </w: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rPr>
              <w:t>NOx</w:t>
            </w:r>
            <w:r>
              <w:rPr>
                <w:rFonts w:ascii="Times New Roman" w:eastAsia="宋体" w:hAnsi="Times New Roman" w:cs="Times New Roman"/>
              </w:rPr>
              <w:t>、</w:t>
            </w:r>
            <w:r>
              <w:rPr>
                <w:rFonts w:ascii="Times New Roman" w:eastAsia="宋体" w:hAnsi="Times New Roman" w:cs="Times New Roman"/>
              </w:rPr>
              <w:t>SO</w:t>
            </w:r>
            <w:r>
              <w:rPr>
                <w:rFonts w:ascii="Times New Roman" w:eastAsia="宋体" w:hAnsi="Times New Roman" w:cs="Times New Roman"/>
                <w:vertAlign w:val="subscript"/>
              </w:rPr>
              <w:t>2</w:t>
            </w:r>
          </w:p>
        </w:tc>
        <w:tc>
          <w:tcPr>
            <w:tcW w:w="1090" w:type="dxa"/>
          </w:tcPr>
          <w:p w14:paraId="6134CCFA"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672F8C5F" w14:textId="77777777">
        <w:trPr>
          <w:trHeight w:val="834"/>
          <w:jc w:val="center"/>
        </w:trPr>
        <w:tc>
          <w:tcPr>
            <w:tcW w:w="514" w:type="dxa"/>
            <w:vMerge/>
            <w:vAlign w:val="center"/>
          </w:tcPr>
          <w:p w14:paraId="7A48686B"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46DACEAD"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所属土壤环境影响评价项目类别</w:t>
            </w:r>
          </w:p>
        </w:tc>
        <w:tc>
          <w:tcPr>
            <w:tcW w:w="6523" w:type="dxa"/>
            <w:gridSpan w:val="6"/>
            <w:vAlign w:val="center"/>
          </w:tcPr>
          <w:p w14:paraId="53379BC9"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I</w:t>
            </w:r>
            <w:r>
              <w:rPr>
                <w:rFonts w:ascii="Times New Roman" w:eastAsia="宋体" w:hAnsi="Times New Roman" w:cs="Times New Roman"/>
                <w:szCs w:val="21"/>
              </w:rPr>
              <w:t>类</w:t>
            </w:r>
            <w:r>
              <w:rPr>
                <w:rFonts w:ascii="Times New Roman" w:eastAsia="宋体" w:hAnsi="Times New Roman" w:cs="Times New Roman"/>
                <w:bCs/>
                <w:szCs w:val="21"/>
              </w:rPr>
              <w:sym w:font="Wingdings 2" w:char="00A3"/>
            </w:r>
            <w:r>
              <w:rPr>
                <w:rFonts w:ascii="Times New Roman" w:eastAsia="宋体" w:hAnsi="Times New Roman" w:cs="Times New Roman"/>
                <w:szCs w:val="21"/>
              </w:rPr>
              <w:t>；</w:t>
            </w:r>
            <w:r>
              <w:rPr>
                <w:rFonts w:ascii="Times New Roman" w:eastAsia="宋体" w:hAnsi="Times New Roman" w:cs="Times New Roman"/>
                <w:szCs w:val="21"/>
              </w:rPr>
              <w:t>Ⅱ</w:t>
            </w:r>
            <w:r>
              <w:rPr>
                <w:rFonts w:ascii="Times New Roman" w:eastAsia="宋体" w:hAnsi="Times New Roman" w:cs="Times New Roman"/>
                <w:szCs w:val="21"/>
              </w:rPr>
              <w:t>类</w:t>
            </w:r>
            <w:r>
              <w:rPr>
                <w:rFonts w:ascii="Times New Roman" w:eastAsia="宋体" w:hAnsi="Times New Roman" w:cs="Times New Roman"/>
                <w:szCs w:val="21"/>
              </w:rPr>
              <w:sym w:font="Wingdings 2" w:char="0052"/>
            </w:r>
            <w:r>
              <w:rPr>
                <w:rFonts w:ascii="Times New Roman" w:eastAsia="宋体" w:hAnsi="Times New Roman" w:cs="Times New Roman"/>
                <w:szCs w:val="21"/>
              </w:rPr>
              <w:t>；</w:t>
            </w:r>
            <w:r>
              <w:rPr>
                <w:rFonts w:ascii="Times New Roman" w:eastAsia="宋体" w:hAnsi="Times New Roman" w:cs="Times New Roman"/>
                <w:szCs w:val="21"/>
              </w:rPr>
              <w:t>Ⅲ</w:t>
            </w:r>
            <w:r>
              <w:rPr>
                <w:rFonts w:ascii="Times New Roman" w:eastAsia="宋体" w:hAnsi="Times New Roman" w:cs="Times New Roman"/>
                <w:szCs w:val="21"/>
              </w:rPr>
              <w:t>类</w:t>
            </w:r>
            <w:r>
              <w:rPr>
                <w:rFonts w:ascii="Times New Roman" w:eastAsia="宋体" w:hAnsi="Times New Roman" w:cs="Times New Roman"/>
                <w:bCs/>
                <w:szCs w:val="21"/>
              </w:rPr>
              <w:t>□</w:t>
            </w:r>
            <w:r>
              <w:rPr>
                <w:rFonts w:ascii="Times New Roman" w:eastAsia="宋体" w:hAnsi="Times New Roman" w:cs="Times New Roman"/>
                <w:szCs w:val="21"/>
              </w:rPr>
              <w:t>；</w:t>
            </w:r>
            <w:r>
              <w:rPr>
                <w:rFonts w:ascii="Times New Roman" w:eastAsia="宋体" w:hAnsi="Times New Roman" w:cs="Times New Roman"/>
                <w:szCs w:val="21"/>
              </w:rPr>
              <w:t>Ⅳ</w:t>
            </w:r>
            <w:r>
              <w:rPr>
                <w:rFonts w:ascii="Times New Roman" w:eastAsia="宋体" w:hAnsi="Times New Roman" w:cs="Times New Roman"/>
                <w:szCs w:val="21"/>
              </w:rPr>
              <w:t>类</w:t>
            </w:r>
            <w:r>
              <w:rPr>
                <w:rFonts w:ascii="Times New Roman" w:eastAsia="宋体" w:hAnsi="Times New Roman" w:cs="Times New Roman"/>
                <w:bCs/>
                <w:szCs w:val="21"/>
              </w:rPr>
              <w:t>□</w:t>
            </w:r>
          </w:p>
        </w:tc>
        <w:tc>
          <w:tcPr>
            <w:tcW w:w="1090" w:type="dxa"/>
          </w:tcPr>
          <w:p w14:paraId="17605F2A"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5A1E3CC4" w14:textId="77777777">
        <w:trPr>
          <w:trHeight w:val="287"/>
          <w:jc w:val="center"/>
        </w:trPr>
        <w:tc>
          <w:tcPr>
            <w:tcW w:w="514" w:type="dxa"/>
            <w:vMerge/>
            <w:vAlign w:val="center"/>
          </w:tcPr>
          <w:p w14:paraId="2629089B"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0F3BF1F6"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敏感程度</w:t>
            </w:r>
          </w:p>
        </w:tc>
        <w:tc>
          <w:tcPr>
            <w:tcW w:w="6523" w:type="dxa"/>
            <w:gridSpan w:val="6"/>
            <w:vAlign w:val="center"/>
          </w:tcPr>
          <w:p w14:paraId="09BE2112"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敏感</w:t>
            </w:r>
            <w:r>
              <w:rPr>
                <w:rFonts w:ascii="Times New Roman" w:eastAsia="宋体" w:hAnsi="Times New Roman" w:cs="Times New Roman"/>
                <w:bCs/>
                <w:szCs w:val="21"/>
              </w:rPr>
              <w:t>□</w:t>
            </w:r>
            <w:r>
              <w:rPr>
                <w:rFonts w:ascii="Times New Roman" w:eastAsia="宋体" w:hAnsi="Times New Roman" w:cs="Times New Roman"/>
                <w:szCs w:val="21"/>
              </w:rPr>
              <w:t>；较敏感</w:t>
            </w:r>
            <w:r>
              <w:rPr>
                <w:rFonts w:ascii="Times New Roman" w:eastAsia="宋体" w:hAnsi="Times New Roman" w:cs="Times New Roman"/>
                <w:bCs/>
                <w:szCs w:val="21"/>
              </w:rPr>
              <w:t>□</w:t>
            </w:r>
            <w:r>
              <w:rPr>
                <w:rFonts w:ascii="Times New Roman" w:eastAsia="宋体" w:hAnsi="Times New Roman" w:cs="Times New Roman"/>
                <w:szCs w:val="21"/>
              </w:rPr>
              <w:t>；不敏感</w:t>
            </w:r>
            <w:r>
              <w:rPr>
                <w:rFonts w:ascii="Times New Roman" w:eastAsia="宋体" w:hAnsi="Times New Roman" w:cs="Times New Roman"/>
                <w:szCs w:val="21"/>
              </w:rPr>
              <w:sym w:font="Wingdings 2" w:char="F052"/>
            </w:r>
          </w:p>
        </w:tc>
        <w:tc>
          <w:tcPr>
            <w:tcW w:w="1090" w:type="dxa"/>
          </w:tcPr>
          <w:p w14:paraId="5E075394"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6557B8FB" w14:textId="77777777">
        <w:trPr>
          <w:trHeight w:val="612"/>
          <w:jc w:val="center"/>
        </w:trPr>
        <w:tc>
          <w:tcPr>
            <w:tcW w:w="2302" w:type="dxa"/>
            <w:gridSpan w:val="2"/>
            <w:vAlign w:val="center"/>
          </w:tcPr>
          <w:p w14:paraId="550E0989"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评价等级</w:t>
            </w:r>
          </w:p>
        </w:tc>
        <w:tc>
          <w:tcPr>
            <w:tcW w:w="6523" w:type="dxa"/>
            <w:gridSpan w:val="6"/>
            <w:vAlign w:val="center"/>
          </w:tcPr>
          <w:p w14:paraId="1690C0E9"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一级</w:t>
            </w:r>
            <w:r>
              <w:rPr>
                <w:rFonts w:ascii="Times New Roman" w:eastAsia="宋体" w:hAnsi="Times New Roman" w:cs="Times New Roman"/>
                <w:bCs/>
                <w:szCs w:val="21"/>
              </w:rPr>
              <w:t>□</w:t>
            </w:r>
            <w:r>
              <w:rPr>
                <w:rFonts w:ascii="Times New Roman" w:eastAsia="宋体" w:hAnsi="Times New Roman" w:cs="Times New Roman"/>
                <w:szCs w:val="21"/>
              </w:rPr>
              <w:t>；二级</w:t>
            </w:r>
            <w:r>
              <w:rPr>
                <w:rFonts w:ascii="Times New Roman" w:eastAsia="宋体" w:hAnsi="Times New Roman" w:cs="Times New Roman"/>
                <w:bCs/>
                <w:szCs w:val="21"/>
              </w:rPr>
              <w:t>□</w:t>
            </w:r>
            <w:r>
              <w:rPr>
                <w:rFonts w:ascii="Times New Roman" w:eastAsia="宋体" w:hAnsi="Times New Roman" w:cs="Times New Roman"/>
                <w:szCs w:val="21"/>
              </w:rPr>
              <w:t>；三级</w:t>
            </w:r>
            <w:r>
              <w:rPr>
                <w:rFonts w:ascii="Times New Roman" w:eastAsia="宋体" w:hAnsi="Times New Roman" w:cs="Times New Roman"/>
                <w:szCs w:val="21"/>
              </w:rPr>
              <w:sym w:font="Wingdings 2" w:char="F052"/>
            </w:r>
          </w:p>
        </w:tc>
        <w:tc>
          <w:tcPr>
            <w:tcW w:w="1090" w:type="dxa"/>
          </w:tcPr>
          <w:p w14:paraId="4A4572F3" w14:textId="77777777" w:rsidR="00D12939" w:rsidRDefault="00D12939">
            <w:pPr>
              <w:widowControl/>
              <w:adjustRightInd w:val="0"/>
              <w:snapToGrid w:val="0"/>
              <w:jc w:val="center"/>
              <w:rPr>
                <w:rFonts w:ascii="Times New Roman" w:eastAsia="宋体" w:hAnsi="Times New Roman" w:cs="Times New Roman"/>
                <w:szCs w:val="21"/>
              </w:rPr>
            </w:pPr>
          </w:p>
        </w:tc>
      </w:tr>
      <w:tr w:rsidR="00D12939" w14:paraId="6842E7FE" w14:textId="77777777">
        <w:trPr>
          <w:trHeight w:val="403"/>
          <w:jc w:val="center"/>
        </w:trPr>
        <w:tc>
          <w:tcPr>
            <w:tcW w:w="514" w:type="dxa"/>
            <w:vMerge w:val="restart"/>
            <w:vAlign w:val="center"/>
          </w:tcPr>
          <w:p w14:paraId="716053D1"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现状调查内容</w:t>
            </w:r>
          </w:p>
        </w:tc>
        <w:tc>
          <w:tcPr>
            <w:tcW w:w="1788" w:type="dxa"/>
            <w:vAlign w:val="center"/>
          </w:tcPr>
          <w:p w14:paraId="177C6294"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资料收集</w:t>
            </w:r>
          </w:p>
        </w:tc>
        <w:tc>
          <w:tcPr>
            <w:tcW w:w="6523" w:type="dxa"/>
            <w:gridSpan w:val="6"/>
            <w:vAlign w:val="center"/>
          </w:tcPr>
          <w:p w14:paraId="19DE7FBD"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a</w:t>
            </w:r>
            <w:r>
              <w:rPr>
                <w:rFonts w:ascii="Times New Roman" w:eastAsia="宋体" w:hAnsi="Times New Roman" w:cs="Times New Roman"/>
                <w:szCs w:val="21"/>
              </w:rPr>
              <w:t>）</w:t>
            </w:r>
            <w:r>
              <w:rPr>
                <w:rFonts w:ascii="Times New Roman" w:eastAsia="宋体" w:hAnsi="Times New Roman" w:cs="Times New Roman"/>
                <w:szCs w:val="21"/>
              </w:rPr>
              <w:sym w:font="Wingdings 2" w:char="F052"/>
            </w:r>
            <w:r>
              <w:rPr>
                <w:rFonts w:ascii="Times New Roman" w:eastAsia="宋体" w:hAnsi="Times New Roman" w:cs="Times New Roman"/>
                <w:szCs w:val="21"/>
              </w:rPr>
              <w:t>；</w:t>
            </w:r>
            <w:r>
              <w:rPr>
                <w:rFonts w:ascii="Times New Roman" w:eastAsia="宋体" w:hAnsi="Times New Roman" w:cs="Times New Roman"/>
                <w:szCs w:val="21"/>
              </w:rPr>
              <w:t xml:space="preserve">b) </w:t>
            </w:r>
            <w:r>
              <w:rPr>
                <w:rFonts w:ascii="Times New Roman" w:eastAsia="宋体" w:hAnsi="Times New Roman" w:cs="Times New Roman"/>
                <w:szCs w:val="21"/>
              </w:rPr>
              <w:sym w:font="Wingdings 2" w:char="F052"/>
            </w:r>
            <w:r>
              <w:rPr>
                <w:rFonts w:ascii="Times New Roman" w:eastAsia="宋体" w:hAnsi="Times New Roman" w:cs="Times New Roman"/>
                <w:szCs w:val="21"/>
              </w:rPr>
              <w:t>；</w:t>
            </w:r>
            <w:r>
              <w:rPr>
                <w:rFonts w:ascii="Times New Roman" w:eastAsia="宋体" w:hAnsi="Times New Roman" w:cs="Times New Roman"/>
                <w:szCs w:val="21"/>
              </w:rPr>
              <w:t>c)</w:t>
            </w:r>
            <w:r>
              <w:rPr>
                <w:rFonts w:ascii="Times New Roman" w:eastAsia="宋体" w:hAnsi="Times New Roman" w:cs="Times New Roman"/>
                <w:bCs/>
                <w:szCs w:val="21"/>
              </w:rPr>
              <w:t xml:space="preserve"> □</w:t>
            </w:r>
            <w:r>
              <w:rPr>
                <w:rFonts w:ascii="Times New Roman" w:eastAsia="宋体" w:hAnsi="Times New Roman" w:cs="Times New Roman"/>
                <w:szCs w:val="21"/>
              </w:rPr>
              <w:t>；</w:t>
            </w:r>
            <w:r>
              <w:rPr>
                <w:rFonts w:ascii="Times New Roman" w:eastAsia="宋体" w:hAnsi="Times New Roman" w:cs="Times New Roman"/>
                <w:szCs w:val="21"/>
              </w:rPr>
              <w:t>d)</w:t>
            </w:r>
            <w:r>
              <w:rPr>
                <w:rFonts w:ascii="Times New Roman" w:eastAsia="宋体" w:hAnsi="Times New Roman" w:cs="Times New Roman"/>
                <w:bCs/>
                <w:szCs w:val="21"/>
              </w:rPr>
              <w:t xml:space="preserve"> □</w:t>
            </w:r>
          </w:p>
        </w:tc>
        <w:tc>
          <w:tcPr>
            <w:tcW w:w="1090" w:type="dxa"/>
          </w:tcPr>
          <w:p w14:paraId="07D74371" w14:textId="77777777" w:rsidR="00D12939" w:rsidRDefault="00D12939">
            <w:pPr>
              <w:widowControl/>
              <w:adjustRightInd w:val="0"/>
              <w:snapToGrid w:val="0"/>
              <w:jc w:val="center"/>
              <w:rPr>
                <w:rFonts w:ascii="Times New Roman" w:eastAsia="宋体" w:hAnsi="Times New Roman" w:cs="Times New Roman"/>
                <w:szCs w:val="21"/>
              </w:rPr>
            </w:pPr>
          </w:p>
        </w:tc>
      </w:tr>
      <w:tr w:rsidR="00D12939" w14:paraId="45E4F2E1" w14:textId="77777777">
        <w:trPr>
          <w:trHeight w:val="403"/>
          <w:jc w:val="center"/>
        </w:trPr>
        <w:tc>
          <w:tcPr>
            <w:tcW w:w="514" w:type="dxa"/>
            <w:vMerge/>
            <w:vAlign w:val="center"/>
          </w:tcPr>
          <w:p w14:paraId="69CADFFA"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26FF5875"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理化特性</w:t>
            </w:r>
          </w:p>
        </w:tc>
        <w:tc>
          <w:tcPr>
            <w:tcW w:w="6523" w:type="dxa"/>
            <w:gridSpan w:val="6"/>
            <w:vAlign w:val="center"/>
          </w:tcPr>
          <w:p w14:paraId="2CF143CA"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见土壤环境质量现状章节</w:t>
            </w:r>
          </w:p>
        </w:tc>
        <w:tc>
          <w:tcPr>
            <w:tcW w:w="1090" w:type="dxa"/>
          </w:tcPr>
          <w:p w14:paraId="3EC27A91" w14:textId="77777777" w:rsidR="00D12939" w:rsidRDefault="00D12939">
            <w:pPr>
              <w:widowControl/>
              <w:adjustRightInd w:val="0"/>
              <w:snapToGrid w:val="0"/>
              <w:jc w:val="center"/>
              <w:rPr>
                <w:rFonts w:ascii="Times New Roman" w:eastAsia="宋体" w:hAnsi="Times New Roman" w:cs="Times New Roman"/>
                <w:szCs w:val="21"/>
              </w:rPr>
            </w:pPr>
          </w:p>
        </w:tc>
      </w:tr>
      <w:tr w:rsidR="00D12939" w14:paraId="6BC78C1B" w14:textId="77777777">
        <w:trPr>
          <w:trHeight w:val="287"/>
          <w:jc w:val="center"/>
        </w:trPr>
        <w:tc>
          <w:tcPr>
            <w:tcW w:w="514" w:type="dxa"/>
            <w:vMerge/>
            <w:vAlign w:val="center"/>
          </w:tcPr>
          <w:p w14:paraId="7B467248"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Merge w:val="restart"/>
            <w:vAlign w:val="center"/>
          </w:tcPr>
          <w:p w14:paraId="589B3E79"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现状监测点位</w:t>
            </w:r>
          </w:p>
        </w:tc>
        <w:tc>
          <w:tcPr>
            <w:tcW w:w="1726" w:type="dxa"/>
            <w:vAlign w:val="center"/>
          </w:tcPr>
          <w:p w14:paraId="56B88DC9" w14:textId="77777777" w:rsidR="00D12939" w:rsidRDefault="00D12939">
            <w:pPr>
              <w:widowControl/>
              <w:adjustRightInd w:val="0"/>
              <w:snapToGrid w:val="0"/>
              <w:jc w:val="center"/>
              <w:rPr>
                <w:rFonts w:ascii="Times New Roman" w:eastAsia="宋体" w:hAnsi="Times New Roman" w:cs="Times New Roman"/>
                <w:szCs w:val="21"/>
              </w:rPr>
            </w:pPr>
          </w:p>
        </w:tc>
        <w:tc>
          <w:tcPr>
            <w:tcW w:w="1807" w:type="dxa"/>
            <w:gridSpan w:val="2"/>
            <w:vAlign w:val="center"/>
          </w:tcPr>
          <w:p w14:paraId="01242C18" w14:textId="77777777" w:rsidR="00D12939" w:rsidRDefault="004F47F5">
            <w:pPr>
              <w:widowControl/>
              <w:adjustRightInd w:val="0"/>
              <w:snapToGrid w:val="0"/>
              <w:rPr>
                <w:rFonts w:ascii="Times New Roman" w:eastAsia="宋体" w:hAnsi="Times New Roman" w:cs="Times New Roman"/>
                <w:szCs w:val="21"/>
              </w:rPr>
            </w:pPr>
            <w:r>
              <w:rPr>
                <w:rFonts w:ascii="Times New Roman" w:eastAsia="宋体" w:hAnsi="Times New Roman" w:cs="Times New Roman"/>
                <w:szCs w:val="21"/>
              </w:rPr>
              <w:t>占地范围内</w:t>
            </w:r>
          </w:p>
        </w:tc>
        <w:tc>
          <w:tcPr>
            <w:tcW w:w="1772" w:type="dxa"/>
            <w:gridSpan w:val="2"/>
            <w:vAlign w:val="center"/>
          </w:tcPr>
          <w:p w14:paraId="63BC408D" w14:textId="77777777" w:rsidR="00D12939" w:rsidRDefault="004F47F5">
            <w:pPr>
              <w:widowControl/>
              <w:adjustRightInd w:val="0"/>
              <w:snapToGrid w:val="0"/>
              <w:rPr>
                <w:rFonts w:ascii="Times New Roman" w:eastAsia="宋体" w:hAnsi="Times New Roman" w:cs="Times New Roman"/>
                <w:szCs w:val="21"/>
              </w:rPr>
            </w:pPr>
            <w:r>
              <w:rPr>
                <w:rFonts w:ascii="Times New Roman" w:eastAsia="宋体" w:hAnsi="Times New Roman" w:cs="Times New Roman"/>
                <w:szCs w:val="21"/>
              </w:rPr>
              <w:t>占地范围外</w:t>
            </w:r>
          </w:p>
        </w:tc>
        <w:tc>
          <w:tcPr>
            <w:tcW w:w="1218" w:type="dxa"/>
            <w:vAlign w:val="center"/>
          </w:tcPr>
          <w:p w14:paraId="48054507" w14:textId="77777777" w:rsidR="00D12939" w:rsidRDefault="004F47F5">
            <w:pPr>
              <w:widowControl/>
              <w:adjustRightInd w:val="0"/>
              <w:snapToGrid w:val="0"/>
              <w:rPr>
                <w:rFonts w:ascii="Times New Roman" w:eastAsia="宋体" w:hAnsi="Times New Roman" w:cs="Times New Roman"/>
                <w:szCs w:val="21"/>
              </w:rPr>
            </w:pPr>
            <w:r>
              <w:rPr>
                <w:rFonts w:ascii="Times New Roman" w:eastAsia="宋体" w:hAnsi="Times New Roman" w:cs="Times New Roman"/>
                <w:szCs w:val="21"/>
              </w:rPr>
              <w:t>深度</w:t>
            </w:r>
          </w:p>
        </w:tc>
        <w:tc>
          <w:tcPr>
            <w:tcW w:w="1090" w:type="dxa"/>
            <w:vMerge w:val="restart"/>
            <w:vAlign w:val="center"/>
          </w:tcPr>
          <w:p w14:paraId="0D3600C0"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点位布置图</w:t>
            </w:r>
          </w:p>
        </w:tc>
      </w:tr>
      <w:tr w:rsidR="00D12939" w14:paraId="218CA744" w14:textId="77777777">
        <w:trPr>
          <w:trHeight w:val="287"/>
          <w:jc w:val="center"/>
        </w:trPr>
        <w:tc>
          <w:tcPr>
            <w:tcW w:w="514" w:type="dxa"/>
            <w:vMerge/>
            <w:vAlign w:val="center"/>
          </w:tcPr>
          <w:p w14:paraId="6156D726"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Merge/>
            <w:vAlign w:val="center"/>
          </w:tcPr>
          <w:p w14:paraId="5B88CA02" w14:textId="77777777" w:rsidR="00D12939" w:rsidRDefault="00D12939">
            <w:pPr>
              <w:widowControl/>
              <w:adjustRightInd w:val="0"/>
              <w:snapToGrid w:val="0"/>
              <w:jc w:val="center"/>
              <w:rPr>
                <w:rFonts w:ascii="Times New Roman" w:eastAsia="宋体" w:hAnsi="Times New Roman" w:cs="Times New Roman"/>
                <w:szCs w:val="21"/>
              </w:rPr>
            </w:pPr>
          </w:p>
        </w:tc>
        <w:tc>
          <w:tcPr>
            <w:tcW w:w="1726" w:type="dxa"/>
            <w:vAlign w:val="center"/>
          </w:tcPr>
          <w:p w14:paraId="29BA9C93" w14:textId="77777777" w:rsidR="00D12939" w:rsidRDefault="004F47F5">
            <w:pPr>
              <w:widowControl/>
              <w:adjustRightInd w:val="0"/>
              <w:snapToGrid w:val="0"/>
              <w:rPr>
                <w:rFonts w:ascii="Times New Roman" w:eastAsia="宋体" w:hAnsi="Times New Roman" w:cs="Times New Roman"/>
                <w:szCs w:val="21"/>
              </w:rPr>
            </w:pPr>
            <w:r>
              <w:rPr>
                <w:rFonts w:ascii="Times New Roman" w:eastAsia="宋体" w:hAnsi="Times New Roman" w:cs="Times New Roman"/>
                <w:szCs w:val="21"/>
              </w:rPr>
              <w:t>表层样点数</w:t>
            </w:r>
          </w:p>
        </w:tc>
        <w:tc>
          <w:tcPr>
            <w:tcW w:w="1807" w:type="dxa"/>
            <w:gridSpan w:val="2"/>
            <w:vAlign w:val="center"/>
          </w:tcPr>
          <w:p w14:paraId="771571D1"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3</w:t>
            </w:r>
          </w:p>
        </w:tc>
        <w:tc>
          <w:tcPr>
            <w:tcW w:w="1772" w:type="dxa"/>
            <w:gridSpan w:val="2"/>
            <w:vAlign w:val="center"/>
          </w:tcPr>
          <w:p w14:paraId="0CBC4488"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0</w:t>
            </w:r>
          </w:p>
        </w:tc>
        <w:tc>
          <w:tcPr>
            <w:tcW w:w="1218" w:type="dxa"/>
            <w:vAlign w:val="center"/>
          </w:tcPr>
          <w:p w14:paraId="2D9DD492" w14:textId="77777777" w:rsidR="00D12939" w:rsidRDefault="004F47F5">
            <w:pPr>
              <w:widowControl/>
              <w:adjustRightInd w:val="0"/>
              <w:snapToGrid w:val="0"/>
              <w:rPr>
                <w:rFonts w:ascii="Times New Roman" w:eastAsia="宋体" w:hAnsi="Times New Roman" w:cs="Times New Roman"/>
                <w:szCs w:val="21"/>
              </w:rPr>
            </w:pPr>
            <w:r>
              <w:rPr>
                <w:rFonts w:ascii="Times New Roman" w:eastAsia="宋体" w:hAnsi="Times New Roman" w:cs="Times New Roman"/>
                <w:szCs w:val="21"/>
              </w:rPr>
              <w:t>0~0.2m</w:t>
            </w:r>
          </w:p>
        </w:tc>
        <w:tc>
          <w:tcPr>
            <w:tcW w:w="1090" w:type="dxa"/>
            <w:vMerge/>
          </w:tcPr>
          <w:p w14:paraId="1AF0C39A" w14:textId="77777777" w:rsidR="00D12939" w:rsidRDefault="00D12939">
            <w:pPr>
              <w:widowControl/>
              <w:adjustRightInd w:val="0"/>
              <w:snapToGrid w:val="0"/>
              <w:jc w:val="center"/>
              <w:rPr>
                <w:rFonts w:ascii="Times New Roman" w:eastAsia="宋体" w:hAnsi="Times New Roman" w:cs="Times New Roman"/>
                <w:szCs w:val="21"/>
              </w:rPr>
            </w:pPr>
          </w:p>
        </w:tc>
      </w:tr>
      <w:tr w:rsidR="00D12939" w14:paraId="296CC5F4" w14:textId="77777777">
        <w:trPr>
          <w:trHeight w:val="287"/>
          <w:jc w:val="center"/>
        </w:trPr>
        <w:tc>
          <w:tcPr>
            <w:tcW w:w="514" w:type="dxa"/>
            <w:vMerge/>
            <w:vAlign w:val="center"/>
          </w:tcPr>
          <w:p w14:paraId="2BF997A6"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213B7AC5"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现状监测因子</w:t>
            </w:r>
          </w:p>
        </w:tc>
        <w:tc>
          <w:tcPr>
            <w:tcW w:w="6523" w:type="dxa"/>
            <w:gridSpan w:val="6"/>
            <w:vAlign w:val="center"/>
          </w:tcPr>
          <w:p w14:paraId="01E1ABA4"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建设用地</w:t>
            </w:r>
            <w:r>
              <w:rPr>
                <w:rFonts w:ascii="Times New Roman" w:eastAsia="宋体" w:hAnsi="Times New Roman" w:cs="Times New Roman"/>
                <w:szCs w:val="21"/>
              </w:rPr>
              <w:t>45</w:t>
            </w:r>
            <w:r>
              <w:rPr>
                <w:rFonts w:ascii="Times New Roman" w:eastAsia="宋体" w:hAnsi="Times New Roman" w:cs="Times New Roman"/>
                <w:szCs w:val="21"/>
              </w:rPr>
              <w:t>项</w:t>
            </w:r>
          </w:p>
        </w:tc>
        <w:tc>
          <w:tcPr>
            <w:tcW w:w="1090" w:type="dxa"/>
          </w:tcPr>
          <w:p w14:paraId="49825E69"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625E1623" w14:textId="77777777">
        <w:trPr>
          <w:trHeight w:val="287"/>
          <w:jc w:val="center"/>
        </w:trPr>
        <w:tc>
          <w:tcPr>
            <w:tcW w:w="514" w:type="dxa"/>
            <w:vMerge/>
            <w:vAlign w:val="center"/>
          </w:tcPr>
          <w:p w14:paraId="4CF2EA05"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1E08AD7E"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评价因子</w:t>
            </w:r>
          </w:p>
        </w:tc>
        <w:tc>
          <w:tcPr>
            <w:tcW w:w="6523" w:type="dxa"/>
            <w:gridSpan w:val="6"/>
            <w:vAlign w:val="center"/>
          </w:tcPr>
          <w:p w14:paraId="4DF46EEC"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同现状监测因子</w:t>
            </w:r>
          </w:p>
        </w:tc>
        <w:tc>
          <w:tcPr>
            <w:tcW w:w="1090" w:type="dxa"/>
          </w:tcPr>
          <w:p w14:paraId="35503DC2"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30900CF7" w14:textId="77777777">
        <w:trPr>
          <w:trHeight w:val="287"/>
          <w:jc w:val="center"/>
        </w:trPr>
        <w:tc>
          <w:tcPr>
            <w:tcW w:w="514" w:type="dxa"/>
            <w:vMerge/>
            <w:vAlign w:val="center"/>
          </w:tcPr>
          <w:p w14:paraId="4E8434AD"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40E5A345"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评价标准</w:t>
            </w:r>
          </w:p>
        </w:tc>
        <w:tc>
          <w:tcPr>
            <w:tcW w:w="6523" w:type="dxa"/>
            <w:gridSpan w:val="6"/>
            <w:vAlign w:val="center"/>
          </w:tcPr>
          <w:p w14:paraId="44B5606A"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GB 15618</w:t>
            </w:r>
            <w:r>
              <w:rPr>
                <w:rFonts w:ascii="Times New Roman" w:eastAsia="宋体" w:hAnsi="Times New Roman" w:cs="Times New Roman"/>
                <w:szCs w:val="21"/>
              </w:rPr>
              <w:sym w:font="Wingdings 2" w:char="F052"/>
            </w:r>
            <w:r>
              <w:rPr>
                <w:rFonts w:ascii="Times New Roman" w:eastAsia="宋体" w:hAnsi="Times New Roman" w:cs="Times New Roman"/>
                <w:szCs w:val="21"/>
              </w:rPr>
              <w:t>；</w:t>
            </w:r>
            <w:r>
              <w:rPr>
                <w:rFonts w:ascii="Times New Roman" w:eastAsia="宋体" w:hAnsi="Times New Roman" w:cs="Times New Roman"/>
                <w:szCs w:val="21"/>
              </w:rPr>
              <w:t>GB 3600</w:t>
            </w:r>
            <w:r>
              <w:rPr>
                <w:rFonts w:ascii="Times New Roman" w:eastAsia="宋体" w:hAnsi="Times New Roman" w:cs="Times New Roman"/>
                <w:szCs w:val="21"/>
              </w:rPr>
              <w:sym w:font="Wingdings 2" w:char="F052"/>
            </w:r>
            <w:r>
              <w:rPr>
                <w:rFonts w:ascii="Times New Roman" w:eastAsia="宋体" w:hAnsi="Times New Roman" w:cs="Times New Roman"/>
                <w:szCs w:val="21"/>
              </w:rPr>
              <w:t>；表</w:t>
            </w:r>
            <w:r>
              <w:rPr>
                <w:rFonts w:ascii="Times New Roman" w:eastAsia="宋体" w:hAnsi="Times New Roman" w:cs="Times New Roman"/>
                <w:szCs w:val="21"/>
              </w:rPr>
              <w:t>D.1</w:t>
            </w:r>
            <w:r>
              <w:rPr>
                <w:rFonts w:ascii="Times New Roman" w:eastAsia="宋体" w:hAnsi="Times New Roman" w:cs="Times New Roman"/>
                <w:bCs/>
                <w:szCs w:val="21"/>
              </w:rPr>
              <w:t>□</w:t>
            </w:r>
            <w:r>
              <w:rPr>
                <w:rFonts w:ascii="Times New Roman" w:eastAsia="宋体" w:hAnsi="Times New Roman" w:cs="Times New Roman"/>
                <w:szCs w:val="21"/>
              </w:rPr>
              <w:t>；表</w:t>
            </w:r>
            <w:r>
              <w:rPr>
                <w:rFonts w:ascii="Times New Roman" w:eastAsia="宋体" w:hAnsi="Times New Roman" w:cs="Times New Roman"/>
                <w:szCs w:val="21"/>
              </w:rPr>
              <w:t>D.2</w:t>
            </w:r>
            <w:r>
              <w:rPr>
                <w:rFonts w:ascii="Times New Roman" w:eastAsia="宋体" w:hAnsi="Times New Roman" w:cs="Times New Roman"/>
                <w:bCs/>
                <w:szCs w:val="21"/>
              </w:rPr>
              <w:t>□</w:t>
            </w:r>
            <w:r>
              <w:rPr>
                <w:rFonts w:ascii="Times New Roman" w:eastAsia="宋体" w:hAnsi="Times New Roman" w:cs="Times New Roman"/>
                <w:szCs w:val="21"/>
              </w:rPr>
              <w:t>；其他（）</w:t>
            </w:r>
          </w:p>
        </w:tc>
        <w:tc>
          <w:tcPr>
            <w:tcW w:w="1090" w:type="dxa"/>
          </w:tcPr>
          <w:p w14:paraId="7D408DE2"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4863967F" w14:textId="77777777">
        <w:trPr>
          <w:trHeight w:val="1107"/>
          <w:jc w:val="center"/>
        </w:trPr>
        <w:tc>
          <w:tcPr>
            <w:tcW w:w="514" w:type="dxa"/>
            <w:vMerge/>
            <w:vAlign w:val="center"/>
          </w:tcPr>
          <w:p w14:paraId="214E2EEF"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4F6B3A13"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现状评价结论</w:t>
            </w:r>
          </w:p>
        </w:tc>
        <w:tc>
          <w:tcPr>
            <w:tcW w:w="6523" w:type="dxa"/>
            <w:gridSpan w:val="6"/>
            <w:vAlign w:val="center"/>
          </w:tcPr>
          <w:p w14:paraId="5F9FCE08" w14:textId="77777777" w:rsidR="00D12939" w:rsidRDefault="004F47F5">
            <w:pPr>
              <w:widowControl/>
              <w:adjustRightInd w:val="0"/>
              <w:snapToGrid w:val="0"/>
              <w:rPr>
                <w:rFonts w:ascii="Times New Roman" w:eastAsia="宋体" w:hAnsi="Times New Roman" w:cs="Times New Roman"/>
                <w:bCs/>
                <w:szCs w:val="21"/>
              </w:rPr>
            </w:pPr>
            <w:r>
              <w:rPr>
                <w:rFonts w:ascii="Times New Roman" w:eastAsia="宋体" w:hAnsi="Times New Roman" w:cs="Times New Roman"/>
                <w:bCs/>
                <w:szCs w:val="21"/>
              </w:rPr>
              <w:t>项目所在地的土壤环境质量较好，均未超过《土壤环境质量农用地土壤污染风险管控标准（试行）》（</w:t>
            </w:r>
            <w:r>
              <w:rPr>
                <w:rFonts w:ascii="Times New Roman" w:eastAsia="宋体" w:hAnsi="Times New Roman" w:cs="Times New Roman"/>
                <w:bCs/>
                <w:szCs w:val="21"/>
              </w:rPr>
              <w:t>GB15618-2018</w:t>
            </w:r>
            <w:r>
              <w:rPr>
                <w:rFonts w:ascii="Times New Roman" w:eastAsia="宋体" w:hAnsi="Times New Roman" w:cs="Times New Roman"/>
                <w:bCs/>
                <w:szCs w:val="21"/>
              </w:rPr>
              <w:t>）和《土壤环境质量建设用地土壤污染风险管控标准（试行）》（</w:t>
            </w:r>
            <w:r>
              <w:rPr>
                <w:rFonts w:ascii="Times New Roman" w:eastAsia="宋体" w:hAnsi="Times New Roman" w:cs="Times New Roman"/>
                <w:bCs/>
                <w:szCs w:val="21"/>
              </w:rPr>
              <w:t>GB36600-2018</w:t>
            </w:r>
            <w:r>
              <w:rPr>
                <w:rFonts w:ascii="Times New Roman" w:eastAsia="宋体" w:hAnsi="Times New Roman" w:cs="Times New Roman"/>
                <w:bCs/>
                <w:szCs w:val="21"/>
              </w:rPr>
              <w:t>）中的土壤污染风险筛选值。</w:t>
            </w:r>
          </w:p>
        </w:tc>
        <w:tc>
          <w:tcPr>
            <w:tcW w:w="1090" w:type="dxa"/>
          </w:tcPr>
          <w:p w14:paraId="10AFEEA9"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285F7533" w14:textId="77777777">
        <w:trPr>
          <w:trHeight w:val="273"/>
          <w:jc w:val="center"/>
        </w:trPr>
        <w:tc>
          <w:tcPr>
            <w:tcW w:w="514" w:type="dxa"/>
            <w:vMerge w:val="restart"/>
            <w:vAlign w:val="center"/>
          </w:tcPr>
          <w:p w14:paraId="2F915C75"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影响预测</w:t>
            </w:r>
          </w:p>
        </w:tc>
        <w:tc>
          <w:tcPr>
            <w:tcW w:w="1788" w:type="dxa"/>
            <w:vAlign w:val="center"/>
          </w:tcPr>
          <w:p w14:paraId="7694B191"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预测因子</w:t>
            </w:r>
          </w:p>
        </w:tc>
        <w:tc>
          <w:tcPr>
            <w:tcW w:w="6523" w:type="dxa"/>
            <w:gridSpan w:val="6"/>
            <w:vAlign w:val="center"/>
          </w:tcPr>
          <w:p w14:paraId="416D094D"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BOD</w:t>
            </w:r>
            <w:r>
              <w:rPr>
                <w:rFonts w:ascii="Times New Roman" w:eastAsia="宋体" w:hAnsi="Times New Roman" w:cs="Times New Roman"/>
                <w:szCs w:val="21"/>
                <w:vertAlign w:val="subscript"/>
              </w:rPr>
              <w:t>5</w:t>
            </w:r>
          </w:p>
        </w:tc>
        <w:tc>
          <w:tcPr>
            <w:tcW w:w="1090" w:type="dxa"/>
          </w:tcPr>
          <w:p w14:paraId="0F0AB21B"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5F267794" w14:textId="77777777">
        <w:trPr>
          <w:trHeight w:val="302"/>
          <w:jc w:val="center"/>
        </w:trPr>
        <w:tc>
          <w:tcPr>
            <w:tcW w:w="514" w:type="dxa"/>
            <w:vMerge/>
            <w:vAlign w:val="center"/>
          </w:tcPr>
          <w:p w14:paraId="711FF2A0"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71ABE0CE"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预测方法</w:t>
            </w:r>
          </w:p>
        </w:tc>
        <w:tc>
          <w:tcPr>
            <w:tcW w:w="6523" w:type="dxa"/>
            <w:gridSpan w:val="6"/>
            <w:vAlign w:val="center"/>
          </w:tcPr>
          <w:p w14:paraId="69DC2243"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附录</w:t>
            </w:r>
            <w:r>
              <w:rPr>
                <w:rFonts w:ascii="Times New Roman" w:eastAsia="宋体" w:hAnsi="Times New Roman" w:cs="Times New Roman"/>
                <w:szCs w:val="21"/>
              </w:rPr>
              <w:t>E</w:t>
            </w:r>
            <w:r>
              <w:rPr>
                <w:rFonts w:ascii="Times New Roman" w:eastAsia="宋体" w:hAnsi="Times New Roman" w:cs="Times New Roman"/>
                <w:szCs w:val="21"/>
              </w:rPr>
              <w:sym w:font="Wingdings 2" w:char="F052"/>
            </w:r>
            <w:r>
              <w:rPr>
                <w:rFonts w:ascii="Times New Roman" w:eastAsia="宋体" w:hAnsi="Times New Roman" w:cs="Times New Roman"/>
                <w:szCs w:val="21"/>
              </w:rPr>
              <w:t>；附录</w:t>
            </w:r>
            <w:r>
              <w:rPr>
                <w:rFonts w:ascii="Times New Roman" w:eastAsia="宋体" w:hAnsi="Times New Roman" w:cs="Times New Roman"/>
                <w:szCs w:val="21"/>
              </w:rPr>
              <w:t>F</w:t>
            </w:r>
            <w:r>
              <w:rPr>
                <w:rFonts w:ascii="Times New Roman" w:eastAsia="宋体" w:hAnsi="Times New Roman" w:cs="Times New Roman"/>
                <w:bCs/>
                <w:szCs w:val="21"/>
              </w:rPr>
              <w:t>□</w:t>
            </w:r>
            <w:r>
              <w:rPr>
                <w:rFonts w:ascii="Times New Roman" w:eastAsia="宋体" w:hAnsi="Times New Roman" w:cs="Times New Roman"/>
                <w:szCs w:val="21"/>
              </w:rPr>
              <w:t>；其他（）</w:t>
            </w:r>
          </w:p>
        </w:tc>
        <w:tc>
          <w:tcPr>
            <w:tcW w:w="1090" w:type="dxa"/>
          </w:tcPr>
          <w:p w14:paraId="3D1B660B"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36F59403" w14:textId="77777777">
        <w:trPr>
          <w:trHeight w:val="1107"/>
          <w:jc w:val="center"/>
        </w:trPr>
        <w:tc>
          <w:tcPr>
            <w:tcW w:w="514" w:type="dxa"/>
            <w:vMerge/>
            <w:vAlign w:val="center"/>
          </w:tcPr>
          <w:p w14:paraId="61C662D2"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12CA0E60"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预测分析内容</w:t>
            </w:r>
          </w:p>
        </w:tc>
        <w:tc>
          <w:tcPr>
            <w:tcW w:w="6523" w:type="dxa"/>
            <w:gridSpan w:val="6"/>
            <w:vAlign w:val="center"/>
          </w:tcPr>
          <w:p w14:paraId="6C96248E"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影响范围（影响范围小，不会对敏感点造成影响）</w:t>
            </w:r>
          </w:p>
          <w:p w14:paraId="570557D1"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影响程度（污染物迁移深度浅，对土壤环境危害小，且垂直入渗不会对附近农用地造成影响。因此，污染物对土壤环境影响程度小）</w:t>
            </w:r>
          </w:p>
        </w:tc>
        <w:tc>
          <w:tcPr>
            <w:tcW w:w="1090" w:type="dxa"/>
          </w:tcPr>
          <w:p w14:paraId="0306CD10"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0ADBFB50" w14:textId="77777777">
        <w:trPr>
          <w:trHeight w:val="273"/>
          <w:jc w:val="center"/>
        </w:trPr>
        <w:tc>
          <w:tcPr>
            <w:tcW w:w="514" w:type="dxa"/>
            <w:vMerge/>
            <w:vAlign w:val="center"/>
          </w:tcPr>
          <w:p w14:paraId="063C0F96"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492EA577"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预测结论</w:t>
            </w:r>
          </w:p>
        </w:tc>
        <w:tc>
          <w:tcPr>
            <w:tcW w:w="6523" w:type="dxa"/>
            <w:gridSpan w:val="6"/>
            <w:vAlign w:val="center"/>
          </w:tcPr>
          <w:p w14:paraId="1D8E9402"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达标结论：</w:t>
            </w:r>
            <w:r>
              <w:rPr>
                <w:rFonts w:ascii="Times New Roman" w:eastAsia="宋体" w:hAnsi="Times New Roman" w:cs="Times New Roman"/>
                <w:szCs w:val="21"/>
              </w:rPr>
              <w:t>a)</w:t>
            </w:r>
            <w:r>
              <w:rPr>
                <w:rFonts w:ascii="Times New Roman" w:eastAsia="宋体" w:hAnsi="Times New Roman" w:cs="Times New Roman"/>
                <w:szCs w:val="21"/>
              </w:rPr>
              <w:sym w:font="Wingdings 2" w:char="F052"/>
            </w:r>
            <w:r>
              <w:rPr>
                <w:rFonts w:ascii="Times New Roman" w:eastAsia="宋体" w:hAnsi="Times New Roman" w:cs="Times New Roman"/>
                <w:szCs w:val="21"/>
              </w:rPr>
              <w:t>；</w:t>
            </w:r>
            <w:r>
              <w:rPr>
                <w:rFonts w:ascii="Times New Roman" w:eastAsia="宋体" w:hAnsi="Times New Roman" w:cs="Times New Roman"/>
                <w:szCs w:val="21"/>
              </w:rPr>
              <w:t>b</w:t>
            </w:r>
            <w:r>
              <w:rPr>
                <w:rFonts w:ascii="Times New Roman" w:eastAsia="宋体" w:hAnsi="Times New Roman" w:cs="Times New Roman"/>
                <w:szCs w:val="21"/>
              </w:rPr>
              <w:t>）</w:t>
            </w:r>
            <w:r>
              <w:rPr>
                <w:rFonts w:ascii="Times New Roman" w:eastAsia="宋体" w:hAnsi="Times New Roman" w:cs="Times New Roman"/>
                <w:bCs/>
                <w:szCs w:val="21"/>
              </w:rPr>
              <w:t>□</w:t>
            </w:r>
            <w:r>
              <w:rPr>
                <w:rFonts w:ascii="Times New Roman" w:eastAsia="宋体" w:hAnsi="Times New Roman" w:cs="Times New Roman"/>
                <w:szCs w:val="21"/>
              </w:rPr>
              <w:t>；</w:t>
            </w:r>
            <w:r>
              <w:rPr>
                <w:rFonts w:ascii="Times New Roman" w:eastAsia="宋体" w:hAnsi="Times New Roman" w:cs="Times New Roman"/>
                <w:szCs w:val="21"/>
              </w:rPr>
              <w:t xml:space="preserve">c </w:t>
            </w:r>
            <w:r>
              <w:rPr>
                <w:rFonts w:ascii="Times New Roman" w:eastAsia="宋体" w:hAnsi="Times New Roman" w:cs="Times New Roman"/>
                <w:bCs/>
                <w:szCs w:val="21"/>
              </w:rPr>
              <w:t>□</w:t>
            </w:r>
            <w:r>
              <w:rPr>
                <w:rFonts w:ascii="Times New Roman" w:eastAsia="宋体" w:hAnsi="Times New Roman" w:cs="Times New Roman"/>
                <w:szCs w:val="21"/>
              </w:rPr>
              <w:t>；</w:t>
            </w:r>
          </w:p>
          <w:p w14:paraId="01D0D909"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不达标结论：</w:t>
            </w:r>
            <w:r>
              <w:rPr>
                <w:rFonts w:ascii="Times New Roman" w:eastAsia="宋体" w:hAnsi="Times New Roman" w:cs="Times New Roman"/>
                <w:szCs w:val="21"/>
              </w:rPr>
              <w:t>a)</w:t>
            </w:r>
            <w:r>
              <w:rPr>
                <w:rFonts w:ascii="Times New Roman" w:eastAsia="宋体" w:hAnsi="Times New Roman" w:cs="Times New Roman"/>
                <w:bCs/>
                <w:szCs w:val="21"/>
              </w:rPr>
              <w:t xml:space="preserve"> □</w:t>
            </w:r>
            <w:r>
              <w:rPr>
                <w:rFonts w:ascii="Times New Roman" w:eastAsia="宋体" w:hAnsi="Times New Roman" w:cs="Times New Roman"/>
                <w:szCs w:val="21"/>
              </w:rPr>
              <w:t>；</w:t>
            </w:r>
            <w:r>
              <w:rPr>
                <w:rFonts w:ascii="Times New Roman" w:eastAsia="宋体" w:hAnsi="Times New Roman" w:cs="Times New Roman"/>
                <w:szCs w:val="21"/>
              </w:rPr>
              <w:t>b</w:t>
            </w:r>
            <w:r>
              <w:rPr>
                <w:rFonts w:ascii="Times New Roman" w:eastAsia="宋体" w:hAnsi="Times New Roman" w:cs="Times New Roman"/>
                <w:szCs w:val="21"/>
              </w:rPr>
              <w:t>）</w:t>
            </w:r>
            <w:r>
              <w:rPr>
                <w:rFonts w:ascii="Times New Roman" w:eastAsia="宋体" w:hAnsi="Times New Roman" w:cs="Times New Roman"/>
                <w:bCs/>
                <w:szCs w:val="21"/>
              </w:rPr>
              <w:t>□</w:t>
            </w:r>
            <w:r>
              <w:rPr>
                <w:rFonts w:ascii="Times New Roman" w:eastAsia="宋体" w:hAnsi="Times New Roman" w:cs="Times New Roman"/>
                <w:szCs w:val="21"/>
              </w:rPr>
              <w:t>；</w:t>
            </w:r>
            <w:r>
              <w:rPr>
                <w:rFonts w:ascii="Times New Roman" w:eastAsia="宋体" w:hAnsi="Times New Roman" w:cs="Times New Roman"/>
                <w:szCs w:val="21"/>
              </w:rPr>
              <w:t>c)</w:t>
            </w:r>
            <w:r>
              <w:rPr>
                <w:rFonts w:ascii="Times New Roman" w:eastAsia="宋体" w:hAnsi="Times New Roman" w:cs="Times New Roman"/>
                <w:bCs/>
                <w:szCs w:val="21"/>
              </w:rPr>
              <w:t xml:space="preserve"> □</w:t>
            </w:r>
            <w:r>
              <w:rPr>
                <w:rFonts w:ascii="Times New Roman" w:eastAsia="宋体" w:hAnsi="Times New Roman" w:cs="Times New Roman"/>
                <w:szCs w:val="21"/>
              </w:rPr>
              <w:t>；</w:t>
            </w:r>
          </w:p>
        </w:tc>
        <w:tc>
          <w:tcPr>
            <w:tcW w:w="1090" w:type="dxa"/>
          </w:tcPr>
          <w:p w14:paraId="4422EC9C"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50846093" w14:textId="77777777">
        <w:trPr>
          <w:trHeight w:val="546"/>
          <w:jc w:val="center"/>
        </w:trPr>
        <w:tc>
          <w:tcPr>
            <w:tcW w:w="514" w:type="dxa"/>
            <w:vMerge w:val="restart"/>
            <w:vAlign w:val="center"/>
          </w:tcPr>
          <w:p w14:paraId="3444DFFD"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防治措施</w:t>
            </w:r>
          </w:p>
        </w:tc>
        <w:tc>
          <w:tcPr>
            <w:tcW w:w="1788" w:type="dxa"/>
            <w:vAlign w:val="center"/>
          </w:tcPr>
          <w:p w14:paraId="5151C207"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防控措施</w:t>
            </w:r>
          </w:p>
        </w:tc>
        <w:tc>
          <w:tcPr>
            <w:tcW w:w="6523" w:type="dxa"/>
            <w:gridSpan w:val="6"/>
            <w:tcBorders>
              <w:bottom w:val="single" w:sz="4" w:space="0" w:color="auto"/>
            </w:tcBorders>
            <w:vAlign w:val="center"/>
          </w:tcPr>
          <w:p w14:paraId="488D6D92"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土壤环境质量现状保障</w:t>
            </w:r>
            <w:r>
              <w:rPr>
                <w:rFonts w:ascii="Times New Roman" w:eastAsia="宋体" w:hAnsi="Times New Roman" w:cs="Times New Roman"/>
                <w:szCs w:val="21"/>
              </w:rPr>
              <w:t>□</w:t>
            </w:r>
            <w:r>
              <w:rPr>
                <w:rFonts w:ascii="Times New Roman" w:eastAsia="宋体" w:hAnsi="Times New Roman" w:cs="Times New Roman"/>
                <w:szCs w:val="21"/>
              </w:rPr>
              <w:t>；源头控制</w:t>
            </w:r>
            <w:r>
              <w:rPr>
                <w:rFonts w:ascii="Times New Roman" w:eastAsia="宋体" w:hAnsi="Times New Roman" w:cs="Times New Roman"/>
                <w:szCs w:val="21"/>
              </w:rPr>
              <w:sym w:font="Wingdings 2" w:char="F052"/>
            </w:r>
            <w:r>
              <w:rPr>
                <w:rFonts w:ascii="Times New Roman" w:eastAsia="宋体" w:hAnsi="Times New Roman" w:cs="Times New Roman"/>
                <w:szCs w:val="21"/>
              </w:rPr>
              <w:t>；过程防控</w:t>
            </w:r>
            <w:r>
              <w:rPr>
                <w:rFonts w:ascii="Times New Roman" w:eastAsia="宋体" w:hAnsi="Times New Roman" w:cs="Times New Roman"/>
                <w:szCs w:val="21"/>
              </w:rPr>
              <w:sym w:font="Wingdings 2" w:char="F052"/>
            </w:r>
            <w:r>
              <w:rPr>
                <w:rFonts w:ascii="Times New Roman" w:eastAsia="宋体" w:hAnsi="Times New Roman" w:cs="Times New Roman"/>
                <w:szCs w:val="21"/>
              </w:rPr>
              <w:t>；其他（）</w:t>
            </w:r>
          </w:p>
        </w:tc>
        <w:tc>
          <w:tcPr>
            <w:tcW w:w="1090" w:type="dxa"/>
          </w:tcPr>
          <w:p w14:paraId="74B14A82"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552D2136" w14:textId="77777777">
        <w:trPr>
          <w:trHeight w:val="287"/>
          <w:jc w:val="center"/>
        </w:trPr>
        <w:tc>
          <w:tcPr>
            <w:tcW w:w="514" w:type="dxa"/>
            <w:vMerge/>
            <w:vAlign w:val="center"/>
          </w:tcPr>
          <w:p w14:paraId="0179D148"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Merge w:val="restart"/>
            <w:tcBorders>
              <w:right w:val="single" w:sz="4" w:space="0" w:color="auto"/>
            </w:tcBorders>
            <w:vAlign w:val="center"/>
          </w:tcPr>
          <w:p w14:paraId="395E5D85"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跟踪监测</w:t>
            </w:r>
          </w:p>
        </w:tc>
        <w:tc>
          <w:tcPr>
            <w:tcW w:w="2174" w:type="dxa"/>
            <w:gridSpan w:val="2"/>
            <w:tcBorders>
              <w:top w:val="single" w:sz="4" w:space="0" w:color="auto"/>
              <w:left w:val="single" w:sz="4" w:space="0" w:color="auto"/>
              <w:bottom w:val="single" w:sz="4" w:space="0" w:color="auto"/>
              <w:right w:val="single" w:sz="4" w:space="0" w:color="auto"/>
            </w:tcBorders>
            <w:vAlign w:val="center"/>
          </w:tcPr>
          <w:p w14:paraId="74369127"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监测点数</w:t>
            </w:r>
          </w:p>
        </w:tc>
        <w:tc>
          <w:tcPr>
            <w:tcW w:w="2174" w:type="dxa"/>
            <w:gridSpan w:val="2"/>
            <w:tcBorders>
              <w:top w:val="single" w:sz="4" w:space="0" w:color="auto"/>
              <w:left w:val="single" w:sz="4" w:space="0" w:color="auto"/>
              <w:bottom w:val="single" w:sz="4" w:space="0" w:color="auto"/>
              <w:right w:val="single" w:sz="4" w:space="0" w:color="auto"/>
            </w:tcBorders>
            <w:vAlign w:val="center"/>
          </w:tcPr>
          <w:p w14:paraId="6C6B88AA"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监测指标</w:t>
            </w:r>
          </w:p>
        </w:tc>
        <w:tc>
          <w:tcPr>
            <w:tcW w:w="2175" w:type="dxa"/>
            <w:gridSpan w:val="2"/>
            <w:tcBorders>
              <w:top w:val="single" w:sz="4" w:space="0" w:color="auto"/>
              <w:left w:val="single" w:sz="4" w:space="0" w:color="auto"/>
              <w:bottom w:val="single" w:sz="4" w:space="0" w:color="auto"/>
              <w:right w:val="single" w:sz="4" w:space="0" w:color="auto"/>
            </w:tcBorders>
            <w:vAlign w:val="center"/>
          </w:tcPr>
          <w:p w14:paraId="7466D991"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监测频次</w:t>
            </w:r>
          </w:p>
        </w:tc>
        <w:tc>
          <w:tcPr>
            <w:tcW w:w="1090" w:type="dxa"/>
            <w:vMerge w:val="restart"/>
            <w:tcBorders>
              <w:left w:val="single" w:sz="4" w:space="0" w:color="auto"/>
            </w:tcBorders>
          </w:tcPr>
          <w:p w14:paraId="28B57A9A"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41D9D758" w14:textId="77777777">
        <w:trPr>
          <w:trHeight w:val="287"/>
          <w:jc w:val="center"/>
        </w:trPr>
        <w:tc>
          <w:tcPr>
            <w:tcW w:w="514" w:type="dxa"/>
            <w:vMerge/>
            <w:vAlign w:val="center"/>
          </w:tcPr>
          <w:p w14:paraId="3F600875"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Merge/>
            <w:vAlign w:val="center"/>
          </w:tcPr>
          <w:p w14:paraId="6231434C" w14:textId="77777777" w:rsidR="00D12939" w:rsidRDefault="00D12939">
            <w:pPr>
              <w:widowControl/>
              <w:adjustRightInd w:val="0"/>
              <w:snapToGrid w:val="0"/>
              <w:jc w:val="center"/>
              <w:rPr>
                <w:rFonts w:ascii="Times New Roman" w:eastAsia="宋体" w:hAnsi="Times New Roman" w:cs="Times New Roman"/>
                <w:szCs w:val="21"/>
              </w:rPr>
            </w:pPr>
          </w:p>
        </w:tc>
        <w:tc>
          <w:tcPr>
            <w:tcW w:w="2174" w:type="dxa"/>
            <w:gridSpan w:val="2"/>
            <w:tcBorders>
              <w:top w:val="single" w:sz="4" w:space="0" w:color="auto"/>
            </w:tcBorders>
            <w:vAlign w:val="center"/>
          </w:tcPr>
          <w:p w14:paraId="16EFAFCD"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2174" w:type="dxa"/>
            <w:gridSpan w:val="2"/>
            <w:tcBorders>
              <w:top w:val="single" w:sz="4" w:space="0" w:color="auto"/>
            </w:tcBorders>
            <w:vAlign w:val="center"/>
          </w:tcPr>
          <w:p w14:paraId="04380240"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2175" w:type="dxa"/>
            <w:gridSpan w:val="2"/>
            <w:tcBorders>
              <w:top w:val="single" w:sz="4" w:space="0" w:color="auto"/>
              <w:right w:val="single" w:sz="4" w:space="0" w:color="auto"/>
            </w:tcBorders>
            <w:vAlign w:val="center"/>
          </w:tcPr>
          <w:p w14:paraId="73BAFC42"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1090" w:type="dxa"/>
            <w:vMerge/>
            <w:tcBorders>
              <w:left w:val="single" w:sz="4" w:space="0" w:color="auto"/>
            </w:tcBorders>
          </w:tcPr>
          <w:p w14:paraId="676C53DB"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5C37E542" w14:textId="77777777">
        <w:trPr>
          <w:trHeight w:val="287"/>
          <w:jc w:val="center"/>
        </w:trPr>
        <w:tc>
          <w:tcPr>
            <w:tcW w:w="514" w:type="dxa"/>
            <w:vMerge/>
            <w:vAlign w:val="center"/>
          </w:tcPr>
          <w:p w14:paraId="5D271C31" w14:textId="77777777" w:rsidR="00D12939" w:rsidRDefault="00D12939">
            <w:pPr>
              <w:widowControl/>
              <w:adjustRightInd w:val="0"/>
              <w:snapToGrid w:val="0"/>
              <w:jc w:val="center"/>
              <w:rPr>
                <w:rFonts w:ascii="Times New Roman" w:eastAsia="宋体" w:hAnsi="Times New Roman" w:cs="Times New Roman"/>
                <w:szCs w:val="21"/>
              </w:rPr>
            </w:pPr>
          </w:p>
        </w:tc>
        <w:tc>
          <w:tcPr>
            <w:tcW w:w="1788" w:type="dxa"/>
            <w:vAlign w:val="center"/>
          </w:tcPr>
          <w:p w14:paraId="407159BE"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信息公开指标</w:t>
            </w:r>
          </w:p>
        </w:tc>
        <w:tc>
          <w:tcPr>
            <w:tcW w:w="6523" w:type="dxa"/>
            <w:gridSpan w:val="6"/>
            <w:tcBorders>
              <w:right w:val="single" w:sz="4" w:space="0" w:color="auto"/>
            </w:tcBorders>
            <w:vAlign w:val="center"/>
          </w:tcPr>
          <w:p w14:paraId="578CB4F9"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w:t>
            </w:r>
          </w:p>
        </w:tc>
        <w:tc>
          <w:tcPr>
            <w:tcW w:w="1090" w:type="dxa"/>
            <w:vMerge/>
            <w:tcBorders>
              <w:left w:val="single" w:sz="4" w:space="0" w:color="auto"/>
            </w:tcBorders>
          </w:tcPr>
          <w:p w14:paraId="4C07A453"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75F357DB" w14:textId="77777777">
        <w:trPr>
          <w:trHeight w:val="546"/>
          <w:jc w:val="center"/>
        </w:trPr>
        <w:tc>
          <w:tcPr>
            <w:tcW w:w="2302" w:type="dxa"/>
            <w:gridSpan w:val="2"/>
            <w:vAlign w:val="center"/>
          </w:tcPr>
          <w:p w14:paraId="6762FE66"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评价结论</w:t>
            </w:r>
          </w:p>
        </w:tc>
        <w:tc>
          <w:tcPr>
            <w:tcW w:w="6523" w:type="dxa"/>
            <w:gridSpan w:val="6"/>
            <w:vAlign w:val="center"/>
          </w:tcPr>
          <w:p w14:paraId="5BC67EB2"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在做好源头和过程防控，并做好防渗的情况，本项目建设对土壤环境影响较小。</w:t>
            </w:r>
          </w:p>
        </w:tc>
        <w:tc>
          <w:tcPr>
            <w:tcW w:w="1090" w:type="dxa"/>
          </w:tcPr>
          <w:p w14:paraId="68F7653A" w14:textId="77777777" w:rsidR="00D12939" w:rsidRDefault="00D12939">
            <w:pPr>
              <w:widowControl/>
              <w:adjustRightInd w:val="0"/>
              <w:snapToGrid w:val="0"/>
              <w:jc w:val="left"/>
              <w:rPr>
                <w:rFonts w:ascii="Times New Roman" w:eastAsia="宋体" w:hAnsi="Times New Roman" w:cs="Times New Roman"/>
                <w:szCs w:val="21"/>
              </w:rPr>
            </w:pPr>
          </w:p>
        </w:tc>
      </w:tr>
      <w:tr w:rsidR="00D12939" w14:paraId="7178E51B" w14:textId="77777777">
        <w:trPr>
          <w:trHeight w:val="273"/>
          <w:jc w:val="center"/>
        </w:trPr>
        <w:tc>
          <w:tcPr>
            <w:tcW w:w="9915" w:type="dxa"/>
            <w:gridSpan w:val="9"/>
            <w:vAlign w:val="center"/>
          </w:tcPr>
          <w:p w14:paraId="137E5B15"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注</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bCs/>
                <w:szCs w:val="21"/>
              </w:rPr>
              <w:t>□</w:t>
            </w:r>
            <w:r>
              <w:rPr>
                <w:rFonts w:ascii="Times New Roman" w:eastAsia="宋体" w:hAnsi="Times New Roman" w:cs="Times New Roman"/>
                <w:szCs w:val="21"/>
              </w:rPr>
              <w:t>”</w:t>
            </w:r>
            <w:r>
              <w:rPr>
                <w:rFonts w:ascii="Times New Roman" w:eastAsia="宋体" w:hAnsi="Times New Roman" w:cs="Times New Roman"/>
                <w:szCs w:val="21"/>
              </w:rPr>
              <w:t>为勾选项，可</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w:t>
            </w:r>
            <w:r>
              <w:rPr>
                <w:rFonts w:ascii="Times New Roman" w:eastAsia="宋体" w:hAnsi="Times New Roman" w:cs="Times New Roman"/>
                <w:szCs w:val="21"/>
              </w:rPr>
              <w:t>为内容填写项；</w:t>
            </w:r>
            <w:r>
              <w:rPr>
                <w:rFonts w:ascii="Times New Roman" w:eastAsia="宋体" w:hAnsi="Times New Roman" w:cs="Times New Roman"/>
                <w:szCs w:val="21"/>
              </w:rPr>
              <w:t>“</w:t>
            </w:r>
            <w:r>
              <w:rPr>
                <w:rFonts w:ascii="Times New Roman" w:eastAsia="宋体" w:hAnsi="Times New Roman" w:cs="Times New Roman"/>
                <w:szCs w:val="21"/>
              </w:rPr>
              <w:t>备注</w:t>
            </w:r>
            <w:r>
              <w:rPr>
                <w:rFonts w:ascii="Times New Roman" w:eastAsia="宋体" w:hAnsi="Times New Roman" w:cs="Times New Roman"/>
                <w:szCs w:val="21"/>
              </w:rPr>
              <w:t>”</w:t>
            </w:r>
            <w:r>
              <w:rPr>
                <w:rFonts w:ascii="Times New Roman" w:eastAsia="宋体" w:hAnsi="Times New Roman" w:cs="Times New Roman"/>
                <w:szCs w:val="21"/>
              </w:rPr>
              <w:t>为其他补充内容</w:t>
            </w:r>
          </w:p>
        </w:tc>
      </w:tr>
      <w:tr w:rsidR="00D12939" w14:paraId="29432D99" w14:textId="77777777">
        <w:trPr>
          <w:trHeight w:val="273"/>
          <w:jc w:val="center"/>
        </w:trPr>
        <w:tc>
          <w:tcPr>
            <w:tcW w:w="9915" w:type="dxa"/>
            <w:gridSpan w:val="9"/>
            <w:vAlign w:val="center"/>
          </w:tcPr>
          <w:p w14:paraId="45FA2AA7" w14:textId="77777777" w:rsidR="00D12939" w:rsidRDefault="004F47F5">
            <w:pPr>
              <w:widowControl/>
              <w:adjustRightInd w:val="0"/>
              <w:snapToGrid w:val="0"/>
              <w:jc w:val="left"/>
              <w:rPr>
                <w:rFonts w:ascii="Times New Roman" w:eastAsia="宋体" w:hAnsi="Times New Roman" w:cs="Times New Roman"/>
                <w:szCs w:val="21"/>
              </w:rPr>
            </w:pPr>
            <w:r>
              <w:rPr>
                <w:rFonts w:ascii="Times New Roman" w:eastAsia="宋体" w:hAnsi="Times New Roman" w:cs="Times New Roman"/>
                <w:szCs w:val="21"/>
              </w:rPr>
              <w:t>注</w:t>
            </w:r>
            <w:r>
              <w:rPr>
                <w:rFonts w:ascii="Times New Roman" w:eastAsia="宋体" w:hAnsi="Times New Roman" w:cs="Times New Roman"/>
                <w:szCs w:val="21"/>
              </w:rPr>
              <w:t>2</w:t>
            </w:r>
            <w:r>
              <w:rPr>
                <w:rFonts w:ascii="Times New Roman" w:eastAsia="宋体" w:hAnsi="Times New Roman" w:cs="Times New Roman"/>
                <w:szCs w:val="21"/>
              </w:rPr>
              <w:t>；需要分别开展土壤环境影响评价工作的，分别填写自查表</w:t>
            </w:r>
          </w:p>
        </w:tc>
      </w:tr>
    </w:tbl>
    <w:p w14:paraId="113913C3" w14:textId="77777777" w:rsidR="00D12939" w:rsidRDefault="004F47F5">
      <w:pPr>
        <w:pStyle w:val="2"/>
        <w:spacing w:line="360" w:lineRule="auto"/>
        <w:ind w:firstLine="560"/>
        <w:rPr>
          <w:sz w:val="28"/>
        </w:rPr>
      </w:pPr>
      <w:bookmarkStart w:id="525" w:name="_Toc121411786"/>
      <w:r>
        <w:rPr>
          <w:sz w:val="28"/>
        </w:rPr>
        <w:t>7.6</w:t>
      </w:r>
      <w:r>
        <w:rPr>
          <w:rFonts w:hint="eastAsia"/>
          <w:sz w:val="28"/>
        </w:rPr>
        <w:t>固体废物环境影响</w:t>
      </w:r>
      <w:bookmarkEnd w:id="525"/>
    </w:p>
    <w:p w14:paraId="55B7D6C3"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本项目产生的固体废物主要是生活垃圾、污水处理产生的污泥、废机油、渗滤液处理站废膜、污水处理药品和除臭剂废包装等。</w:t>
      </w:r>
    </w:p>
    <w:p w14:paraId="08B6D627"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）生活垃圾</w:t>
      </w:r>
    </w:p>
    <w:p w14:paraId="69424B71"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本项目劳动定员</w:t>
      </w:r>
      <w:r>
        <w:rPr>
          <w:rFonts w:ascii="Times New Roman" w:eastAsia="宋体" w:hAnsi="Times New Roman" w:cs="Times New Roman"/>
          <w:kern w:val="0"/>
          <w:sz w:val="24"/>
          <w:szCs w:val="24"/>
        </w:rPr>
        <w:t>16</w:t>
      </w:r>
      <w:r>
        <w:rPr>
          <w:rFonts w:ascii="Times New Roman" w:eastAsia="宋体" w:hAnsi="Times New Roman" w:cs="Times New Roman"/>
          <w:kern w:val="0"/>
          <w:sz w:val="24"/>
          <w:szCs w:val="24"/>
        </w:rPr>
        <w:t>人，按每人每天产生生活垃圾</w:t>
      </w:r>
      <w:r>
        <w:rPr>
          <w:rFonts w:ascii="Times New Roman" w:eastAsia="宋体" w:hAnsi="Times New Roman" w:cs="Times New Roman"/>
          <w:kern w:val="0"/>
          <w:sz w:val="24"/>
          <w:szCs w:val="24"/>
        </w:rPr>
        <w:t xml:space="preserve">0.5kg </w:t>
      </w:r>
      <w:r>
        <w:rPr>
          <w:rFonts w:ascii="Times New Roman" w:eastAsia="宋体" w:hAnsi="Times New Roman" w:cs="Times New Roman"/>
          <w:kern w:val="0"/>
          <w:sz w:val="24"/>
          <w:szCs w:val="24"/>
        </w:rPr>
        <w:t>计，则垃圾产生量为</w:t>
      </w:r>
      <w:r>
        <w:rPr>
          <w:rFonts w:ascii="Times New Roman" w:eastAsia="宋体" w:hAnsi="Times New Roman" w:cs="Times New Roman"/>
          <w:kern w:val="0"/>
          <w:sz w:val="24"/>
          <w:szCs w:val="24"/>
        </w:rPr>
        <w:t>2.92t/a</w:t>
      </w:r>
      <w:r>
        <w:rPr>
          <w:rFonts w:ascii="Times New Roman" w:eastAsia="宋体" w:hAnsi="Times New Roman" w:cs="Times New Roman"/>
          <w:kern w:val="0"/>
          <w:sz w:val="24"/>
          <w:szCs w:val="24"/>
        </w:rPr>
        <w:t>，分类收集后直接运至本项目填埋区进行填埋。</w:t>
      </w:r>
    </w:p>
    <w:p w14:paraId="2F550D83"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）污泥</w:t>
      </w:r>
    </w:p>
    <w:p w14:paraId="6CF41DCC" w14:textId="6CDF60B0"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渗滤液处理系统会产生污泥，污泥经厢式隔膜压滤脱水机进行脱水，</w:t>
      </w:r>
      <w:r w:rsidR="0066242E">
        <w:rPr>
          <w:rFonts w:ascii="Times New Roman" w:eastAsia="宋体" w:hAnsi="Times New Roman" w:cs="Times New Roman" w:hint="eastAsia"/>
          <w:kern w:val="0"/>
          <w:sz w:val="24"/>
          <w:szCs w:val="24"/>
        </w:rPr>
        <w:t>产生的废水返回渗滤液处理车间进行处理，</w:t>
      </w:r>
      <w:r>
        <w:rPr>
          <w:rFonts w:ascii="Times New Roman" w:eastAsia="宋体" w:hAnsi="Times New Roman" w:cs="Times New Roman"/>
          <w:kern w:val="0"/>
          <w:sz w:val="24"/>
          <w:szCs w:val="24"/>
        </w:rPr>
        <w:t>脱水后为含水率约</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的泥饼，运至本项目填埋区卫生填埋，每年产生的脱水污泥约为</w:t>
      </w:r>
      <w:r>
        <w:rPr>
          <w:rFonts w:ascii="Times New Roman" w:eastAsia="宋体" w:hAnsi="Times New Roman" w:cs="Times New Roman"/>
          <w:kern w:val="0"/>
          <w:sz w:val="24"/>
          <w:szCs w:val="24"/>
        </w:rPr>
        <w:t>88.97t/a</w:t>
      </w:r>
      <w:r>
        <w:rPr>
          <w:rFonts w:ascii="Times New Roman" w:eastAsia="宋体" w:hAnsi="Times New Roman" w:cs="Times New Roman"/>
          <w:kern w:val="0"/>
          <w:sz w:val="24"/>
          <w:szCs w:val="24"/>
        </w:rPr>
        <w:t>（含水率约</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w:t>
      </w:r>
    </w:p>
    <w:p w14:paraId="3A8B9497"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）废机油</w:t>
      </w:r>
    </w:p>
    <w:p w14:paraId="17D02CF0"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本项目运营期在垃圾填埋和污水处理等过程中使用较多的机械设备，需要定期进行维修和保养，保持设备较好的工作状态，降低噪声等污染，过程中会产生废机油等，属于危险废物（</w:t>
      </w:r>
      <w:r>
        <w:rPr>
          <w:rFonts w:ascii="Times New Roman" w:eastAsia="宋体" w:hAnsi="Times New Roman" w:cs="Times New Roman"/>
          <w:kern w:val="0"/>
          <w:sz w:val="24"/>
          <w:szCs w:val="24"/>
        </w:rPr>
        <w:t>HW08 900-214-08</w:t>
      </w:r>
      <w:r>
        <w:rPr>
          <w:rFonts w:ascii="Times New Roman" w:eastAsia="宋体" w:hAnsi="Times New Roman" w:cs="Times New Roman"/>
          <w:kern w:val="0"/>
          <w:sz w:val="24"/>
          <w:szCs w:val="24"/>
        </w:rPr>
        <w:t>），产生量约为</w:t>
      </w:r>
      <w:r>
        <w:rPr>
          <w:rFonts w:ascii="Times New Roman" w:eastAsia="宋体" w:hAnsi="Times New Roman" w:cs="Times New Roman"/>
          <w:kern w:val="0"/>
          <w:sz w:val="24"/>
          <w:szCs w:val="24"/>
        </w:rPr>
        <w:t>0.5t/a</w:t>
      </w:r>
      <w:r>
        <w:rPr>
          <w:rFonts w:ascii="Times New Roman" w:eastAsia="宋体" w:hAnsi="Times New Roman" w:cs="Times New Roman"/>
          <w:kern w:val="0"/>
          <w:sz w:val="24"/>
          <w:szCs w:val="24"/>
        </w:rPr>
        <w:t>，收集后暂存于危废暂存间，定期交由有资质单位处置。</w:t>
      </w:r>
    </w:p>
    <w:p w14:paraId="2858C2FD"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）污水处理药品和除臭、杀虫剂等废包装瓶（袋）</w:t>
      </w:r>
    </w:p>
    <w:p w14:paraId="703D288B"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项目在污水处理时用到化学药剂和填埋区域除臭杀虫等用到相关药剂的包装属于危废，产生量为</w:t>
      </w:r>
      <w:r>
        <w:rPr>
          <w:rFonts w:ascii="Times New Roman" w:eastAsia="宋体" w:hAnsi="Times New Roman" w:cs="Times New Roman"/>
          <w:kern w:val="0"/>
          <w:sz w:val="24"/>
          <w:szCs w:val="24"/>
        </w:rPr>
        <w:t>2.5t/a</w:t>
      </w:r>
      <w:r>
        <w:rPr>
          <w:rFonts w:ascii="Times New Roman" w:eastAsia="宋体" w:hAnsi="Times New Roman" w:cs="Times New Roman"/>
          <w:kern w:val="0"/>
          <w:sz w:val="24"/>
          <w:szCs w:val="24"/>
        </w:rPr>
        <w:t>，属于危废（</w:t>
      </w:r>
      <w:r>
        <w:rPr>
          <w:rFonts w:ascii="Times New Roman" w:eastAsia="宋体" w:hAnsi="Times New Roman" w:cs="Times New Roman"/>
          <w:kern w:val="0"/>
          <w:sz w:val="24"/>
          <w:szCs w:val="24"/>
        </w:rPr>
        <w:t>HW49 900-041-49</w:t>
      </w:r>
      <w:r>
        <w:rPr>
          <w:rFonts w:ascii="Times New Roman" w:eastAsia="宋体" w:hAnsi="Times New Roman" w:cs="Times New Roman"/>
          <w:kern w:val="0"/>
          <w:sz w:val="24"/>
          <w:szCs w:val="24"/>
        </w:rPr>
        <w:t>），收集后暂存于危废暂存间，定期交由有资质单位处置。</w:t>
      </w:r>
    </w:p>
    <w:p w14:paraId="75494505"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w:t>
      </w:r>
      <w:r>
        <w:rPr>
          <w:rFonts w:ascii="Times New Roman" w:eastAsia="宋体" w:hAnsi="Times New Roman" w:cs="Times New Roman"/>
          <w:kern w:val="0"/>
          <w:sz w:val="24"/>
          <w:szCs w:val="24"/>
        </w:rPr>
        <w:t>）渗滤液处理站废膜</w:t>
      </w:r>
    </w:p>
    <w:p w14:paraId="16E9B9A5"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本项目渗滤液处理系统的处理工艺采用</w:t>
      </w:r>
      <w:r>
        <w:rPr>
          <w:rFonts w:ascii="Times New Roman" w:eastAsia="宋体" w:hAnsi="Times New Roman" w:cs="Times New Roman"/>
          <w:sz w:val="24"/>
          <w:szCs w:val="24"/>
        </w:rPr>
        <w:t>“</w:t>
      </w:r>
      <w:r>
        <w:rPr>
          <w:rFonts w:ascii="Times New Roman" w:eastAsia="宋体" w:hAnsi="Times New Roman" w:cs="Times New Roman"/>
          <w:sz w:val="24"/>
          <w:szCs w:val="24"/>
        </w:rPr>
        <w:t>预处理</w:t>
      </w:r>
      <w:r>
        <w:rPr>
          <w:rFonts w:ascii="Times New Roman" w:eastAsia="宋体" w:hAnsi="Times New Roman" w:cs="Times New Roman"/>
          <w:sz w:val="24"/>
          <w:szCs w:val="24"/>
        </w:rPr>
        <w:t>-</w:t>
      </w:r>
      <w:r>
        <w:rPr>
          <w:rFonts w:ascii="Times New Roman" w:eastAsia="宋体" w:hAnsi="Times New Roman" w:cs="Times New Roman"/>
          <w:sz w:val="24"/>
          <w:szCs w:val="24"/>
        </w:rPr>
        <w:t>一体化反应池</w:t>
      </w:r>
      <w:r>
        <w:rPr>
          <w:rFonts w:ascii="Times New Roman" w:eastAsia="宋体" w:hAnsi="Times New Roman" w:cs="Times New Roman"/>
          <w:sz w:val="24"/>
          <w:szCs w:val="24"/>
        </w:rPr>
        <w:t>-</w:t>
      </w:r>
      <w:r>
        <w:rPr>
          <w:rFonts w:ascii="Times New Roman" w:eastAsia="宋体" w:hAnsi="Times New Roman" w:cs="Times New Roman"/>
          <w:sz w:val="24"/>
          <w:szCs w:val="24"/>
        </w:rPr>
        <w:t>气浮</w:t>
      </w:r>
      <w:r>
        <w:rPr>
          <w:rFonts w:ascii="Times New Roman" w:eastAsia="宋体" w:hAnsi="Times New Roman" w:cs="Times New Roman"/>
          <w:sz w:val="24"/>
          <w:szCs w:val="24"/>
        </w:rPr>
        <w:t>-</w:t>
      </w:r>
      <w:r>
        <w:rPr>
          <w:rFonts w:ascii="Times New Roman" w:eastAsia="宋体" w:hAnsi="Times New Roman" w:cs="Times New Roman"/>
          <w:sz w:val="24"/>
          <w:szCs w:val="24"/>
        </w:rPr>
        <w:t>斜板沉淀</w:t>
      </w:r>
      <w:r>
        <w:rPr>
          <w:rFonts w:ascii="Times New Roman" w:eastAsia="宋体" w:hAnsi="Times New Roman" w:cs="Times New Roman"/>
          <w:sz w:val="24"/>
          <w:szCs w:val="24"/>
        </w:rPr>
        <w:t>-A</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/O-MBR</w:t>
      </w:r>
      <w:r>
        <w:rPr>
          <w:rFonts w:ascii="Times New Roman" w:eastAsia="宋体" w:hAnsi="Times New Roman" w:cs="Times New Roman"/>
          <w:sz w:val="24"/>
          <w:szCs w:val="24"/>
        </w:rPr>
        <w:t>膜池</w:t>
      </w:r>
      <w:r>
        <w:rPr>
          <w:rFonts w:ascii="Times New Roman" w:eastAsia="宋体" w:hAnsi="Times New Roman" w:cs="Times New Roman"/>
          <w:sz w:val="24"/>
          <w:szCs w:val="24"/>
        </w:rPr>
        <w:t>-</w:t>
      </w:r>
      <w:r>
        <w:rPr>
          <w:rFonts w:ascii="Times New Roman" w:eastAsia="宋体" w:hAnsi="Times New Roman" w:cs="Times New Roman"/>
          <w:sz w:val="24"/>
          <w:szCs w:val="24"/>
        </w:rPr>
        <w:t>纳滤</w:t>
      </w:r>
      <w:r>
        <w:rPr>
          <w:rFonts w:ascii="Times New Roman" w:eastAsia="宋体" w:hAnsi="Times New Roman" w:cs="Times New Roman"/>
          <w:sz w:val="24"/>
          <w:szCs w:val="24"/>
        </w:rPr>
        <w:t>-</w:t>
      </w:r>
      <w:r>
        <w:rPr>
          <w:rFonts w:ascii="Times New Roman" w:eastAsia="宋体" w:hAnsi="Times New Roman" w:cs="Times New Roman"/>
          <w:sz w:val="24"/>
          <w:szCs w:val="24"/>
        </w:rPr>
        <w:t>反渗透</w:t>
      </w:r>
      <w:r>
        <w:rPr>
          <w:rFonts w:ascii="Times New Roman" w:eastAsia="宋体" w:hAnsi="Times New Roman" w:cs="Times New Roman"/>
          <w:sz w:val="24"/>
          <w:szCs w:val="24"/>
        </w:rPr>
        <w:t>”</w:t>
      </w:r>
      <w:r>
        <w:rPr>
          <w:rFonts w:ascii="Times New Roman" w:eastAsia="宋体" w:hAnsi="Times New Roman" w:cs="Times New Roman"/>
          <w:sz w:val="24"/>
          <w:szCs w:val="24"/>
        </w:rPr>
        <w:t>，虽定期进行膜的反冲洗以提高处理效率，但经一段时间污水处理后膜会失效，一般</w:t>
      </w:r>
      <w:r>
        <w:rPr>
          <w:rFonts w:ascii="Times New Roman" w:eastAsia="宋体" w:hAnsi="Times New Roman" w:cs="Times New Roman"/>
          <w:sz w:val="24"/>
          <w:szCs w:val="24"/>
        </w:rPr>
        <w:t xml:space="preserve">3~5 </w:t>
      </w:r>
      <w:r>
        <w:rPr>
          <w:rFonts w:ascii="Times New Roman" w:eastAsia="宋体" w:hAnsi="Times New Roman" w:cs="Times New Roman"/>
          <w:sz w:val="24"/>
          <w:szCs w:val="24"/>
        </w:rPr>
        <w:t>年更换一次，产生量为</w:t>
      </w:r>
      <w:r>
        <w:rPr>
          <w:rFonts w:ascii="Times New Roman" w:eastAsia="宋体" w:hAnsi="Times New Roman" w:cs="Times New Roman"/>
          <w:sz w:val="24"/>
          <w:szCs w:val="24"/>
        </w:rPr>
        <w:t>0.5t/</w:t>
      </w:r>
      <w:r>
        <w:rPr>
          <w:rFonts w:ascii="Times New Roman" w:eastAsia="宋体" w:hAnsi="Times New Roman" w:cs="Times New Roman"/>
          <w:sz w:val="24"/>
          <w:szCs w:val="24"/>
        </w:rPr>
        <w:t>次，属于危废，</w:t>
      </w:r>
      <w:r>
        <w:rPr>
          <w:rFonts w:ascii="Times New Roman" w:eastAsia="宋体" w:hAnsi="Times New Roman" w:cs="Times New Roman"/>
          <w:kern w:val="0"/>
          <w:sz w:val="24"/>
          <w:szCs w:val="24"/>
        </w:rPr>
        <w:t>收集后暂存于危废暂存间</w:t>
      </w:r>
      <w:r>
        <w:rPr>
          <w:rFonts w:ascii="Times New Roman" w:eastAsia="宋体" w:hAnsi="Times New Roman" w:cs="Times New Roman"/>
          <w:sz w:val="24"/>
          <w:szCs w:val="24"/>
        </w:rPr>
        <w:t>，定期交由有资质单位处置。</w:t>
      </w:r>
    </w:p>
    <w:p w14:paraId="1F83A6E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本项目固体废物产生量及处置措施见表</w:t>
      </w:r>
      <w:r>
        <w:rPr>
          <w:rFonts w:ascii="Times New Roman" w:eastAsia="宋体" w:hAnsi="Times New Roman" w:cs="Times New Roman"/>
          <w:sz w:val="24"/>
          <w:szCs w:val="24"/>
        </w:rPr>
        <w:t>7.6-1</w:t>
      </w:r>
      <w:r>
        <w:rPr>
          <w:rFonts w:ascii="Times New Roman" w:eastAsia="宋体" w:hAnsi="Times New Roman" w:cs="Times New Roman"/>
          <w:sz w:val="24"/>
          <w:szCs w:val="24"/>
        </w:rPr>
        <w:t>。</w:t>
      </w:r>
    </w:p>
    <w:p w14:paraId="18A72CC9" w14:textId="77777777" w:rsidR="00D12939" w:rsidRDefault="004F47F5">
      <w:pPr>
        <w:pStyle w:val="a5"/>
        <w:ind w:firstLine="480"/>
        <w:rPr>
          <w:rFonts w:ascii="黑体" w:eastAsia="黑体" w:hAnsi="黑体"/>
          <w:sz w:val="24"/>
          <w:szCs w:val="21"/>
        </w:rPr>
      </w:pPr>
      <w:r>
        <w:rPr>
          <w:rFonts w:ascii="黑体" w:eastAsia="黑体" w:hAnsi="黑体"/>
          <w:sz w:val="24"/>
          <w:szCs w:val="21"/>
        </w:rPr>
        <w:t>表7.6-1      本项目固体废弃物产生一览表</w:t>
      </w:r>
    </w:p>
    <w:tbl>
      <w:tblPr>
        <w:tblStyle w:val="afff8"/>
        <w:tblW w:w="9776" w:type="dxa"/>
        <w:tblLook w:val="04A0" w:firstRow="1" w:lastRow="0" w:firstColumn="1" w:lastColumn="0" w:noHBand="0" w:noVBand="1"/>
      </w:tblPr>
      <w:tblGrid>
        <w:gridCol w:w="556"/>
        <w:gridCol w:w="1108"/>
        <w:gridCol w:w="699"/>
        <w:gridCol w:w="1252"/>
        <w:gridCol w:w="1767"/>
        <w:gridCol w:w="709"/>
        <w:gridCol w:w="1176"/>
        <w:gridCol w:w="846"/>
        <w:gridCol w:w="1663"/>
      </w:tblGrid>
      <w:tr w:rsidR="00D12939" w14:paraId="67D43CE0" w14:textId="77777777">
        <w:tc>
          <w:tcPr>
            <w:tcW w:w="556" w:type="dxa"/>
            <w:vAlign w:val="center"/>
          </w:tcPr>
          <w:p w14:paraId="606DE353"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序号</w:t>
            </w:r>
          </w:p>
        </w:tc>
        <w:tc>
          <w:tcPr>
            <w:tcW w:w="1108" w:type="dxa"/>
            <w:vAlign w:val="center"/>
          </w:tcPr>
          <w:p w14:paraId="72B6CBDA"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废物名称</w:t>
            </w:r>
          </w:p>
        </w:tc>
        <w:tc>
          <w:tcPr>
            <w:tcW w:w="699" w:type="dxa"/>
            <w:vAlign w:val="center"/>
          </w:tcPr>
          <w:p w14:paraId="69B76F31"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属性</w:t>
            </w:r>
          </w:p>
        </w:tc>
        <w:tc>
          <w:tcPr>
            <w:tcW w:w="1252" w:type="dxa"/>
            <w:vAlign w:val="center"/>
          </w:tcPr>
          <w:p w14:paraId="3D319486"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危废代码</w:t>
            </w:r>
          </w:p>
        </w:tc>
        <w:tc>
          <w:tcPr>
            <w:tcW w:w="1767" w:type="dxa"/>
            <w:vAlign w:val="center"/>
          </w:tcPr>
          <w:p w14:paraId="321BBDD6"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产生工序</w:t>
            </w:r>
          </w:p>
        </w:tc>
        <w:tc>
          <w:tcPr>
            <w:tcW w:w="709" w:type="dxa"/>
            <w:vAlign w:val="center"/>
          </w:tcPr>
          <w:p w14:paraId="6D4E7675"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形态</w:t>
            </w:r>
          </w:p>
        </w:tc>
        <w:tc>
          <w:tcPr>
            <w:tcW w:w="1176" w:type="dxa"/>
            <w:vAlign w:val="center"/>
          </w:tcPr>
          <w:p w14:paraId="76235DC9"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主要成分</w:t>
            </w:r>
          </w:p>
        </w:tc>
        <w:tc>
          <w:tcPr>
            <w:tcW w:w="846" w:type="dxa"/>
            <w:vAlign w:val="center"/>
          </w:tcPr>
          <w:p w14:paraId="45D1EED1"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产生量</w:t>
            </w:r>
            <w:r>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t/a</w:t>
            </w:r>
            <w:r>
              <w:rPr>
                <w:rFonts w:ascii="Times New Roman" w:eastAsia="宋体" w:hAnsi="Times New Roman" w:cs="Times New Roman" w:hint="eastAsia"/>
                <w:kern w:val="0"/>
                <w:szCs w:val="21"/>
              </w:rPr>
              <w:t>）</w:t>
            </w:r>
          </w:p>
        </w:tc>
        <w:tc>
          <w:tcPr>
            <w:tcW w:w="1663" w:type="dxa"/>
            <w:vAlign w:val="center"/>
          </w:tcPr>
          <w:p w14:paraId="21C39913"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利用处置方式</w:t>
            </w:r>
          </w:p>
        </w:tc>
      </w:tr>
      <w:tr w:rsidR="00D12939" w14:paraId="2988A7F4" w14:textId="77777777">
        <w:tc>
          <w:tcPr>
            <w:tcW w:w="556" w:type="dxa"/>
            <w:vAlign w:val="center"/>
          </w:tcPr>
          <w:p w14:paraId="5430487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w:t>
            </w:r>
          </w:p>
        </w:tc>
        <w:tc>
          <w:tcPr>
            <w:tcW w:w="1108" w:type="dxa"/>
            <w:vAlign w:val="center"/>
          </w:tcPr>
          <w:p w14:paraId="5B582CE8"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生活垃圾</w:t>
            </w:r>
          </w:p>
        </w:tc>
        <w:tc>
          <w:tcPr>
            <w:tcW w:w="699" w:type="dxa"/>
            <w:vMerge w:val="restart"/>
            <w:vAlign w:val="center"/>
          </w:tcPr>
          <w:p w14:paraId="60BFA4E9"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一般固废</w:t>
            </w:r>
          </w:p>
        </w:tc>
        <w:tc>
          <w:tcPr>
            <w:tcW w:w="1252" w:type="dxa"/>
            <w:vAlign w:val="center"/>
          </w:tcPr>
          <w:p w14:paraId="33265650"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1767" w:type="dxa"/>
            <w:vAlign w:val="center"/>
          </w:tcPr>
          <w:p w14:paraId="60CA0278"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管理区</w:t>
            </w:r>
          </w:p>
        </w:tc>
        <w:tc>
          <w:tcPr>
            <w:tcW w:w="709" w:type="dxa"/>
            <w:vAlign w:val="center"/>
          </w:tcPr>
          <w:p w14:paraId="40CD9367"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固态</w:t>
            </w:r>
          </w:p>
        </w:tc>
        <w:tc>
          <w:tcPr>
            <w:tcW w:w="1176" w:type="dxa"/>
            <w:vAlign w:val="center"/>
          </w:tcPr>
          <w:p w14:paraId="299CC025"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纸张、瓜果皮等</w:t>
            </w:r>
          </w:p>
        </w:tc>
        <w:tc>
          <w:tcPr>
            <w:tcW w:w="846" w:type="dxa"/>
            <w:vAlign w:val="center"/>
          </w:tcPr>
          <w:p w14:paraId="7D840A3A"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w:t>
            </w:r>
            <w:r>
              <w:rPr>
                <w:rFonts w:ascii="Times New Roman" w:eastAsia="宋体" w:hAnsi="Times New Roman" w:cs="Times New Roman"/>
                <w:kern w:val="0"/>
                <w:szCs w:val="21"/>
              </w:rPr>
              <w:t>.92</w:t>
            </w:r>
          </w:p>
        </w:tc>
        <w:tc>
          <w:tcPr>
            <w:tcW w:w="1663" w:type="dxa"/>
            <w:vAlign w:val="center"/>
          </w:tcPr>
          <w:p w14:paraId="4D895B8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收集后运至填埋区卫生填埋</w:t>
            </w:r>
          </w:p>
        </w:tc>
      </w:tr>
      <w:tr w:rsidR="00D12939" w14:paraId="70596498" w14:textId="77777777">
        <w:tc>
          <w:tcPr>
            <w:tcW w:w="556" w:type="dxa"/>
            <w:vAlign w:val="center"/>
          </w:tcPr>
          <w:p w14:paraId="7A9FFCAD"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w:t>
            </w:r>
          </w:p>
        </w:tc>
        <w:tc>
          <w:tcPr>
            <w:tcW w:w="1108" w:type="dxa"/>
            <w:vAlign w:val="center"/>
          </w:tcPr>
          <w:p w14:paraId="66AD6C29"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脱水污泥</w:t>
            </w:r>
          </w:p>
        </w:tc>
        <w:tc>
          <w:tcPr>
            <w:tcW w:w="699" w:type="dxa"/>
            <w:vMerge/>
            <w:vAlign w:val="center"/>
          </w:tcPr>
          <w:p w14:paraId="261B4FB7" w14:textId="77777777" w:rsidR="00D12939" w:rsidRDefault="00D12939">
            <w:pPr>
              <w:widowControl/>
              <w:adjustRightInd w:val="0"/>
              <w:snapToGrid w:val="0"/>
              <w:jc w:val="center"/>
              <w:rPr>
                <w:rFonts w:ascii="Times New Roman" w:eastAsia="宋体" w:hAnsi="Times New Roman" w:cs="Times New Roman"/>
                <w:kern w:val="0"/>
                <w:szCs w:val="21"/>
              </w:rPr>
            </w:pPr>
          </w:p>
        </w:tc>
        <w:tc>
          <w:tcPr>
            <w:tcW w:w="1252" w:type="dxa"/>
            <w:vAlign w:val="center"/>
          </w:tcPr>
          <w:p w14:paraId="00CDEBC3"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w:t>
            </w:r>
          </w:p>
        </w:tc>
        <w:tc>
          <w:tcPr>
            <w:tcW w:w="1767" w:type="dxa"/>
            <w:vAlign w:val="center"/>
          </w:tcPr>
          <w:p w14:paraId="76DA47DE"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渗滤液处理站</w:t>
            </w:r>
          </w:p>
        </w:tc>
        <w:tc>
          <w:tcPr>
            <w:tcW w:w="709" w:type="dxa"/>
            <w:vAlign w:val="center"/>
          </w:tcPr>
          <w:p w14:paraId="2F03FA0D"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固态</w:t>
            </w:r>
          </w:p>
        </w:tc>
        <w:tc>
          <w:tcPr>
            <w:tcW w:w="1176" w:type="dxa"/>
            <w:vAlign w:val="center"/>
          </w:tcPr>
          <w:p w14:paraId="469C810A"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污泥</w:t>
            </w:r>
          </w:p>
        </w:tc>
        <w:tc>
          <w:tcPr>
            <w:tcW w:w="846" w:type="dxa"/>
            <w:vAlign w:val="center"/>
          </w:tcPr>
          <w:p w14:paraId="7D0F3EE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8</w:t>
            </w:r>
            <w:r>
              <w:rPr>
                <w:rFonts w:ascii="Times New Roman" w:eastAsia="宋体" w:hAnsi="Times New Roman" w:cs="Times New Roman"/>
                <w:kern w:val="0"/>
                <w:szCs w:val="21"/>
              </w:rPr>
              <w:t>8.97</w:t>
            </w:r>
          </w:p>
        </w:tc>
        <w:tc>
          <w:tcPr>
            <w:tcW w:w="1663" w:type="dxa"/>
            <w:vAlign w:val="center"/>
          </w:tcPr>
          <w:p w14:paraId="4CEE6304" w14:textId="77777777" w:rsidR="00D12939" w:rsidRDefault="004F47F5">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hint="eastAsia"/>
                <w:kern w:val="0"/>
                <w:szCs w:val="21"/>
              </w:rPr>
              <w:t>运至填埋区卫生填埋</w:t>
            </w:r>
          </w:p>
        </w:tc>
      </w:tr>
      <w:tr w:rsidR="00D12939" w14:paraId="183873BB" w14:textId="77777777">
        <w:tc>
          <w:tcPr>
            <w:tcW w:w="556" w:type="dxa"/>
            <w:vAlign w:val="center"/>
          </w:tcPr>
          <w:p w14:paraId="30751AB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3</w:t>
            </w:r>
          </w:p>
        </w:tc>
        <w:tc>
          <w:tcPr>
            <w:tcW w:w="1108" w:type="dxa"/>
            <w:vAlign w:val="center"/>
          </w:tcPr>
          <w:p w14:paraId="178FF139"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废机油</w:t>
            </w:r>
          </w:p>
        </w:tc>
        <w:tc>
          <w:tcPr>
            <w:tcW w:w="699" w:type="dxa"/>
            <w:vMerge w:val="restart"/>
            <w:vAlign w:val="center"/>
          </w:tcPr>
          <w:p w14:paraId="0825D766"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危险废物</w:t>
            </w:r>
          </w:p>
        </w:tc>
        <w:tc>
          <w:tcPr>
            <w:tcW w:w="1252" w:type="dxa"/>
            <w:vAlign w:val="center"/>
          </w:tcPr>
          <w:p w14:paraId="2EC526AB"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9</w:t>
            </w:r>
            <w:r>
              <w:rPr>
                <w:rFonts w:ascii="Times New Roman" w:eastAsia="宋体" w:hAnsi="Times New Roman" w:cs="Times New Roman"/>
                <w:kern w:val="0"/>
                <w:szCs w:val="21"/>
              </w:rPr>
              <w:t>00-214-08</w:t>
            </w:r>
          </w:p>
        </w:tc>
        <w:tc>
          <w:tcPr>
            <w:tcW w:w="1767" w:type="dxa"/>
            <w:vAlign w:val="center"/>
          </w:tcPr>
          <w:p w14:paraId="5C6933F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机械设备保养维修</w:t>
            </w:r>
          </w:p>
        </w:tc>
        <w:tc>
          <w:tcPr>
            <w:tcW w:w="709" w:type="dxa"/>
            <w:vAlign w:val="center"/>
          </w:tcPr>
          <w:p w14:paraId="4AFAFC9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液态</w:t>
            </w:r>
          </w:p>
        </w:tc>
        <w:tc>
          <w:tcPr>
            <w:tcW w:w="1176" w:type="dxa"/>
            <w:vAlign w:val="center"/>
          </w:tcPr>
          <w:p w14:paraId="19B83A38"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矿物油</w:t>
            </w:r>
          </w:p>
        </w:tc>
        <w:tc>
          <w:tcPr>
            <w:tcW w:w="846" w:type="dxa"/>
            <w:vAlign w:val="center"/>
          </w:tcPr>
          <w:p w14:paraId="4B9E2D4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0</w:t>
            </w:r>
            <w:r>
              <w:rPr>
                <w:rFonts w:ascii="Times New Roman" w:eastAsia="宋体" w:hAnsi="Times New Roman" w:cs="Times New Roman"/>
                <w:kern w:val="0"/>
                <w:szCs w:val="21"/>
              </w:rPr>
              <w:t>.5</w:t>
            </w:r>
          </w:p>
        </w:tc>
        <w:tc>
          <w:tcPr>
            <w:tcW w:w="1663" w:type="dxa"/>
            <w:vMerge w:val="restart"/>
            <w:vAlign w:val="center"/>
          </w:tcPr>
          <w:p w14:paraId="0E3B6904" w14:textId="77777777" w:rsidR="00D12939" w:rsidRDefault="004F47F5">
            <w:pPr>
              <w:widowControl/>
              <w:adjustRightInd w:val="0"/>
              <w:snapToGrid w:val="0"/>
              <w:rPr>
                <w:rFonts w:ascii="Times New Roman" w:eastAsia="宋体" w:hAnsi="Times New Roman" w:cs="Times New Roman"/>
                <w:kern w:val="0"/>
                <w:szCs w:val="21"/>
              </w:rPr>
            </w:pPr>
            <w:r>
              <w:rPr>
                <w:rFonts w:ascii="Times New Roman" w:eastAsia="宋体" w:hAnsi="Times New Roman" w:cs="Times New Roman" w:hint="eastAsia"/>
                <w:kern w:val="0"/>
                <w:szCs w:val="21"/>
              </w:rPr>
              <w:t>分类收集后暂存危废暂存间，定期交由有资质单位处置</w:t>
            </w:r>
          </w:p>
        </w:tc>
      </w:tr>
      <w:tr w:rsidR="00D12939" w14:paraId="540F479A" w14:textId="77777777">
        <w:tc>
          <w:tcPr>
            <w:tcW w:w="556" w:type="dxa"/>
            <w:vAlign w:val="center"/>
          </w:tcPr>
          <w:p w14:paraId="48BC8607"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4</w:t>
            </w:r>
          </w:p>
        </w:tc>
        <w:tc>
          <w:tcPr>
            <w:tcW w:w="1108" w:type="dxa"/>
            <w:vAlign w:val="center"/>
          </w:tcPr>
          <w:p w14:paraId="036EA41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废包装</w:t>
            </w:r>
          </w:p>
        </w:tc>
        <w:tc>
          <w:tcPr>
            <w:tcW w:w="699" w:type="dxa"/>
            <w:vMerge/>
            <w:vAlign w:val="center"/>
          </w:tcPr>
          <w:p w14:paraId="469AEA1D" w14:textId="77777777" w:rsidR="00D12939" w:rsidRDefault="00D12939">
            <w:pPr>
              <w:widowControl/>
              <w:adjustRightInd w:val="0"/>
              <w:snapToGrid w:val="0"/>
              <w:jc w:val="center"/>
              <w:rPr>
                <w:rFonts w:ascii="Times New Roman" w:eastAsia="宋体" w:hAnsi="Times New Roman" w:cs="Times New Roman"/>
                <w:kern w:val="0"/>
                <w:szCs w:val="21"/>
              </w:rPr>
            </w:pPr>
          </w:p>
        </w:tc>
        <w:tc>
          <w:tcPr>
            <w:tcW w:w="1252" w:type="dxa"/>
            <w:vAlign w:val="center"/>
          </w:tcPr>
          <w:p w14:paraId="401444DC"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9</w:t>
            </w:r>
            <w:r>
              <w:rPr>
                <w:rFonts w:ascii="Times New Roman" w:eastAsia="宋体" w:hAnsi="Times New Roman" w:cs="Times New Roman"/>
                <w:kern w:val="0"/>
                <w:szCs w:val="21"/>
              </w:rPr>
              <w:t>00-041-49</w:t>
            </w:r>
          </w:p>
        </w:tc>
        <w:tc>
          <w:tcPr>
            <w:tcW w:w="1767" w:type="dxa"/>
            <w:vAlign w:val="center"/>
          </w:tcPr>
          <w:p w14:paraId="64A27C18"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污水处理药品和除臭、杀虫剂等</w:t>
            </w:r>
          </w:p>
        </w:tc>
        <w:tc>
          <w:tcPr>
            <w:tcW w:w="709" w:type="dxa"/>
            <w:vAlign w:val="center"/>
          </w:tcPr>
          <w:p w14:paraId="487F8C3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固态</w:t>
            </w:r>
          </w:p>
        </w:tc>
        <w:tc>
          <w:tcPr>
            <w:tcW w:w="1176" w:type="dxa"/>
            <w:vAlign w:val="center"/>
          </w:tcPr>
          <w:p w14:paraId="60322E15"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塑料瓶（袋）</w:t>
            </w:r>
          </w:p>
        </w:tc>
        <w:tc>
          <w:tcPr>
            <w:tcW w:w="846" w:type="dxa"/>
            <w:vAlign w:val="center"/>
          </w:tcPr>
          <w:p w14:paraId="001EC64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2</w:t>
            </w:r>
            <w:r>
              <w:rPr>
                <w:rFonts w:ascii="Times New Roman" w:eastAsia="宋体" w:hAnsi="Times New Roman" w:cs="Times New Roman"/>
                <w:kern w:val="0"/>
                <w:szCs w:val="21"/>
              </w:rPr>
              <w:t>.5</w:t>
            </w:r>
          </w:p>
        </w:tc>
        <w:tc>
          <w:tcPr>
            <w:tcW w:w="1663" w:type="dxa"/>
            <w:vMerge/>
            <w:vAlign w:val="center"/>
          </w:tcPr>
          <w:p w14:paraId="37A8714C" w14:textId="77777777" w:rsidR="00D12939" w:rsidRDefault="00D12939">
            <w:pPr>
              <w:widowControl/>
              <w:adjustRightInd w:val="0"/>
              <w:snapToGrid w:val="0"/>
              <w:jc w:val="center"/>
              <w:rPr>
                <w:rFonts w:ascii="Times New Roman" w:eastAsia="宋体" w:hAnsi="Times New Roman" w:cs="Times New Roman"/>
                <w:kern w:val="0"/>
                <w:szCs w:val="21"/>
              </w:rPr>
            </w:pPr>
          </w:p>
        </w:tc>
      </w:tr>
      <w:tr w:rsidR="00D12939" w14:paraId="5A627240" w14:textId="77777777">
        <w:trPr>
          <w:trHeight w:val="96"/>
        </w:trPr>
        <w:tc>
          <w:tcPr>
            <w:tcW w:w="556" w:type="dxa"/>
            <w:vAlign w:val="center"/>
          </w:tcPr>
          <w:p w14:paraId="693AC2B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5</w:t>
            </w:r>
          </w:p>
        </w:tc>
        <w:tc>
          <w:tcPr>
            <w:tcW w:w="1108" w:type="dxa"/>
            <w:vAlign w:val="center"/>
          </w:tcPr>
          <w:p w14:paraId="0E4E177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废膜</w:t>
            </w:r>
          </w:p>
        </w:tc>
        <w:tc>
          <w:tcPr>
            <w:tcW w:w="699" w:type="dxa"/>
            <w:vMerge/>
            <w:vAlign w:val="center"/>
          </w:tcPr>
          <w:p w14:paraId="64E80B26" w14:textId="77777777" w:rsidR="00D12939" w:rsidRDefault="00D12939">
            <w:pPr>
              <w:widowControl/>
              <w:adjustRightInd w:val="0"/>
              <w:snapToGrid w:val="0"/>
              <w:jc w:val="center"/>
              <w:rPr>
                <w:rFonts w:ascii="Times New Roman" w:eastAsia="宋体" w:hAnsi="Times New Roman" w:cs="Times New Roman"/>
                <w:kern w:val="0"/>
                <w:szCs w:val="21"/>
              </w:rPr>
            </w:pPr>
          </w:p>
        </w:tc>
        <w:tc>
          <w:tcPr>
            <w:tcW w:w="1252" w:type="dxa"/>
            <w:vAlign w:val="center"/>
          </w:tcPr>
          <w:p w14:paraId="35008A7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9</w:t>
            </w:r>
            <w:r>
              <w:rPr>
                <w:rFonts w:ascii="Times New Roman" w:eastAsia="宋体" w:hAnsi="Times New Roman" w:cs="Times New Roman"/>
                <w:kern w:val="0"/>
                <w:szCs w:val="21"/>
              </w:rPr>
              <w:t>00-041-49</w:t>
            </w:r>
          </w:p>
        </w:tc>
        <w:tc>
          <w:tcPr>
            <w:tcW w:w="1767" w:type="dxa"/>
            <w:vAlign w:val="center"/>
          </w:tcPr>
          <w:p w14:paraId="70CDEDD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渗滤液处理站</w:t>
            </w:r>
          </w:p>
        </w:tc>
        <w:tc>
          <w:tcPr>
            <w:tcW w:w="709" w:type="dxa"/>
            <w:vAlign w:val="center"/>
          </w:tcPr>
          <w:p w14:paraId="272B65A5"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固态</w:t>
            </w:r>
          </w:p>
        </w:tc>
        <w:tc>
          <w:tcPr>
            <w:tcW w:w="1176" w:type="dxa"/>
            <w:vAlign w:val="center"/>
          </w:tcPr>
          <w:p w14:paraId="46E7387E"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滤膜</w:t>
            </w:r>
          </w:p>
        </w:tc>
        <w:tc>
          <w:tcPr>
            <w:tcW w:w="846" w:type="dxa"/>
            <w:vAlign w:val="center"/>
          </w:tcPr>
          <w:p w14:paraId="2F6F138A"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0.167</w:t>
            </w:r>
          </w:p>
        </w:tc>
        <w:tc>
          <w:tcPr>
            <w:tcW w:w="1663" w:type="dxa"/>
            <w:vMerge/>
            <w:vAlign w:val="center"/>
          </w:tcPr>
          <w:p w14:paraId="534D5FD6" w14:textId="77777777" w:rsidR="00D12939" w:rsidRDefault="00D12939">
            <w:pPr>
              <w:widowControl/>
              <w:adjustRightInd w:val="0"/>
              <w:snapToGrid w:val="0"/>
              <w:jc w:val="center"/>
              <w:rPr>
                <w:rFonts w:ascii="Times New Roman" w:eastAsia="宋体" w:hAnsi="Times New Roman" w:cs="Times New Roman"/>
                <w:kern w:val="0"/>
                <w:szCs w:val="21"/>
              </w:rPr>
            </w:pPr>
          </w:p>
        </w:tc>
      </w:tr>
    </w:tbl>
    <w:p w14:paraId="0DC5F578"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综上所述，只要按上述处理方法认真落实，项目产生的固体废物对周围土壤、水体、环境空气质量影响较小。</w:t>
      </w:r>
    </w:p>
    <w:p w14:paraId="7E66A580" w14:textId="77777777" w:rsidR="00D12939" w:rsidRDefault="004F47F5">
      <w:pPr>
        <w:pStyle w:val="2"/>
        <w:spacing w:line="360" w:lineRule="auto"/>
        <w:ind w:firstLine="560"/>
        <w:rPr>
          <w:sz w:val="28"/>
        </w:rPr>
      </w:pPr>
      <w:bookmarkStart w:id="526" w:name="_Toc121411787"/>
      <w:r>
        <w:rPr>
          <w:rFonts w:hint="eastAsia"/>
          <w:sz w:val="28"/>
        </w:rPr>
        <w:lastRenderedPageBreak/>
        <w:t>7</w:t>
      </w:r>
      <w:r>
        <w:rPr>
          <w:sz w:val="28"/>
        </w:rPr>
        <w:t>.7</w:t>
      </w:r>
      <w:r>
        <w:rPr>
          <w:sz w:val="28"/>
        </w:rPr>
        <w:t>封场及后期维护期环境影响分析</w:t>
      </w:r>
      <w:bookmarkEnd w:id="502"/>
      <w:bookmarkEnd w:id="526"/>
    </w:p>
    <w:p w14:paraId="42E82672" w14:textId="77777777" w:rsidR="00D12939" w:rsidRDefault="004F47F5">
      <w:pPr>
        <w:pStyle w:val="affffffffe"/>
        <w:ind w:firstLine="496"/>
        <w:rPr>
          <w:color w:val="auto"/>
        </w:rPr>
      </w:pPr>
      <w:r>
        <w:rPr>
          <w:color w:val="auto"/>
        </w:rPr>
        <w:t>封场管理及绿化是任何填埋场整体管理系统不可或缺的部分，按照相关规定，填埋场达到使用寿命后，必须做好封场、后期管理及绿化。封场、后期管理及绿化有利于防止雨水大量下渗；有利于避免垃圾降解过程产生的有害废气直接释放至空气中造成大气环境污染；有利于防止有害废物直接接触人群，造成人群健康问题；有利于阻止或减少蚊虫、鼠、细菌等的滋生；有利用场地再次开发利用。因此，做好填埋场封场管理及绿化十分重要。</w:t>
      </w:r>
    </w:p>
    <w:p w14:paraId="5F17C27F" w14:textId="77777777" w:rsidR="00D12939" w:rsidRDefault="004F47F5">
      <w:pPr>
        <w:pStyle w:val="2"/>
        <w:spacing w:line="360" w:lineRule="auto"/>
        <w:ind w:firstLine="560"/>
        <w:rPr>
          <w:sz w:val="28"/>
        </w:rPr>
      </w:pPr>
      <w:bookmarkStart w:id="527" w:name="_Toc121411788"/>
      <w:bookmarkStart w:id="528" w:name="_Toc41343006"/>
      <w:r>
        <w:rPr>
          <w:rFonts w:hint="eastAsia"/>
          <w:sz w:val="28"/>
        </w:rPr>
        <w:t>7</w:t>
      </w:r>
      <w:r>
        <w:rPr>
          <w:sz w:val="28"/>
        </w:rPr>
        <w:t>.8</w:t>
      </w:r>
      <w:r>
        <w:rPr>
          <w:rFonts w:hint="eastAsia"/>
          <w:sz w:val="28"/>
        </w:rPr>
        <w:t>运输路线环境影响分析</w:t>
      </w:r>
      <w:bookmarkEnd w:id="527"/>
      <w:bookmarkEnd w:id="528"/>
    </w:p>
    <w:p w14:paraId="25F11642" w14:textId="77777777" w:rsidR="00D12939" w:rsidRDefault="004F47F5">
      <w:pPr>
        <w:pStyle w:val="affffffffe"/>
        <w:ind w:firstLine="496"/>
        <w:rPr>
          <w:color w:val="auto"/>
        </w:rPr>
      </w:pPr>
      <w:r>
        <w:rPr>
          <w:rFonts w:hint="eastAsia"/>
          <w:color w:val="auto"/>
        </w:rPr>
        <w:t>本项目服务范围包括柞水县产生的生活垃圾。本项目垃圾运输对环境的影响主要体现在垃圾车运输过程中散发的臭气和运输车辆产生的交通噪声。</w:t>
      </w:r>
    </w:p>
    <w:p w14:paraId="2CEFA411" w14:textId="77777777" w:rsidR="00D12939" w:rsidRDefault="004F47F5">
      <w:pPr>
        <w:pStyle w:val="affffffffe"/>
        <w:ind w:firstLine="496"/>
        <w:rPr>
          <w:color w:val="auto"/>
        </w:rPr>
      </w:pPr>
      <w:r>
        <w:rPr>
          <w:rFonts w:hint="eastAsia"/>
          <w:color w:val="auto"/>
        </w:rPr>
        <w:t>（</w:t>
      </w:r>
      <w:r>
        <w:rPr>
          <w:rFonts w:hint="eastAsia"/>
          <w:color w:val="auto"/>
        </w:rPr>
        <w:t>1</w:t>
      </w:r>
      <w:r>
        <w:rPr>
          <w:rFonts w:hint="eastAsia"/>
          <w:color w:val="auto"/>
        </w:rPr>
        <w:t>）废气</w:t>
      </w:r>
    </w:p>
    <w:p w14:paraId="0075DB99" w14:textId="77777777" w:rsidR="00D12939" w:rsidRDefault="004F47F5">
      <w:pPr>
        <w:pStyle w:val="affffffffe"/>
        <w:ind w:firstLine="496"/>
        <w:rPr>
          <w:color w:val="auto"/>
        </w:rPr>
      </w:pPr>
      <w:r>
        <w:rPr>
          <w:rFonts w:hint="eastAsia"/>
          <w:color w:val="auto"/>
        </w:rPr>
        <w:t>本项目采用的运输车辆车厢密闭且具有很好的密闭性，并采取加强管理，减少运输过程中跑冒滴漏现象发生，因此，项目垃圾运输过程中臭气的产生极小，对沿线环境影响很小。</w:t>
      </w:r>
    </w:p>
    <w:p w14:paraId="447631A2" w14:textId="77777777" w:rsidR="00D12939" w:rsidRDefault="004F47F5">
      <w:pPr>
        <w:pStyle w:val="affffffffe"/>
        <w:ind w:firstLine="496"/>
        <w:rPr>
          <w:color w:val="auto"/>
        </w:rPr>
      </w:pPr>
      <w:r>
        <w:rPr>
          <w:rFonts w:hint="eastAsia"/>
          <w:color w:val="auto"/>
        </w:rPr>
        <w:t>（</w:t>
      </w:r>
      <w:r>
        <w:rPr>
          <w:rFonts w:hint="eastAsia"/>
          <w:color w:val="auto"/>
        </w:rPr>
        <w:t>2</w:t>
      </w:r>
      <w:r>
        <w:rPr>
          <w:rFonts w:hint="eastAsia"/>
          <w:color w:val="auto"/>
        </w:rPr>
        <w:t>）噪声</w:t>
      </w:r>
    </w:p>
    <w:p w14:paraId="6E9EA5AA" w14:textId="77777777" w:rsidR="008830BB" w:rsidRDefault="004F47F5">
      <w:pPr>
        <w:pStyle w:val="affffffffe"/>
        <w:ind w:firstLine="496"/>
        <w:rPr>
          <w:color w:val="auto"/>
        </w:rPr>
      </w:pPr>
      <w:r>
        <w:rPr>
          <w:rFonts w:hint="eastAsia"/>
          <w:color w:val="auto"/>
        </w:rPr>
        <w:t>本项目处理的生活垃圾由运输车辆直接运至场区，合理安排运输时间，避开居民出门高峰期、避免学生上下学时间，避免早晚扰民，减少高峰车流量的影响。扩容后项目运输路线不变，不会产生明显的噪声增加，不会改变道路沿线的声环境功能现状。</w:t>
      </w:r>
    </w:p>
    <w:p w14:paraId="055ADE69" w14:textId="1F828E6D" w:rsidR="00D12939" w:rsidRDefault="004F47F5">
      <w:pPr>
        <w:pStyle w:val="affffffffe"/>
        <w:ind w:firstLine="496"/>
        <w:rPr>
          <w:color w:val="auto"/>
        </w:rPr>
      </w:pPr>
      <w:r>
        <w:rPr>
          <w:rFonts w:hint="eastAsia"/>
          <w:color w:val="auto"/>
        </w:rPr>
        <w:t>综上所述，项目运输系统对环境影响很小。</w:t>
      </w:r>
    </w:p>
    <w:p w14:paraId="0A1316D3" w14:textId="77777777" w:rsidR="00D12939" w:rsidRDefault="004F47F5">
      <w:pPr>
        <w:pStyle w:val="affffffffe"/>
        <w:ind w:firstLine="496"/>
        <w:rPr>
          <w:color w:val="auto"/>
        </w:rPr>
      </w:pPr>
      <w:r>
        <w:rPr>
          <w:rFonts w:hint="eastAsia"/>
          <w:color w:val="auto"/>
        </w:rPr>
        <w:t>为避免垃圾运输对沿线敏感点的影响，本环评要求运输车辆确保采用密闭运输车箱，优化运输路线，运输路线避开高校集中区、居民集中区等地区，避免高峰期进行收运，减少恶臭、噪声、造成交通拥堵的环境影响。</w:t>
      </w:r>
    </w:p>
    <w:p w14:paraId="73040697" w14:textId="77777777" w:rsidR="00C27509" w:rsidRDefault="00C27509" w:rsidP="00C27509">
      <w:pPr>
        <w:pStyle w:val="2"/>
        <w:ind w:firstLine="560"/>
        <w:rPr>
          <w:color w:val="FF0000"/>
          <w:sz w:val="28"/>
        </w:rPr>
      </w:pPr>
      <w:r>
        <w:rPr>
          <w:rFonts w:hint="eastAsia"/>
          <w:color w:val="FF0000"/>
          <w:sz w:val="28"/>
        </w:rPr>
        <w:t>7.9</w:t>
      </w:r>
      <w:bookmarkStart w:id="529" w:name="_Toc41342988"/>
      <w:r>
        <w:rPr>
          <w:color w:val="FF0000"/>
          <w:sz w:val="28"/>
        </w:rPr>
        <w:t>生态</w:t>
      </w:r>
      <w:r>
        <w:rPr>
          <w:rFonts w:hint="eastAsia"/>
          <w:color w:val="FF0000"/>
          <w:sz w:val="28"/>
        </w:rPr>
        <w:t>环境</w:t>
      </w:r>
      <w:r>
        <w:rPr>
          <w:color w:val="FF0000"/>
          <w:sz w:val="28"/>
        </w:rPr>
        <w:t>影响分析</w:t>
      </w:r>
      <w:r>
        <w:rPr>
          <w:rFonts w:hint="eastAsia"/>
          <w:color w:val="FF0000"/>
          <w:sz w:val="28"/>
        </w:rPr>
        <w:t>与评价</w:t>
      </w:r>
      <w:bookmarkEnd w:id="529"/>
    </w:p>
    <w:p w14:paraId="7C7DB3C8" w14:textId="77777777" w:rsidR="00C27509" w:rsidRDefault="00C27509" w:rsidP="00C27509">
      <w:pPr>
        <w:widowControl/>
        <w:autoSpaceDE w:val="0"/>
        <w:autoSpaceDN w:val="0"/>
        <w:spacing w:line="360" w:lineRule="auto"/>
        <w:ind w:firstLineChars="200" w:firstLine="496"/>
        <w:rPr>
          <w:rFonts w:ascii="Times New Roman" w:eastAsia="宋体" w:hAnsi="Times New Roman" w:cs="Times New Roman"/>
          <w:color w:val="FF0000"/>
          <w:spacing w:val="4"/>
          <w:kern w:val="0"/>
          <w:sz w:val="24"/>
          <w:szCs w:val="24"/>
        </w:rPr>
      </w:pPr>
      <w:r>
        <w:rPr>
          <w:rFonts w:ascii="Times New Roman" w:eastAsia="宋体" w:hAnsi="Times New Roman" w:cs="Times New Roman"/>
          <w:color w:val="FF0000"/>
          <w:spacing w:val="4"/>
          <w:kern w:val="0"/>
          <w:sz w:val="24"/>
          <w:szCs w:val="24"/>
        </w:rPr>
        <w:t>垃圾填埋场作业会破坏原有地面植被和原有地貌，导致地表裸露，造成新的水土流失。垃圾填埋场建设和运营期间，将全部铲除填埋区的植被，造成生态环境破坏，但考虑到随着运营期垃圾填埋，土壤有机质增加，将会带来新的伴生植被生长；</w:t>
      </w:r>
      <w:bookmarkStart w:id="530" w:name="_Hlk23427822"/>
      <w:r>
        <w:rPr>
          <w:rFonts w:ascii="Times New Roman" w:eastAsia="宋体" w:hAnsi="Times New Roman" w:cs="Times New Roman"/>
          <w:color w:val="FF0000"/>
          <w:spacing w:val="4"/>
          <w:kern w:val="0"/>
          <w:sz w:val="24"/>
          <w:szCs w:val="24"/>
        </w:rPr>
        <w:t>运营期垃圾填埋场外围及进场道路两侧均进行植树绿化种草等，既增加绿化面积，改善填埋场生态环境，同时有效降低恶臭气体外散；</w:t>
      </w:r>
      <w:bookmarkStart w:id="531" w:name="_Hlk23427835"/>
      <w:bookmarkEnd w:id="530"/>
      <w:r>
        <w:rPr>
          <w:rFonts w:ascii="Times New Roman" w:eastAsia="宋体" w:hAnsi="Times New Roman" w:cs="Times New Roman"/>
          <w:color w:val="FF0000"/>
          <w:spacing w:val="4"/>
          <w:kern w:val="0"/>
          <w:sz w:val="24"/>
          <w:szCs w:val="24"/>
        </w:rPr>
        <w:t>另外，垃圾场最终封顶后也将进行植被恢复，也会增加区内植被覆盖率，改善生态系统功能，提高生态环境质量</w:t>
      </w:r>
      <w:bookmarkEnd w:id="531"/>
      <w:r>
        <w:rPr>
          <w:rFonts w:ascii="Times New Roman" w:eastAsia="宋体" w:hAnsi="Times New Roman" w:cs="Times New Roman"/>
          <w:color w:val="FF0000"/>
          <w:spacing w:val="4"/>
          <w:kern w:val="0"/>
          <w:sz w:val="24"/>
          <w:szCs w:val="24"/>
        </w:rPr>
        <w:t>。</w:t>
      </w:r>
    </w:p>
    <w:p w14:paraId="7D66F344" w14:textId="77777777" w:rsidR="00C27509" w:rsidRDefault="00C27509" w:rsidP="00C27509">
      <w:pPr>
        <w:widowControl/>
        <w:autoSpaceDE w:val="0"/>
        <w:autoSpaceDN w:val="0"/>
        <w:spacing w:line="360" w:lineRule="auto"/>
        <w:ind w:firstLineChars="200" w:firstLine="496"/>
        <w:rPr>
          <w:rFonts w:ascii="Times New Roman" w:eastAsia="宋体" w:hAnsi="Times New Roman" w:cs="Times New Roman"/>
          <w:color w:val="FF0000"/>
          <w:spacing w:val="4"/>
          <w:kern w:val="0"/>
          <w:sz w:val="24"/>
          <w:szCs w:val="24"/>
        </w:rPr>
      </w:pPr>
      <w:r>
        <w:rPr>
          <w:rFonts w:ascii="Times New Roman" w:eastAsia="宋体" w:hAnsi="Times New Roman" w:cs="Times New Roman" w:hint="eastAsia"/>
          <w:color w:val="FF0000"/>
          <w:spacing w:val="4"/>
          <w:kern w:val="0"/>
          <w:sz w:val="24"/>
          <w:szCs w:val="24"/>
        </w:rPr>
        <w:lastRenderedPageBreak/>
        <w:t>①</w:t>
      </w:r>
      <w:r>
        <w:rPr>
          <w:rFonts w:ascii="Times New Roman" w:eastAsia="宋体" w:hAnsi="Times New Roman" w:cs="Times New Roman"/>
          <w:color w:val="FF0000"/>
          <w:spacing w:val="4"/>
          <w:kern w:val="0"/>
          <w:sz w:val="24"/>
          <w:szCs w:val="24"/>
        </w:rPr>
        <w:t>对景观的影响</w:t>
      </w:r>
    </w:p>
    <w:p w14:paraId="718F8265" w14:textId="77777777" w:rsidR="00C27509" w:rsidRDefault="00C27509" w:rsidP="00C27509">
      <w:pPr>
        <w:widowControl/>
        <w:autoSpaceDE w:val="0"/>
        <w:autoSpaceDN w:val="0"/>
        <w:spacing w:line="360" w:lineRule="auto"/>
        <w:ind w:firstLineChars="200" w:firstLine="496"/>
        <w:rPr>
          <w:rFonts w:ascii="Times New Roman" w:eastAsia="宋体" w:hAnsi="Times New Roman" w:cs="Times New Roman"/>
          <w:color w:val="FF0000"/>
          <w:spacing w:val="4"/>
          <w:kern w:val="0"/>
          <w:sz w:val="24"/>
          <w:szCs w:val="24"/>
        </w:rPr>
      </w:pPr>
      <w:r>
        <w:rPr>
          <w:rFonts w:ascii="Times New Roman" w:eastAsia="宋体" w:hAnsi="Times New Roman" w:cs="Times New Roman"/>
          <w:color w:val="FF0000"/>
          <w:spacing w:val="4"/>
          <w:kern w:val="0"/>
          <w:sz w:val="24"/>
          <w:szCs w:val="24"/>
        </w:rPr>
        <w:t>本项目建设前后，填埋场内的景观格局将发生一定的变化。使原有景观类型的优势度均有所下降，景观斑块密度增大，频度增加；但填埋区景观面积相对较小，比例较低，不具备动态控制能力，对生态调控作用小，尚构不成对生态环境起决定作用的景观基底。总体上看来，原有区域的景观连通程度基本不变，区域的景观基底仍为本来面目。</w:t>
      </w:r>
    </w:p>
    <w:p w14:paraId="298A3EED" w14:textId="77777777" w:rsidR="00C27509" w:rsidRDefault="00C27509" w:rsidP="00C27509">
      <w:pPr>
        <w:widowControl/>
        <w:autoSpaceDE w:val="0"/>
        <w:autoSpaceDN w:val="0"/>
        <w:spacing w:line="360" w:lineRule="auto"/>
        <w:ind w:firstLineChars="200" w:firstLine="496"/>
        <w:rPr>
          <w:rFonts w:ascii="Times New Roman" w:eastAsia="宋体" w:hAnsi="Times New Roman" w:cs="Times New Roman"/>
          <w:color w:val="FF0000"/>
          <w:spacing w:val="4"/>
          <w:kern w:val="0"/>
          <w:sz w:val="24"/>
          <w:szCs w:val="24"/>
        </w:rPr>
      </w:pPr>
      <w:r>
        <w:rPr>
          <w:rFonts w:ascii="Times New Roman" w:eastAsia="宋体" w:hAnsi="Times New Roman" w:cs="Times New Roman" w:hint="eastAsia"/>
          <w:color w:val="FF0000"/>
          <w:spacing w:val="4"/>
          <w:kern w:val="0"/>
          <w:sz w:val="24"/>
          <w:szCs w:val="24"/>
        </w:rPr>
        <w:t>②</w:t>
      </w:r>
      <w:r>
        <w:rPr>
          <w:rFonts w:ascii="Times New Roman" w:eastAsia="宋体" w:hAnsi="Times New Roman" w:cs="Times New Roman"/>
          <w:color w:val="FF0000"/>
          <w:spacing w:val="4"/>
          <w:kern w:val="0"/>
          <w:sz w:val="24"/>
          <w:szCs w:val="24"/>
        </w:rPr>
        <w:t>对植被的影响</w:t>
      </w:r>
    </w:p>
    <w:p w14:paraId="379CC2AB" w14:textId="77777777" w:rsidR="00C27509" w:rsidRDefault="00C27509" w:rsidP="00C27509">
      <w:pPr>
        <w:adjustRightInd w:val="0"/>
        <w:snapToGrid w:val="0"/>
        <w:spacing w:line="360" w:lineRule="auto"/>
        <w:ind w:firstLineChars="200" w:firstLine="496"/>
        <w:rPr>
          <w:rFonts w:ascii="Times New Roman" w:eastAsia="宋体" w:hAnsi="Times New Roman" w:cs="Times New Roman"/>
          <w:color w:val="FF0000"/>
          <w:spacing w:val="4"/>
          <w:kern w:val="0"/>
          <w:sz w:val="24"/>
          <w:szCs w:val="24"/>
        </w:rPr>
      </w:pPr>
      <w:r>
        <w:rPr>
          <w:rFonts w:ascii="Times New Roman" w:eastAsia="宋体" w:hAnsi="Times New Roman" w:cs="Times New Roman"/>
          <w:color w:val="FF0000"/>
          <w:spacing w:val="4"/>
          <w:kern w:val="0"/>
          <w:sz w:val="24"/>
          <w:szCs w:val="24"/>
        </w:rPr>
        <w:t>填埋场建设将会导致区内植被全部破坏，但项目在填埋库区周围会建成防护林带，填埋库区植被破坏区域会覆土绿化；封场后填埋区全部绿化，植被将恢复到项目建设前的水平或略有提高，被破坏植被将得到恢复，从长远看，植被的破坏是暂时的和可逆的，或者较之前有一定的补偿或改善。</w:t>
      </w:r>
    </w:p>
    <w:p w14:paraId="693D67CE" w14:textId="77777777" w:rsidR="00C27509" w:rsidRDefault="00C27509" w:rsidP="00C27509">
      <w:pPr>
        <w:adjustRightInd w:val="0"/>
        <w:snapToGrid w:val="0"/>
        <w:spacing w:line="360" w:lineRule="auto"/>
        <w:ind w:firstLineChars="200" w:firstLine="496"/>
        <w:rPr>
          <w:rFonts w:ascii="Times New Roman" w:eastAsia="宋体" w:hAnsi="Times New Roman" w:cs="Times New Roman"/>
          <w:color w:val="FF0000"/>
          <w:spacing w:val="4"/>
          <w:kern w:val="0"/>
          <w:sz w:val="24"/>
          <w:szCs w:val="24"/>
        </w:rPr>
      </w:pPr>
      <w:r>
        <w:rPr>
          <w:rFonts w:ascii="Times New Roman" w:eastAsia="宋体" w:hAnsi="Times New Roman" w:cs="Times New Roman" w:hint="eastAsia"/>
          <w:color w:val="FF0000"/>
          <w:spacing w:val="4"/>
          <w:kern w:val="0"/>
          <w:sz w:val="24"/>
          <w:szCs w:val="24"/>
        </w:rPr>
        <w:t>③</w:t>
      </w:r>
      <w:r>
        <w:rPr>
          <w:rFonts w:ascii="Times New Roman" w:eastAsia="宋体" w:hAnsi="Times New Roman" w:cs="Times New Roman"/>
          <w:color w:val="FF0000"/>
          <w:spacing w:val="4"/>
          <w:kern w:val="0"/>
          <w:sz w:val="24"/>
          <w:szCs w:val="24"/>
        </w:rPr>
        <w:t>对陆生动物的影响</w:t>
      </w:r>
    </w:p>
    <w:p w14:paraId="15AFC110" w14:textId="616E8DA9" w:rsidR="00C27509" w:rsidRPr="00C27509" w:rsidRDefault="00C27509" w:rsidP="00C27509">
      <w:pPr>
        <w:adjustRightInd w:val="0"/>
        <w:snapToGrid w:val="0"/>
        <w:spacing w:line="360" w:lineRule="auto"/>
        <w:ind w:firstLineChars="200" w:firstLine="496"/>
        <w:rPr>
          <w:rFonts w:ascii="Times New Roman" w:eastAsia="宋体" w:hAnsi="Times New Roman" w:cs="Times New Roman" w:hint="eastAsia"/>
          <w:color w:val="FF0000"/>
          <w:spacing w:val="4"/>
          <w:kern w:val="0"/>
          <w:sz w:val="24"/>
          <w:szCs w:val="24"/>
        </w:rPr>
        <w:sectPr w:rsidR="00C27509" w:rsidRPr="00C27509">
          <w:pgSz w:w="11906" w:h="16838"/>
          <w:pgMar w:top="1440" w:right="1080" w:bottom="1440" w:left="1080" w:header="851" w:footer="992" w:gutter="0"/>
          <w:cols w:space="425"/>
          <w:docGrid w:type="lines" w:linePitch="312"/>
        </w:sectPr>
      </w:pPr>
      <w:r w:rsidRPr="00C27509">
        <w:rPr>
          <w:rFonts w:ascii="Times New Roman" w:eastAsia="宋体" w:hAnsi="Times New Roman" w:cs="Times New Roman"/>
          <w:color w:val="FF0000"/>
          <w:spacing w:val="4"/>
          <w:kern w:val="0"/>
          <w:sz w:val="24"/>
          <w:szCs w:val="24"/>
        </w:rPr>
        <w:t>由于填埋机械噪声和工作人员的活动会改变原有生态环境，对部分陆生生物的活动造成干扰。本项目在填埋场周围设置防飞散网，有效阻止因风吹起的废纸和塑料袋等轻质垃圾的飞扬，以保护填埋场外围景观环境；但是，在填埋场外围设置钢丝网围栏，同样也会对陆生动物产生一定的阻隔作用。</w:t>
      </w:r>
    </w:p>
    <w:p w14:paraId="76CE87F6" w14:textId="77777777" w:rsidR="00D12939" w:rsidRDefault="004F47F5">
      <w:pPr>
        <w:pStyle w:val="1"/>
        <w:jc w:val="center"/>
        <w:rPr>
          <w:sz w:val="30"/>
          <w:szCs w:val="30"/>
        </w:rPr>
      </w:pPr>
      <w:bookmarkStart w:id="532" w:name="_Toc30089283"/>
      <w:bookmarkStart w:id="533" w:name="_Toc121411789"/>
      <w:bookmarkStart w:id="534" w:name="_Toc113952298"/>
      <w:r>
        <w:rPr>
          <w:rFonts w:hint="eastAsia"/>
          <w:sz w:val="30"/>
          <w:szCs w:val="30"/>
        </w:rPr>
        <w:lastRenderedPageBreak/>
        <w:t>8</w:t>
      </w:r>
      <w:r>
        <w:rPr>
          <w:sz w:val="30"/>
          <w:szCs w:val="30"/>
        </w:rPr>
        <w:t>环境风险评价</w:t>
      </w:r>
      <w:bookmarkEnd w:id="532"/>
      <w:bookmarkEnd w:id="533"/>
      <w:bookmarkEnd w:id="534"/>
    </w:p>
    <w:p w14:paraId="6C42E2F3"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根据《建设项目环境风险评价技术导则》（</w:t>
      </w:r>
      <w:r>
        <w:rPr>
          <w:rFonts w:ascii="Times New Roman" w:eastAsia="宋体" w:hAnsi="Times New Roman" w:cs="Times New Roman"/>
          <w:sz w:val="24"/>
          <w:szCs w:val="24"/>
        </w:rPr>
        <w:t>HJ 169-2018</w:t>
      </w:r>
      <w:r>
        <w:rPr>
          <w:rFonts w:ascii="Times New Roman" w:eastAsia="宋体" w:hAnsi="Times New Roman" w:cs="Times New Roman"/>
          <w:sz w:val="24"/>
          <w:szCs w:val="24"/>
        </w:rPr>
        <w:t>）要求，对于涉及有毒有害和易燃易爆危险物质的生产、使用、储存（包括使用管线输运）的建设项目可能发生的突发性事故（不包括人为破坏及自然灾害引发的事故）应进行环境风险评价。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5D096469" w14:textId="77777777" w:rsidR="00D12939" w:rsidRDefault="004F47F5">
      <w:pPr>
        <w:pStyle w:val="2"/>
        <w:spacing w:line="360" w:lineRule="auto"/>
        <w:ind w:firstLineChars="165" w:firstLine="462"/>
        <w:rPr>
          <w:sz w:val="28"/>
        </w:rPr>
      </w:pPr>
      <w:bookmarkStart w:id="535" w:name="_Toc413427188"/>
      <w:bookmarkStart w:id="536" w:name="_Toc444006056"/>
      <w:bookmarkStart w:id="537" w:name="_Toc20051956"/>
      <w:bookmarkStart w:id="538" w:name="_Toc2374"/>
      <w:bookmarkStart w:id="539" w:name="_Toc22019"/>
      <w:bookmarkStart w:id="540" w:name="_Toc121411790"/>
      <w:bookmarkStart w:id="541" w:name="_Toc13638"/>
      <w:bookmarkStart w:id="542" w:name="_Toc18653042"/>
      <w:r>
        <w:rPr>
          <w:sz w:val="28"/>
        </w:rPr>
        <w:t>8.1</w:t>
      </w:r>
      <w:bookmarkEnd w:id="535"/>
      <w:bookmarkEnd w:id="536"/>
      <w:r>
        <w:rPr>
          <w:sz w:val="28"/>
        </w:rPr>
        <w:t>风险调查</w:t>
      </w:r>
      <w:bookmarkEnd w:id="537"/>
      <w:bookmarkEnd w:id="538"/>
      <w:bookmarkEnd w:id="539"/>
      <w:bookmarkEnd w:id="540"/>
      <w:bookmarkEnd w:id="541"/>
      <w:bookmarkEnd w:id="542"/>
    </w:p>
    <w:p w14:paraId="4C5DEBC8"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43" w:name="_Toc222823871"/>
      <w:bookmarkStart w:id="544" w:name="_Toc14332"/>
      <w:bookmarkStart w:id="545" w:name="_Toc234378465"/>
      <w:bookmarkStart w:id="546" w:name="_Toc316537585"/>
      <w:bookmarkStart w:id="547" w:name="_Toc312736324"/>
      <w:bookmarkStart w:id="548" w:name="_Toc237317581"/>
      <w:bookmarkStart w:id="549" w:name="_Toc121411791"/>
      <w:r>
        <w:rPr>
          <w:rFonts w:ascii="Times New Roman" w:eastAsia="黑体" w:hAnsi="Times New Roman" w:cs="Times New Roman"/>
          <w:b w:val="0"/>
          <w:sz w:val="24"/>
        </w:rPr>
        <w:t>8.1.1</w:t>
      </w:r>
      <w:bookmarkEnd w:id="543"/>
      <w:bookmarkEnd w:id="544"/>
      <w:bookmarkEnd w:id="545"/>
      <w:bookmarkEnd w:id="546"/>
      <w:bookmarkEnd w:id="547"/>
      <w:bookmarkEnd w:id="548"/>
      <w:r>
        <w:rPr>
          <w:rFonts w:ascii="Times New Roman" w:eastAsia="黑体" w:hAnsi="Times New Roman" w:cs="Times New Roman"/>
          <w:b w:val="0"/>
          <w:sz w:val="24"/>
        </w:rPr>
        <w:t>风险源识别</w:t>
      </w:r>
      <w:bookmarkEnd w:id="549"/>
    </w:p>
    <w:p w14:paraId="4A2B371D"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本项目为生活垃圾填埋场建设项目，根据垃圾填埋场工程特点，填埋场环境风险主要表现为：填埋气体发生爆炸、垃圾堆体坍塌及坝体发生溃堤等风险事故。</w:t>
      </w:r>
    </w:p>
    <w:p w14:paraId="76EE3D1B"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50" w:name="_Toc121411792"/>
      <w:r>
        <w:rPr>
          <w:rFonts w:ascii="Times New Roman" w:eastAsia="黑体" w:hAnsi="Times New Roman" w:cs="Times New Roman"/>
          <w:b w:val="0"/>
          <w:sz w:val="24"/>
        </w:rPr>
        <w:t>8.1.2</w:t>
      </w:r>
      <w:r>
        <w:rPr>
          <w:rFonts w:ascii="Times New Roman" w:eastAsia="黑体" w:hAnsi="Times New Roman" w:cs="Times New Roman"/>
          <w:b w:val="0"/>
          <w:sz w:val="24"/>
        </w:rPr>
        <w:t>风险物质识别</w:t>
      </w:r>
      <w:bookmarkEnd w:id="550"/>
    </w:p>
    <w:p w14:paraId="2CAB3264" w14:textId="77777777" w:rsidR="00D12939" w:rsidRDefault="004F47F5">
      <w:pPr>
        <w:adjustRightInd w:val="0"/>
        <w:snapToGrid w:val="0"/>
        <w:spacing w:line="360" w:lineRule="auto"/>
        <w:ind w:firstLineChars="200" w:firstLine="480"/>
        <w:rPr>
          <w:rFonts w:ascii="Times New Roman" w:hAnsi="Times New Roman"/>
          <w:sz w:val="24"/>
          <w:szCs w:val="20"/>
        </w:rPr>
      </w:pPr>
      <w:r>
        <w:rPr>
          <w:rFonts w:ascii="Times New Roman" w:eastAsia="宋体" w:hAnsi="Times New Roman" w:cs="Times New Roman" w:hint="eastAsia"/>
          <w:sz w:val="24"/>
          <w:szCs w:val="24"/>
        </w:rPr>
        <w:t>本项目涉及到的危险物质主要为填埋气，其成分有甲烷（</w:t>
      </w:r>
      <w:r>
        <w:rPr>
          <w:rFonts w:ascii="Times New Roman" w:eastAsia="宋体" w:hAnsi="Times New Roman" w:cs="Times New Roman"/>
          <w:sz w:val="24"/>
          <w:szCs w:val="24"/>
        </w:rPr>
        <w:t>CH</w:t>
      </w:r>
      <w:r>
        <w:rPr>
          <w:rFonts w:ascii="Times New Roman" w:eastAsia="宋体" w:hAnsi="Times New Roman" w:cs="Times New Roman"/>
          <w:sz w:val="24"/>
          <w:szCs w:val="24"/>
          <w:vertAlign w:val="subscript"/>
        </w:rPr>
        <w:t>4</w:t>
      </w:r>
      <w:r>
        <w:rPr>
          <w:rFonts w:ascii="Times New Roman" w:eastAsia="宋体" w:hAnsi="Times New Roman" w:cs="Times New Roman"/>
          <w:sz w:val="24"/>
          <w:szCs w:val="24"/>
        </w:rPr>
        <w:t>）、二氧化碳（</w:t>
      </w:r>
      <w:r>
        <w:rPr>
          <w:rFonts w:ascii="Times New Roman" w:eastAsia="宋体" w:hAnsi="Times New Roman" w:cs="Times New Roman"/>
          <w:sz w:val="24"/>
          <w:szCs w:val="24"/>
        </w:rPr>
        <w:t>CO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）、一氧化碳（</w:t>
      </w:r>
      <w:r>
        <w:rPr>
          <w:rFonts w:ascii="Times New Roman" w:eastAsia="宋体" w:hAnsi="Times New Roman" w:cs="Times New Roman"/>
          <w:sz w:val="24"/>
          <w:szCs w:val="24"/>
        </w:rPr>
        <w:t>CO</w:t>
      </w:r>
      <w:r>
        <w:rPr>
          <w:rFonts w:ascii="Times New Roman" w:eastAsia="宋体" w:hAnsi="Times New Roman" w:cs="Times New Roman"/>
          <w:sz w:val="24"/>
          <w:szCs w:val="24"/>
        </w:rPr>
        <w:t>）、硫化氢（</w:t>
      </w:r>
      <w:r>
        <w:rPr>
          <w:rFonts w:ascii="Times New Roman" w:eastAsia="宋体" w:hAnsi="Times New Roman" w:cs="Times New Roman"/>
          <w:sz w:val="24"/>
          <w:szCs w:val="24"/>
        </w:rPr>
        <w:t>H</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S</w:t>
      </w:r>
      <w:r>
        <w:rPr>
          <w:rFonts w:ascii="Times New Roman" w:eastAsia="宋体" w:hAnsi="Times New Roman" w:cs="Times New Roman"/>
          <w:sz w:val="24"/>
          <w:szCs w:val="24"/>
        </w:rPr>
        <w:t>）、氮（</w:t>
      </w:r>
      <w:r>
        <w:rPr>
          <w:rFonts w:ascii="Times New Roman" w:eastAsia="宋体" w:hAnsi="Times New Roman" w:cs="Times New Roman"/>
          <w:sz w:val="24"/>
          <w:szCs w:val="24"/>
        </w:rPr>
        <w:t>N</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）、氨（</w:t>
      </w:r>
      <w:r>
        <w:rPr>
          <w:rFonts w:ascii="Times New Roman" w:eastAsia="宋体" w:hAnsi="Times New Roman" w:cs="Times New Roman"/>
          <w:sz w:val="24"/>
          <w:szCs w:val="24"/>
        </w:rPr>
        <w:t>NH</w:t>
      </w:r>
      <w:r>
        <w:rPr>
          <w:rFonts w:ascii="Times New Roman" w:eastAsia="宋体" w:hAnsi="Times New Roman" w:cs="Times New Roman"/>
          <w:sz w:val="24"/>
          <w:szCs w:val="24"/>
          <w:vertAlign w:val="subscript"/>
        </w:rPr>
        <w:t>3</w:t>
      </w:r>
      <w:r>
        <w:rPr>
          <w:rFonts w:ascii="Times New Roman" w:eastAsia="宋体" w:hAnsi="Times New Roman" w:cs="Times New Roman"/>
          <w:sz w:val="24"/>
          <w:szCs w:val="24"/>
        </w:rPr>
        <w:t>）等气体，其中甲烷（</w:t>
      </w:r>
      <w:r>
        <w:rPr>
          <w:rFonts w:ascii="Times New Roman" w:eastAsia="宋体" w:hAnsi="Times New Roman" w:cs="Times New Roman"/>
          <w:sz w:val="24"/>
          <w:szCs w:val="24"/>
        </w:rPr>
        <w:t>CH</w:t>
      </w:r>
      <w:r>
        <w:rPr>
          <w:rFonts w:ascii="Times New Roman" w:eastAsia="宋体" w:hAnsi="Times New Roman" w:cs="Times New Roman"/>
          <w:sz w:val="24"/>
          <w:szCs w:val="24"/>
          <w:vertAlign w:val="subscript"/>
        </w:rPr>
        <w:t>4</w:t>
      </w:r>
      <w:r>
        <w:rPr>
          <w:rFonts w:ascii="Times New Roman" w:eastAsia="宋体" w:hAnsi="Times New Roman" w:cs="Times New Roman"/>
          <w:sz w:val="24"/>
          <w:szCs w:val="24"/>
        </w:rPr>
        <w:t>）、二氧化碳（</w:t>
      </w:r>
      <w:r>
        <w:rPr>
          <w:rFonts w:ascii="Times New Roman" w:eastAsia="宋体" w:hAnsi="Times New Roman" w:cs="Times New Roman"/>
          <w:sz w:val="24"/>
          <w:szCs w:val="24"/>
        </w:rPr>
        <w:t>CO</w:t>
      </w:r>
      <w:r>
        <w:rPr>
          <w:rFonts w:ascii="Times New Roman" w:eastAsia="宋体" w:hAnsi="Times New Roman" w:cs="Times New Roman"/>
          <w:sz w:val="24"/>
          <w:szCs w:val="24"/>
          <w:vertAlign w:val="subscript"/>
        </w:rPr>
        <w:t>2</w:t>
      </w:r>
      <w:r>
        <w:rPr>
          <w:rFonts w:ascii="Times New Roman" w:eastAsia="宋体" w:hAnsi="Times New Roman" w:cs="Times New Roman"/>
          <w:sz w:val="24"/>
          <w:szCs w:val="24"/>
        </w:rPr>
        <w:t>）是主要成分。</w:t>
      </w:r>
      <w:r>
        <w:rPr>
          <w:rFonts w:ascii="Times New Roman" w:eastAsia="宋体" w:hAnsi="Times New Roman" w:cs="Times New Roman" w:hint="eastAsia"/>
          <w:sz w:val="24"/>
          <w:szCs w:val="24"/>
        </w:rPr>
        <w:t>根据《建设项目环境风险评价技术导则》（</w:t>
      </w:r>
      <w:r>
        <w:rPr>
          <w:rFonts w:ascii="Times New Roman" w:eastAsia="宋体" w:hAnsi="Times New Roman" w:cs="Times New Roman"/>
          <w:sz w:val="24"/>
          <w:szCs w:val="24"/>
        </w:rPr>
        <w:t>HJ169-2018</w:t>
      </w:r>
      <w:r>
        <w:rPr>
          <w:rFonts w:ascii="Times New Roman" w:eastAsia="宋体" w:hAnsi="Times New Roman" w:cs="Times New Roman"/>
          <w:sz w:val="24"/>
          <w:szCs w:val="24"/>
        </w:rPr>
        <w:t>）附录</w:t>
      </w:r>
      <w:r>
        <w:rPr>
          <w:rFonts w:ascii="Times New Roman" w:eastAsia="宋体" w:hAnsi="Times New Roman" w:cs="Times New Roman"/>
          <w:sz w:val="24"/>
          <w:szCs w:val="24"/>
        </w:rPr>
        <w:t>B</w:t>
      </w:r>
      <w:r>
        <w:rPr>
          <w:rFonts w:ascii="Times New Roman" w:eastAsia="宋体" w:hAnsi="Times New Roman" w:cs="Times New Roman"/>
          <w:sz w:val="24"/>
          <w:szCs w:val="24"/>
        </w:rPr>
        <w:t>，本项目涉及的突发环境事件风险物质为甲烷、硫化氢、氨。本项目各危险物质的存在量见表</w:t>
      </w:r>
      <w:r>
        <w:rPr>
          <w:rFonts w:ascii="Times New Roman" w:eastAsia="宋体" w:hAnsi="Times New Roman" w:cs="Times New Roman"/>
          <w:sz w:val="24"/>
          <w:szCs w:val="24"/>
        </w:rPr>
        <w:t>8.1-1</w:t>
      </w:r>
      <w:r>
        <w:rPr>
          <w:rFonts w:ascii="Times New Roman" w:eastAsia="宋体" w:hAnsi="Times New Roman" w:cs="Times New Roman"/>
          <w:sz w:val="24"/>
          <w:szCs w:val="24"/>
        </w:rPr>
        <w:t>。</w:t>
      </w:r>
    </w:p>
    <w:p w14:paraId="3EB8EA4A" w14:textId="77777777" w:rsidR="00D12939" w:rsidRDefault="004F47F5">
      <w:pPr>
        <w:adjustRightInd w:val="0"/>
        <w:snapToGrid w:val="0"/>
        <w:spacing w:line="360" w:lineRule="auto"/>
        <w:jc w:val="center"/>
        <w:rPr>
          <w:rFonts w:ascii="黑体" w:eastAsia="黑体" w:hAnsi="黑体"/>
          <w:sz w:val="24"/>
          <w:szCs w:val="21"/>
        </w:rPr>
      </w:pPr>
      <w:r>
        <w:rPr>
          <w:rFonts w:ascii="黑体" w:eastAsia="黑体" w:hAnsi="黑体"/>
          <w:sz w:val="24"/>
          <w:szCs w:val="21"/>
        </w:rPr>
        <w:t>表8.1-1    本项目主要危险物质数量统计表</w:t>
      </w:r>
    </w:p>
    <w:tbl>
      <w:tblPr>
        <w:tblW w:w="488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983"/>
        <w:gridCol w:w="1826"/>
        <w:gridCol w:w="2433"/>
        <w:gridCol w:w="3241"/>
      </w:tblGrid>
      <w:tr w:rsidR="00D12939" w14:paraId="3E566035" w14:textId="77777777">
        <w:trPr>
          <w:trHeight w:val="190"/>
        </w:trPr>
        <w:tc>
          <w:tcPr>
            <w:tcW w:w="1045" w:type="pct"/>
            <w:vAlign w:val="center"/>
          </w:tcPr>
          <w:p w14:paraId="5700E90E" w14:textId="77777777" w:rsidR="00D12939" w:rsidRDefault="004F47F5">
            <w:pPr>
              <w:adjustRightInd w:val="0"/>
              <w:snapToGrid w:val="0"/>
              <w:jc w:val="center"/>
              <w:rPr>
                <w:rFonts w:ascii="Times New Roman" w:eastAsia="宋体" w:hAnsi="Times New Roman" w:cs="Times New Roman"/>
                <w:szCs w:val="21"/>
              </w:rPr>
            </w:pPr>
            <w:bookmarkStart w:id="551" w:name="_Hlk66702014"/>
            <w:r>
              <w:rPr>
                <w:rFonts w:ascii="Times New Roman" w:eastAsia="宋体" w:hAnsi="Times New Roman" w:cs="Times New Roman"/>
                <w:szCs w:val="21"/>
              </w:rPr>
              <w:t>危险物质</w:t>
            </w:r>
          </w:p>
        </w:tc>
        <w:tc>
          <w:tcPr>
            <w:tcW w:w="963" w:type="pct"/>
            <w:vAlign w:val="center"/>
          </w:tcPr>
          <w:p w14:paraId="58F9A590"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CAS</w:t>
            </w:r>
            <w:r>
              <w:rPr>
                <w:rFonts w:ascii="Times New Roman" w:eastAsia="宋体" w:hAnsi="Times New Roman" w:cs="Times New Roman"/>
                <w:szCs w:val="21"/>
              </w:rPr>
              <w:t>号</w:t>
            </w:r>
          </w:p>
        </w:tc>
        <w:tc>
          <w:tcPr>
            <w:tcW w:w="1283" w:type="pct"/>
            <w:vAlign w:val="center"/>
          </w:tcPr>
          <w:p w14:paraId="7C51593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最大存在量（</w:t>
            </w:r>
            <w:r>
              <w:rPr>
                <w:rFonts w:ascii="Times New Roman" w:eastAsia="宋体" w:hAnsi="Times New Roman" w:cs="Times New Roman"/>
                <w:szCs w:val="21"/>
              </w:rPr>
              <w:t>t</w:t>
            </w:r>
            <w:r>
              <w:rPr>
                <w:rFonts w:ascii="Times New Roman" w:eastAsia="宋体" w:hAnsi="Times New Roman" w:cs="Times New Roman"/>
                <w:szCs w:val="21"/>
              </w:rPr>
              <w:t>）</w:t>
            </w:r>
          </w:p>
        </w:tc>
        <w:tc>
          <w:tcPr>
            <w:tcW w:w="1710" w:type="pct"/>
            <w:vAlign w:val="center"/>
          </w:tcPr>
          <w:p w14:paraId="57D9170E"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分布区域</w:t>
            </w:r>
          </w:p>
        </w:tc>
      </w:tr>
      <w:tr w:rsidR="00D12939" w14:paraId="1A09EAAA" w14:textId="77777777">
        <w:trPr>
          <w:trHeight w:val="251"/>
        </w:trPr>
        <w:tc>
          <w:tcPr>
            <w:tcW w:w="1045" w:type="pct"/>
            <w:vAlign w:val="center"/>
          </w:tcPr>
          <w:p w14:paraId="12B5AF3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4</w:t>
            </w:r>
          </w:p>
        </w:tc>
        <w:tc>
          <w:tcPr>
            <w:tcW w:w="963" w:type="pct"/>
            <w:vAlign w:val="center"/>
          </w:tcPr>
          <w:p w14:paraId="5F0FA247"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74-82-8</w:t>
            </w:r>
          </w:p>
        </w:tc>
        <w:tc>
          <w:tcPr>
            <w:tcW w:w="1283" w:type="pct"/>
            <w:vAlign w:val="center"/>
          </w:tcPr>
          <w:p w14:paraId="75D15AB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0.0447</w:t>
            </w:r>
          </w:p>
        </w:tc>
        <w:tc>
          <w:tcPr>
            <w:tcW w:w="1710" w:type="pct"/>
            <w:vAlign w:val="center"/>
          </w:tcPr>
          <w:p w14:paraId="7B918E3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填埋区</w:t>
            </w:r>
          </w:p>
        </w:tc>
      </w:tr>
      <w:tr w:rsidR="00D12939" w14:paraId="35B407B0" w14:textId="77777777">
        <w:trPr>
          <w:trHeight w:val="265"/>
        </w:trPr>
        <w:tc>
          <w:tcPr>
            <w:tcW w:w="1045" w:type="pct"/>
            <w:vAlign w:val="center"/>
          </w:tcPr>
          <w:p w14:paraId="097C3A0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963" w:type="pct"/>
            <w:vAlign w:val="center"/>
          </w:tcPr>
          <w:p w14:paraId="7DCACFD8"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7664-41-7</w:t>
            </w:r>
          </w:p>
        </w:tc>
        <w:tc>
          <w:tcPr>
            <w:tcW w:w="1283" w:type="pct"/>
            <w:vAlign w:val="center"/>
          </w:tcPr>
          <w:p w14:paraId="68947F3D"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rPr>
              <w:t>0.00073</w:t>
            </w:r>
          </w:p>
        </w:tc>
        <w:tc>
          <w:tcPr>
            <w:tcW w:w="1710" w:type="pct"/>
            <w:vMerge w:val="restart"/>
            <w:vAlign w:val="center"/>
          </w:tcPr>
          <w:p w14:paraId="23E2250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填埋区、调节池、渗滤液处理站</w:t>
            </w:r>
          </w:p>
        </w:tc>
      </w:tr>
      <w:tr w:rsidR="00D12939" w14:paraId="0318C997" w14:textId="77777777">
        <w:trPr>
          <w:trHeight w:val="251"/>
        </w:trPr>
        <w:tc>
          <w:tcPr>
            <w:tcW w:w="1045" w:type="pct"/>
            <w:vAlign w:val="center"/>
          </w:tcPr>
          <w:p w14:paraId="5697CBF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963" w:type="pct"/>
            <w:vAlign w:val="center"/>
          </w:tcPr>
          <w:p w14:paraId="1878CB8D"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7783-06-4</w:t>
            </w:r>
          </w:p>
        </w:tc>
        <w:tc>
          <w:tcPr>
            <w:tcW w:w="1283" w:type="pct"/>
            <w:vAlign w:val="center"/>
          </w:tcPr>
          <w:p w14:paraId="6D25AD9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rPr>
              <w:t>0.0024</w:t>
            </w:r>
          </w:p>
        </w:tc>
        <w:tc>
          <w:tcPr>
            <w:tcW w:w="1710" w:type="pct"/>
            <w:vMerge/>
            <w:vAlign w:val="center"/>
          </w:tcPr>
          <w:p w14:paraId="59829EF4" w14:textId="77777777" w:rsidR="00D12939" w:rsidRDefault="00D12939">
            <w:pPr>
              <w:adjustRightInd w:val="0"/>
              <w:snapToGrid w:val="0"/>
              <w:jc w:val="center"/>
              <w:rPr>
                <w:rFonts w:ascii="Times New Roman" w:eastAsia="宋体" w:hAnsi="Times New Roman" w:cs="Times New Roman"/>
                <w:szCs w:val="21"/>
              </w:rPr>
            </w:pPr>
          </w:p>
        </w:tc>
      </w:tr>
    </w:tbl>
    <w:bookmarkEnd w:id="551"/>
    <w:p w14:paraId="68FA5C40" w14:textId="77777777" w:rsidR="00D12939" w:rsidRDefault="004F47F5">
      <w:pPr>
        <w:pStyle w:val="affffffffe"/>
        <w:spacing w:line="240" w:lineRule="auto"/>
        <w:ind w:firstLineChars="0" w:firstLine="0"/>
        <w:rPr>
          <w:b/>
          <w:color w:val="auto"/>
          <w:sz w:val="21"/>
          <w:szCs w:val="21"/>
        </w:rPr>
      </w:pPr>
      <w:r>
        <w:rPr>
          <w:rFonts w:hint="eastAsia"/>
          <w:b/>
          <w:color w:val="auto"/>
          <w:sz w:val="21"/>
          <w:szCs w:val="21"/>
        </w:rPr>
        <w:t>注：本项目风险物质的最大存在量以预测的产气量最大年份对应的无组织排放量（一天）进行计算。</w:t>
      </w:r>
    </w:p>
    <w:p w14:paraId="67B1FE82" w14:textId="77777777" w:rsidR="00D12939" w:rsidRDefault="004F47F5">
      <w:pPr>
        <w:pStyle w:val="2"/>
        <w:spacing w:line="360" w:lineRule="auto"/>
        <w:ind w:firstLineChars="165" w:firstLine="462"/>
        <w:rPr>
          <w:sz w:val="28"/>
        </w:rPr>
      </w:pPr>
      <w:bookmarkStart w:id="552" w:name="_Toc5924"/>
      <w:bookmarkStart w:id="553" w:name="_Toc18653043"/>
      <w:bookmarkStart w:id="554" w:name="_Toc30133"/>
      <w:bookmarkStart w:id="555" w:name="_Toc20657"/>
      <w:bookmarkStart w:id="556" w:name="_Toc20051957"/>
      <w:bookmarkStart w:id="557" w:name="_Toc121411793"/>
      <w:r>
        <w:rPr>
          <w:sz w:val="28"/>
        </w:rPr>
        <w:t>8.2</w:t>
      </w:r>
      <w:bookmarkStart w:id="558" w:name="_Toc23422"/>
      <w:bookmarkEnd w:id="552"/>
      <w:bookmarkEnd w:id="553"/>
      <w:bookmarkEnd w:id="554"/>
      <w:bookmarkEnd w:id="555"/>
      <w:bookmarkEnd w:id="556"/>
      <w:r>
        <w:rPr>
          <w:sz w:val="28"/>
        </w:rPr>
        <w:t>风险评价等级</w:t>
      </w:r>
      <w:bookmarkEnd w:id="557"/>
    </w:p>
    <w:p w14:paraId="327DAA5A"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59" w:name="_Toc121411794"/>
      <w:r>
        <w:rPr>
          <w:rFonts w:ascii="Times New Roman" w:eastAsia="黑体" w:hAnsi="Times New Roman" w:cs="Times New Roman"/>
          <w:b w:val="0"/>
          <w:sz w:val="24"/>
        </w:rPr>
        <w:t>8.2.1</w:t>
      </w:r>
      <w:bookmarkEnd w:id="558"/>
      <w:r>
        <w:rPr>
          <w:rFonts w:ascii="Times New Roman" w:eastAsia="黑体" w:hAnsi="Times New Roman" w:cs="Times New Roman" w:hint="eastAsia"/>
          <w:b w:val="0"/>
          <w:sz w:val="24"/>
        </w:rPr>
        <w:t>危险性物质数量与临界量比值（</w:t>
      </w:r>
      <w:r>
        <w:rPr>
          <w:rFonts w:ascii="Times New Roman" w:eastAsia="黑体" w:hAnsi="Times New Roman" w:cs="Times New Roman"/>
          <w:b w:val="0"/>
          <w:sz w:val="24"/>
        </w:rPr>
        <w:t>Q</w:t>
      </w:r>
      <w:r>
        <w:rPr>
          <w:rFonts w:ascii="Times New Roman" w:eastAsia="黑体" w:hAnsi="Times New Roman" w:cs="Times New Roman"/>
          <w:b w:val="0"/>
          <w:sz w:val="24"/>
        </w:rPr>
        <w:t>）</w:t>
      </w:r>
      <w:bookmarkEnd w:id="559"/>
    </w:p>
    <w:p w14:paraId="19FD1278"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根据《建设项目环境风险评价技术导则》（</w:t>
      </w:r>
      <w:r>
        <w:rPr>
          <w:rFonts w:ascii="Times New Roman" w:eastAsia="宋体" w:hAnsi="Times New Roman" w:cs="Times New Roman"/>
          <w:sz w:val="24"/>
          <w:szCs w:val="24"/>
        </w:rPr>
        <w:t>HJ169-2018</w:t>
      </w:r>
      <w:r>
        <w:rPr>
          <w:rFonts w:ascii="Times New Roman" w:eastAsia="宋体" w:hAnsi="Times New Roman" w:cs="Times New Roman"/>
          <w:sz w:val="24"/>
          <w:szCs w:val="24"/>
        </w:rPr>
        <w:t>）附录</w:t>
      </w:r>
      <w:r>
        <w:rPr>
          <w:rFonts w:ascii="Times New Roman" w:eastAsia="宋体" w:hAnsi="Times New Roman" w:cs="Times New Roman"/>
          <w:sz w:val="24"/>
          <w:szCs w:val="24"/>
        </w:rPr>
        <w:t>C</w:t>
      </w:r>
      <w:r>
        <w:rPr>
          <w:rFonts w:ascii="Times New Roman" w:eastAsia="宋体" w:hAnsi="Times New Roman" w:cs="Times New Roman"/>
          <w:sz w:val="24"/>
          <w:szCs w:val="24"/>
        </w:rPr>
        <w:t>，当存在多种危险物质时，按下式计算物质总量与其临界量的比值（</w:t>
      </w:r>
      <w:r>
        <w:rPr>
          <w:rFonts w:ascii="Times New Roman" w:eastAsia="宋体" w:hAnsi="Times New Roman" w:cs="Times New Roman"/>
          <w:sz w:val="24"/>
          <w:szCs w:val="24"/>
        </w:rPr>
        <w:t>Q</w:t>
      </w:r>
      <w:r>
        <w:rPr>
          <w:rFonts w:ascii="Times New Roman" w:eastAsia="宋体" w:hAnsi="Times New Roman" w:cs="Times New Roman"/>
          <w:sz w:val="24"/>
          <w:szCs w:val="24"/>
        </w:rPr>
        <w:t>）：</w:t>
      </w:r>
    </w:p>
    <w:p w14:paraId="1CBA3BEB" w14:textId="77777777" w:rsidR="00D12939" w:rsidRDefault="004F47F5">
      <w:pPr>
        <w:adjustRightInd w:val="0"/>
        <w:snapToGrid w:val="0"/>
        <w:spacing w:line="360" w:lineRule="auto"/>
        <w:ind w:firstLineChars="200" w:firstLine="480"/>
        <w:jc w:val="center"/>
        <w:rPr>
          <w:rFonts w:ascii="Times New Roman" w:hAnsi="Times New Roman"/>
          <w:sz w:val="24"/>
          <w:szCs w:val="24"/>
        </w:rPr>
      </w:pPr>
      <m:oMathPara>
        <m:oMath>
          <m:r>
            <m:rPr>
              <m:sty m:val="p"/>
            </m:rPr>
            <w:rPr>
              <w:rFonts w:ascii="Cambria Math" w:hAnsi="Cambria Math"/>
              <w:sz w:val="24"/>
              <w:szCs w:val="24"/>
            </w:rPr>
            <m:t>Q=</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q</m:t>
                  </m:r>
                </m:e>
                <m:sub>
                  <m:r>
                    <m:rPr>
                      <m:sty m:val="p"/>
                    </m:rPr>
                    <w:rPr>
                      <w:rFonts w:ascii="Cambria Math" w:hAnsi="Cambria Math"/>
                      <w:sz w:val="24"/>
                      <w:szCs w:val="24"/>
                    </w:rPr>
                    <m:t>1</m:t>
                  </m:r>
                </m:sub>
              </m:sSub>
            </m:num>
            <m:den>
              <m:sSub>
                <m:sSubPr>
                  <m:ctrlPr>
                    <w:rPr>
                      <w:rFonts w:ascii="Cambria Math" w:hAnsi="Cambria Math"/>
                      <w:sz w:val="24"/>
                      <w:szCs w:val="24"/>
                    </w:rPr>
                  </m:ctrlPr>
                </m:sSubPr>
                <m:e>
                  <m:r>
                    <m:rPr>
                      <m:sty m:val="p"/>
                    </m:rPr>
                    <w:rPr>
                      <w:rFonts w:ascii="Cambria Math" w:hAnsi="Cambria Math"/>
                      <w:sz w:val="24"/>
                      <w:szCs w:val="24"/>
                    </w:rPr>
                    <m:t>Q</m:t>
                  </m:r>
                </m:e>
                <m:sub>
                  <m:r>
                    <m:rPr>
                      <m:sty m:val="p"/>
                    </m:rPr>
                    <w:rPr>
                      <w:rFonts w:ascii="Cambria Math" w:hAnsi="Cambria Math"/>
                      <w:sz w:val="24"/>
                      <w:szCs w:val="24"/>
                    </w:rPr>
                    <m:t>1</m:t>
                  </m:r>
                </m:sub>
              </m:sSub>
            </m:den>
          </m:f>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q</m:t>
                  </m:r>
                </m:e>
                <m:sub>
                  <m:r>
                    <m:rPr>
                      <m:sty m:val="p"/>
                    </m:rPr>
                    <w:rPr>
                      <w:rFonts w:ascii="Cambria Math" w:hAnsi="Cambria Math"/>
                      <w:sz w:val="24"/>
                      <w:szCs w:val="24"/>
                    </w:rPr>
                    <m:t>2</m:t>
                  </m:r>
                </m:sub>
              </m:sSub>
            </m:num>
            <m:den>
              <m:sSub>
                <m:sSubPr>
                  <m:ctrlPr>
                    <w:rPr>
                      <w:rFonts w:ascii="Cambria Math" w:hAnsi="Cambria Math"/>
                      <w:sz w:val="24"/>
                      <w:szCs w:val="24"/>
                    </w:rPr>
                  </m:ctrlPr>
                </m:sSubPr>
                <m:e>
                  <m:r>
                    <m:rPr>
                      <m:sty m:val="p"/>
                    </m:rPr>
                    <w:rPr>
                      <w:rFonts w:ascii="Cambria Math" w:hAnsi="Cambria Math"/>
                      <w:sz w:val="24"/>
                      <w:szCs w:val="24"/>
                    </w:rPr>
                    <m:t>Q</m:t>
                  </m:r>
                </m:e>
                <m:sub>
                  <m:r>
                    <m:rPr>
                      <m:sty m:val="p"/>
                    </m:rPr>
                    <w:rPr>
                      <w:rFonts w:ascii="Cambria Math" w:hAnsi="Cambria Math"/>
                      <w:sz w:val="24"/>
                      <w:szCs w:val="24"/>
                    </w:rPr>
                    <m:t>2</m:t>
                  </m:r>
                </m:sub>
              </m:sSub>
            </m:den>
          </m:f>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q</m:t>
                  </m:r>
                </m:e>
                <m:sub>
                  <m:r>
                    <m:rPr>
                      <m:sty m:val="p"/>
                    </m:rPr>
                    <w:rPr>
                      <w:rFonts w:ascii="Cambria Math" w:hAnsi="Cambria Math"/>
                      <w:sz w:val="24"/>
                      <w:szCs w:val="24"/>
                    </w:rPr>
                    <m:t>n</m:t>
                  </m:r>
                </m:sub>
              </m:sSub>
            </m:num>
            <m:den>
              <m:sSub>
                <m:sSubPr>
                  <m:ctrlPr>
                    <w:rPr>
                      <w:rFonts w:ascii="Cambria Math" w:hAnsi="Cambria Math"/>
                      <w:sz w:val="24"/>
                      <w:szCs w:val="24"/>
                    </w:rPr>
                  </m:ctrlPr>
                </m:sSubPr>
                <m:e>
                  <m:r>
                    <m:rPr>
                      <m:sty m:val="p"/>
                    </m:rPr>
                    <w:rPr>
                      <w:rFonts w:ascii="Cambria Math" w:hAnsi="Cambria Math"/>
                      <w:sz w:val="24"/>
                      <w:szCs w:val="24"/>
                    </w:rPr>
                    <m:t>Q</m:t>
                  </m:r>
                </m:e>
                <m:sub>
                  <m:r>
                    <m:rPr>
                      <m:sty m:val="p"/>
                    </m:rPr>
                    <w:rPr>
                      <w:rFonts w:ascii="Cambria Math" w:hAnsi="Cambria Math"/>
                      <w:sz w:val="24"/>
                      <w:szCs w:val="24"/>
                    </w:rPr>
                    <m:t>n</m:t>
                  </m:r>
                </m:sub>
              </m:sSub>
            </m:den>
          </m:f>
        </m:oMath>
      </m:oMathPara>
    </w:p>
    <w:p w14:paraId="5C206E92" w14:textId="77777777" w:rsidR="00D12939" w:rsidRDefault="004F47F5">
      <w:pPr>
        <w:adjustRightInd w:val="0"/>
        <w:snapToGrid w:val="0"/>
        <w:spacing w:line="360" w:lineRule="auto"/>
        <w:ind w:firstLineChars="200" w:firstLine="480"/>
        <w:rPr>
          <w:rFonts w:ascii="Times New Roman" w:hAnsi="Times New Roman"/>
          <w:sz w:val="24"/>
          <w:szCs w:val="24"/>
        </w:rPr>
      </w:pPr>
      <w:r>
        <w:rPr>
          <w:rFonts w:ascii="Times New Roman" w:hAnsi="Times New Roman"/>
          <w:sz w:val="24"/>
          <w:szCs w:val="24"/>
        </w:rPr>
        <w:t>式中：</w:t>
      </w:r>
      <w:r>
        <w:rPr>
          <w:rFonts w:ascii="Times New Roman" w:hAnsi="Times New Roman"/>
          <w:i/>
          <w:sz w:val="24"/>
          <w:szCs w:val="24"/>
        </w:rPr>
        <w:t>q</w:t>
      </w:r>
      <w:r>
        <w:rPr>
          <w:rFonts w:ascii="Times New Roman" w:hAnsi="Times New Roman"/>
          <w:i/>
          <w:sz w:val="24"/>
          <w:szCs w:val="24"/>
          <w:vertAlign w:val="subscript"/>
        </w:rPr>
        <w:t>1</w:t>
      </w:r>
      <w:r>
        <w:rPr>
          <w:rFonts w:ascii="Times New Roman" w:hAnsi="Times New Roman"/>
          <w:i/>
          <w:sz w:val="24"/>
          <w:szCs w:val="24"/>
        </w:rPr>
        <w:t>,q</w:t>
      </w:r>
      <w:r>
        <w:rPr>
          <w:rFonts w:ascii="Times New Roman" w:hAnsi="Times New Roman"/>
          <w:i/>
          <w:sz w:val="24"/>
          <w:szCs w:val="24"/>
          <w:vertAlign w:val="subscript"/>
        </w:rPr>
        <w:t>2</w:t>
      </w:r>
      <w:r>
        <w:rPr>
          <w:rFonts w:ascii="Times New Roman" w:hAnsi="Times New Roman"/>
          <w:i/>
          <w:sz w:val="24"/>
          <w:szCs w:val="24"/>
        </w:rPr>
        <w:t>,…q</w:t>
      </w:r>
      <w:r>
        <w:rPr>
          <w:rFonts w:ascii="Times New Roman" w:hAnsi="Times New Roman"/>
          <w:i/>
          <w:sz w:val="24"/>
          <w:szCs w:val="24"/>
          <w:vertAlign w:val="subscript"/>
        </w:rPr>
        <w:t>n</w:t>
      </w:r>
      <w:r>
        <w:rPr>
          <w:rFonts w:ascii="Times New Roman" w:hAnsi="Times New Roman"/>
          <w:sz w:val="24"/>
          <w:szCs w:val="24"/>
        </w:rPr>
        <w:t>—</w:t>
      </w:r>
      <w:r>
        <w:rPr>
          <w:rFonts w:ascii="Times New Roman" w:hAnsi="Times New Roman"/>
          <w:sz w:val="24"/>
          <w:szCs w:val="24"/>
        </w:rPr>
        <w:t>每种危险物质的最大存在量，</w:t>
      </w:r>
      <w:r>
        <w:rPr>
          <w:rFonts w:ascii="Times New Roman" w:hAnsi="Times New Roman"/>
          <w:sz w:val="24"/>
          <w:szCs w:val="24"/>
        </w:rPr>
        <w:t>t</w:t>
      </w:r>
      <w:r>
        <w:rPr>
          <w:rFonts w:ascii="Times New Roman" w:hAnsi="Times New Roman"/>
          <w:sz w:val="24"/>
          <w:szCs w:val="24"/>
        </w:rPr>
        <w:t>；</w:t>
      </w:r>
    </w:p>
    <w:p w14:paraId="633ED059" w14:textId="77777777" w:rsidR="00D12939" w:rsidRDefault="004F47F5">
      <w:pPr>
        <w:adjustRightInd w:val="0"/>
        <w:snapToGrid w:val="0"/>
        <w:spacing w:line="360" w:lineRule="auto"/>
        <w:ind w:firstLineChars="500" w:firstLine="1200"/>
        <w:rPr>
          <w:rFonts w:ascii="Times New Roman" w:hAnsi="Times New Roman"/>
          <w:sz w:val="24"/>
          <w:szCs w:val="24"/>
        </w:rPr>
      </w:pPr>
      <w:r>
        <w:rPr>
          <w:rFonts w:ascii="Times New Roman" w:hAnsi="Times New Roman"/>
          <w:i/>
          <w:sz w:val="24"/>
          <w:szCs w:val="24"/>
        </w:rPr>
        <w:t>Q</w:t>
      </w:r>
      <w:r>
        <w:rPr>
          <w:rFonts w:ascii="Times New Roman" w:hAnsi="Times New Roman"/>
          <w:i/>
          <w:sz w:val="24"/>
          <w:szCs w:val="24"/>
          <w:vertAlign w:val="subscript"/>
        </w:rPr>
        <w:t>1</w:t>
      </w:r>
      <w:r>
        <w:rPr>
          <w:rFonts w:ascii="Times New Roman" w:hAnsi="Times New Roman"/>
          <w:i/>
          <w:sz w:val="24"/>
          <w:szCs w:val="24"/>
        </w:rPr>
        <w:t>,Q</w:t>
      </w:r>
      <w:r>
        <w:rPr>
          <w:rFonts w:ascii="Times New Roman" w:hAnsi="Times New Roman"/>
          <w:i/>
          <w:sz w:val="24"/>
          <w:szCs w:val="24"/>
          <w:vertAlign w:val="subscript"/>
        </w:rPr>
        <w:t>2</w:t>
      </w:r>
      <w:r>
        <w:rPr>
          <w:rFonts w:ascii="Times New Roman" w:hAnsi="Times New Roman"/>
          <w:i/>
          <w:sz w:val="24"/>
          <w:szCs w:val="24"/>
        </w:rPr>
        <w:t>,…Q</w:t>
      </w:r>
      <w:r>
        <w:rPr>
          <w:rFonts w:ascii="Times New Roman" w:hAnsi="Times New Roman"/>
          <w:i/>
          <w:sz w:val="24"/>
          <w:szCs w:val="24"/>
          <w:vertAlign w:val="subscript"/>
        </w:rPr>
        <w:t>n</w:t>
      </w:r>
      <w:r>
        <w:rPr>
          <w:rFonts w:ascii="Times New Roman" w:hAnsi="Times New Roman"/>
          <w:sz w:val="24"/>
          <w:szCs w:val="24"/>
        </w:rPr>
        <w:t>—</w:t>
      </w:r>
      <w:r>
        <w:rPr>
          <w:rFonts w:ascii="Times New Roman" w:hAnsi="Times New Roman"/>
          <w:sz w:val="24"/>
          <w:szCs w:val="24"/>
        </w:rPr>
        <w:t>每种危险物质的临界量，</w:t>
      </w:r>
      <w:r>
        <w:rPr>
          <w:rFonts w:ascii="Times New Roman" w:hAnsi="Times New Roman"/>
          <w:sz w:val="24"/>
          <w:szCs w:val="24"/>
        </w:rPr>
        <w:t>t</w:t>
      </w:r>
      <w:r>
        <w:rPr>
          <w:rFonts w:ascii="Times New Roman" w:hAnsi="Times New Roman"/>
          <w:sz w:val="24"/>
          <w:szCs w:val="24"/>
        </w:rPr>
        <w:t>。</w:t>
      </w:r>
    </w:p>
    <w:p w14:paraId="7BCBC317"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当</w:t>
      </w:r>
      <w:r>
        <w:rPr>
          <w:rFonts w:ascii="Times New Roman" w:eastAsia="宋体" w:hAnsi="Times New Roman" w:cs="Times New Roman"/>
          <w:sz w:val="24"/>
          <w:szCs w:val="24"/>
        </w:rPr>
        <w:t>Q</w:t>
      </w: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时，该项目环境风险潜势为</w:t>
      </w:r>
      <w:r>
        <w:rPr>
          <w:rFonts w:ascii="Times New Roman" w:eastAsia="宋体" w:hAnsi="Times New Roman" w:cs="Times New Roman" w:hint="eastAsia"/>
          <w:sz w:val="24"/>
          <w:szCs w:val="24"/>
        </w:rPr>
        <w:t>Ⅰ</w:t>
      </w:r>
      <w:r>
        <w:rPr>
          <w:rFonts w:ascii="Times New Roman" w:eastAsia="宋体" w:hAnsi="Times New Roman" w:cs="Times New Roman"/>
          <w:sz w:val="24"/>
          <w:szCs w:val="24"/>
        </w:rPr>
        <w:t>。</w:t>
      </w:r>
    </w:p>
    <w:p w14:paraId="5308449D"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当</w:t>
      </w:r>
      <w:r>
        <w:rPr>
          <w:rFonts w:ascii="Times New Roman" w:eastAsia="宋体" w:hAnsi="Times New Roman" w:cs="Times New Roman"/>
          <w:sz w:val="24"/>
          <w:szCs w:val="24"/>
        </w:rPr>
        <w:t>Q≥1</w:t>
      </w:r>
      <w:r>
        <w:rPr>
          <w:rFonts w:ascii="Times New Roman" w:eastAsia="宋体" w:hAnsi="Times New Roman" w:cs="Times New Roman"/>
          <w:sz w:val="24"/>
          <w:szCs w:val="24"/>
        </w:rPr>
        <w:t>时，将</w:t>
      </w:r>
      <w:r>
        <w:rPr>
          <w:rFonts w:ascii="Times New Roman" w:eastAsia="宋体" w:hAnsi="Times New Roman" w:cs="Times New Roman"/>
          <w:sz w:val="24"/>
          <w:szCs w:val="24"/>
        </w:rPr>
        <w:t>Q</w:t>
      </w:r>
      <w:r>
        <w:rPr>
          <w:rFonts w:ascii="Times New Roman" w:eastAsia="宋体" w:hAnsi="Times New Roman" w:cs="Times New Roman"/>
          <w:sz w:val="24"/>
          <w:szCs w:val="24"/>
        </w:rPr>
        <w:t>值划分为：（</w:t>
      </w:r>
      <w:r>
        <w:rPr>
          <w:rFonts w:ascii="Times New Roman" w:eastAsia="宋体" w:hAnsi="Times New Roman" w:cs="Times New Roman"/>
          <w:sz w:val="24"/>
          <w:szCs w:val="24"/>
        </w:rPr>
        <w:t>1</w:t>
      </w:r>
      <w:r>
        <w:rPr>
          <w:rFonts w:ascii="Times New Roman" w:eastAsia="宋体" w:hAnsi="Times New Roman" w:cs="Times New Roman"/>
          <w:sz w:val="24"/>
          <w:szCs w:val="24"/>
        </w:rPr>
        <w:t>）</w:t>
      </w:r>
      <w:r>
        <w:rPr>
          <w:rFonts w:ascii="Times New Roman" w:eastAsia="宋体" w:hAnsi="Times New Roman" w:cs="Times New Roman"/>
          <w:sz w:val="24"/>
          <w:szCs w:val="24"/>
        </w:rPr>
        <w:t>1≤Q</w:t>
      </w:r>
      <w:r>
        <w:rPr>
          <w:rFonts w:ascii="Times New Roman" w:eastAsia="宋体" w:hAnsi="Times New Roman" w:cs="Times New Roman"/>
          <w:sz w:val="24"/>
          <w:szCs w:val="24"/>
        </w:rPr>
        <w:t>＜</w:t>
      </w:r>
      <w:r>
        <w:rPr>
          <w:rFonts w:ascii="Times New Roman" w:eastAsia="宋体" w:hAnsi="Times New Roman" w:cs="Times New Roman"/>
          <w:sz w:val="24"/>
          <w:szCs w:val="24"/>
        </w:rPr>
        <w:t>10</w:t>
      </w: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w:t>
      </w:r>
      <w:r>
        <w:rPr>
          <w:rFonts w:ascii="Times New Roman" w:eastAsia="宋体" w:hAnsi="Times New Roman" w:cs="Times New Roman"/>
          <w:sz w:val="24"/>
          <w:szCs w:val="24"/>
        </w:rPr>
        <w:t>10≤Q</w:t>
      </w:r>
      <w:r>
        <w:rPr>
          <w:rFonts w:ascii="Times New Roman" w:eastAsia="宋体" w:hAnsi="Times New Roman" w:cs="Times New Roman"/>
          <w:sz w:val="24"/>
          <w:szCs w:val="24"/>
        </w:rPr>
        <w:t>＜</w:t>
      </w:r>
      <w:r>
        <w:rPr>
          <w:rFonts w:ascii="Times New Roman" w:eastAsia="宋体" w:hAnsi="Times New Roman" w:cs="Times New Roman"/>
          <w:sz w:val="24"/>
          <w:szCs w:val="24"/>
        </w:rPr>
        <w:t>100</w:t>
      </w:r>
      <w:r>
        <w:rPr>
          <w:rFonts w:ascii="Times New Roman" w:eastAsia="宋体" w:hAnsi="Times New Roman" w:cs="Times New Roman"/>
          <w:sz w:val="24"/>
          <w:szCs w:val="24"/>
        </w:rPr>
        <w:t>；（</w:t>
      </w:r>
      <w:r>
        <w:rPr>
          <w:rFonts w:ascii="Times New Roman" w:eastAsia="宋体" w:hAnsi="Times New Roman" w:cs="Times New Roman"/>
          <w:sz w:val="24"/>
          <w:szCs w:val="24"/>
        </w:rPr>
        <w:t>3</w:t>
      </w:r>
      <w:r>
        <w:rPr>
          <w:rFonts w:ascii="Times New Roman" w:eastAsia="宋体" w:hAnsi="Times New Roman" w:cs="Times New Roman"/>
          <w:sz w:val="24"/>
          <w:szCs w:val="24"/>
        </w:rPr>
        <w:t>）</w:t>
      </w:r>
      <w:r>
        <w:rPr>
          <w:rFonts w:ascii="Times New Roman" w:eastAsia="宋体" w:hAnsi="Times New Roman" w:cs="Times New Roman"/>
          <w:sz w:val="24"/>
          <w:szCs w:val="24"/>
        </w:rPr>
        <w:t>Q≥100</w:t>
      </w:r>
      <w:r>
        <w:rPr>
          <w:rFonts w:ascii="Times New Roman" w:eastAsia="宋体" w:hAnsi="Times New Roman" w:cs="Times New Roman"/>
          <w:sz w:val="24"/>
          <w:szCs w:val="24"/>
        </w:rPr>
        <w:t>。</w:t>
      </w:r>
    </w:p>
    <w:p w14:paraId="7F3D0D3A"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本项目危险物质数量与临界量比值（</w:t>
      </w:r>
      <w:r>
        <w:rPr>
          <w:rFonts w:ascii="Times New Roman" w:eastAsia="宋体" w:hAnsi="Times New Roman" w:cs="Times New Roman"/>
          <w:sz w:val="24"/>
          <w:szCs w:val="24"/>
        </w:rPr>
        <w:t>Q</w:t>
      </w:r>
      <w:r>
        <w:rPr>
          <w:rFonts w:ascii="Times New Roman" w:eastAsia="宋体" w:hAnsi="Times New Roman" w:cs="Times New Roman"/>
          <w:sz w:val="24"/>
          <w:szCs w:val="24"/>
        </w:rPr>
        <w:t>）计算结果见表</w:t>
      </w:r>
      <w:r>
        <w:rPr>
          <w:rFonts w:ascii="Times New Roman" w:eastAsia="宋体" w:hAnsi="Times New Roman" w:cs="Times New Roman"/>
          <w:sz w:val="24"/>
          <w:szCs w:val="24"/>
        </w:rPr>
        <w:t>8.2-1</w:t>
      </w:r>
      <w:r>
        <w:rPr>
          <w:rFonts w:ascii="Times New Roman" w:eastAsia="宋体" w:hAnsi="Times New Roman" w:cs="Times New Roman"/>
          <w:sz w:val="24"/>
          <w:szCs w:val="24"/>
        </w:rPr>
        <w:t>。</w:t>
      </w:r>
    </w:p>
    <w:p w14:paraId="6431743C" w14:textId="77777777" w:rsidR="00D12939" w:rsidRDefault="004F47F5">
      <w:pPr>
        <w:adjustRightInd w:val="0"/>
        <w:snapToGrid w:val="0"/>
        <w:jc w:val="center"/>
        <w:rPr>
          <w:rFonts w:ascii="黑体" w:eastAsia="黑体" w:hAnsi="黑体"/>
          <w:sz w:val="24"/>
          <w:szCs w:val="21"/>
        </w:rPr>
      </w:pPr>
      <w:r>
        <w:rPr>
          <w:rFonts w:ascii="黑体" w:eastAsia="黑体" w:hAnsi="黑体"/>
          <w:sz w:val="24"/>
          <w:szCs w:val="21"/>
        </w:rPr>
        <w:t>表8.2-1  拟建项目Q值确定表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80"/>
        <w:gridCol w:w="1663"/>
        <w:gridCol w:w="2412"/>
        <w:gridCol w:w="1865"/>
        <w:gridCol w:w="1296"/>
      </w:tblGrid>
      <w:tr w:rsidR="00D12939" w14:paraId="796E6762" w14:textId="77777777">
        <w:trPr>
          <w:trHeight w:val="340"/>
        </w:trPr>
        <w:tc>
          <w:tcPr>
            <w:tcW w:w="1276" w:type="pct"/>
            <w:vAlign w:val="center"/>
          </w:tcPr>
          <w:p w14:paraId="58451FE6" w14:textId="77777777" w:rsidR="00D12939" w:rsidRDefault="004F47F5">
            <w:pPr>
              <w:adjustRightInd w:val="0"/>
              <w:snapToGrid w:val="0"/>
              <w:jc w:val="center"/>
              <w:rPr>
                <w:rFonts w:ascii="Times New Roman" w:hAnsi="Times New Roman"/>
                <w:szCs w:val="21"/>
              </w:rPr>
            </w:pPr>
            <w:r>
              <w:rPr>
                <w:rFonts w:ascii="Times New Roman" w:hAnsi="Times New Roman"/>
                <w:szCs w:val="21"/>
              </w:rPr>
              <w:t>危险物质</w:t>
            </w:r>
          </w:p>
        </w:tc>
        <w:tc>
          <w:tcPr>
            <w:tcW w:w="856" w:type="pct"/>
            <w:vAlign w:val="center"/>
          </w:tcPr>
          <w:p w14:paraId="6EE5AF4A" w14:textId="77777777" w:rsidR="00D12939" w:rsidRDefault="004F47F5">
            <w:pPr>
              <w:adjustRightInd w:val="0"/>
              <w:snapToGrid w:val="0"/>
              <w:jc w:val="center"/>
              <w:rPr>
                <w:rFonts w:ascii="Times New Roman" w:hAnsi="Times New Roman"/>
                <w:szCs w:val="21"/>
              </w:rPr>
            </w:pPr>
            <w:r>
              <w:rPr>
                <w:rFonts w:ascii="Times New Roman" w:hAnsi="Times New Roman"/>
                <w:szCs w:val="21"/>
              </w:rPr>
              <w:t>CAS</w:t>
            </w:r>
            <w:r>
              <w:rPr>
                <w:rFonts w:ascii="Times New Roman" w:hAnsi="Times New Roman"/>
                <w:szCs w:val="21"/>
              </w:rPr>
              <w:t>号</w:t>
            </w:r>
          </w:p>
        </w:tc>
        <w:tc>
          <w:tcPr>
            <w:tcW w:w="1241" w:type="pct"/>
            <w:vAlign w:val="center"/>
          </w:tcPr>
          <w:p w14:paraId="7C82A9EF" w14:textId="77777777" w:rsidR="00D12939" w:rsidRDefault="004F47F5">
            <w:pPr>
              <w:adjustRightInd w:val="0"/>
              <w:snapToGrid w:val="0"/>
              <w:jc w:val="center"/>
              <w:rPr>
                <w:rFonts w:ascii="Times New Roman" w:hAnsi="Times New Roman"/>
                <w:szCs w:val="21"/>
              </w:rPr>
            </w:pPr>
            <w:r>
              <w:rPr>
                <w:rFonts w:ascii="Times New Roman" w:hAnsi="Times New Roman"/>
                <w:szCs w:val="21"/>
              </w:rPr>
              <w:t>最大存在量（</w:t>
            </w:r>
            <w:r>
              <w:rPr>
                <w:rFonts w:ascii="Times New Roman" w:hAnsi="Times New Roman"/>
                <w:szCs w:val="21"/>
              </w:rPr>
              <w:t>t</w:t>
            </w:r>
            <w:r>
              <w:rPr>
                <w:rFonts w:ascii="Times New Roman" w:hAnsi="Times New Roman"/>
                <w:szCs w:val="21"/>
              </w:rPr>
              <w:t>）</w:t>
            </w:r>
          </w:p>
        </w:tc>
        <w:tc>
          <w:tcPr>
            <w:tcW w:w="960" w:type="pct"/>
            <w:vAlign w:val="center"/>
          </w:tcPr>
          <w:p w14:paraId="3BBE2000" w14:textId="77777777" w:rsidR="00D12939" w:rsidRDefault="004F47F5">
            <w:pPr>
              <w:adjustRightInd w:val="0"/>
              <w:snapToGrid w:val="0"/>
              <w:jc w:val="center"/>
              <w:rPr>
                <w:rFonts w:ascii="Times New Roman" w:hAnsi="Times New Roman"/>
                <w:szCs w:val="21"/>
              </w:rPr>
            </w:pPr>
            <w:r>
              <w:rPr>
                <w:rFonts w:ascii="Times New Roman" w:hAnsi="Times New Roman"/>
                <w:szCs w:val="21"/>
              </w:rPr>
              <w:t>临界量（</w:t>
            </w:r>
            <w:r>
              <w:rPr>
                <w:rFonts w:ascii="Times New Roman" w:hAnsi="Times New Roman"/>
                <w:szCs w:val="21"/>
              </w:rPr>
              <w:t>t</w:t>
            </w:r>
            <w:r>
              <w:rPr>
                <w:rFonts w:ascii="Times New Roman" w:hAnsi="Times New Roman"/>
                <w:szCs w:val="21"/>
              </w:rPr>
              <w:t>）</w:t>
            </w:r>
          </w:p>
        </w:tc>
        <w:tc>
          <w:tcPr>
            <w:tcW w:w="667" w:type="pct"/>
            <w:vAlign w:val="center"/>
          </w:tcPr>
          <w:p w14:paraId="07DE6251" w14:textId="77777777" w:rsidR="00D12939" w:rsidRDefault="004F47F5">
            <w:pPr>
              <w:adjustRightInd w:val="0"/>
              <w:snapToGrid w:val="0"/>
              <w:jc w:val="center"/>
              <w:rPr>
                <w:rFonts w:ascii="Times New Roman" w:hAnsi="Times New Roman"/>
                <w:szCs w:val="21"/>
              </w:rPr>
            </w:pPr>
            <w:r>
              <w:rPr>
                <w:rFonts w:ascii="Times New Roman" w:hAnsi="Times New Roman"/>
                <w:szCs w:val="21"/>
              </w:rPr>
              <w:t>qi/Qi</w:t>
            </w:r>
          </w:p>
        </w:tc>
      </w:tr>
      <w:tr w:rsidR="00D12939" w14:paraId="76B0428E" w14:textId="77777777">
        <w:trPr>
          <w:trHeight w:val="340"/>
        </w:trPr>
        <w:tc>
          <w:tcPr>
            <w:tcW w:w="1276" w:type="pct"/>
            <w:vAlign w:val="center"/>
          </w:tcPr>
          <w:p w14:paraId="1B8110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CH</w:t>
            </w:r>
            <w:r>
              <w:rPr>
                <w:rFonts w:ascii="Times New Roman" w:eastAsia="宋体" w:hAnsi="Times New Roman" w:cs="Times New Roman"/>
                <w:szCs w:val="21"/>
                <w:vertAlign w:val="subscript"/>
              </w:rPr>
              <w:t>4</w:t>
            </w:r>
          </w:p>
        </w:tc>
        <w:tc>
          <w:tcPr>
            <w:tcW w:w="856" w:type="pct"/>
            <w:vAlign w:val="center"/>
          </w:tcPr>
          <w:p w14:paraId="41503535"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74-82-8</w:t>
            </w:r>
          </w:p>
        </w:tc>
        <w:tc>
          <w:tcPr>
            <w:tcW w:w="1241" w:type="pct"/>
            <w:vAlign w:val="center"/>
          </w:tcPr>
          <w:p w14:paraId="3D15FE3B"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0.0447</w:t>
            </w:r>
          </w:p>
        </w:tc>
        <w:tc>
          <w:tcPr>
            <w:tcW w:w="960" w:type="pct"/>
            <w:vAlign w:val="center"/>
          </w:tcPr>
          <w:p w14:paraId="0FC6FE52" w14:textId="77777777" w:rsidR="00D12939" w:rsidRDefault="004F47F5">
            <w:pPr>
              <w:adjustRightInd w:val="0"/>
              <w:snapToGrid w:val="0"/>
              <w:jc w:val="center"/>
              <w:rPr>
                <w:rFonts w:ascii="Times New Roman" w:hAnsi="Times New Roman"/>
                <w:szCs w:val="21"/>
              </w:rPr>
            </w:pPr>
            <w:r>
              <w:rPr>
                <w:rFonts w:ascii="Times New Roman" w:hAnsi="Times New Roman"/>
                <w:szCs w:val="21"/>
              </w:rPr>
              <w:t>10</w:t>
            </w:r>
          </w:p>
        </w:tc>
        <w:tc>
          <w:tcPr>
            <w:tcW w:w="667" w:type="pct"/>
            <w:vAlign w:val="center"/>
          </w:tcPr>
          <w:p w14:paraId="60173DF1" w14:textId="77777777" w:rsidR="00D12939" w:rsidRDefault="004F47F5">
            <w:pPr>
              <w:adjustRightInd w:val="0"/>
              <w:snapToGrid w:val="0"/>
              <w:jc w:val="center"/>
              <w:rPr>
                <w:rFonts w:ascii="Times New Roman" w:hAnsi="Times New Roman"/>
                <w:szCs w:val="21"/>
              </w:rPr>
            </w:pPr>
            <w:r>
              <w:rPr>
                <w:rFonts w:ascii="Times New Roman" w:hAnsi="Times New Roman" w:hint="eastAsia"/>
                <w:szCs w:val="21"/>
              </w:rPr>
              <w:t>0</w:t>
            </w:r>
            <w:r>
              <w:rPr>
                <w:rFonts w:ascii="Times New Roman" w:hAnsi="Times New Roman"/>
                <w:szCs w:val="21"/>
              </w:rPr>
              <w:t>.00447</w:t>
            </w:r>
          </w:p>
        </w:tc>
      </w:tr>
      <w:tr w:rsidR="00D12939" w14:paraId="2B837E30" w14:textId="77777777">
        <w:trPr>
          <w:trHeight w:val="340"/>
        </w:trPr>
        <w:tc>
          <w:tcPr>
            <w:tcW w:w="1276" w:type="pct"/>
            <w:vAlign w:val="center"/>
          </w:tcPr>
          <w:p w14:paraId="62F6330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氨</w:t>
            </w:r>
          </w:p>
        </w:tc>
        <w:tc>
          <w:tcPr>
            <w:tcW w:w="856" w:type="pct"/>
            <w:vAlign w:val="center"/>
          </w:tcPr>
          <w:p w14:paraId="1A106DAF"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7664-41-7</w:t>
            </w:r>
          </w:p>
        </w:tc>
        <w:tc>
          <w:tcPr>
            <w:tcW w:w="1241" w:type="pct"/>
            <w:vAlign w:val="center"/>
          </w:tcPr>
          <w:p w14:paraId="034C99C3"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rPr>
              <w:t>0.00073</w:t>
            </w:r>
          </w:p>
        </w:tc>
        <w:tc>
          <w:tcPr>
            <w:tcW w:w="960" w:type="pct"/>
            <w:vAlign w:val="center"/>
          </w:tcPr>
          <w:p w14:paraId="2CB37062" w14:textId="77777777" w:rsidR="00D12939" w:rsidRDefault="004F47F5">
            <w:pPr>
              <w:adjustRightInd w:val="0"/>
              <w:snapToGrid w:val="0"/>
              <w:jc w:val="center"/>
              <w:rPr>
                <w:rFonts w:ascii="Times New Roman" w:hAnsi="Times New Roman"/>
                <w:szCs w:val="21"/>
              </w:rPr>
            </w:pPr>
            <w:r>
              <w:rPr>
                <w:rFonts w:ascii="Times New Roman" w:hAnsi="Times New Roman"/>
                <w:szCs w:val="21"/>
              </w:rPr>
              <w:t>5</w:t>
            </w:r>
          </w:p>
        </w:tc>
        <w:tc>
          <w:tcPr>
            <w:tcW w:w="667" w:type="pct"/>
            <w:vAlign w:val="center"/>
          </w:tcPr>
          <w:p w14:paraId="7AEB2F53" w14:textId="77777777" w:rsidR="00D12939" w:rsidRDefault="004F47F5">
            <w:pPr>
              <w:adjustRightInd w:val="0"/>
              <w:snapToGrid w:val="0"/>
              <w:jc w:val="center"/>
              <w:rPr>
                <w:rFonts w:ascii="Times New Roman" w:hAnsi="Times New Roman"/>
                <w:szCs w:val="21"/>
              </w:rPr>
            </w:pPr>
            <w:r>
              <w:rPr>
                <w:rFonts w:ascii="Times New Roman" w:hAnsi="Times New Roman" w:hint="eastAsia"/>
                <w:szCs w:val="21"/>
              </w:rPr>
              <w:t>0</w:t>
            </w:r>
            <w:r>
              <w:rPr>
                <w:rFonts w:ascii="Times New Roman" w:hAnsi="Times New Roman"/>
                <w:szCs w:val="21"/>
              </w:rPr>
              <w:t>.00015</w:t>
            </w:r>
          </w:p>
        </w:tc>
      </w:tr>
      <w:tr w:rsidR="00D12939" w14:paraId="737EE782" w14:textId="77777777">
        <w:trPr>
          <w:trHeight w:val="340"/>
        </w:trPr>
        <w:tc>
          <w:tcPr>
            <w:tcW w:w="1276" w:type="pct"/>
            <w:vAlign w:val="center"/>
          </w:tcPr>
          <w:p w14:paraId="6E8CB4C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硫化氢</w:t>
            </w:r>
          </w:p>
        </w:tc>
        <w:tc>
          <w:tcPr>
            <w:tcW w:w="856" w:type="pct"/>
            <w:vAlign w:val="center"/>
          </w:tcPr>
          <w:p w14:paraId="2701139C"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7783-06-4</w:t>
            </w:r>
          </w:p>
        </w:tc>
        <w:tc>
          <w:tcPr>
            <w:tcW w:w="1241" w:type="pct"/>
            <w:vAlign w:val="center"/>
          </w:tcPr>
          <w:p w14:paraId="6F5A1A51" w14:textId="77777777" w:rsidR="00D12939" w:rsidRDefault="004F47F5">
            <w:pPr>
              <w:adjustRightInd w:val="0"/>
              <w:snapToGrid w:val="0"/>
              <w:jc w:val="center"/>
              <w:rPr>
                <w:rFonts w:ascii="Times New Roman" w:eastAsia="宋体" w:hAnsi="Times New Roman" w:cs="Times New Roman"/>
                <w:szCs w:val="21"/>
              </w:rPr>
            </w:pPr>
            <w:r>
              <w:rPr>
                <w:rFonts w:ascii="Times New Roman" w:eastAsia="宋体" w:hAnsi="Times New Roman" w:cs="Times New Roman"/>
              </w:rPr>
              <w:t>0.0024</w:t>
            </w:r>
          </w:p>
        </w:tc>
        <w:tc>
          <w:tcPr>
            <w:tcW w:w="960" w:type="pct"/>
            <w:vAlign w:val="center"/>
          </w:tcPr>
          <w:p w14:paraId="6EB07CAD" w14:textId="77777777" w:rsidR="00D12939" w:rsidRDefault="004F47F5">
            <w:pPr>
              <w:adjustRightInd w:val="0"/>
              <w:snapToGrid w:val="0"/>
              <w:jc w:val="center"/>
              <w:rPr>
                <w:rFonts w:ascii="Times New Roman" w:hAnsi="Times New Roman"/>
                <w:szCs w:val="21"/>
              </w:rPr>
            </w:pPr>
            <w:r>
              <w:rPr>
                <w:rFonts w:ascii="Times New Roman" w:hAnsi="Times New Roman"/>
                <w:szCs w:val="21"/>
              </w:rPr>
              <w:t>2.5</w:t>
            </w:r>
          </w:p>
        </w:tc>
        <w:tc>
          <w:tcPr>
            <w:tcW w:w="667" w:type="pct"/>
            <w:vAlign w:val="center"/>
          </w:tcPr>
          <w:p w14:paraId="03ABDE61" w14:textId="77777777" w:rsidR="00D12939" w:rsidRDefault="004F47F5">
            <w:pPr>
              <w:adjustRightInd w:val="0"/>
              <w:snapToGrid w:val="0"/>
              <w:jc w:val="center"/>
              <w:rPr>
                <w:rFonts w:ascii="Times New Roman" w:hAnsi="Times New Roman"/>
                <w:szCs w:val="21"/>
              </w:rPr>
            </w:pPr>
            <w:r>
              <w:rPr>
                <w:rFonts w:ascii="Times New Roman" w:hAnsi="Times New Roman" w:hint="eastAsia"/>
                <w:szCs w:val="21"/>
              </w:rPr>
              <w:t>0</w:t>
            </w:r>
            <w:r>
              <w:rPr>
                <w:rFonts w:ascii="Times New Roman" w:hAnsi="Times New Roman"/>
                <w:szCs w:val="21"/>
              </w:rPr>
              <w:t>.00096</w:t>
            </w:r>
          </w:p>
        </w:tc>
      </w:tr>
      <w:tr w:rsidR="00D12939" w14:paraId="7CB56DE4" w14:textId="77777777">
        <w:trPr>
          <w:trHeight w:val="340"/>
        </w:trPr>
        <w:tc>
          <w:tcPr>
            <w:tcW w:w="4333" w:type="pct"/>
            <w:gridSpan w:val="4"/>
            <w:vAlign w:val="center"/>
          </w:tcPr>
          <w:p w14:paraId="66844FE0" w14:textId="77777777" w:rsidR="00D12939" w:rsidRDefault="004F47F5">
            <w:pPr>
              <w:adjustRightInd w:val="0"/>
              <w:snapToGrid w:val="0"/>
              <w:jc w:val="center"/>
              <w:rPr>
                <w:rFonts w:ascii="Times New Roman" w:hAnsi="Times New Roman"/>
                <w:szCs w:val="21"/>
              </w:rPr>
            </w:pPr>
            <w:r>
              <w:rPr>
                <w:rFonts w:ascii="Times New Roman" w:hAnsi="Times New Roman"/>
                <w:szCs w:val="21"/>
              </w:rPr>
              <w:t>Q</w:t>
            </w:r>
            <w:r>
              <w:rPr>
                <w:rFonts w:ascii="Times New Roman" w:hAnsi="Times New Roman"/>
                <w:szCs w:val="21"/>
              </w:rPr>
              <w:t>合计</w:t>
            </w:r>
          </w:p>
        </w:tc>
        <w:tc>
          <w:tcPr>
            <w:tcW w:w="667" w:type="pct"/>
            <w:vAlign w:val="center"/>
          </w:tcPr>
          <w:p w14:paraId="7CF922B5" w14:textId="77777777" w:rsidR="00D12939" w:rsidRDefault="004F47F5">
            <w:pPr>
              <w:adjustRightInd w:val="0"/>
              <w:snapToGrid w:val="0"/>
              <w:jc w:val="center"/>
              <w:rPr>
                <w:rFonts w:ascii="Times New Roman" w:hAnsi="Times New Roman"/>
                <w:szCs w:val="21"/>
              </w:rPr>
            </w:pPr>
            <w:r>
              <w:rPr>
                <w:rFonts w:ascii="Times New Roman" w:hAnsi="Times New Roman"/>
                <w:szCs w:val="21"/>
              </w:rPr>
              <w:t>0.00558</w:t>
            </w:r>
          </w:p>
        </w:tc>
      </w:tr>
    </w:tbl>
    <w:p w14:paraId="5745B2A5"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由上表知，本项目</w:t>
      </w:r>
      <w:r>
        <w:rPr>
          <w:rFonts w:ascii="Times New Roman" w:eastAsia="宋体" w:hAnsi="Times New Roman" w:cs="Times New Roman"/>
          <w:sz w:val="24"/>
          <w:szCs w:val="24"/>
        </w:rPr>
        <w:t>Q&lt;1</w:t>
      </w:r>
      <w:r>
        <w:rPr>
          <w:rFonts w:ascii="Times New Roman" w:eastAsia="宋体" w:hAnsi="Times New Roman" w:cs="Times New Roman"/>
          <w:sz w:val="24"/>
          <w:szCs w:val="24"/>
        </w:rPr>
        <w:t>，项目环境风险潜势为</w:t>
      </w:r>
      <w:r>
        <w:rPr>
          <w:rFonts w:ascii="Times New Roman" w:eastAsia="宋体" w:hAnsi="Times New Roman" w:cs="Times New Roman"/>
          <w:sz w:val="24"/>
          <w:szCs w:val="24"/>
        </w:rPr>
        <w:t>I</w:t>
      </w:r>
      <w:r>
        <w:rPr>
          <w:rFonts w:ascii="Times New Roman" w:eastAsia="宋体" w:hAnsi="Times New Roman" w:cs="Times New Roman"/>
          <w:sz w:val="24"/>
          <w:szCs w:val="24"/>
        </w:rPr>
        <w:t>。</w:t>
      </w:r>
    </w:p>
    <w:p w14:paraId="27E356A9"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60" w:name="_Toc121411795"/>
      <w:r>
        <w:rPr>
          <w:rFonts w:ascii="Times New Roman" w:eastAsia="黑体" w:hAnsi="Times New Roman" w:cs="Times New Roman"/>
          <w:b w:val="0"/>
          <w:sz w:val="24"/>
        </w:rPr>
        <w:t>8.2.2</w:t>
      </w:r>
      <w:r>
        <w:rPr>
          <w:rFonts w:ascii="Times New Roman" w:eastAsia="黑体" w:hAnsi="Times New Roman" w:cs="Times New Roman"/>
          <w:b w:val="0"/>
          <w:sz w:val="24"/>
        </w:rPr>
        <w:t>风险评价等级确定</w:t>
      </w:r>
      <w:bookmarkEnd w:id="560"/>
    </w:p>
    <w:p w14:paraId="57804864"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根据环境风险潜势划分结果，本项目环境风险评价工作等级判定见表</w:t>
      </w:r>
      <w:r>
        <w:rPr>
          <w:rFonts w:ascii="Times New Roman" w:eastAsia="宋体" w:hAnsi="Times New Roman" w:cs="Times New Roman"/>
          <w:sz w:val="24"/>
          <w:szCs w:val="24"/>
        </w:rPr>
        <w:t>6.2-6</w:t>
      </w:r>
      <w:r>
        <w:rPr>
          <w:rFonts w:ascii="Times New Roman" w:eastAsia="宋体" w:hAnsi="Times New Roman" w:cs="Times New Roman"/>
          <w:sz w:val="24"/>
          <w:szCs w:val="24"/>
        </w:rPr>
        <w:t>。</w:t>
      </w:r>
    </w:p>
    <w:p w14:paraId="6F660A9A" w14:textId="77777777" w:rsidR="00D12939" w:rsidRDefault="004F47F5">
      <w:pPr>
        <w:adjustRightInd w:val="0"/>
        <w:snapToGrid w:val="0"/>
        <w:jc w:val="center"/>
        <w:rPr>
          <w:rFonts w:ascii="Times New Roman" w:eastAsia="黑体" w:hAnsi="Times New Roman"/>
          <w:szCs w:val="21"/>
        </w:rPr>
      </w:pPr>
      <w:r>
        <w:rPr>
          <w:rFonts w:ascii="Times New Roman" w:eastAsia="黑体" w:hAnsi="Times New Roman"/>
          <w:szCs w:val="21"/>
        </w:rPr>
        <w:t>表</w:t>
      </w:r>
      <w:r>
        <w:rPr>
          <w:rFonts w:ascii="Times New Roman" w:eastAsia="黑体" w:hAnsi="Times New Roman"/>
          <w:szCs w:val="21"/>
        </w:rPr>
        <w:t xml:space="preserve">8.2-2    </w:t>
      </w:r>
      <w:r>
        <w:rPr>
          <w:rFonts w:ascii="Times New Roman" w:eastAsia="黑体" w:hAnsi="Times New Roman"/>
          <w:szCs w:val="21"/>
        </w:rPr>
        <w:t>拟建项目环境风险评价等级划分一览表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44"/>
        <w:gridCol w:w="1943"/>
        <w:gridCol w:w="1943"/>
        <w:gridCol w:w="1943"/>
        <w:gridCol w:w="1943"/>
      </w:tblGrid>
      <w:tr w:rsidR="00D12939" w14:paraId="0B176417" w14:textId="77777777">
        <w:trPr>
          <w:trHeight w:val="340"/>
          <w:jc w:val="center"/>
        </w:trPr>
        <w:tc>
          <w:tcPr>
            <w:tcW w:w="1000" w:type="pct"/>
            <w:vAlign w:val="center"/>
          </w:tcPr>
          <w:p w14:paraId="38B1B3D3"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t>环境风险潜势</w:t>
            </w:r>
          </w:p>
        </w:tc>
        <w:tc>
          <w:tcPr>
            <w:tcW w:w="1000" w:type="pct"/>
            <w:vAlign w:val="center"/>
          </w:tcPr>
          <w:p w14:paraId="144C857D"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fldChar w:fldCharType="begin"/>
            </w:r>
            <w:r>
              <w:rPr>
                <w:rFonts w:ascii="Times New Roman" w:hAnsi="Times New Roman"/>
                <w:szCs w:val="21"/>
              </w:rPr>
              <w:instrText>= 4 \* ROMAN</w:instrText>
            </w:r>
            <w:r>
              <w:rPr>
                <w:rFonts w:ascii="Times New Roman" w:hAnsi="Times New Roman"/>
                <w:szCs w:val="21"/>
              </w:rPr>
              <w:fldChar w:fldCharType="separate"/>
            </w:r>
            <w:r>
              <w:rPr>
                <w:rFonts w:ascii="Times New Roman" w:hAnsi="Times New Roman"/>
                <w:szCs w:val="21"/>
              </w:rPr>
              <w:t>IV</w:t>
            </w:r>
            <w:r>
              <w:rPr>
                <w:rFonts w:ascii="Times New Roman" w:hAnsi="Times New Roman"/>
                <w:szCs w:val="21"/>
              </w:rPr>
              <w:fldChar w:fldCharType="end"/>
            </w:r>
            <w:r>
              <w:rPr>
                <w:rFonts w:ascii="Times New Roman" w:hAnsi="Times New Roman"/>
                <w:szCs w:val="21"/>
              </w:rPr>
              <w:t>、</w:t>
            </w:r>
            <w:r>
              <w:rPr>
                <w:rFonts w:ascii="Times New Roman" w:hAnsi="Times New Roman"/>
                <w:szCs w:val="21"/>
              </w:rPr>
              <w:fldChar w:fldCharType="begin"/>
            </w:r>
            <w:r>
              <w:rPr>
                <w:rFonts w:ascii="Times New Roman" w:hAnsi="Times New Roman"/>
                <w:szCs w:val="21"/>
              </w:rPr>
              <w:instrText>= 4 \* ROMAN</w:instrText>
            </w:r>
            <w:r>
              <w:rPr>
                <w:rFonts w:ascii="Times New Roman" w:hAnsi="Times New Roman"/>
                <w:szCs w:val="21"/>
              </w:rPr>
              <w:fldChar w:fldCharType="separate"/>
            </w:r>
            <w:r>
              <w:rPr>
                <w:rFonts w:ascii="Times New Roman" w:hAnsi="Times New Roman"/>
                <w:szCs w:val="21"/>
              </w:rPr>
              <w:t>IV</w:t>
            </w:r>
            <w:r>
              <w:rPr>
                <w:rFonts w:ascii="Times New Roman" w:hAnsi="Times New Roman"/>
                <w:szCs w:val="21"/>
              </w:rPr>
              <w:fldChar w:fldCharType="end"/>
            </w:r>
            <w:r>
              <w:rPr>
                <w:rFonts w:ascii="Times New Roman" w:hAnsi="Times New Roman"/>
                <w:szCs w:val="21"/>
              </w:rPr>
              <w:t>+</w:t>
            </w:r>
          </w:p>
        </w:tc>
        <w:tc>
          <w:tcPr>
            <w:tcW w:w="1000" w:type="pct"/>
            <w:vAlign w:val="center"/>
          </w:tcPr>
          <w:p w14:paraId="56A9CC19"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fldChar w:fldCharType="begin"/>
            </w:r>
            <w:r>
              <w:rPr>
                <w:rFonts w:ascii="Times New Roman" w:hAnsi="Times New Roman"/>
                <w:szCs w:val="21"/>
              </w:rPr>
              <w:instrText>= 3 \* ROMAN</w:instrText>
            </w:r>
            <w:r>
              <w:rPr>
                <w:rFonts w:ascii="Times New Roman" w:hAnsi="Times New Roman"/>
                <w:szCs w:val="21"/>
              </w:rPr>
              <w:fldChar w:fldCharType="separate"/>
            </w:r>
            <w:r>
              <w:rPr>
                <w:rFonts w:ascii="Times New Roman" w:hAnsi="Times New Roman"/>
                <w:szCs w:val="21"/>
              </w:rPr>
              <w:t>III</w:t>
            </w:r>
            <w:r>
              <w:rPr>
                <w:rFonts w:ascii="Times New Roman" w:hAnsi="Times New Roman"/>
                <w:szCs w:val="21"/>
              </w:rPr>
              <w:fldChar w:fldCharType="end"/>
            </w:r>
          </w:p>
        </w:tc>
        <w:tc>
          <w:tcPr>
            <w:tcW w:w="1000" w:type="pct"/>
            <w:vAlign w:val="center"/>
          </w:tcPr>
          <w:p w14:paraId="4B07C40E"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fldChar w:fldCharType="begin"/>
            </w:r>
            <w:r>
              <w:rPr>
                <w:rFonts w:ascii="Times New Roman" w:hAnsi="Times New Roman"/>
                <w:szCs w:val="21"/>
              </w:rPr>
              <w:instrText>= 2 \* ROMAN</w:instrText>
            </w:r>
            <w:r>
              <w:rPr>
                <w:rFonts w:ascii="Times New Roman" w:hAnsi="Times New Roman"/>
                <w:szCs w:val="21"/>
              </w:rPr>
              <w:fldChar w:fldCharType="separate"/>
            </w:r>
            <w:r>
              <w:rPr>
                <w:rFonts w:ascii="Times New Roman" w:hAnsi="Times New Roman"/>
                <w:szCs w:val="21"/>
              </w:rPr>
              <w:t>II</w:t>
            </w:r>
            <w:r>
              <w:rPr>
                <w:rFonts w:ascii="Times New Roman" w:hAnsi="Times New Roman"/>
                <w:szCs w:val="21"/>
              </w:rPr>
              <w:fldChar w:fldCharType="end"/>
            </w:r>
          </w:p>
        </w:tc>
        <w:tc>
          <w:tcPr>
            <w:tcW w:w="1000" w:type="pct"/>
            <w:vAlign w:val="center"/>
          </w:tcPr>
          <w:p w14:paraId="03F93949"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fldChar w:fldCharType="begin"/>
            </w:r>
            <w:r>
              <w:rPr>
                <w:rFonts w:ascii="Times New Roman" w:hAnsi="Times New Roman"/>
                <w:szCs w:val="21"/>
              </w:rPr>
              <w:instrText>= 1 \* ROMAN</w:instrText>
            </w:r>
            <w:r>
              <w:rPr>
                <w:rFonts w:ascii="Times New Roman" w:hAnsi="Times New Roman"/>
                <w:szCs w:val="21"/>
              </w:rPr>
              <w:fldChar w:fldCharType="separate"/>
            </w:r>
            <w:r>
              <w:rPr>
                <w:rFonts w:ascii="Times New Roman" w:hAnsi="Times New Roman"/>
                <w:szCs w:val="21"/>
              </w:rPr>
              <w:t>I</w:t>
            </w:r>
            <w:r>
              <w:rPr>
                <w:rFonts w:ascii="Times New Roman" w:hAnsi="Times New Roman"/>
                <w:szCs w:val="21"/>
              </w:rPr>
              <w:fldChar w:fldCharType="end"/>
            </w:r>
          </w:p>
        </w:tc>
      </w:tr>
      <w:tr w:rsidR="00D12939" w14:paraId="51E40B8C" w14:textId="77777777">
        <w:trPr>
          <w:trHeight w:val="340"/>
          <w:jc w:val="center"/>
        </w:trPr>
        <w:tc>
          <w:tcPr>
            <w:tcW w:w="1000" w:type="pct"/>
            <w:vAlign w:val="center"/>
          </w:tcPr>
          <w:p w14:paraId="1B676D2C"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t>评价工作等级</w:t>
            </w:r>
          </w:p>
        </w:tc>
        <w:tc>
          <w:tcPr>
            <w:tcW w:w="1000" w:type="pct"/>
            <w:vAlign w:val="center"/>
          </w:tcPr>
          <w:p w14:paraId="69D3E7E8"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t>一</w:t>
            </w:r>
          </w:p>
        </w:tc>
        <w:tc>
          <w:tcPr>
            <w:tcW w:w="1000" w:type="pct"/>
            <w:vAlign w:val="center"/>
          </w:tcPr>
          <w:p w14:paraId="01748E98"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t>二</w:t>
            </w:r>
          </w:p>
        </w:tc>
        <w:tc>
          <w:tcPr>
            <w:tcW w:w="1000" w:type="pct"/>
            <w:vAlign w:val="center"/>
          </w:tcPr>
          <w:p w14:paraId="6F8F127D"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t>三</w:t>
            </w:r>
          </w:p>
        </w:tc>
        <w:tc>
          <w:tcPr>
            <w:tcW w:w="1000" w:type="pct"/>
            <w:vAlign w:val="center"/>
          </w:tcPr>
          <w:p w14:paraId="5EC54B3B"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t>简单分析</w:t>
            </w:r>
          </w:p>
        </w:tc>
      </w:tr>
      <w:tr w:rsidR="00D12939" w14:paraId="058BA6C7" w14:textId="77777777">
        <w:trPr>
          <w:trHeight w:val="340"/>
          <w:jc w:val="center"/>
        </w:trPr>
        <w:tc>
          <w:tcPr>
            <w:tcW w:w="1000" w:type="pct"/>
            <w:vAlign w:val="center"/>
          </w:tcPr>
          <w:p w14:paraId="349BD007"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t>本项目</w:t>
            </w:r>
          </w:p>
        </w:tc>
        <w:tc>
          <w:tcPr>
            <w:tcW w:w="4000" w:type="pct"/>
            <w:gridSpan w:val="4"/>
            <w:vAlign w:val="center"/>
          </w:tcPr>
          <w:p w14:paraId="58887209" w14:textId="77777777" w:rsidR="00D12939" w:rsidRDefault="004F47F5">
            <w:pPr>
              <w:autoSpaceDE w:val="0"/>
              <w:autoSpaceDN w:val="0"/>
              <w:adjustRightInd w:val="0"/>
              <w:snapToGrid w:val="0"/>
              <w:jc w:val="center"/>
              <w:textAlignment w:val="bottom"/>
              <w:rPr>
                <w:rFonts w:ascii="Times New Roman" w:hAnsi="Times New Roman"/>
                <w:szCs w:val="21"/>
              </w:rPr>
            </w:pPr>
            <w:r>
              <w:rPr>
                <w:rFonts w:ascii="Times New Roman" w:hAnsi="Times New Roman"/>
                <w:szCs w:val="21"/>
              </w:rPr>
              <w:t>本项目大气风险潜势为</w:t>
            </w:r>
            <w:r>
              <w:rPr>
                <w:rFonts w:ascii="Times New Roman" w:hAnsi="Times New Roman"/>
                <w:szCs w:val="21"/>
              </w:rPr>
              <w:t>I</w:t>
            </w:r>
            <w:r>
              <w:rPr>
                <w:rFonts w:ascii="Times New Roman" w:hAnsi="Times New Roman"/>
                <w:szCs w:val="21"/>
              </w:rPr>
              <w:t>，</w:t>
            </w:r>
            <w:r>
              <w:rPr>
                <w:rFonts w:ascii="Times New Roman" w:hAnsi="Times New Roman" w:hint="eastAsia"/>
                <w:szCs w:val="21"/>
              </w:rPr>
              <w:t>环境风险评价工作等级为简单分析。</w:t>
            </w:r>
          </w:p>
        </w:tc>
      </w:tr>
    </w:tbl>
    <w:p w14:paraId="5989DC29"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项目环境风险潜势为</w:t>
      </w:r>
      <w:r>
        <w:rPr>
          <w:rFonts w:ascii="Times New Roman" w:eastAsia="宋体" w:hAnsi="Times New Roman" w:cs="Times New Roman"/>
          <w:sz w:val="24"/>
          <w:szCs w:val="24"/>
        </w:rPr>
        <w:t>I</w:t>
      </w:r>
      <w:r>
        <w:rPr>
          <w:rFonts w:ascii="Times New Roman" w:eastAsia="宋体" w:hAnsi="Times New Roman" w:cs="Times New Roman"/>
          <w:sz w:val="24"/>
          <w:szCs w:val="24"/>
        </w:rPr>
        <w:t>，项目环境风险评价工作等级为简单分析。</w:t>
      </w:r>
    </w:p>
    <w:p w14:paraId="18CFEFC2" w14:textId="77777777" w:rsidR="00D12939" w:rsidRDefault="004F47F5">
      <w:pPr>
        <w:pStyle w:val="2"/>
        <w:spacing w:line="360" w:lineRule="auto"/>
        <w:ind w:firstLineChars="165" w:firstLine="462"/>
        <w:rPr>
          <w:sz w:val="28"/>
        </w:rPr>
      </w:pPr>
      <w:bookmarkStart w:id="561" w:name="_Toc19417"/>
      <w:bookmarkStart w:id="562" w:name="_Toc121411796"/>
      <w:r>
        <w:rPr>
          <w:sz w:val="28"/>
        </w:rPr>
        <w:t>8.3</w:t>
      </w:r>
      <w:r>
        <w:rPr>
          <w:sz w:val="28"/>
        </w:rPr>
        <w:t>敏感目标</w:t>
      </w:r>
      <w:bookmarkEnd w:id="561"/>
      <w:r>
        <w:rPr>
          <w:sz w:val="28"/>
        </w:rPr>
        <w:t>调查</w:t>
      </w:r>
      <w:bookmarkEnd w:id="562"/>
    </w:p>
    <w:p w14:paraId="7C2D974D"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本评价主要采用资料收集及现场调查的方法对评价区域内的环境状况进行调查，重点对厂址周围</w:t>
      </w:r>
      <w:r>
        <w:rPr>
          <w:rFonts w:ascii="Times New Roman" w:eastAsia="宋体" w:hAnsi="Times New Roman" w:cs="Times New Roman"/>
          <w:sz w:val="24"/>
          <w:szCs w:val="24"/>
        </w:rPr>
        <w:t>3km</w:t>
      </w:r>
      <w:r>
        <w:rPr>
          <w:rFonts w:ascii="Times New Roman" w:eastAsia="宋体" w:hAnsi="Times New Roman" w:cs="Times New Roman"/>
          <w:sz w:val="24"/>
          <w:szCs w:val="24"/>
        </w:rPr>
        <w:t>范围内的环境敏感点进行了现场调查，该范围内的环境敏感点调查结果见表</w:t>
      </w:r>
      <w:r>
        <w:rPr>
          <w:rFonts w:ascii="Times New Roman" w:eastAsia="宋体" w:hAnsi="Times New Roman" w:cs="Times New Roman"/>
          <w:sz w:val="24"/>
          <w:szCs w:val="24"/>
        </w:rPr>
        <w:t>2.6-1</w:t>
      </w:r>
      <w:r>
        <w:rPr>
          <w:rFonts w:ascii="Times New Roman" w:eastAsia="宋体" w:hAnsi="Times New Roman" w:cs="Times New Roman" w:hint="eastAsia"/>
          <w:sz w:val="24"/>
          <w:szCs w:val="24"/>
        </w:rPr>
        <w:t>，</w:t>
      </w:r>
      <w:r>
        <w:rPr>
          <w:rFonts w:ascii="Times New Roman" w:eastAsia="宋体" w:hAnsi="Times New Roman" w:cs="Times New Roman"/>
          <w:sz w:val="24"/>
          <w:szCs w:val="24"/>
        </w:rPr>
        <w:t>环境敏感目标分布图见图</w:t>
      </w:r>
      <w:r>
        <w:rPr>
          <w:rFonts w:ascii="Times New Roman" w:eastAsia="宋体" w:hAnsi="Times New Roman" w:cs="Times New Roman"/>
          <w:sz w:val="24"/>
          <w:szCs w:val="24"/>
        </w:rPr>
        <w:t>2.4-1</w:t>
      </w:r>
      <w:r>
        <w:rPr>
          <w:rFonts w:ascii="Times New Roman" w:eastAsia="宋体" w:hAnsi="Times New Roman" w:cs="Times New Roman"/>
          <w:sz w:val="24"/>
          <w:szCs w:val="24"/>
        </w:rPr>
        <w:t>。</w:t>
      </w:r>
    </w:p>
    <w:p w14:paraId="678CAEDB" w14:textId="77777777" w:rsidR="00D12939" w:rsidRDefault="004F47F5">
      <w:pPr>
        <w:pStyle w:val="2"/>
        <w:spacing w:line="360" w:lineRule="auto"/>
        <w:ind w:firstLineChars="165" w:firstLine="462"/>
        <w:rPr>
          <w:sz w:val="28"/>
        </w:rPr>
      </w:pPr>
      <w:bookmarkStart w:id="563" w:name="_Toc18382"/>
      <w:bookmarkStart w:id="564" w:name="_Toc26456"/>
      <w:bookmarkStart w:id="565" w:name="_Toc7112"/>
      <w:bookmarkStart w:id="566" w:name="_Toc20051958"/>
      <w:bookmarkStart w:id="567" w:name="_Toc121411797"/>
      <w:r>
        <w:rPr>
          <w:sz w:val="28"/>
        </w:rPr>
        <w:t>8.4</w:t>
      </w:r>
      <w:bookmarkEnd w:id="563"/>
      <w:bookmarkEnd w:id="564"/>
      <w:bookmarkEnd w:id="565"/>
      <w:bookmarkEnd w:id="566"/>
      <w:r>
        <w:rPr>
          <w:sz w:val="28"/>
        </w:rPr>
        <w:t>风险识别</w:t>
      </w:r>
      <w:bookmarkEnd w:id="567"/>
    </w:p>
    <w:p w14:paraId="1B1CF3FB" w14:textId="77777777" w:rsidR="00D12939" w:rsidRDefault="004F47F5">
      <w:pPr>
        <w:pStyle w:val="30"/>
        <w:spacing w:before="0" w:after="0" w:line="360" w:lineRule="auto"/>
        <w:ind w:firstLineChars="200" w:firstLine="480"/>
        <w:rPr>
          <w:rFonts w:ascii="Times New Roman" w:eastAsia="黑体" w:hAnsi="Times New Roman"/>
          <w:sz w:val="24"/>
          <w:szCs w:val="20"/>
        </w:rPr>
      </w:pPr>
      <w:bookmarkStart w:id="568" w:name="_Toc121411798"/>
      <w:r>
        <w:rPr>
          <w:rFonts w:ascii="Times New Roman" w:eastAsia="黑体" w:hAnsi="Times New Roman" w:cs="Times New Roman" w:hint="eastAsia"/>
          <w:b w:val="0"/>
          <w:sz w:val="24"/>
        </w:rPr>
        <w:t>8</w:t>
      </w:r>
      <w:r>
        <w:rPr>
          <w:rFonts w:ascii="Times New Roman" w:eastAsia="黑体" w:hAnsi="Times New Roman" w:cs="Times New Roman"/>
          <w:b w:val="0"/>
          <w:sz w:val="24"/>
        </w:rPr>
        <w:t>.4.1</w:t>
      </w:r>
      <w:r>
        <w:rPr>
          <w:rFonts w:ascii="Times New Roman" w:eastAsia="黑体" w:hAnsi="Times New Roman" w:cs="Times New Roman"/>
          <w:b w:val="0"/>
          <w:sz w:val="24"/>
        </w:rPr>
        <w:t>生产系统危险性识别</w:t>
      </w:r>
      <w:bookmarkEnd w:id="568"/>
    </w:p>
    <w:p w14:paraId="40C8B7A7" w14:textId="77777777" w:rsidR="00D12939" w:rsidRDefault="004F47F5">
      <w:pPr>
        <w:adjustRightInd w:val="0"/>
        <w:snapToGrid w:val="0"/>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根据本项目的建设运营特点，结合同类项目的实际运营情况，分析本项目的环境风险事故主要来自以下几个方面：</w:t>
      </w:r>
    </w:p>
    <w:p w14:paraId="6F3A68D7" w14:textId="77777777" w:rsidR="00D12939" w:rsidRDefault="004F47F5">
      <w:pPr>
        <w:adjustRightInd w:val="0"/>
        <w:snapToGrid w:val="0"/>
        <w:spacing w:line="360" w:lineRule="auto"/>
        <w:ind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w:t>
      </w:r>
      <w:r>
        <w:rPr>
          <w:rFonts w:ascii="Times New Roman" w:eastAsia="宋体" w:hAnsi="Times New Roman" w:cs="Times New Roman"/>
          <w:sz w:val="24"/>
          <w:szCs w:val="24"/>
        </w:rPr>
        <w:t>渗滤液收集疏导系统出现堵塞及断裂或防渗层发生破裂事故时，渗滤液泄漏对周围环境及地下水造成影响。</w:t>
      </w:r>
    </w:p>
    <w:p w14:paraId="2ED504E1" w14:textId="77777777" w:rsidR="00D12939" w:rsidRDefault="004F47F5">
      <w:pPr>
        <w:adjustRightInd w:val="0"/>
        <w:snapToGrid w:val="0"/>
        <w:spacing w:line="360" w:lineRule="auto"/>
        <w:ind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w:t>
      </w:r>
      <w:r>
        <w:rPr>
          <w:rFonts w:ascii="Times New Roman" w:eastAsia="宋体" w:hAnsi="Times New Roman" w:cs="Times New Roman"/>
          <w:sz w:val="24"/>
          <w:szCs w:val="24"/>
        </w:rPr>
        <w:t>填埋气体（如甲烷）聚积或逸出可能引起的爆炸事故。</w:t>
      </w:r>
    </w:p>
    <w:p w14:paraId="3D29007C" w14:textId="77777777" w:rsidR="00D12939" w:rsidRDefault="004F47F5">
      <w:pPr>
        <w:pStyle w:val="2a"/>
        <w:adjustRightInd w:val="0"/>
        <w:snapToGrid w:val="0"/>
        <w:spacing w:after="0" w:line="360" w:lineRule="auto"/>
        <w:ind w:leftChars="0" w:left="0" w:firstLine="480"/>
      </w:pPr>
      <w:r>
        <w:t>根据风险识别和分析，项目垃圾填埋场最大可信事故为：填埋气体（主要为甲烷）聚集或溢出引起的火灾或爆炸事故、垃圾填埋场渗滤液的泄漏事故。拟建填埋场运行后，产生风险具有不确定性和随机性。</w:t>
      </w:r>
    </w:p>
    <w:p w14:paraId="6904593B"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69" w:name="_Toc121411799"/>
      <w:r>
        <w:rPr>
          <w:rFonts w:ascii="Times New Roman" w:eastAsia="黑体" w:hAnsi="Times New Roman" w:cs="Times New Roman"/>
          <w:b w:val="0"/>
          <w:sz w:val="24"/>
        </w:rPr>
        <w:t>8.4.2</w:t>
      </w:r>
      <w:r>
        <w:rPr>
          <w:rFonts w:ascii="Times New Roman" w:eastAsia="黑体" w:hAnsi="Times New Roman" w:cs="Times New Roman"/>
          <w:b w:val="0"/>
          <w:sz w:val="24"/>
        </w:rPr>
        <w:t>物质危险性识别</w:t>
      </w:r>
      <w:bookmarkEnd w:id="569"/>
    </w:p>
    <w:p w14:paraId="66E01183" w14:textId="77777777" w:rsidR="00D12939" w:rsidRDefault="004F47F5">
      <w:pPr>
        <w:adjustRightInd w:val="0"/>
        <w:snapToGrid w:val="0"/>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根据《建设项目环境风险评价技术导则》（</w:t>
      </w:r>
      <w:r>
        <w:rPr>
          <w:rFonts w:ascii="Times New Roman" w:eastAsia="宋体" w:hAnsi="Times New Roman" w:cs="Times New Roman"/>
          <w:sz w:val="24"/>
          <w:szCs w:val="24"/>
        </w:rPr>
        <w:t>HJ169-2018</w:t>
      </w:r>
      <w:r>
        <w:rPr>
          <w:rFonts w:ascii="Times New Roman" w:eastAsia="宋体" w:hAnsi="Times New Roman" w:cs="Times New Roman"/>
          <w:sz w:val="24"/>
          <w:szCs w:val="24"/>
        </w:rPr>
        <w:t>）附录</w:t>
      </w:r>
      <w:r>
        <w:rPr>
          <w:rFonts w:ascii="Times New Roman" w:eastAsia="宋体" w:hAnsi="Times New Roman" w:cs="Times New Roman"/>
          <w:sz w:val="24"/>
          <w:szCs w:val="24"/>
        </w:rPr>
        <w:t>B</w:t>
      </w:r>
      <w:r>
        <w:rPr>
          <w:rFonts w:ascii="Times New Roman" w:eastAsia="宋体" w:hAnsi="Times New Roman" w:cs="Times New Roman"/>
          <w:sz w:val="24"/>
          <w:szCs w:val="24"/>
        </w:rPr>
        <w:t>、</w:t>
      </w:r>
      <w:r>
        <w:rPr>
          <w:rFonts w:ascii="Times New Roman" w:eastAsia="宋体" w:hAnsi="Times New Roman" w:cs="Times New Roman"/>
          <w:sz w:val="24"/>
          <w:szCs w:val="24"/>
        </w:rPr>
        <w:t>GB3000.18</w:t>
      </w:r>
      <w:r>
        <w:rPr>
          <w:rFonts w:ascii="Times New Roman" w:eastAsia="宋体" w:hAnsi="Times New Roman" w:cs="Times New Roman"/>
          <w:sz w:val="24"/>
          <w:szCs w:val="24"/>
        </w:rPr>
        <w:t>、</w:t>
      </w:r>
      <w:r>
        <w:rPr>
          <w:rFonts w:ascii="Times New Roman" w:eastAsia="宋体" w:hAnsi="Times New Roman" w:cs="Times New Roman"/>
          <w:sz w:val="24"/>
          <w:szCs w:val="24"/>
        </w:rPr>
        <w:t>GB30000.28</w:t>
      </w:r>
      <w:r>
        <w:rPr>
          <w:rFonts w:ascii="Times New Roman" w:eastAsia="宋体" w:hAnsi="Times New Roman" w:cs="Times New Roman"/>
          <w:sz w:val="24"/>
          <w:szCs w:val="24"/>
        </w:rPr>
        <w:t>，</w:t>
      </w:r>
      <w:r>
        <w:rPr>
          <w:rFonts w:ascii="Times New Roman" w:eastAsia="宋体" w:hAnsi="Times New Roman" w:cs="Times New Roman"/>
          <w:sz w:val="24"/>
          <w:szCs w:val="24"/>
        </w:rPr>
        <w:lastRenderedPageBreak/>
        <w:t>本项目涉及的危险物质主要包括甲烷、氨、硫化氢等，主要分布于填埋区、调节池和渗滤液处理站。危险物质的具体理化性质见表</w:t>
      </w:r>
      <w:r>
        <w:rPr>
          <w:rFonts w:ascii="Times New Roman" w:eastAsia="宋体" w:hAnsi="Times New Roman" w:cs="Times New Roman" w:hint="eastAsia"/>
          <w:sz w:val="24"/>
          <w:szCs w:val="24"/>
        </w:rPr>
        <w:t>8</w:t>
      </w:r>
      <w:r>
        <w:rPr>
          <w:rFonts w:ascii="Times New Roman" w:eastAsia="宋体" w:hAnsi="Times New Roman" w:cs="Times New Roman"/>
          <w:sz w:val="24"/>
          <w:szCs w:val="24"/>
        </w:rPr>
        <w:t>.4-1~8.4-3</w:t>
      </w:r>
      <w:r>
        <w:rPr>
          <w:rFonts w:ascii="Times New Roman" w:eastAsia="宋体" w:hAnsi="Times New Roman" w:cs="Times New Roman"/>
          <w:sz w:val="24"/>
          <w:szCs w:val="24"/>
        </w:rPr>
        <w:t>。</w:t>
      </w:r>
    </w:p>
    <w:p w14:paraId="3D0CA9B4" w14:textId="77777777" w:rsidR="00D12939" w:rsidRDefault="004F47F5">
      <w:pPr>
        <w:adjustRightInd w:val="0"/>
        <w:snapToGrid w:val="0"/>
        <w:jc w:val="center"/>
        <w:rPr>
          <w:rFonts w:ascii="黑体" w:eastAsia="黑体" w:hAnsi="黑体"/>
          <w:sz w:val="24"/>
          <w:szCs w:val="21"/>
        </w:rPr>
      </w:pPr>
      <w:r>
        <w:rPr>
          <w:rFonts w:ascii="黑体" w:eastAsia="黑体" w:hAnsi="黑体"/>
          <w:sz w:val="24"/>
          <w:szCs w:val="21"/>
        </w:rPr>
        <w:t>表</w:t>
      </w:r>
      <w:r>
        <w:rPr>
          <w:rFonts w:ascii="黑体" w:eastAsia="黑体" w:hAnsi="黑体" w:hint="eastAsia"/>
          <w:sz w:val="24"/>
          <w:szCs w:val="21"/>
        </w:rPr>
        <w:t>8</w:t>
      </w:r>
      <w:r>
        <w:rPr>
          <w:rFonts w:ascii="黑体" w:eastAsia="黑体" w:hAnsi="黑体"/>
          <w:sz w:val="24"/>
          <w:szCs w:val="21"/>
        </w:rPr>
        <w:t>.4-1  甲烷理化性质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4186"/>
        <w:gridCol w:w="4667"/>
      </w:tblGrid>
      <w:tr w:rsidR="00D12939" w14:paraId="14DC5FC7" w14:textId="77777777">
        <w:trPr>
          <w:cantSplit/>
          <w:trHeight w:val="390"/>
        </w:trPr>
        <w:tc>
          <w:tcPr>
            <w:tcW w:w="451" w:type="pct"/>
            <w:vMerge w:val="restart"/>
            <w:tcBorders>
              <w:top w:val="single" w:sz="4" w:space="0" w:color="auto"/>
              <w:left w:val="single" w:sz="4" w:space="0" w:color="auto"/>
              <w:bottom w:val="single" w:sz="4" w:space="0" w:color="auto"/>
              <w:right w:val="single" w:sz="4" w:space="0" w:color="auto"/>
            </w:tcBorders>
            <w:vAlign w:val="center"/>
          </w:tcPr>
          <w:p w14:paraId="29D7337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标识</w:t>
            </w:r>
          </w:p>
        </w:tc>
        <w:tc>
          <w:tcPr>
            <w:tcW w:w="2150" w:type="pct"/>
            <w:tcBorders>
              <w:top w:val="single" w:sz="4" w:space="0" w:color="auto"/>
              <w:left w:val="nil"/>
              <w:bottom w:val="single" w:sz="4" w:space="0" w:color="auto"/>
              <w:right w:val="single" w:sz="4" w:space="0" w:color="auto"/>
            </w:tcBorders>
            <w:vAlign w:val="center"/>
          </w:tcPr>
          <w:p w14:paraId="3FDD096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中文名：甲烷</w:t>
            </w:r>
          </w:p>
        </w:tc>
        <w:tc>
          <w:tcPr>
            <w:tcW w:w="2398" w:type="pct"/>
            <w:tcBorders>
              <w:top w:val="single" w:sz="4" w:space="0" w:color="auto"/>
              <w:left w:val="nil"/>
              <w:bottom w:val="single" w:sz="4" w:space="0" w:color="auto"/>
              <w:right w:val="single" w:sz="4" w:space="0" w:color="auto"/>
            </w:tcBorders>
            <w:vAlign w:val="center"/>
          </w:tcPr>
          <w:p w14:paraId="1DBDC93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英文名：</w:t>
            </w:r>
            <w:r>
              <w:rPr>
                <w:rFonts w:ascii="Times New Roman" w:eastAsia="宋体" w:hAnsi="Times New Roman" w:cs="Times New Roman"/>
              </w:rPr>
              <w:t>methane</w:t>
            </w:r>
          </w:p>
        </w:tc>
      </w:tr>
      <w:tr w:rsidR="00D12939" w14:paraId="7F86C42A" w14:textId="77777777">
        <w:trPr>
          <w:cantSplit/>
          <w:trHeight w:val="413"/>
        </w:trPr>
        <w:tc>
          <w:tcPr>
            <w:tcW w:w="451" w:type="pct"/>
            <w:vMerge/>
            <w:tcBorders>
              <w:top w:val="single" w:sz="4" w:space="0" w:color="auto"/>
              <w:left w:val="single" w:sz="4" w:space="0" w:color="auto"/>
              <w:bottom w:val="single" w:sz="4" w:space="0" w:color="auto"/>
              <w:right w:val="single" w:sz="4" w:space="0" w:color="auto"/>
            </w:tcBorders>
            <w:vAlign w:val="center"/>
          </w:tcPr>
          <w:p w14:paraId="65531C40" w14:textId="77777777" w:rsidR="00D12939" w:rsidRDefault="00D12939">
            <w:pPr>
              <w:pStyle w:val="affffd"/>
              <w:rPr>
                <w:rFonts w:ascii="Times New Roman" w:eastAsia="宋体" w:hAnsi="Times New Roman" w:cs="Times New Roman"/>
              </w:rPr>
            </w:pPr>
          </w:p>
        </w:tc>
        <w:tc>
          <w:tcPr>
            <w:tcW w:w="2150" w:type="pct"/>
            <w:tcBorders>
              <w:top w:val="single" w:sz="4" w:space="0" w:color="auto"/>
              <w:left w:val="nil"/>
              <w:bottom w:val="single" w:sz="4" w:space="0" w:color="auto"/>
              <w:right w:val="single" w:sz="4" w:space="0" w:color="auto"/>
            </w:tcBorders>
            <w:vAlign w:val="center"/>
          </w:tcPr>
          <w:p w14:paraId="406F9D9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危规号：</w:t>
            </w:r>
            <w:r>
              <w:rPr>
                <w:rFonts w:ascii="Times New Roman" w:eastAsia="宋体" w:hAnsi="Times New Roman" w:cs="Times New Roman"/>
              </w:rPr>
              <w:t>21007</w:t>
            </w:r>
          </w:p>
        </w:tc>
        <w:tc>
          <w:tcPr>
            <w:tcW w:w="2398" w:type="pct"/>
            <w:tcBorders>
              <w:top w:val="single" w:sz="4" w:space="0" w:color="auto"/>
              <w:left w:val="nil"/>
              <w:bottom w:val="single" w:sz="4" w:space="0" w:color="auto"/>
              <w:right w:val="single" w:sz="4" w:space="0" w:color="auto"/>
            </w:tcBorders>
            <w:vAlign w:val="center"/>
          </w:tcPr>
          <w:p w14:paraId="14FE6C2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CAS</w:t>
            </w:r>
            <w:r>
              <w:rPr>
                <w:rFonts w:ascii="Times New Roman" w:eastAsia="宋体" w:hAnsi="Times New Roman" w:cs="Times New Roman"/>
              </w:rPr>
              <w:t>号：</w:t>
            </w:r>
            <w:r>
              <w:rPr>
                <w:rFonts w:ascii="Times New Roman" w:eastAsia="宋体" w:hAnsi="Times New Roman" w:cs="Times New Roman"/>
              </w:rPr>
              <w:t>74-82-8</w:t>
            </w:r>
          </w:p>
        </w:tc>
      </w:tr>
      <w:tr w:rsidR="00D12939" w14:paraId="4E129DD9" w14:textId="77777777">
        <w:trPr>
          <w:cantSplit/>
          <w:trHeight w:val="390"/>
        </w:trPr>
        <w:tc>
          <w:tcPr>
            <w:tcW w:w="451" w:type="pct"/>
            <w:vMerge w:val="restart"/>
            <w:tcBorders>
              <w:top w:val="nil"/>
              <w:left w:val="single" w:sz="4" w:space="0" w:color="auto"/>
              <w:bottom w:val="single" w:sz="4" w:space="0" w:color="auto"/>
              <w:right w:val="single" w:sz="4" w:space="0" w:color="auto"/>
            </w:tcBorders>
            <w:vAlign w:val="center"/>
          </w:tcPr>
          <w:p w14:paraId="7020767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理化</w:t>
            </w:r>
          </w:p>
          <w:p w14:paraId="286DB323"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性质</w:t>
            </w:r>
          </w:p>
        </w:tc>
        <w:tc>
          <w:tcPr>
            <w:tcW w:w="2150" w:type="pct"/>
            <w:tcBorders>
              <w:top w:val="single" w:sz="4" w:space="0" w:color="auto"/>
              <w:left w:val="nil"/>
              <w:bottom w:val="single" w:sz="4" w:space="0" w:color="auto"/>
              <w:right w:val="single" w:sz="4" w:space="0" w:color="auto"/>
            </w:tcBorders>
            <w:vAlign w:val="center"/>
          </w:tcPr>
          <w:p w14:paraId="137DFB9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外观与形状：无色无嗅气体</w:t>
            </w:r>
          </w:p>
        </w:tc>
        <w:tc>
          <w:tcPr>
            <w:tcW w:w="2398" w:type="pct"/>
            <w:tcBorders>
              <w:top w:val="single" w:sz="4" w:space="0" w:color="auto"/>
              <w:left w:val="nil"/>
              <w:bottom w:val="single" w:sz="4" w:space="0" w:color="auto"/>
              <w:right w:val="single" w:sz="4" w:space="0" w:color="auto"/>
            </w:tcBorders>
            <w:vAlign w:val="center"/>
          </w:tcPr>
          <w:p w14:paraId="63299A5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相对密度：</w:t>
            </w:r>
            <w:r>
              <w:rPr>
                <w:rFonts w:ascii="Times New Roman" w:eastAsia="宋体" w:hAnsi="Times New Roman" w:cs="Times New Roman"/>
              </w:rPr>
              <w:t>(</w:t>
            </w:r>
            <w:r>
              <w:rPr>
                <w:rFonts w:ascii="Times New Roman" w:eastAsia="宋体" w:hAnsi="Times New Roman" w:cs="Times New Roman"/>
              </w:rPr>
              <w:t>空气</w:t>
            </w:r>
            <w:r>
              <w:rPr>
                <w:rFonts w:ascii="Times New Roman" w:eastAsia="宋体" w:hAnsi="Times New Roman" w:cs="Times New Roman"/>
              </w:rPr>
              <w:t>=1)</w:t>
            </w:r>
            <w:r>
              <w:rPr>
                <w:rFonts w:ascii="Times New Roman" w:eastAsia="宋体" w:hAnsi="Times New Roman" w:cs="Times New Roman"/>
              </w:rPr>
              <w:t>：</w:t>
            </w:r>
            <w:r>
              <w:rPr>
                <w:rFonts w:ascii="Times New Roman" w:eastAsia="宋体" w:hAnsi="Times New Roman" w:cs="Times New Roman"/>
              </w:rPr>
              <w:t>0.55</w:t>
            </w:r>
          </w:p>
        </w:tc>
      </w:tr>
      <w:tr w:rsidR="00D12939" w14:paraId="52A532F9" w14:textId="77777777">
        <w:trPr>
          <w:cantSplit/>
          <w:trHeight w:val="413"/>
        </w:trPr>
        <w:tc>
          <w:tcPr>
            <w:tcW w:w="451" w:type="pct"/>
            <w:vMerge/>
            <w:tcBorders>
              <w:top w:val="nil"/>
              <w:left w:val="single" w:sz="4" w:space="0" w:color="auto"/>
              <w:bottom w:val="single" w:sz="4" w:space="0" w:color="auto"/>
              <w:right w:val="single" w:sz="4" w:space="0" w:color="auto"/>
            </w:tcBorders>
            <w:vAlign w:val="center"/>
          </w:tcPr>
          <w:p w14:paraId="3B3E680C" w14:textId="77777777" w:rsidR="00D12939" w:rsidRDefault="00D12939">
            <w:pPr>
              <w:pStyle w:val="affffd"/>
              <w:rPr>
                <w:rFonts w:ascii="Times New Roman" w:eastAsia="宋体" w:hAnsi="Times New Roman" w:cs="Times New Roman"/>
              </w:rPr>
            </w:pPr>
          </w:p>
        </w:tc>
        <w:tc>
          <w:tcPr>
            <w:tcW w:w="2150" w:type="pct"/>
            <w:tcBorders>
              <w:top w:val="single" w:sz="4" w:space="0" w:color="auto"/>
              <w:left w:val="nil"/>
              <w:bottom w:val="single" w:sz="4" w:space="0" w:color="auto"/>
              <w:right w:val="single" w:sz="4" w:space="0" w:color="auto"/>
            </w:tcBorders>
            <w:vAlign w:val="center"/>
          </w:tcPr>
          <w:p w14:paraId="642A6282"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饱和蒸气压</w:t>
            </w:r>
            <w:r>
              <w:rPr>
                <w:rFonts w:ascii="Times New Roman" w:eastAsia="宋体" w:hAnsi="Times New Roman" w:cs="Times New Roman"/>
              </w:rPr>
              <w:t>(kPa)</w:t>
            </w:r>
            <w:r>
              <w:rPr>
                <w:rFonts w:ascii="Times New Roman" w:eastAsia="宋体" w:hAnsi="Times New Roman" w:cs="Times New Roman"/>
              </w:rPr>
              <w:t>：</w:t>
            </w:r>
            <w:r>
              <w:rPr>
                <w:rFonts w:ascii="Times New Roman" w:eastAsia="宋体" w:hAnsi="Times New Roman" w:cs="Times New Roman"/>
              </w:rPr>
              <w:t>53.32(-168.8℃)</w:t>
            </w:r>
          </w:p>
        </w:tc>
        <w:tc>
          <w:tcPr>
            <w:tcW w:w="2398" w:type="pct"/>
            <w:tcBorders>
              <w:top w:val="single" w:sz="4" w:space="0" w:color="auto"/>
              <w:left w:val="nil"/>
              <w:bottom w:val="single" w:sz="4" w:space="0" w:color="auto"/>
              <w:right w:val="single" w:sz="4" w:space="0" w:color="auto"/>
            </w:tcBorders>
            <w:vAlign w:val="center"/>
          </w:tcPr>
          <w:p w14:paraId="4912006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稳定性：稳定</w:t>
            </w:r>
          </w:p>
        </w:tc>
      </w:tr>
      <w:tr w:rsidR="00D12939" w14:paraId="305F94A9" w14:textId="77777777">
        <w:trPr>
          <w:cantSplit/>
          <w:trHeight w:val="390"/>
        </w:trPr>
        <w:tc>
          <w:tcPr>
            <w:tcW w:w="451" w:type="pct"/>
            <w:vMerge w:val="restart"/>
            <w:tcBorders>
              <w:top w:val="nil"/>
              <w:left w:val="single" w:sz="4" w:space="0" w:color="auto"/>
              <w:bottom w:val="single" w:sz="4" w:space="0" w:color="auto"/>
              <w:right w:val="single" w:sz="4" w:space="0" w:color="auto"/>
            </w:tcBorders>
            <w:vAlign w:val="center"/>
          </w:tcPr>
          <w:p w14:paraId="26A15AF7"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危险</w:t>
            </w:r>
          </w:p>
          <w:p w14:paraId="172B8DC6"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特性</w:t>
            </w:r>
          </w:p>
        </w:tc>
        <w:tc>
          <w:tcPr>
            <w:tcW w:w="2150" w:type="pct"/>
            <w:tcBorders>
              <w:top w:val="single" w:sz="4" w:space="0" w:color="auto"/>
              <w:left w:val="nil"/>
              <w:bottom w:val="single" w:sz="4" w:space="0" w:color="auto"/>
              <w:right w:val="single" w:sz="4" w:space="0" w:color="auto"/>
            </w:tcBorders>
            <w:vAlign w:val="center"/>
          </w:tcPr>
          <w:p w14:paraId="7CEAA8D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危险性类别：低闪点易燃液体</w:t>
            </w:r>
          </w:p>
        </w:tc>
        <w:tc>
          <w:tcPr>
            <w:tcW w:w="2398" w:type="pct"/>
            <w:tcBorders>
              <w:top w:val="single" w:sz="4" w:space="0" w:color="auto"/>
              <w:left w:val="nil"/>
              <w:bottom w:val="single" w:sz="4" w:space="0" w:color="auto"/>
              <w:right w:val="single" w:sz="4" w:space="0" w:color="auto"/>
            </w:tcBorders>
            <w:vAlign w:val="center"/>
          </w:tcPr>
          <w:p w14:paraId="515B2321"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燃烧性：易燃</w:t>
            </w:r>
          </w:p>
        </w:tc>
      </w:tr>
      <w:tr w:rsidR="00D12939" w14:paraId="59F9A398" w14:textId="77777777">
        <w:trPr>
          <w:cantSplit/>
          <w:trHeight w:val="413"/>
        </w:trPr>
        <w:tc>
          <w:tcPr>
            <w:tcW w:w="451" w:type="pct"/>
            <w:vMerge/>
            <w:tcBorders>
              <w:top w:val="nil"/>
              <w:left w:val="single" w:sz="4" w:space="0" w:color="auto"/>
              <w:bottom w:val="single" w:sz="4" w:space="0" w:color="auto"/>
              <w:right w:val="single" w:sz="4" w:space="0" w:color="auto"/>
            </w:tcBorders>
            <w:vAlign w:val="center"/>
          </w:tcPr>
          <w:p w14:paraId="5DD6F1E8" w14:textId="77777777" w:rsidR="00D12939" w:rsidRDefault="00D12939">
            <w:pPr>
              <w:pStyle w:val="affffd"/>
              <w:rPr>
                <w:rFonts w:ascii="Times New Roman" w:eastAsia="宋体" w:hAnsi="Times New Roman" w:cs="Times New Roman"/>
              </w:rPr>
            </w:pPr>
          </w:p>
        </w:tc>
        <w:tc>
          <w:tcPr>
            <w:tcW w:w="2150" w:type="pct"/>
            <w:tcBorders>
              <w:top w:val="single" w:sz="4" w:space="0" w:color="auto"/>
              <w:left w:val="nil"/>
              <w:bottom w:val="single" w:sz="4" w:space="0" w:color="auto"/>
              <w:right w:val="single" w:sz="4" w:space="0" w:color="auto"/>
            </w:tcBorders>
            <w:vAlign w:val="center"/>
          </w:tcPr>
          <w:p w14:paraId="1A0B3B4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闪点</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-188℃</w:t>
            </w:r>
          </w:p>
        </w:tc>
        <w:tc>
          <w:tcPr>
            <w:tcW w:w="2398" w:type="pct"/>
            <w:tcBorders>
              <w:top w:val="single" w:sz="4" w:space="0" w:color="auto"/>
              <w:left w:val="nil"/>
              <w:bottom w:val="single" w:sz="4" w:space="0" w:color="auto"/>
              <w:right w:val="single" w:sz="4" w:space="0" w:color="auto"/>
            </w:tcBorders>
            <w:vAlign w:val="center"/>
          </w:tcPr>
          <w:p w14:paraId="3BEEFA00"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爆炸下限</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5.3</w:t>
            </w:r>
          </w:p>
        </w:tc>
      </w:tr>
      <w:tr w:rsidR="00D12939" w14:paraId="3E908FA3" w14:textId="77777777">
        <w:trPr>
          <w:cantSplit/>
          <w:trHeight w:val="413"/>
        </w:trPr>
        <w:tc>
          <w:tcPr>
            <w:tcW w:w="451" w:type="pct"/>
            <w:vMerge/>
            <w:tcBorders>
              <w:top w:val="nil"/>
              <w:left w:val="single" w:sz="4" w:space="0" w:color="auto"/>
              <w:bottom w:val="single" w:sz="4" w:space="0" w:color="auto"/>
              <w:right w:val="single" w:sz="4" w:space="0" w:color="auto"/>
            </w:tcBorders>
            <w:vAlign w:val="center"/>
          </w:tcPr>
          <w:p w14:paraId="5905F700" w14:textId="77777777" w:rsidR="00D12939" w:rsidRDefault="00D12939">
            <w:pPr>
              <w:pStyle w:val="affffd"/>
              <w:rPr>
                <w:rFonts w:ascii="Times New Roman" w:eastAsia="宋体" w:hAnsi="Times New Roman" w:cs="Times New Roman"/>
              </w:rPr>
            </w:pPr>
          </w:p>
        </w:tc>
        <w:tc>
          <w:tcPr>
            <w:tcW w:w="2150" w:type="pct"/>
            <w:tcBorders>
              <w:top w:val="single" w:sz="4" w:space="0" w:color="auto"/>
              <w:left w:val="nil"/>
              <w:bottom w:val="single" w:sz="4" w:space="0" w:color="auto"/>
              <w:right w:val="single" w:sz="4" w:space="0" w:color="auto"/>
            </w:tcBorders>
            <w:vAlign w:val="center"/>
          </w:tcPr>
          <w:p w14:paraId="54E1B3B5"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爆炸上限</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rPr>
              <w:t>15</w:t>
            </w:r>
          </w:p>
        </w:tc>
        <w:tc>
          <w:tcPr>
            <w:tcW w:w="2398" w:type="pct"/>
            <w:tcBorders>
              <w:top w:val="single" w:sz="4" w:space="0" w:color="auto"/>
              <w:left w:val="nil"/>
              <w:bottom w:val="single" w:sz="4" w:space="0" w:color="auto"/>
              <w:right w:val="single" w:sz="4" w:space="0" w:color="auto"/>
            </w:tcBorders>
            <w:vAlign w:val="center"/>
          </w:tcPr>
          <w:p w14:paraId="71B8187E"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燃烧</w:t>
            </w:r>
            <w:r>
              <w:rPr>
                <w:rFonts w:ascii="Times New Roman" w:eastAsia="宋体" w:hAnsi="Times New Roman" w:cs="Times New Roman"/>
              </w:rPr>
              <w:t>(</w:t>
            </w:r>
            <w:r>
              <w:rPr>
                <w:rFonts w:ascii="Times New Roman" w:eastAsia="宋体" w:hAnsi="Times New Roman" w:cs="Times New Roman"/>
              </w:rPr>
              <w:t>分解</w:t>
            </w:r>
            <w:r>
              <w:rPr>
                <w:rFonts w:ascii="Times New Roman" w:eastAsia="宋体" w:hAnsi="Times New Roman" w:cs="Times New Roman"/>
              </w:rPr>
              <w:t>)</w:t>
            </w:r>
            <w:r>
              <w:rPr>
                <w:rFonts w:ascii="Times New Roman" w:eastAsia="宋体" w:hAnsi="Times New Roman" w:cs="Times New Roman"/>
              </w:rPr>
              <w:t>产物：一氧化碳、二氧化碳</w:t>
            </w:r>
          </w:p>
        </w:tc>
      </w:tr>
      <w:tr w:rsidR="00D12939" w14:paraId="4F7CBB64" w14:textId="77777777">
        <w:trPr>
          <w:cantSplit/>
          <w:trHeight w:val="413"/>
        </w:trPr>
        <w:tc>
          <w:tcPr>
            <w:tcW w:w="451" w:type="pct"/>
            <w:vMerge/>
            <w:tcBorders>
              <w:top w:val="nil"/>
              <w:left w:val="single" w:sz="4" w:space="0" w:color="auto"/>
              <w:bottom w:val="single" w:sz="4" w:space="0" w:color="auto"/>
              <w:right w:val="single" w:sz="4" w:space="0" w:color="auto"/>
            </w:tcBorders>
            <w:vAlign w:val="center"/>
          </w:tcPr>
          <w:p w14:paraId="4AE32F6A" w14:textId="77777777" w:rsidR="00D12939" w:rsidRDefault="00D12939">
            <w:pPr>
              <w:pStyle w:val="affffd"/>
              <w:rPr>
                <w:rFonts w:ascii="Times New Roman" w:eastAsia="宋体" w:hAnsi="Times New Roman" w:cs="Times New Roman"/>
              </w:rPr>
            </w:pPr>
          </w:p>
        </w:tc>
        <w:tc>
          <w:tcPr>
            <w:tcW w:w="4548" w:type="pct"/>
            <w:gridSpan w:val="2"/>
            <w:tcBorders>
              <w:top w:val="single" w:sz="4" w:space="0" w:color="auto"/>
              <w:left w:val="nil"/>
              <w:bottom w:val="single" w:sz="4" w:space="0" w:color="auto"/>
              <w:right w:val="single" w:sz="4" w:space="0" w:color="auto"/>
            </w:tcBorders>
            <w:vAlign w:val="center"/>
          </w:tcPr>
          <w:p w14:paraId="089ECF20" w14:textId="77777777" w:rsidR="00D12939" w:rsidRDefault="004F47F5">
            <w:pPr>
              <w:pStyle w:val="affffd"/>
              <w:jc w:val="left"/>
              <w:rPr>
                <w:rFonts w:ascii="Times New Roman" w:eastAsia="宋体" w:hAnsi="Times New Roman" w:cs="Times New Roman"/>
              </w:rPr>
            </w:pPr>
            <w:r>
              <w:rPr>
                <w:rFonts w:ascii="Times New Roman" w:eastAsia="宋体" w:hAnsi="Times New Roman" w:cs="Times New Roman"/>
              </w:rPr>
              <w:t>易燃，与空气混合能形成爆炸性混合物，遇热源和明火有燃烧爆炸的危险。</w:t>
            </w:r>
          </w:p>
        </w:tc>
      </w:tr>
      <w:tr w:rsidR="00D12939" w14:paraId="6B25DF53" w14:textId="77777777">
        <w:trPr>
          <w:cantSplit/>
          <w:trHeight w:val="413"/>
        </w:trPr>
        <w:tc>
          <w:tcPr>
            <w:tcW w:w="451" w:type="pct"/>
            <w:vMerge/>
            <w:tcBorders>
              <w:top w:val="nil"/>
              <w:left w:val="single" w:sz="4" w:space="0" w:color="auto"/>
              <w:bottom w:val="single" w:sz="4" w:space="0" w:color="auto"/>
              <w:right w:val="single" w:sz="4" w:space="0" w:color="auto"/>
            </w:tcBorders>
            <w:vAlign w:val="center"/>
          </w:tcPr>
          <w:p w14:paraId="7F2DD114" w14:textId="77777777" w:rsidR="00D12939" w:rsidRDefault="00D12939">
            <w:pPr>
              <w:pStyle w:val="affffd"/>
              <w:rPr>
                <w:rFonts w:ascii="Times New Roman" w:eastAsia="宋体" w:hAnsi="Times New Roman" w:cs="Times New Roman"/>
              </w:rPr>
            </w:pPr>
          </w:p>
        </w:tc>
        <w:tc>
          <w:tcPr>
            <w:tcW w:w="4548" w:type="pct"/>
            <w:gridSpan w:val="2"/>
            <w:tcBorders>
              <w:top w:val="single" w:sz="4" w:space="0" w:color="auto"/>
              <w:left w:val="nil"/>
              <w:bottom w:val="single" w:sz="4" w:space="0" w:color="auto"/>
              <w:right w:val="single" w:sz="4" w:space="0" w:color="auto"/>
            </w:tcBorders>
            <w:vAlign w:val="center"/>
          </w:tcPr>
          <w:p w14:paraId="1BBADFBC" w14:textId="77777777" w:rsidR="00D12939" w:rsidRDefault="004F47F5">
            <w:pPr>
              <w:pStyle w:val="affffd"/>
              <w:jc w:val="left"/>
              <w:rPr>
                <w:rFonts w:ascii="Times New Roman" w:eastAsia="宋体" w:hAnsi="Times New Roman" w:cs="Times New Roman"/>
              </w:rPr>
            </w:pPr>
            <w:r>
              <w:rPr>
                <w:rFonts w:ascii="Times New Roman" w:eastAsia="宋体" w:hAnsi="Times New Roman" w:cs="Times New Roman"/>
              </w:rPr>
              <w:t>灭火方法：切断气源。若不能立即切断气源，则不允许熄灭正在燃烧的气体。</w:t>
            </w:r>
          </w:p>
        </w:tc>
      </w:tr>
      <w:tr w:rsidR="00D12939" w14:paraId="2090F024" w14:textId="77777777">
        <w:trPr>
          <w:cantSplit/>
          <w:trHeight w:val="413"/>
        </w:trPr>
        <w:tc>
          <w:tcPr>
            <w:tcW w:w="451" w:type="pct"/>
            <w:vMerge/>
            <w:tcBorders>
              <w:top w:val="nil"/>
              <w:left w:val="single" w:sz="4" w:space="0" w:color="auto"/>
              <w:bottom w:val="single" w:sz="4" w:space="0" w:color="auto"/>
              <w:right w:val="single" w:sz="4" w:space="0" w:color="auto"/>
            </w:tcBorders>
            <w:vAlign w:val="center"/>
          </w:tcPr>
          <w:p w14:paraId="26F55D8D" w14:textId="77777777" w:rsidR="00D12939" w:rsidRDefault="00D12939">
            <w:pPr>
              <w:pStyle w:val="affffd"/>
              <w:rPr>
                <w:rFonts w:ascii="Times New Roman" w:eastAsia="宋体" w:hAnsi="Times New Roman" w:cs="Times New Roman"/>
              </w:rPr>
            </w:pPr>
          </w:p>
        </w:tc>
        <w:tc>
          <w:tcPr>
            <w:tcW w:w="4548" w:type="pct"/>
            <w:gridSpan w:val="2"/>
            <w:tcBorders>
              <w:top w:val="single" w:sz="4" w:space="0" w:color="auto"/>
              <w:left w:val="nil"/>
              <w:bottom w:val="single" w:sz="4" w:space="0" w:color="auto"/>
              <w:right w:val="single" w:sz="4" w:space="0" w:color="auto"/>
            </w:tcBorders>
            <w:vAlign w:val="center"/>
          </w:tcPr>
          <w:p w14:paraId="2E12C15E" w14:textId="77777777" w:rsidR="00D12939" w:rsidRDefault="004F47F5">
            <w:pPr>
              <w:pStyle w:val="affffd"/>
              <w:jc w:val="left"/>
              <w:rPr>
                <w:rFonts w:ascii="Times New Roman" w:eastAsia="宋体" w:hAnsi="Times New Roman" w:cs="Times New Roman"/>
              </w:rPr>
            </w:pPr>
            <w:r>
              <w:rPr>
                <w:rFonts w:ascii="Times New Roman" w:eastAsia="宋体" w:hAnsi="Times New Roman" w:cs="Times New Roman"/>
              </w:rPr>
              <w:t>灭火剂：粉末、泡沫或二氧化碳。</w:t>
            </w:r>
          </w:p>
        </w:tc>
      </w:tr>
      <w:tr w:rsidR="00D12939" w14:paraId="7135CF2F" w14:textId="77777777">
        <w:trPr>
          <w:cantSplit/>
          <w:trHeight w:val="282"/>
        </w:trPr>
        <w:tc>
          <w:tcPr>
            <w:tcW w:w="451" w:type="pct"/>
            <w:vMerge w:val="restart"/>
            <w:tcBorders>
              <w:top w:val="single" w:sz="4" w:space="0" w:color="auto"/>
              <w:left w:val="single" w:sz="4" w:space="0" w:color="auto"/>
              <w:bottom w:val="single" w:sz="4" w:space="0" w:color="auto"/>
              <w:right w:val="single" w:sz="4" w:space="0" w:color="auto"/>
            </w:tcBorders>
            <w:vAlign w:val="center"/>
          </w:tcPr>
          <w:p w14:paraId="7359695F"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健康</w:t>
            </w:r>
          </w:p>
          <w:p w14:paraId="482C489D" w14:textId="77777777" w:rsidR="00D12939" w:rsidRDefault="004F47F5">
            <w:pPr>
              <w:pStyle w:val="affffd"/>
              <w:rPr>
                <w:rFonts w:ascii="Times New Roman" w:eastAsia="宋体" w:hAnsi="Times New Roman" w:cs="Times New Roman"/>
              </w:rPr>
            </w:pPr>
            <w:r>
              <w:rPr>
                <w:rFonts w:ascii="Times New Roman" w:eastAsia="宋体" w:hAnsi="Times New Roman" w:cs="Times New Roman"/>
              </w:rPr>
              <w:t>危害</w:t>
            </w:r>
          </w:p>
        </w:tc>
        <w:tc>
          <w:tcPr>
            <w:tcW w:w="4548" w:type="pct"/>
            <w:gridSpan w:val="2"/>
            <w:tcBorders>
              <w:top w:val="single" w:sz="4" w:space="0" w:color="auto"/>
              <w:left w:val="nil"/>
              <w:bottom w:val="single" w:sz="4" w:space="0" w:color="auto"/>
              <w:right w:val="single" w:sz="4" w:space="0" w:color="auto"/>
            </w:tcBorders>
            <w:vAlign w:val="center"/>
          </w:tcPr>
          <w:p w14:paraId="65EA8679" w14:textId="77777777" w:rsidR="00D12939" w:rsidRDefault="004F47F5">
            <w:pPr>
              <w:pStyle w:val="affffd"/>
              <w:jc w:val="left"/>
              <w:rPr>
                <w:rFonts w:ascii="Times New Roman" w:eastAsia="宋体" w:hAnsi="Times New Roman" w:cs="Times New Roman"/>
              </w:rPr>
            </w:pPr>
            <w:r>
              <w:rPr>
                <w:rFonts w:ascii="Times New Roman" w:eastAsia="宋体" w:hAnsi="Times New Roman" w:cs="Times New Roman"/>
              </w:rPr>
              <w:t>侵入途径：吸入</w:t>
            </w:r>
          </w:p>
        </w:tc>
      </w:tr>
      <w:tr w:rsidR="00D12939" w14:paraId="69C821A2" w14:textId="77777777">
        <w:trPr>
          <w:cantSplit/>
          <w:trHeight w:val="910"/>
        </w:trPr>
        <w:tc>
          <w:tcPr>
            <w:tcW w:w="451" w:type="pct"/>
            <w:vMerge/>
            <w:tcBorders>
              <w:top w:val="single" w:sz="4" w:space="0" w:color="auto"/>
              <w:left w:val="single" w:sz="4" w:space="0" w:color="auto"/>
              <w:bottom w:val="single" w:sz="4" w:space="0" w:color="auto"/>
              <w:right w:val="single" w:sz="4" w:space="0" w:color="auto"/>
            </w:tcBorders>
            <w:vAlign w:val="center"/>
          </w:tcPr>
          <w:p w14:paraId="385A2840" w14:textId="77777777" w:rsidR="00D12939" w:rsidRDefault="00D12939">
            <w:pPr>
              <w:pStyle w:val="affffd"/>
              <w:rPr>
                <w:rFonts w:ascii="Times New Roman" w:eastAsia="宋体" w:hAnsi="Times New Roman" w:cs="Times New Roman"/>
              </w:rPr>
            </w:pPr>
          </w:p>
        </w:tc>
        <w:tc>
          <w:tcPr>
            <w:tcW w:w="4548" w:type="pct"/>
            <w:gridSpan w:val="2"/>
            <w:tcBorders>
              <w:top w:val="single" w:sz="4" w:space="0" w:color="auto"/>
              <w:left w:val="nil"/>
              <w:bottom w:val="single" w:sz="4" w:space="0" w:color="auto"/>
              <w:right w:val="single" w:sz="4" w:space="0" w:color="auto"/>
            </w:tcBorders>
            <w:vAlign w:val="center"/>
          </w:tcPr>
          <w:p w14:paraId="75C6E18F" w14:textId="77777777" w:rsidR="00D12939" w:rsidRDefault="004F47F5">
            <w:pPr>
              <w:pStyle w:val="affffd"/>
              <w:jc w:val="left"/>
              <w:rPr>
                <w:rFonts w:ascii="Times New Roman" w:eastAsia="宋体" w:hAnsi="Times New Roman" w:cs="Times New Roman"/>
              </w:rPr>
            </w:pPr>
            <w:r>
              <w:rPr>
                <w:rFonts w:ascii="Times New Roman" w:eastAsia="宋体" w:hAnsi="Times New Roman" w:cs="Times New Roman"/>
              </w:rPr>
              <w:t>健康危害：甲烷对人基本无毒，但浓度过高时，使空气中氧含量明显降低，使人窒息。当空气中甲烷达</w:t>
            </w:r>
            <w:r>
              <w:rPr>
                <w:rFonts w:ascii="Times New Roman" w:eastAsia="宋体" w:hAnsi="Times New Roman" w:cs="Times New Roman"/>
              </w:rPr>
              <w:t>25%-30%</w:t>
            </w:r>
            <w:r>
              <w:rPr>
                <w:rFonts w:ascii="Times New Roman" w:eastAsia="宋体" w:hAnsi="Times New Roman" w:cs="Times New Roman"/>
              </w:rPr>
              <w:t>时，可引起头痛、头晕、乏力、注意力不集中、呼吸和心跳加速、共济失调。若不及时远离，可致窒息死亡。皮肤接触液化的甲烷，可致冻伤。</w:t>
            </w:r>
          </w:p>
        </w:tc>
      </w:tr>
      <w:tr w:rsidR="00D12939" w14:paraId="0B15C19D" w14:textId="77777777">
        <w:trPr>
          <w:cantSplit/>
          <w:trHeight w:val="596"/>
        </w:trPr>
        <w:tc>
          <w:tcPr>
            <w:tcW w:w="451" w:type="pct"/>
            <w:vMerge/>
            <w:tcBorders>
              <w:top w:val="single" w:sz="4" w:space="0" w:color="auto"/>
              <w:left w:val="single" w:sz="4" w:space="0" w:color="auto"/>
              <w:bottom w:val="single" w:sz="4" w:space="0" w:color="auto"/>
              <w:right w:val="single" w:sz="4" w:space="0" w:color="auto"/>
            </w:tcBorders>
            <w:vAlign w:val="center"/>
          </w:tcPr>
          <w:p w14:paraId="3DBF3944" w14:textId="77777777" w:rsidR="00D12939" w:rsidRDefault="00D12939">
            <w:pPr>
              <w:pStyle w:val="affffd"/>
              <w:rPr>
                <w:rFonts w:ascii="Times New Roman" w:eastAsia="宋体" w:hAnsi="Times New Roman" w:cs="Times New Roman"/>
              </w:rPr>
            </w:pPr>
          </w:p>
        </w:tc>
        <w:tc>
          <w:tcPr>
            <w:tcW w:w="4548" w:type="pct"/>
            <w:gridSpan w:val="2"/>
            <w:tcBorders>
              <w:top w:val="single" w:sz="4" w:space="0" w:color="auto"/>
              <w:left w:val="nil"/>
              <w:bottom w:val="single" w:sz="4" w:space="0" w:color="auto"/>
              <w:right w:val="single" w:sz="4" w:space="0" w:color="auto"/>
            </w:tcBorders>
            <w:vAlign w:val="center"/>
          </w:tcPr>
          <w:p w14:paraId="6C04B161" w14:textId="77777777" w:rsidR="00D12939" w:rsidRDefault="004F47F5">
            <w:pPr>
              <w:pStyle w:val="affffd"/>
              <w:jc w:val="left"/>
              <w:rPr>
                <w:rFonts w:ascii="Times New Roman" w:eastAsia="宋体" w:hAnsi="Times New Roman" w:cs="Times New Roman"/>
              </w:rPr>
            </w:pPr>
            <w:r>
              <w:rPr>
                <w:rFonts w:ascii="Times New Roman" w:eastAsia="宋体" w:hAnsi="Times New Roman" w:cs="Times New Roman"/>
              </w:rPr>
              <w:t>毒性：属低毒类。小鼠吸入</w:t>
            </w:r>
            <w:r>
              <w:rPr>
                <w:rFonts w:ascii="Times New Roman" w:eastAsia="宋体" w:hAnsi="Times New Roman" w:cs="Times New Roman"/>
              </w:rPr>
              <w:t>42%</w:t>
            </w:r>
            <w:r>
              <w:rPr>
                <w:rFonts w:ascii="Times New Roman" w:eastAsia="宋体" w:hAnsi="Times New Roman" w:cs="Times New Roman"/>
              </w:rPr>
              <w:t>浓度</w:t>
            </w:r>
            <w:r>
              <w:rPr>
                <w:rFonts w:ascii="Times New Roman" w:eastAsia="宋体" w:hAnsi="Times New Roman" w:cs="Times New Roman"/>
              </w:rPr>
              <w:t>×60</w:t>
            </w:r>
            <w:r>
              <w:rPr>
                <w:rFonts w:ascii="Times New Roman" w:eastAsia="宋体" w:hAnsi="Times New Roman" w:cs="Times New Roman"/>
              </w:rPr>
              <w:t>分钟，麻醉作用；兔吸入</w:t>
            </w:r>
            <w:r>
              <w:rPr>
                <w:rFonts w:ascii="Times New Roman" w:eastAsia="宋体" w:hAnsi="Times New Roman" w:cs="Times New Roman"/>
              </w:rPr>
              <w:t>42%</w:t>
            </w:r>
            <w:r>
              <w:rPr>
                <w:rFonts w:ascii="Times New Roman" w:eastAsia="宋体" w:hAnsi="Times New Roman" w:cs="Times New Roman"/>
              </w:rPr>
              <w:t>浓度</w:t>
            </w:r>
            <w:r>
              <w:rPr>
                <w:rFonts w:ascii="Times New Roman" w:eastAsia="宋体" w:hAnsi="Times New Roman" w:cs="Times New Roman"/>
              </w:rPr>
              <w:t>×60</w:t>
            </w:r>
            <w:r>
              <w:rPr>
                <w:rFonts w:ascii="Times New Roman" w:eastAsia="宋体" w:hAnsi="Times New Roman" w:cs="Times New Roman"/>
              </w:rPr>
              <w:t>分钟，麻醉作用。</w:t>
            </w:r>
          </w:p>
        </w:tc>
      </w:tr>
    </w:tbl>
    <w:p w14:paraId="5CB162C0" w14:textId="77777777" w:rsidR="00D12939" w:rsidRDefault="004F47F5">
      <w:pPr>
        <w:adjustRightInd w:val="0"/>
        <w:snapToGrid w:val="0"/>
        <w:jc w:val="center"/>
        <w:rPr>
          <w:rFonts w:ascii="黑体" w:eastAsia="黑体" w:hAnsi="黑体"/>
          <w:sz w:val="24"/>
          <w:szCs w:val="21"/>
        </w:rPr>
      </w:pPr>
      <w:r>
        <w:rPr>
          <w:rFonts w:ascii="黑体" w:eastAsia="黑体" w:hAnsi="黑体"/>
          <w:sz w:val="24"/>
          <w:szCs w:val="21"/>
        </w:rPr>
        <w:t>表</w:t>
      </w:r>
      <w:r>
        <w:rPr>
          <w:rFonts w:ascii="黑体" w:eastAsia="黑体" w:hAnsi="黑体" w:hint="eastAsia"/>
          <w:sz w:val="24"/>
          <w:szCs w:val="21"/>
        </w:rPr>
        <w:t>8</w:t>
      </w:r>
      <w:r>
        <w:rPr>
          <w:rFonts w:ascii="黑体" w:eastAsia="黑体" w:hAnsi="黑体"/>
          <w:sz w:val="24"/>
          <w:szCs w:val="21"/>
        </w:rPr>
        <w:t>.4-2     氨理化性质</w:t>
      </w:r>
    </w:p>
    <w:tbl>
      <w:tblPr>
        <w:tblW w:w="973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26"/>
        <w:gridCol w:w="2822"/>
        <w:gridCol w:w="2569"/>
        <w:gridCol w:w="3715"/>
      </w:tblGrid>
      <w:tr w:rsidR="00D12939" w14:paraId="0370A701" w14:textId="77777777">
        <w:trPr>
          <w:cantSplit/>
          <w:trHeight w:val="50"/>
        </w:trPr>
        <w:tc>
          <w:tcPr>
            <w:tcW w:w="626" w:type="dxa"/>
            <w:vMerge w:val="restart"/>
            <w:vAlign w:val="center"/>
          </w:tcPr>
          <w:p w14:paraId="1C263ADE"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标识</w:t>
            </w:r>
          </w:p>
        </w:tc>
        <w:tc>
          <w:tcPr>
            <w:tcW w:w="5391" w:type="dxa"/>
            <w:gridSpan w:val="2"/>
            <w:vAlign w:val="center"/>
          </w:tcPr>
          <w:p w14:paraId="01AD0555"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中文名：氨气</w:t>
            </w:r>
          </w:p>
        </w:tc>
        <w:tc>
          <w:tcPr>
            <w:tcW w:w="3715" w:type="dxa"/>
            <w:vAlign w:val="center"/>
          </w:tcPr>
          <w:p w14:paraId="65B24792"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英文名</w:t>
            </w:r>
            <w:r>
              <w:rPr>
                <w:rFonts w:ascii="Times New Roman" w:eastAsia="宋体" w:hAnsi="Times New Roman" w:cs="Times New Roman"/>
                <w:szCs w:val="21"/>
                <w:lang w:val="en-GB"/>
              </w:rPr>
              <w:t>：</w:t>
            </w:r>
            <w:r>
              <w:rPr>
                <w:rFonts w:ascii="Times New Roman" w:eastAsia="宋体" w:hAnsi="Times New Roman" w:cs="Times New Roman"/>
                <w:szCs w:val="21"/>
              </w:rPr>
              <w:t>Ammonia</w:t>
            </w:r>
          </w:p>
        </w:tc>
      </w:tr>
      <w:tr w:rsidR="00D12939" w14:paraId="5FE729BC" w14:textId="77777777">
        <w:trPr>
          <w:cantSplit/>
          <w:trHeight w:val="56"/>
        </w:trPr>
        <w:tc>
          <w:tcPr>
            <w:tcW w:w="626" w:type="dxa"/>
            <w:vMerge/>
            <w:vAlign w:val="center"/>
          </w:tcPr>
          <w:p w14:paraId="13C37841"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4CE91381"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分子式</w:t>
            </w:r>
            <w:r>
              <w:rPr>
                <w:rFonts w:ascii="Times New Roman" w:eastAsia="宋体" w:hAnsi="Times New Roman" w:cs="Times New Roman"/>
                <w:szCs w:val="21"/>
              </w:rPr>
              <w:t>:NH</w:t>
            </w:r>
            <w:r>
              <w:rPr>
                <w:rFonts w:ascii="Times New Roman" w:eastAsia="宋体" w:hAnsi="Times New Roman" w:cs="Times New Roman"/>
                <w:szCs w:val="21"/>
                <w:vertAlign w:val="subscript"/>
              </w:rPr>
              <w:t>3</w:t>
            </w:r>
          </w:p>
        </w:tc>
        <w:tc>
          <w:tcPr>
            <w:tcW w:w="3715" w:type="dxa"/>
            <w:vAlign w:val="center"/>
          </w:tcPr>
          <w:p w14:paraId="249E170E"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分子量：</w:t>
            </w:r>
            <w:r>
              <w:rPr>
                <w:rFonts w:ascii="Times New Roman" w:eastAsia="宋体" w:hAnsi="Times New Roman" w:cs="Times New Roman"/>
                <w:szCs w:val="21"/>
              </w:rPr>
              <w:t>17.03</w:t>
            </w:r>
          </w:p>
        </w:tc>
      </w:tr>
      <w:tr w:rsidR="00D12939" w14:paraId="0EDEE99B" w14:textId="77777777">
        <w:trPr>
          <w:cantSplit/>
          <w:trHeight w:val="36"/>
        </w:trPr>
        <w:tc>
          <w:tcPr>
            <w:tcW w:w="626" w:type="dxa"/>
            <w:vMerge/>
            <w:vAlign w:val="center"/>
          </w:tcPr>
          <w:p w14:paraId="4238ED3C" w14:textId="77777777" w:rsidR="00D12939" w:rsidRDefault="00D12939">
            <w:pPr>
              <w:autoSpaceDE w:val="0"/>
              <w:autoSpaceDN w:val="0"/>
              <w:textAlignment w:val="bottom"/>
              <w:rPr>
                <w:rFonts w:ascii="Times New Roman" w:eastAsia="宋体" w:hAnsi="Times New Roman" w:cs="Times New Roman"/>
                <w:szCs w:val="21"/>
              </w:rPr>
            </w:pPr>
          </w:p>
        </w:tc>
        <w:tc>
          <w:tcPr>
            <w:tcW w:w="2822" w:type="dxa"/>
            <w:vAlign w:val="center"/>
          </w:tcPr>
          <w:p w14:paraId="1CF1EBC5"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危规号</w:t>
            </w:r>
            <w:r>
              <w:rPr>
                <w:rFonts w:ascii="Times New Roman" w:eastAsia="宋体" w:hAnsi="Times New Roman" w:cs="Times New Roman"/>
                <w:szCs w:val="21"/>
              </w:rPr>
              <w:t>:23003</w:t>
            </w:r>
          </w:p>
        </w:tc>
        <w:tc>
          <w:tcPr>
            <w:tcW w:w="2568" w:type="dxa"/>
            <w:vAlign w:val="center"/>
          </w:tcPr>
          <w:p w14:paraId="07EE974C"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UN</w:t>
            </w:r>
            <w:r>
              <w:rPr>
                <w:rFonts w:ascii="Times New Roman" w:eastAsia="宋体" w:hAnsi="Times New Roman" w:cs="Times New Roman"/>
                <w:szCs w:val="21"/>
              </w:rPr>
              <w:t>编号：</w:t>
            </w:r>
            <w:r>
              <w:rPr>
                <w:rFonts w:ascii="Times New Roman" w:eastAsia="宋体" w:hAnsi="Times New Roman" w:cs="Times New Roman"/>
                <w:szCs w:val="21"/>
              </w:rPr>
              <w:t>1005</w:t>
            </w:r>
          </w:p>
        </w:tc>
        <w:tc>
          <w:tcPr>
            <w:tcW w:w="3715" w:type="dxa"/>
            <w:vAlign w:val="center"/>
          </w:tcPr>
          <w:p w14:paraId="672EF0F6"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CAS</w:t>
            </w:r>
            <w:r>
              <w:rPr>
                <w:rFonts w:ascii="Times New Roman" w:eastAsia="宋体" w:hAnsi="Times New Roman" w:cs="Times New Roman"/>
                <w:szCs w:val="21"/>
              </w:rPr>
              <w:t>号：</w:t>
            </w:r>
            <w:r>
              <w:rPr>
                <w:rFonts w:ascii="Times New Roman" w:eastAsia="宋体" w:hAnsi="Times New Roman" w:cs="Times New Roman"/>
                <w:szCs w:val="21"/>
              </w:rPr>
              <w:t>7664-41-7</w:t>
            </w:r>
          </w:p>
        </w:tc>
      </w:tr>
      <w:tr w:rsidR="00D12939" w14:paraId="40904FC7" w14:textId="77777777">
        <w:trPr>
          <w:cantSplit/>
          <w:trHeight w:val="164"/>
        </w:trPr>
        <w:tc>
          <w:tcPr>
            <w:tcW w:w="626" w:type="dxa"/>
            <w:vMerge w:val="restart"/>
            <w:vAlign w:val="center"/>
          </w:tcPr>
          <w:p w14:paraId="18B4A9C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理化性质</w:t>
            </w:r>
          </w:p>
        </w:tc>
        <w:tc>
          <w:tcPr>
            <w:tcW w:w="5391" w:type="dxa"/>
            <w:gridSpan w:val="2"/>
            <w:vAlign w:val="center"/>
          </w:tcPr>
          <w:p w14:paraId="65E272FD"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外观与形状</w:t>
            </w:r>
            <w:r>
              <w:rPr>
                <w:rFonts w:ascii="Times New Roman" w:eastAsia="宋体" w:hAnsi="Times New Roman" w:cs="Times New Roman"/>
                <w:szCs w:val="21"/>
              </w:rPr>
              <w:t>:</w:t>
            </w:r>
            <w:r>
              <w:rPr>
                <w:rFonts w:ascii="Times New Roman" w:eastAsia="宋体" w:hAnsi="Times New Roman" w:cs="Times New Roman"/>
                <w:szCs w:val="21"/>
              </w:rPr>
              <w:t>无色有刺激性恶臭气体，在适当压力下可液化成液氨</w:t>
            </w:r>
          </w:p>
        </w:tc>
        <w:tc>
          <w:tcPr>
            <w:tcW w:w="3715" w:type="dxa"/>
            <w:vAlign w:val="center"/>
          </w:tcPr>
          <w:p w14:paraId="3B622E20"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溶解性</w:t>
            </w:r>
            <w:r>
              <w:rPr>
                <w:rFonts w:ascii="Times New Roman" w:eastAsia="宋体" w:hAnsi="Times New Roman" w:cs="Times New Roman"/>
                <w:szCs w:val="21"/>
              </w:rPr>
              <w:t>:</w:t>
            </w:r>
            <w:r>
              <w:rPr>
                <w:rFonts w:ascii="Times New Roman" w:eastAsia="宋体" w:hAnsi="Times New Roman" w:cs="Times New Roman"/>
                <w:szCs w:val="21"/>
              </w:rPr>
              <w:t>易溶于水、乙醇、乙醚</w:t>
            </w:r>
          </w:p>
        </w:tc>
      </w:tr>
      <w:tr w:rsidR="00D12939" w14:paraId="335B7E3C" w14:textId="77777777">
        <w:trPr>
          <w:cantSplit/>
          <w:trHeight w:val="56"/>
        </w:trPr>
        <w:tc>
          <w:tcPr>
            <w:tcW w:w="626" w:type="dxa"/>
            <w:vMerge/>
            <w:vAlign w:val="center"/>
          </w:tcPr>
          <w:p w14:paraId="7B514A13"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7893B15C"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熔点</w:t>
            </w:r>
            <w:r>
              <w:rPr>
                <w:rFonts w:ascii="Times New Roman" w:eastAsia="宋体" w:hAnsi="Times New Roman" w:cs="Times New Roman"/>
                <w:szCs w:val="21"/>
              </w:rPr>
              <w:t>(℃):-77.7</w:t>
            </w:r>
          </w:p>
        </w:tc>
        <w:tc>
          <w:tcPr>
            <w:tcW w:w="3715" w:type="dxa"/>
            <w:vAlign w:val="center"/>
          </w:tcPr>
          <w:p w14:paraId="55081D5E"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沸点</w:t>
            </w:r>
            <w:r>
              <w:rPr>
                <w:rFonts w:ascii="Times New Roman" w:eastAsia="宋体" w:hAnsi="Times New Roman" w:cs="Times New Roman"/>
                <w:szCs w:val="21"/>
              </w:rPr>
              <w:t>(℃):-33.5</w:t>
            </w:r>
          </w:p>
        </w:tc>
      </w:tr>
      <w:tr w:rsidR="00D12939" w14:paraId="01CAC415" w14:textId="77777777">
        <w:trPr>
          <w:cantSplit/>
          <w:trHeight w:val="56"/>
        </w:trPr>
        <w:tc>
          <w:tcPr>
            <w:tcW w:w="626" w:type="dxa"/>
            <w:vMerge/>
            <w:vAlign w:val="center"/>
          </w:tcPr>
          <w:p w14:paraId="58068A87"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0DFD48DE"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相对密度</w:t>
            </w:r>
            <w:r>
              <w:rPr>
                <w:rFonts w:ascii="Times New Roman" w:eastAsia="宋体" w:hAnsi="Times New Roman" w:cs="Times New Roman"/>
                <w:szCs w:val="21"/>
              </w:rPr>
              <w:t>:(</w:t>
            </w:r>
            <w:r>
              <w:rPr>
                <w:rFonts w:ascii="Times New Roman" w:eastAsia="宋体" w:hAnsi="Times New Roman" w:cs="Times New Roman"/>
                <w:szCs w:val="21"/>
              </w:rPr>
              <w:t>水</w:t>
            </w:r>
            <w:r>
              <w:rPr>
                <w:rFonts w:ascii="Times New Roman" w:eastAsia="宋体" w:hAnsi="Times New Roman" w:cs="Times New Roman"/>
                <w:szCs w:val="21"/>
              </w:rPr>
              <w:t>=1)0.82(-79℃)</w:t>
            </w:r>
          </w:p>
        </w:tc>
        <w:tc>
          <w:tcPr>
            <w:tcW w:w="3715" w:type="dxa"/>
            <w:vAlign w:val="center"/>
          </w:tcPr>
          <w:p w14:paraId="48E12EBC"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相对密度</w:t>
            </w:r>
            <w:r>
              <w:rPr>
                <w:rFonts w:ascii="Times New Roman" w:eastAsia="宋体" w:hAnsi="Times New Roman" w:cs="Times New Roman"/>
                <w:szCs w:val="21"/>
              </w:rPr>
              <w:t>:(</w:t>
            </w:r>
            <w:r>
              <w:rPr>
                <w:rFonts w:ascii="Times New Roman" w:eastAsia="宋体" w:hAnsi="Times New Roman" w:cs="Times New Roman"/>
                <w:szCs w:val="21"/>
              </w:rPr>
              <w:t>空气</w:t>
            </w:r>
            <w:r>
              <w:rPr>
                <w:rFonts w:ascii="Times New Roman" w:eastAsia="宋体" w:hAnsi="Times New Roman" w:cs="Times New Roman"/>
                <w:szCs w:val="21"/>
              </w:rPr>
              <w:t>=1) 0.6</w:t>
            </w:r>
          </w:p>
        </w:tc>
      </w:tr>
      <w:tr w:rsidR="00D12939" w14:paraId="4875A1AF" w14:textId="77777777">
        <w:trPr>
          <w:cantSplit/>
          <w:trHeight w:val="304"/>
        </w:trPr>
        <w:tc>
          <w:tcPr>
            <w:tcW w:w="626" w:type="dxa"/>
            <w:vMerge/>
            <w:vAlign w:val="center"/>
          </w:tcPr>
          <w:p w14:paraId="5AD10EAD"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212CF3C5"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饱和蒸汽压</w:t>
            </w:r>
            <w:r>
              <w:rPr>
                <w:rFonts w:ascii="Times New Roman" w:eastAsia="宋体" w:hAnsi="Times New Roman" w:cs="Times New Roman"/>
                <w:szCs w:val="21"/>
              </w:rPr>
              <w:t>(kPa)506.62(4.7℃)</w:t>
            </w:r>
          </w:p>
        </w:tc>
        <w:tc>
          <w:tcPr>
            <w:tcW w:w="3715" w:type="dxa"/>
            <w:vAlign w:val="center"/>
          </w:tcPr>
          <w:p w14:paraId="54908CC7"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禁忌物</w:t>
            </w:r>
            <w:r>
              <w:rPr>
                <w:rFonts w:ascii="Times New Roman" w:eastAsia="宋体" w:hAnsi="Times New Roman" w:cs="Times New Roman"/>
                <w:szCs w:val="21"/>
              </w:rPr>
              <w:t>:</w:t>
            </w:r>
            <w:r>
              <w:rPr>
                <w:rFonts w:ascii="Times New Roman" w:eastAsia="宋体" w:hAnsi="Times New Roman" w:cs="Times New Roman"/>
                <w:szCs w:val="21"/>
              </w:rPr>
              <w:t>卤素、酰基氯、酸类、氯仿、强氧化剂</w:t>
            </w:r>
          </w:p>
        </w:tc>
      </w:tr>
      <w:tr w:rsidR="00D12939" w14:paraId="2B8D0149" w14:textId="77777777">
        <w:trPr>
          <w:cantSplit/>
          <w:trHeight w:val="56"/>
        </w:trPr>
        <w:tc>
          <w:tcPr>
            <w:tcW w:w="626" w:type="dxa"/>
            <w:vMerge/>
            <w:vAlign w:val="center"/>
          </w:tcPr>
          <w:p w14:paraId="63C885EC"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1EC6964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临界压力</w:t>
            </w:r>
            <w:r>
              <w:rPr>
                <w:rFonts w:ascii="Times New Roman" w:eastAsia="宋体" w:hAnsi="Times New Roman" w:cs="Times New Roman"/>
                <w:szCs w:val="21"/>
              </w:rPr>
              <w:t>(Mpa)</w:t>
            </w:r>
            <w:r>
              <w:rPr>
                <w:rFonts w:ascii="Times New Roman" w:eastAsia="宋体" w:hAnsi="Times New Roman" w:cs="Times New Roman"/>
                <w:szCs w:val="21"/>
              </w:rPr>
              <w:t>：</w:t>
            </w:r>
            <w:r>
              <w:rPr>
                <w:rFonts w:ascii="Times New Roman" w:eastAsia="宋体" w:hAnsi="Times New Roman" w:cs="Times New Roman"/>
                <w:szCs w:val="21"/>
              </w:rPr>
              <w:t>11.40</w:t>
            </w:r>
          </w:p>
        </w:tc>
        <w:tc>
          <w:tcPr>
            <w:tcW w:w="3715" w:type="dxa"/>
            <w:vAlign w:val="center"/>
          </w:tcPr>
          <w:p w14:paraId="4380496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临界温度</w:t>
            </w:r>
            <w:r>
              <w:rPr>
                <w:rFonts w:ascii="Times New Roman" w:eastAsia="宋体" w:hAnsi="Times New Roman" w:cs="Times New Roman"/>
                <w:szCs w:val="21"/>
              </w:rPr>
              <w:t>(℃):132.4</w:t>
            </w:r>
          </w:p>
        </w:tc>
      </w:tr>
      <w:tr w:rsidR="00D12939" w14:paraId="10622ADF" w14:textId="77777777">
        <w:trPr>
          <w:cantSplit/>
          <w:trHeight w:val="56"/>
        </w:trPr>
        <w:tc>
          <w:tcPr>
            <w:tcW w:w="626" w:type="dxa"/>
            <w:vMerge/>
            <w:vAlign w:val="center"/>
          </w:tcPr>
          <w:p w14:paraId="5B771393"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0236E83D"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稳定性</w:t>
            </w:r>
            <w:r>
              <w:rPr>
                <w:rFonts w:ascii="Times New Roman" w:eastAsia="宋体" w:hAnsi="Times New Roman" w:cs="Times New Roman"/>
                <w:szCs w:val="21"/>
              </w:rPr>
              <w:t>:</w:t>
            </w:r>
            <w:r>
              <w:rPr>
                <w:rFonts w:ascii="Times New Roman" w:eastAsia="宋体" w:hAnsi="Times New Roman" w:cs="Times New Roman"/>
                <w:szCs w:val="21"/>
              </w:rPr>
              <w:t>稳定</w:t>
            </w:r>
          </w:p>
        </w:tc>
        <w:tc>
          <w:tcPr>
            <w:tcW w:w="3715" w:type="dxa"/>
            <w:vAlign w:val="center"/>
          </w:tcPr>
          <w:p w14:paraId="0F782CF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聚合危害</w:t>
            </w:r>
            <w:r>
              <w:rPr>
                <w:rFonts w:ascii="Times New Roman" w:eastAsia="宋体" w:hAnsi="Times New Roman" w:cs="Times New Roman"/>
                <w:szCs w:val="21"/>
              </w:rPr>
              <w:t>:</w:t>
            </w:r>
          </w:p>
        </w:tc>
      </w:tr>
      <w:tr w:rsidR="00D12939" w14:paraId="1635A682" w14:textId="77777777">
        <w:trPr>
          <w:cantSplit/>
          <w:trHeight w:val="56"/>
        </w:trPr>
        <w:tc>
          <w:tcPr>
            <w:tcW w:w="626" w:type="dxa"/>
            <w:vMerge w:val="restart"/>
            <w:vAlign w:val="center"/>
          </w:tcPr>
          <w:p w14:paraId="21137266"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危险特性</w:t>
            </w:r>
          </w:p>
        </w:tc>
        <w:tc>
          <w:tcPr>
            <w:tcW w:w="5391" w:type="dxa"/>
            <w:gridSpan w:val="2"/>
            <w:vAlign w:val="center"/>
          </w:tcPr>
          <w:p w14:paraId="02186E2D"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危险性类别</w:t>
            </w:r>
            <w:r>
              <w:rPr>
                <w:rFonts w:ascii="Times New Roman" w:eastAsia="宋体" w:hAnsi="Times New Roman" w:cs="Times New Roman"/>
                <w:szCs w:val="21"/>
              </w:rPr>
              <w:t xml:space="preserve">: </w:t>
            </w:r>
            <w:r>
              <w:rPr>
                <w:rFonts w:ascii="Times New Roman" w:eastAsia="宋体" w:hAnsi="Times New Roman" w:cs="Times New Roman"/>
                <w:szCs w:val="21"/>
              </w:rPr>
              <w:t>第</w:t>
            </w:r>
            <w:r>
              <w:rPr>
                <w:rFonts w:ascii="Times New Roman" w:eastAsia="宋体" w:hAnsi="Times New Roman" w:cs="Times New Roman"/>
                <w:szCs w:val="21"/>
              </w:rPr>
              <w:t>2..3</w:t>
            </w:r>
            <w:r>
              <w:rPr>
                <w:rFonts w:ascii="Times New Roman" w:eastAsia="宋体" w:hAnsi="Times New Roman" w:cs="Times New Roman"/>
                <w:szCs w:val="21"/>
              </w:rPr>
              <w:t>类有毒气体</w:t>
            </w:r>
          </w:p>
        </w:tc>
        <w:tc>
          <w:tcPr>
            <w:tcW w:w="3715" w:type="dxa"/>
            <w:vAlign w:val="center"/>
          </w:tcPr>
          <w:p w14:paraId="7E4773E2"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燃烧性</w:t>
            </w:r>
            <w:r>
              <w:rPr>
                <w:rFonts w:ascii="Times New Roman" w:eastAsia="宋体" w:hAnsi="Times New Roman" w:cs="Times New Roman"/>
                <w:szCs w:val="21"/>
              </w:rPr>
              <w:t>:</w:t>
            </w:r>
            <w:r>
              <w:rPr>
                <w:rFonts w:ascii="Times New Roman" w:eastAsia="宋体" w:hAnsi="Times New Roman" w:cs="Times New Roman"/>
                <w:szCs w:val="21"/>
              </w:rPr>
              <w:t>可燃</w:t>
            </w:r>
          </w:p>
        </w:tc>
      </w:tr>
      <w:tr w:rsidR="00D12939" w14:paraId="56F44988" w14:textId="77777777">
        <w:trPr>
          <w:cantSplit/>
          <w:trHeight w:val="56"/>
        </w:trPr>
        <w:tc>
          <w:tcPr>
            <w:tcW w:w="626" w:type="dxa"/>
            <w:vMerge/>
            <w:vAlign w:val="center"/>
          </w:tcPr>
          <w:p w14:paraId="234187F2"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240903A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引燃温度</w:t>
            </w:r>
            <w:r>
              <w:rPr>
                <w:rFonts w:ascii="Times New Roman" w:eastAsia="宋体" w:hAnsi="Times New Roman" w:cs="Times New Roman"/>
                <w:szCs w:val="21"/>
              </w:rPr>
              <w:t>(℃):651</w:t>
            </w:r>
          </w:p>
        </w:tc>
        <w:tc>
          <w:tcPr>
            <w:tcW w:w="3715" w:type="dxa"/>
            <w:vAlign w:val="center"/>
          </w:tcPr>
          <w:p w14:paraId="08DE65CE"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闪点</w:t>
            </w:r>
            <w:r>
              <w:rPr>
                <w:rFonts w:ascii="Times New Roman" w:eastAsia="宋体" w:hAnsi="Times New Roman" w:cs="Times New Roman"/>
                <w:szCs w:val="21"/>
              </w:rPr>
              <w:t>(℃):</w:t>
            </w:r>
            <w:r>
              <w:rPr>
                <w:rFonts w:ascii="Times New Roman" w:eastAsia="宋体" w:hAnsi="Times New Roman" w:cs="Times New Roman"/>
                <w:szCs w:val="21"/>
              </w:rPr>
              <w:t>无意义</w:t>
            </w:r>
          </w:p>
        </w:tc>
      </w:tr>
      <w:tr w:rsidR="00D12939" w14:paraId="1CFA46B7" w14:textId="77777777">
        <w:trPr>
          <w:cantSplit/>
          <w:trHeight w:val="56"/>
        </w:trPr>
        <w:tc>
          <w:tcPr>
            <w:tcW w:w="626" w:type="dxa"/>
            <w:vMerge/>
            <w:vAlign w:val="center"/>
          </w:tcPr>
          <w:p w14:paraId="74B5BAFF"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7AD3CB9C"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爆炸下限</w:t>
            </w:r>
            <w:r>
              <w:rPr>
                <w:rFonts w:ascii="Times New Roman" w:eastAsia="宋体" w:hAnsi="Times New Roman" w:cs="Times New Roman"/>
                <w:szCs w:val="21"/>
              </w:rPr>
              <w:t>(%):14.5</w:t>
            </w:r>
          </w:p>
        </w:tc>
        <w:tc>
          <w:tcPr>
            <w:tcW w:w="3715" w:type="dxa"/>
            <w:vAlign w:val="center"/>
          </w:tcPr>
          <w:p w14:paraId="2A370CFE"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爆炸上限</w:t>
            </w:r>
            <w:r>
              <w:rPr>
                <w:rFonts w:ascii="Times New Roman" w:eastAsia="宋体" w:hAnsi="Times New Roman" w:cs="Times New Roman"/>
                <w:szCs w:val="21"/>
              </w:rPr>
              <w:t>(%):27.4</w:t>
            </w:r>
          </w:p>
        </w:tc>
      </w:tr>
      <w:tr w:rsidR="00D12939" w14:paraId="3A03F254" w14:textId="77777777">
        <w:trPr>
          <w:cantSplit/>
          <w:trHeight w:val="56"/>
        </w:trPr>
        <w:tc>
          <w:tcPr>
            <w:tcW w:w="626" w:type="dxa"/>
            <w:vMerge/>
            <w:vAlign w:val="center"/>
          </w:tcPr>
          <w:p w14:paraId="4877972C"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2EEF51C5"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最小点火能</w:t>
            </w:r>
            <w:r>
              <w:rPr>
                <w:rFonts w:ascii="Times New Roman" w:eastAsia="宋体" w:hAnsi="Times New Roman" w:cs="Times New Roman"/>
                <w:szCs w:val="21"/>
              </w:rPr>
              <w:t>(MJ)</w:t>
            </w:r>
            <w:r>
              <w:rPr>
                <w:rFonts w:ascii="Times New Roman" w:eastAsia="宋体" w:hAnsi="Times New Roman" w:cs="Times New Roman"/>
                <w:szCs w:val="21"/>
              </w:rPr>
              <w:t>：</w:t>
            </w:r>
            <w:r>
              <w:rPr>
                <w:rFonts w:ascii="Times New Roman" w:eastAsia="宋体" w:hAnsi="Times New Roman" w:cs="Times New Roman"/>
                <w:szCs w:val="21"/>
              </w:rPr>
              <w:t>1000</w:t>
            </w:r>
          </w:p>
        </w:tc>
        <w:tc>
          <w:tcPr>
            <w:tcW w:w="3715" w:type="dxa"/>
            <w:vAlign w:val="center"/>
          </w:tcPr>
          <w:p w14:paraId="2E20C3C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最大爆炸压力</w:t>
            </w:r>
            <w:r>
              <w:rPr>
                <w:rFonts w:ascii="Times New Roman" w:eastAsia="宋体" w:hAnsi="Times New Roman" w:cs="Times New Roman"/>
                <w:szCs w:val="21"/>
              </w:rPr>
              <w:t>(KPa):4.85</w:t>
            </w:r>
          </w:p>
        </w:tc>
      </w:tr>
      <w:tr w:rsidR="00D12939" w14:paraId="7895830B" w14:textId="77777777">
        <w:trPr>
          <w:cantSplit/>
          <w:trHeight w:val="183"/>
        </w:trPr>
        <w:tc>
          <w:tcPr>
            <w:tcW w:w="626" w:type="dxa"/>
            <w:vMerge/>
            <w:vAlign w:val="center"/>
          </w:tcPr>
          <w:p w14:paraId="4474411B" w14:textId="77777777" w:rsidR="00D12939" w:rsidRDefault="00D12939">
            <w:pPr>
              <w:autoSpaceDE w:val="0"/>
              <w:autoSpaceDN w:val="0"/>
              <w:textAlignment w:val="bottom"/>
              <w:rPr>
                <w:rFonts w:ascii="Times New Roman" w:eastAsia="宋体" w:hAnsi="Times New Roman" w:cs="Times New Roman"/>
                <w:szCs w:val="21"/>
              </w:rPr>
            </w:pPr>
          </w:p>
        </w:tc>
        <w:tc>
          <w:tcPr>
            <w:tcW w:w="5391" w:type="dxa"/>
            <w:gridSpan w:val="2"/>
            <w:vAlign w:val="center"/>
          </w:tcPr>
          <w:p w14:paraId="3AF27250"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燃烧热</w:t>
            </w:r>
            <w:r>
              <w:rPr>
                <w:rFonts w:ascii="Times New Roman" w:eastAsia="宋体" w:hAnsi="Times New Roman" w:cs="Times New Roman"/>
                <w:szCs w:val="21"/>
              </w:rPr>
              <w:t>( kJ/kg):18700</w:t>
            </w:r>
          </w:p>
        </w:tc>
        <w:tc>
          <w:tcPr>
            <w:tcW w:w="3715" w:type="dxa"/>
            <w:vAlign w:val="center"/>
          </w:tcPr>
          <w:p w14:paraId="0218482C"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燃烧</w:t>
            </w:r>
            <w:r>
              <w:rPr>
                <w:rFonts w:ascii="Times New Roman" w:eastAsia="宋体" w:hAnsi="Times New Roman" w:cs="Times New Roman"/>
                <w:szCs w:val="21"/>
              </w:rPr>
              <w:t>(</w:t>
            </w:r>
            <w:r>
              <w:rPr>
                <w:rFonts w:ascii="Times New Roman" w:eastAsia="宋体" w:hAnsi="Times New Roman" w:cs="Times New Roman"/>
                <w:szCs w:val="21"/>
              </w:rPr>
              <w:t>分解</w:t>
            </w:r>
            <w:r>
              <w:rPr>
                <w:rFonts w:ascii="Times New Roman" w:eastAsia="宋体" w:hAnsi="Times New Roman" w:cs="Times New Roman"/>
                <w:szCs w:val="21"/>
              </w:rPr>
              <w:t>)</w:t>
            </w:r>
            <w:r>
              <w:rPr>
                <w:rFonts w:ascii="Times New Roman" w:eastAsia="宋体" w:hAnsi="Times New Roman" w:cs="Times New Roman"/>
                <w:szCs w:val="21"/>
              </w:rPr>
              <w:t>产物</w:t>
            </w:r>
            <w:r>
              <w:rPr>
                <w:rFonts w:ascii="Times New Roman" w:eastAsia="宋体" w:hAnsi="Times New Roman" w:cs="Times New Roman"/>
                <w:szCs w:val="21"/>
              </w:rPr>
              <w:t>:</w:t>
            </w:r>
            <w:r>
              <w:rPr>
                <w:rFonts w:ascii="Times New Roman" w:eastAsia="宋体" w:hAnsi="Times New Roman" w:cs="Times New Roman"/>
                <w:szCs w:val="21"/>
              </w:rPr>
              <w:t>氮氧化物、水</w:t>
            </w:r>
          </w:p>
        </w:tc>
      </w:tr>
      <w:tr w:rsidR="00D12939" w14:paraId="57052F3F" w14:textId="77777777">
        <w:trPr>
          <w:cantSplit/>
          <w:trHeight w:val="325"/>
        </w:trPr>
        <w:tc>
          <w:tcPr>
            <w:tcW w:w="626" w:type="dxa"/>
            <w:vMerge/>
            <w:vAlign w:val="center"/>
          </w:tcPr>
          <w:p w14:paraId="1AD12CA5" w14:textId="77777777" w:rsidR="00D12939" w:rsidRDefault="00D12939">
            <w:pPr>
              <w:autoSpaceDE w:val="0"/>
              <w:autoSpaceDN w:val="0"/>
              <w:textAlignment w:val="bottom"/>
              <w:rPr>
                <w:rFonts w:ascii="Times New Roman" w:eastAsia="宋体" w:hAnsi="Times New Roman" w:cs="Times New Roman"/>
                <w:szCs w:val="21"/>
              </w:rPr>
            </w:pPr>
          </w:p>
        </w:tc>
        <w:tc>
          <w:tcPr>
            <w:tcW w:w="9106" w:type="dxa"/>
            <w:gridSpan w:val="3"/>
            <w:vAlign w:val="center"/>
          </w:tcPr>
          <w:p w14:paraId="65AA72DB"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与空气混合能形成爆炸性混合物。遇明火、热即会发生燃烧爆炸。与氟、氯等接触会发生剧烈的化学反应。若遇高热，容器内压增大，又开裂和爆炸危险。遇热放出氨和氮及氮氧化物的有毒烟雾。</w:t>
            </w:r>
          </w:p>
        </w:tc>
      </w:tr>
      <w:tr w:rsidR="00D12939" w14:paraId="5EE86CB2" w14:textId="77777777">
        <w:trPr>
          <w:cantSplit/>
          <w:trHeight w:val="330"/>
        </w:trPr>
        <w:tc>
          <w:tcPr>
            <w:tcW w:w="626" w:type="dxa"/>
            <w:vMerge/>
            <w:vAlign w:val="center"/>
          </w:tcPr>
          <w:p w14:paraId="7CF26F1B" w14:textId="77777777" w:rsidR="00D12939" w:rsidRDefault="00D12939">
            <w:pPr>
              <w:autoSpaceDE w:val="0"/>
              <w:autoSpaceDN w:val="0"/>
              <w:textAlignment w:val="bottom"/>
              <w:rPr>
                <w:rFonts w:ascii="Times New Roman" w:eastAsia="宋体" w:hAnsi="Times New Roman" w:cs="Times New Roman"/>
                <w:szCs w:val="21"/>
              </w:rPr>
            </w:pPr>
          </w:p>
        </w:tc>
        <w:tc>
          <w:tcPr>
            <w:tcW w:w="9106" w:type="dxa"/>
            <w:gridSpan w:val="3"/>
            <w:vAlign w:val="center"/>
          </w:tcPr>
          <w:p w14:paraId="7B9D5C3C"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灭火方法</w:t>
            </w:r>
            <w:r>
              <w:rPr>
                <w:rFonts w:ascii="Times New Roman" w:eastAsia="宋体" w:hAnsi="Times New Roman" w:cs="Times New Roman"/>
                <w:szCs w:val="21"/>
              </w:rPr>
              <w:t>:</w:t>
            </w:r>
            <w:r>
              <w:rPr>
                <w:rFonts w:ascii="Times New Roman" w:eastAsia="宋体" w:hAnsi="Times New Roman" w:cs="Times New Roman"/>
                <w:szCs w:val="21"/>
              </w:rPr>
              <w:t>消防人员必须穿戴全身防火防毒服。切断气源。若不能立即切断气源，则不允许熄灭正在燃烧的气体。喷气冷却容器，可能的话将容器从火场移至空旷处。</w:t>
            </w:r>
          </w:p>
        </w:tc>
      </w:tr>
      <w:tr w:rsidR="00D12939" w14:paraId="0688FECB" w14:textId="77777777">
        <w:trPr>
          <w:cantSplit/>
          <w:trHeight w:val="82"/>
        </w:trPr>
        <w:tc>
          <w:tcPr>
            <w:tcW w:w="626" w:type="dxa"/>
            <w:vMerge/>
            <w:vAlign w:val="center"/>
          </w:tcPr>
          <w:p w14:paraId="159ECF18" w14:textId="77777777" w:rsidR="00D12939" w:rsidRDefault="00D12939">
            <w:pPr>
              <w:autoSpaceDE w:val="0"/>
              <w:autoSpaceDN w:val="0"/>
              <w:textAlignment w:val="bottom"/>
              <w:rPr>
                <w:rFonts w:ascii="Times New Roman" w:eastAsia="宋体" w:hAnsi="Times New Roman" w:cs="Times New Roman"/>
                <w:szCs w:val="21"/>
              </w:rPr>
            </w:pPr>
          </w:p>
        </w:tc>
        <w:tc>
          <w:tcPr>
            <w:tcW w:w="9106" w:type="dxa"/>
            <w:gridSpan w:val="3"/>
            <w:vAlign w:val="center"/>
          </w:tcPr>
          <w:p w14:paraId="087B8AD0"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灭火剂</w:t>
            </w:r>
            <w:r>
              <w:rPr>
                <w:rFonts w:ascii="Times New Roman" w:eastAsia="宋体" w:hAnsi="Times New Roman" w:cs="Times New Roman"/>
                <w:szCs w:val="21"/>
              </w:rPr>
              <w:t xml:space="preserve">: </w:t>
            </w:r>
            <w:r>
              <w:rPr>
                <w:rFonts w:ascii="Times New Roman" w:eastAsia="宋体" w:hAnsi="Times New Roman" w:cs="Times New Roman"/>
                <w:szCs w:val="21"/>
              </w:rPr>
              <w:t>雾状水、抗溶性泡沫、二氧化碳、砂土。</w:t>
            </w:r>
          </w:p>
        </w:tc>
      </w:tr>
      <w:tr w:rsidR="00D12939" w14:paraId="6FF6AAB6" w14:textId="77777777">
        <w:trPr>
          <w:cantSplit/>
          <w:trHeight w:val="87"/>
        </w:trPr>
        <w:tc>
          <w:tcPr>
            <w:tcW w:w="626" w:type="dxa"/>
            <w:vMerge w:val="restart"/>
            <w:vAlign w:val="center"/>
          </w:tcPr>
          <w:p w14:paraId="50A3722F"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健康危害</w:t>
            </w:r>
          </w:p>
        </w:tc>
        <w:tc>
          <w:tcPr>
            <w:tcW w:w="9106" w:type="dxa"/>
            <w:gridSpan w:val="3"/>
            <w:vAlign w:val="center"/>
          </w:tcPr>
          <w:p w14:paraId="29605702"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侵入途径</w:t>
            </w:r>
            <w:r>
              <w:rPr>
                <w:rFonts w:ascii="Times New Roman" w:eastAsia="宋体" w:hAnsi="Times New Roman" w:cs="Times New Roman"/>
                <w:szCs w:val="21"/>
              </w:rPr>
              <w:t>:</w:t>
            </w:r>
            <w:r>
              <w:rPr>
                <w:rFonts w:ascii="Times New Roman" w:eastAsia="宋体" w:hAnsi="Times New Roman" w:cs="Times New Roman"/>
                <w:szCs w:val="21"/>
              </w:rPr>
              <w:t>吸入，此外可以通过皮肤吸收</w:t>
            </w:r>
          </w:p>
        </w:tc>
      </w:tr>
      <w:tr w:rsidR="00D12939" w14:paraId="35D29D76" w14:textId="77777777">
        <w:trPr>
          <w:cantSplit/>
          <w:trHeight w:val="330"/>
        </w:trPr>
        <w:tc>
          <w:tcPr>
            <w:tcW w:w="626" w:type="dxa"/>
            <w:vMerge/>
            <w:vAlign w:val="center"/>
          </w:tcPr>
          <w:p w14:paraId="64FFF0CA" w14:textId="77777777" w:rsidR="00D12939" w:rsidRDefault="00D12939">
            <w:pPr>
              <w:autoSpaceDE w:val="0"/>
              <w:autoSpaceDN w:val="0"/>
              <w:textAlignment w:val="bottom"/>
              <w:rPr>
                <w:rFonts w:ascii="Times New Roman" w:eastAsia="宋体" w:hAnsi="Times New Roman" w:cs="Times New Roman"/>
                <w:szCs w:val="21"/>
              </w:rPr>
            </w:pPr>
          </w:p>
        </w:tc>
        <w:tc>
          <w:tcPr>
            <w:tcW w:w="9106" w:type="dxa"/>
            <w:gridSpan w:val="3"/>
            <w:vAlign w:val="center"/>
          </w:tcPr>
          <w:p w14:paraId="49C56C25"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健康危害</w:t>
            </w:r>
            <w:r>
              <w:rPr>
                <w:rFonts w:ascii="Times New Roman" w:eastAsia="宋体" w:hAnsi="Times New Roman" w:cs="Times New Roman"/>
                <w:szCs w:val="21"/>
              </w:rPr>
              <w:t xml:space="preserve">: </w:t>
            </w:r>
            <w:r>
              <w:rPr>
                <w:rFonts w:ascii="Times New Roman" w:eastAsia="宋体" w:hAnsi="Times New Roman" w:cs="Times New Roman"/>
                <w:szCs w:val="21"/>
              </w:rPr>
              <w:t>对粘膜和皮肤有碱性刺激及腐蚀作用，可造成组织溶解性坏死。高浓度时可引起反射性呼吸停止和心脏停搏。</w:t>
            </w:r>
          </w:p>
        </w:tc>
      </w:tr>
      <w:tr w:rsidR="00D12939" w14:paraId="176EA7D1" w14:textId="77777777">
        <w:trPr>
          <w:cantSplit/>
          <w:trHeight w:val="98"/>
        </w:trPr>
        <w:tc>
          <w:tcPr>
            <w:tcW w:w="626" w:type="dxa"/>
            <w:vMerge/>
            <w:vAlign w:val="center"/>
          </w:tcPr>
          <w:p w14:paraId="6BEF7F6C" w14:textId="77777777" w:rsidR="00D12939" w:rsidRDefault="00D12939">
            <w:pPr>
              <w:autoSpaceDE w:val="0"/>
              <w:autoSpaceDN w:val="0"/>
              <w:textAlignment w:val="bottom"/>
              <w:rPr>
                <w:rFonts w:ascii="Times New Roman" w:eastAsia="宋体" w:hAnsi="Times New Roman" w:cs="Times New Roman"/>
                <w:szCs w:val="21"/>
              </w:rPr>
            </w:pPr>
          </w:p>
        </w:tc>
        <w:tc>
          <w:tcPr>
            <w:tcW w:w="9106" w:type="dxa"/>
            <w:gridSpan w:val="3"/>
            <w:vAlign w:val="center"/>
          </w:tcPr>
          <w:p w14:paraId="5DF83DFB"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工作场所最高允许浓度：中国</w:t>
            </w:r>
            <w:r>
              <w:rPr>
                <w:rFonts w:ascii="Times New Roman" w:eastAsia="宋体" w:hAnsi="Times New Roman" w:cs="Times New Roman"/>
                <w:szCs w:val="21"/>
              </w:rPr>
              <w:t xml:space="preserve"> MAC</w:t>
            </w:r>
            <w:r>
              <w:rPr>
                <w:rFonts w:ascii="Times New Roman" w:eastAsia="宋体" w:hAnsi="Times New Roman" w:cs="Times New Roman"/>
                <w:szCs w:val="21"/>
              </w:rPr>
              <w:t>（</w:t>
            </w:r>
            <w:r>
              <w:rPr>
                <w:rFonts w:ascii="Times New Roman" w:eastAsia="宋体" w:hAnsi="Times New Roman" w:cs="Times New Roman"/>
                <w:szCs w:val="21"/>
              </w:rPr>
              <w:t>mg/m</w:t>
            </w:r>
            <w:r>
              <w:rPr>
                <w:rFonts w:ascii="Times New Roman" w:eastAsia="宋体" w:hAnsi="Times New Roman" w:cs="Times New Roman"/>
                <w:szCs w:val="21"/>
                <w:vertAlign w:val="superscript"/>
              </w:rPr>
              <w:t>3</w:t>
            </w:r>
            <w:r>
              <w:rPr>
                <w:rFonts w:ascii="Times New Roman" w:eastAsia="宋体" w:hAnsi="Times New Roman" w:cs="Times New Roman"/>
                <w:szCs w:val="21"/>
              </w:rPr>
              <w:t>）：</w:t>
            </w:r>
            <w:r>
              <w:rPr>
                <w:rFonts w:ascii="Times New Roman" w:eastAsia="宋体" w:hAnsi="Times New Roman" w:cs="Times New Roman"/>
                <w:szCs w:val="21"/>
              </w:rPr>
              <w:t>30</w:t>
            </w:r>
            <w:r>
              <w:rPr>
                <w:rFonts w:ascii="Times New Roman" w:eastAsia="宋体" w:hAnsi="Times New Roman" w:cs="Times New Roman"/>
                <w:szCs w:val="21"/>
              </w:rPr>
              <w:t>；前苏联</w:t>
            </w:r>
            <w:r>
              <w:rPr>
                <w:rFonts w:ascii="Times New Roman" w:eastAsia="宋体" w:hAnsi="Times New Roman" w:cs="Times New Roman"/>
                <w:szCs w:val="21"/>
              </w:rPr>
              <w:t xml:space="preserve"> MAC</w:t>
            </w:r>
            <w:r>
              <w:rPr>
                <w:rFonts w:ascii="Times New Roman" w:eastAsia="宋体" w:hAnsi="Times New Roman" w:cs="Times New Roman"/>
                <w:szCs w:val="21"/>
              </w:rPr>
              <w:t>（</w:t>
            </w:r>
            <w:r>
              <w:rPr>
                <w:rFonts w:ascii="Times New Roman" w:eastAsia="宋体" w:hAnsi="Times New Roman" w:cs="Times New Roman"/>
                <w:szCs w:val="21"/>
              </w:rPr>
              <w:t>mg/m</w:t>
            </w:r>
            <w:r>
              <w:rPr>
                <w:rFonts w:ascii="Times New Roman" w:eastAsia="宋体" w:hAnsi="Times New Roman" w:cs="Times New Roman"/>
                <w:szCs w:val="21"/>
                <w:vertAlign w:val="superscript"/>
              </w:rPr>
              <w:t>3</w:t>
            </w:r>
            <w:r>
              <w:rPr>
                <w:rFonts w:ascii="Times New Roman" w:eastAsia="宋体" w:hAnsi="Times New Roman" w:cs="Times New Roman"/>
                <w:szCs w:val="21"/>
              </w:rPr>
              <w:t>）：</w:t>
            </w:r>
            <w:r>
              <w:rPr>
                <w:rFonts w:ascii="Times New Roman" w:eastAsia="宋体" w:hAnsi="Times New Roman" w:cs="Times New Roman"/>
                <w:szCs w:val="21"/>
              </w:rPr>
              <w:t>20</w:t>
            </w:r>
          </w:p>
        </w:tc>
      </w:tr>
    </w:tbl>
    <w:p w14:paraId="0B28CA68" w14:textId="77777777" w:rsidR="00D12939" w:rsidRDefault="004F47F5">
      <w:pPr>
        <w:adjustRightInd w:val="0"/>
        <w:snapToGrid w:val="0"/>
        <w:jc w:val="center"/>
        <w:rPr>
          <w:rFonts w:ascii="黑体" w:eastAsia="黑体" w:hAnsi="黑体"/>
          <w:sz w:val="24"/>
          <w:szCs w:val="21"/>
        </w:rPr>
      </w:pPr>
      <w:r>
        <w:rPr>
          <w:rFonts w:ascii="黑体" w:eastAsia="黑体" w:hAnsi="黑体"/>
          <w:sz w:val="24"/>
          <w:szCs w:val="21"/>
        </w:rPr>
        <w:t>表</w:t>
      </w:r>
      <w:r>
        <w:rPr>
          <w:rFonts w:ascii="黑体" w:eastAsia="黑体" w:hAnsi="黑体" w:hint="eastAsia"/>
          <w:sz w:val="24"/>
          <w:szCs w:val="21"/>
        </w:rPr>
        <w:t>8</w:t>
      </w:r>
      <w:r>
        <w:rPr>
          <w:rFonts w:ascii="黑体" w:eastAsia="黑体" w:hAnsi="黑体"/>
          <w:sz w:val="24"/>
          <w:szCs w:val="21"/>
        </w:rPr>
        <w:t>.4-3      硫化氢理化性质</w:t>
      </w:r>
    </w:p>
    <w:tbl>
      <w:tblPr>
        <w:tblW w:w="971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96"/>
        <w:gridCol w:w="2624"/>
        <w:gridCol w:w="2426"/>
        <w:gridCol w:w="4070"/>
      </w:tblGrid>
      <w:tr w:rsidR="00D12939" w14:paraId="7FE9B0D3" w14:textId="77777777">
        <w:trPr>
          <w:cantSplit/>
          <w:trHeight w:val="288"/>
        </w:trPr>
        <w:tc>
          <w:tcPr>
            <w:tcW w:w="596" w:type="dxa"/>
            <w:vMerge w:val="restart"/>
            <w:vAlign w:val="center"/>
          </w:tcPr>
          <w:p w14:paraId="36E9A437"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标识</w:t>
            </w:r>
          </w:p>
        </w:tc>
        <w:tc>
          <w:tcPr>
            <w:tcW w:w="5050" w:type="dxa"/>
            <w:gridSpan w:val="2"/>
            <w:vAlign w:val="center"/>
          </w:tcPr>
          <w:p w14:paraId="3C4DA0CE"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中文名：硫化氢</w:t>
            </w:r>
          </w:p>
        </w:tc>
        <w:tc>
          <w:tcPr>
            <w:tcW w:w="4070" w:type="dxa"/>
            <w:vAlign w:val="center"/>
          </w:tcPr>
          <w:p w14:paraId="091EDBF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英文名</w:t>
            </w:r>
            <w:r>
              <w:rPr>
                <w:rFonts w:ascii="Times New Roman" w:eastAsia="宋体" w:hAnsi="Times New Roman" w:cs="Times New Roman"/>
                <w:szCs w:val="21"/>
                <w:lang w:val="en-GB"/>
              </w:rPr>
              <w:t>：</w:t>
            </w:r>
            <w:r>
              <w:rPr>
                <w:rFonts w:ascii="Times New Roman" w:eastAsia="宋体" w:hAnsi="Times New Roman" w:cs="Times New Roman"/>
                <w:szCs w:val="21"/>
              </w:rPr>
              <w:t>hydrogensulfide</w:t>
            </w:r>
          </w:p>
        </w:tc>
      </w:tr>
      <w:tr w:rsidR="00D12939" w14:paraId="087982F1" w14:textId="77777777">
        <w:trPr>
          <w:cantSplit/>
          <w:trHeight w:val="321"/>
        </w:trPr>
        <w:tc>
          <w:tcPr>
            <w:tcW w:w="596" w:type="dxa"/>
            <w:vMerge/>
            <w:vAlign w:val="center"/>
          </w:tcPr>
          <w:p w14:paraId="433198E5"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60C367F9"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分子式</w:t>
            </w:r>
            <w:r>
              <w:rPr>
                <w:rFonts w:ascii="Times New Roman" w:eastAsia="宋体" w:hAnsi="Times New Roman" w:cs="Times New Roman"/>
                <w:szCs w:val="21"/>
              </w:rPr>
              <w:t>:H</w:t>
            </w:r>
            <w:r>
              <w:rPr>
                <w:rFonts w:ascii="Times New Roman" w:eastAsia="宋体" w:hAnsi="Times New Roman" w:cs="Times New Roman"/>
                <w:szCs w:val="21"/>
                <w:vertAlign w:val="subscript"/>
              </w:rPr>
              <w:t>2</w:t>
            </w:r>
            <w:r>
              <w:rPr>
                <w:rFonts w:ascii="Times New Roman" w:eastAsia="宋体" w:hAnsi="Times New Roman" w:cs="Times New Roman"/>
                <w:szCs w:val="21"/>
              </w:rPr>
              <w:t>S</w:t>
            </w:r>
          </w:p>
        </w:tc>
        <w:tc>
          <w:tcPr>
            <w:tcW w:w="4070" w:type="dxa"/>
            <w:vAlign w:val="center"/>
          </w:tcPr>
          <w:p w14:paraId="4378B30B"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分子量</w:t>
            </w:r>
            <w:r>
              <w:rPr>
                <w:rFonts w:ascii="Times New Roman" w:eastAsia="宋体" w:hAnsi="Times New Roman" w:cs="Times New Roman"/>
                <w:szCs w:val="21"/>
                <w:lang w:val="en-GB"/>
              </w:rPr>
              <w:t>：</w:t>
            </w:r>
            <w:r>
              <w:rPr>
                <w:rFonts w:ascii="Times New Roman" w:eastAsia="宋体" w:hAnsi="Times New Roman" w:cs="Times New Roman"/>
                <w:szCs w:val="21"/>
              </w:rPr>
              <w:t>34</w:t>
            </w:r>
          </w:p>
        </w:tc>
      </w:tr>
      <w:tr w:rsidR="00D12939" w14:paraId="3B915A10" w14:textId="77777777">
        <w:trPr>
          <w:cantSplit/>
          <w:trHeight w:val="304"/>
        </w:trPr>
        <w:tc>
          <w:tcPr>
            <w:tcW w:w="596" w:type="dxa"/>
            <w:vMerge/>
            <w:vAlign w:val="center"/>
          </w:tcPr>
          <w:p w14:paraId="38A11824" w14:textId="77777777" w:rsidR="00D12939" w:rsidRDefault="00D12939">
            <w:pPr>
              <w:autoSpaceDE w:val="0"/>
              <w:autoSpaceDN w:val="0"/>
              <w:textAlignment w:val="bottom"/>
              <w:rPr>
                <w:rFonts w:ascii="Times New Roman" w:eastAsia="宋体" w:hAnsi="Times New Roman" w:cs="Times New Roman"/>
                <w:szCs w:val="21"/>
              </w:rPr>
            </w:pPr>
          </w:p>
        </w:tc>
        <w:tc>
          <w:tcPr>
            <w:tcW w:w="2624" w:type="dxa"/>
            <w:vAlign w:val="center"/>
          </w:tcPr>
          <w:p w14:paraId="1727E696"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危规号</w:t>
            </w:r>
            <w:r>
              <w:rPr>
                <w:rFonts w:ascii="Times New Roman" w:eastAsia="宋体" w:hAnsi="Times New Roman" w:cs="Times New Roman"/>
                <w:szCs w:val="21"/>
              </w:rPr>
              <w:t>:21005</w:t>
            </w:r>
          </w:p>
        </w:tc>
        <w:tc>
          <w:tcPr>
            <w:tcW w:w="2426" w:type="dxa"/>
            <w:vAlign w:val="center"/>
          </w:tcPr>
          <w:p w14:paraId="70C5C33C"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UN</w:t>
            </w:r>
            <w:r>
              <w:rPr>
                <w:rFonts w:ascii="Times New Roman" w:eastAsia="宋体" w:hAnsi="Times New Roman" w:cs="Times New Roman"/>
                <w:szCs w:val="21"/>
              </w:rPr>
              <w:t>编号：</w:t>
            </w:r>
            <w:r>
              <w:rPr>
                <w:rFonts w:ascii="Times New Roman" w:eastAsia="宋体" w:hAnsi="Times New Roman" w:cs="Times New Roman"/>
                <w:szCs w:val="21"/>
              </w:rPr>
              <w:t>1016</w:t>
            </w:r>
          </w:p>
        </w:tc>
        <w:tc>
          <w:tcPr>
            <w:tcW w:w="4070" w:type="dxa"/>
            <w:vAlign w:val="center"/>
          </w:tcPr>
          <w:p w14:paraId="6DDFBE3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CAS</w:t>
            </w:r>
            <w:r>
              <w:rPr>
                <w:rFonts w:ascii="Times New Roman" w:eastAsia="宋体" w:hAnsi="Times New Roman" w:cs="Times New Roman"/>
                <w:szCs w:val="21"/>
              </w:rPr>
              <w:t>号：</w:t>
            </w:r>
            <w:r>
              <w:rPr>
                <w:rFonts w:ascii="Times New Roman" w:eastAsia="宋体" w:hAnsi="Times New Roman" w:cs="Times New Roman"/>
                <w:szCs w:val="21"/>
              </w:rPr>
              <w:t>630-08-0</w:t>
            </w:r>
          </w:p>
        </w:tc>
      </w:tr>
      <w:tr w:rsidR="00D12939" w14:paraId="4C7DDA18" w14:textId="77777777">
        <w:trPr>
          <w:cantSplit/>
          <w:trHeight w:val="304"/>
        </w:trPr>
        <w:tc>
          <w:tcPr>
            <w:tcW w:w="596" w:type="dxa"/>
            <w:vMerge w:val="restart"/>
            <w:vAlign w:val="center"/>
          </w:tcPr>
          <w:p w14:paraId="5238EB0F"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理化性质</w:t>
            </w:r>
          </w:p>
        </w:tc>
        <w:tc>
          <w:tcPr>
            <w:tcW w:w="5050" w:type="dxa"/>
            <w:gridSpan w:val="2"/>
            <w:vAlign w:val="center"/>
          </w:tcPr>
          <w:p w14:paraId="6C9E70B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外观与形状</w:t>
            </w:r>
            <w:r>
              <w:rPr>
                <w:rFonts w:ascii="Times New Roman" w:eastAsia="宋体" w:hAnsi="Times New Roman" w:cs="Times New Roman"/>
                <w:szCs w:val="21"/>
              </w:rPr>
              <w:t>:</w:t>
            </w:r>
            <w:r>
              <w:rPr>
                <w:rFonts w:ascii="Times New Roman" w:eastAsia="宋体" w:hAnsi="Times New Roman" w:cs="Times New Roman"/>
                <w:szCs w:val="21"/>
              </w:rPr>
              <w:t>无色有恶臭气体</w:t>
            </w:r>
          </w:p>
        </w:tc>
        <w:tc>
          <w:tcPr>
            <w:tcW w:w="4070" w:type="dxa"/>
            <w:vAlign w:val="center"/>
          </w:tcPr>
          <w:p w14:paraId="15572D9F"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溶解性</w:t>
            </w:r>
            <w:r>
              <w:rPr>
                <w:rFonts w:ascii="Times New Roman" w:eastAsia="宋体" w:hAnsi="Times New Roman" w:cs="Times New Roman"/>
                <w:szCs w:val="21"/>
              </w:rPr>
              <w:t>:</w:t>
            </w:r>
            <w:r>
              <w:rPr>
                <w:rFonts w:ascii="Times New Roman" w:eastAsia="宋体" w:hAnsi="Times New Roman" w:cs="Times New Roman"/>
                <w:szCs w:val="21"/>
              </w:rPr>
              <w:t>溶于水、乙醇。</w:t>
            </w:r>
          </w:p>
        </w:tc>
      </w:tr>
      <w:tr w:rsidR="00D12939" w14:paraId="76EBEF63" w14:textId="77777777">
        <w:trPr>
          <w:cantSplit/>
          <w:trHeight w:val="321"/>
        </w:trPr>
        <w:tc>
          <w:tcPr>
            <w:tcW w:w="596" w:type="dxa"/>
            <w:vMerge/>
            <w:vAlign w:val="center"/>
          </w:tcPr>
          <w:p w14:paraId="1324A071"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7F2BBABB"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熔点</w:t>
            </w:r>
            <w:r>
              <w:rPr>
                <w:rFonts w:ascii="Times New Roman" w:eastAsia="宋体" w:hAnsi="Times New Roman" w:cs="Times New Roman"/>
                <w:szCs w:val="21"/>
              </w:rPr>
              <w:t>(℃):-84.5</w:t>
            </w:r>
          </w:p>
        </w:tc>
        <w:tc>
          <w:tcPr>
            <w:tcW w:w="4070" w:type="dxa"/>
            <w:vAlign w:val="center"/>
          </w:tcPr>
          <w:p w14:paraId="4BA7942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沸点</w:t>
            </w:r>
            <w:r>
              <w:rPr>
                <w:rFonts w:ascii="Times New Roman" w:eastAsia="宋体" w:hAnsi="Times New Roman" w:cs="Times New Roman"/>
                <w:szCs w:val="21"/>
              </w:rPr>
              <w:t>(℃):-60.4</w:t>
            </w:r>
          </w:p>
        </w:tc>
      </w:tr>
      <w:tr w:rsidR="00D12939" w14:paraId="32AA2A09" w14:textId="77777777">
        <w:trPr>
          <w:cantSplit/>
          <w:trHeight w:val="304"/>
        </w:trPr>
        <w:tc>
          <w:tcPr>
            <w:tcW w:w="596" w:type="dxa"/>
            <w:vMerge/>
            <w:vAlign w:val="center"/>
          </w:tcPr>
          <w:p w14:paraId="544BAAE4"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75E7C577"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相对密度</w:t>
            </w:r>
            <w:r>
              <w:rPr>
                <w:rFonts w:ascii="Times New Roman" w:eastAsia="宋体" w:hAnsi="Times New Roman" w:cs="Times New Roman"/>
                <w:szCs w:val="21"/>
              </w:rPr>
              <w:t>:(</w:t>
            </w:r>
            <w:r>
              <w:rPr>
                <w:rFonts w:ascii="Times New Roman" w:eastAsia="宋体" w:hAnsi="Times New Roman" w:cs="Times New Roman"/>
                <w:szCs w:val="21"/>
              </w:rPr>
              <w:t>水</w:t>
            </w:r>
            <w:r>
              <w:rPr>
                <w:rFonts w:ascii="Times New Roman" w:eastAsia="宋体" w:hAnsi="Times New Roman" w:cs="Times New Roman"/>
                <w:szCs w:val="21"/>
              </w:rPr>
              <w:t>=1)</w:t>
            </w:r>
          </w:p>
        </w:tc>
        <w:tc>
          <w:tcPr>
            <w:tcW w:w="4070" w:type="dxa"/>
            <w:vAlign w:val="center"/>
          </w:tcPr>
          <w:p w14:paraId="578F61DC"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相对密度</w:t>
            </w:r>
            <w:r>
              <w:rPr>
                <w:rFonts w:ascii="Times New Roman" w:eastAsia="宋体" w:hAnsi="Times New Roman" w:cs="Times New Roman"/>
                <w:szCs w:val="21"/>
              </w:rPr>
              <w:t>:(</w:t>
            </w:r>
            <w:r>
              <w:rPr>
                <w:rFonts w:ascii="Times New Roman" w:eastAsia="宋体" w:hAnsi="Times New Roman" w:cs="Times New Roman"/>
                <w:szCs w:val="21"/>
              </w:rPr>
              <w:t>空气</w:t>
            </w:r>
            <w:r>
              <w:rPr>
                <w:rFonts w:ascii="Times New Roman" w:eastAsia="宋体" w:hAnsi="Times New Roman" w:cs="Times New Roman"/>
                <w:szCs w:val="21"/>
              </w:rPr>
              <w:t xml:space="preserve">=1) 1.19 </w:t>
            </w:r>
          </w:p>
        </w:tc>
      </w:tr>
      <w:tr w:rsidR="00D12939" w14:paraId="57AD0B36" w14:textId="77777777">
        <w:trPr>
          <w:cantSplit/>
          <w:trHeight w:val="321"/>
        </w:trPr>
        <w:tc>
          <w:tcPr>
            <w:tcW w:w="596" w:type="dxa"/>
            <w:vMerge/>
            <w:vAlign w:val="center"/>
          </w:tcPr>
          <w:p w14:paraId="451B7170"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48DBAB2E"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饱和蒸汽压</w:t>
            </w:r>
            <w:r>
              <w:rPr>
                <w:rFonts w:ascii="Times New Roman" w:eastAsia="宋体" w:hAnsi="Times New Roman" w:cs="Times New Roman"/>
                <w:szCs w:val="21"/>
              </w:rPr>
              <w:t>(kPa)2026.5(-24.5℃)</w:t>
            </w:r>
          </w:p>
        </w:tc>
        <w:tc>
          <w:tcPr>
            <w:tcW w:w="4070" w:type="dxa"/>
            <w:vAlign w:val="center"/>
          </w:tcPr>
          <w:p w14:paraId="2E42E73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禁忌物</w:t>
            </w:r>
            <w:r>
              <w:rPr>
                <w:rFonts w:ascii="Times New Roman" w:eastAsia="宋体" w:hAnsi="Times New Roman" w:cs="Times New Roman"/>
                <w:szCs w:val="21"/>
              </w:rPr>
              <w:t>:</w:t>
            </w:r>
            <w:r>
              <w:rPr>
                <w:rFonts w:ascii="Times New Roman" w:eastAsia="宋体" w:hAnsi="Times New Roman" w:cs="Times New Roman"/>
                <w:szCs w:val="21"/>
              </w:rPr>
              <w:t>强氧化剂、碱类</w:t>
            </w:r>
          </w:p>
        </w:tc>
      </w:tr>
      <w:tr w:rsidR="00D12939" w14:paraId="2A545379" w14:textId="77777777">
        <w:trPr>
          <w:cantSplit/>
          <w:trHeight w:val="304"/>
        </w:trPr>
        <w:tc>
          <w:tcPr>
            <w:tcW w:w="596" w:type="dxa"/>
            <w:vMerge/>
            <w:vAlign w:val="center"/>
          </w:tcPr>
          <w:p w14:paraId="2493F57A"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5B3D2182"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临界压力</w:t>
            </w:r>
            <w:r>
              <w:rPr>
                <w:rFonts w:ascii="Times New Roman" w:eastAsia="宋体" w:hAnsi="Times New Roman" w:cs="Times New Roman"/>
                <w:szCs w:val="21"/>
              </w:rPr>
              <w:t>(Mpa)</w:t>
            </w:r>
            <w:r>
              <w:rPr>
                <w:rFonts w:ascii="Times New Roman" w:eastAsia="宋体" w:hAnsi="Times New Roman" w:cs="Times New Roman"/>
                <w:szCs w:val="21"/>
              </w:rPr>
              <w:t>：</w:t>
            </w:r>
            <w:r>
              <w:rPr>
                <w:rFonts w:ascii="Times New Roman" w:eastAsia="宋体" w:hAnsi="Times New Roman" w:cs="Times New Roman"/>
                <w:szCs w:val="21"/>
              </w:rPr>
              <w:t>9.01</w:t>
            </w:r>
          </w:p>
        </w:tc>
        <w:tc>
          <w:tcPr>
            <w:tcW w:w="4070" w:type="dxa"/>
            <w:vAlign w:val="center"/>
          </w:tcPr>
          <w:p w14:paraId="533B7069"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临界温度</w:t>
            </w:r>
            <w:r>
              <w:rPr>
                <w:rFonts w:ascii="Times New Roman" w:eastAsia="宋体" w:hAnsi="Times New Roman" w:cs="Times New Roman"/>
                <w:szCs w:val="21"/>
              </w:rPr>
              <w:t>(℃):100.4</w:t>
            </w:r>
          </w:p>
        </w:tc>
      </w:tr>
      <w:tr w:rsidR="00D12939" w14:paraId="1DE151A4" w14:textId="77777777">
        <w:trPr>
          <w:cantSplit/>
          <w:trHeight w:val="321"/>
        </w:trPr>
        <w:tc>
          <w:tcPr>
            <w:tcW w:w="596" w:type="dxa"/>
            <w:vMerge/>
            <w:vAlign w:val="center"/>
          </w:tcPr>
          <w:p w14:paraId="00130EF2"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7631000D"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稳定性</w:t>
            </w:r>
            <w:r>
              <w:rPr>
                <w:rFonts w:ascii="Times New Roman" w:eastAsia="宋体" w:hAnsi="Times New Roman" w:cs="Times New Roman"/>
                <w:szCs w:val="21"/>
              </w:rPr>
              <w:t>:</w:t>
            </w:r>
            <w:r>
              <w:rPr>
                <w:rFonts w:ascii="Times New Roman" w:eastAsia="宋体" w:hAnsi="Times New Roman" w:cs="Times New Roman"/>
                <w:szCs w:val="21"/>
              </w:rPr>
              <w:t>稳定</w:t>
            </w:r>
          </w:p>
        </w:tc>
        <w:tc>
          <w:tcPr>
            <w:tcW w:w="4070" w:type="dxa"/>
            <w:vAlign w:val="center"/>
          </w:tcPr>
          <w:p w14:paraId="50DBDE05"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聚合危害</w:t>
            </w:r>
            <w:r>
              <w:rPr>
                <w:rFonts w:ascii="Times New Roman" w:eastAsia="宋体" w:hAnsi="Times New Roman" w:cs="Times New Roman"/>
                <w:szCs w:val="21"/>
              </w:rPr>
              <w:t>:</w:t>
            </w:r>
            <w:r>
              <w:rPr>
                <w:rFonts w:ascii="Times New Roman" w:eastAsia="宋体" w:hAnsi="Times New Roman" w:cs="Times New Roman"/>
                <w:szCs w:val="21"/>
              </w:rPr>
              <w:t>不聚合</w:t>
            </w:r>
          </w:p>
        </w:tc>
      </w:tr>
      <w:tr w:rsidR="00D12939" w14:paraId="659FC769" w14:textId="77777777">
        <w:trPr>
          <w:cantSplit/>
          <w:trHeight w:val="288"/>
        </w:trPr>
        <w:tc>
          <w:tcPr>
            <w:tcW w:w="596" w:type="dxa"/>
            <w:vMerge w:val="restart"/>
            <w:vAlign w:val="center"/>
          </w:tcPr>
          <w:p w14:paraId="6805C2A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危险特性</w:t>
            </w:r>
          </w:p>
        </w:tc>
        <w:tc>
          <w:tcPr>
            <w:tcW w:w="5050" w:type="dxa"/>
            <w:gridSpan w:val="2"/>
            <w:vAlign w:val="center"/>
          </w:tcPr>
          <w:p w14:paraId="4009D58A"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危险性类别</w:t>
            </w:r>
            <w:r>
              <w:rPr>
                <w:rFonts w:ascii="Times New Roman" w:eastAsia="宋体" w:hAnsi="Times New Roman" w:cs="Times New Roman"/>
                <w:szCs w:val="21"/>
              </w:rPr>
              <w:t>:</w:t>
            </w:r>
            <w:r>
              <w:rPr>
                <w:rFonts w:ascii="Times New Roman" w:eastAsia="宋体" w:hAnsi="Times New Roman" w:cs="Times New Roman"/>
                <w:szCs w:val="21"/>
              </w:rPr>
              <w:t>第</w:t>
            </w:r>
            <w:r>
              <w:rPr>
                <w:rFonts w:ascii="Times New Roman" w:eastAsia="宋体" w:hAnsi="Times New Roman" w:cs="Times New Roman"/>
                <w:szCs w:val="21"/>
              </w:rPr>
              <w:t>2.1</w:t>
            </w:r>
            <w:r>
              <w:rPr>
                <w:rFonts w:ascii="Times New Roman" w:eastAsia="宋体" w:hAnsi="Times New Roman" w:cs="Times New Roman"/>
                <w:szCs w:val="21"/>
              </w:rPr>
              <w:t>类易燃气体</w:t>
            </w:r>
          </w:p>
        </w:tc>
        <w:tc>
          <w:tcPr>
            <w:tcW w:w="4070" w:type="dxa"/>
            <w:vAlign w:val="center"/>
          </w:tcPr>
          <w:p w14:paraId="5451EA8B"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燃烧性</w:t>
            </w:r>
            <w:r>
              <w:rPr>
                <w:rFonts w:ascii="Times New Roman" w:eastAsia="宋体" w:hAnsi="Times New Roman" w:cs="Times New Roman"/>
                <w:szCs w:val="21"/>
              </w:rPr>
              <w:t>:</w:t>
            </w:r>
            <w:r>
              <w:rPr>
                <w:rFonts w:ascii="Times New Roman" w:eastAsia="宋体" w:hAnsi="Times New Roman" w:cs="Times New Roman"/>
                <w:szCs w:val="21"/>
              </w:rPr>
              <w:t>易燃</w:t>
            </w:r>
          </w:p>
        </w:tc>
      </w:tr>
      <w:tr w:rsidR="00D12939" w14:paraId="16E8FC90" w14:textId="77777777">
        <w:trPr>
          <w:cantSplit/>
          <w:trHeight w:val="321"/>
        </w:trPr>
        <w:tc>
          <w:tcPr>
            <w:tcW w:w="596" w:type="dxa"/>
            <w:vMerge/>
            <w:vAlign w:val="center"/>
          </w:tcPr>
          <w:p w14:paraId="3DB1FD15"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7046E4B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引燃温度</w:t>
            </w:r>
            <w:r>
              <w:rPr>
                <w:rFonts w:ascii="Times New Roman" w:eastAsia="宋体" w:hAnsi="Times New Roman" w:cs="Times New Roman"/>
                <w:szCs w:val="21"/>
              </w:rPr>
              <w:t>(℃):260</w:t>
            </w:r>
          </w:p>
        </w:tc>
        <w:tc>
          <w:tcPr>
            <w:tcW w:w="4070" w:type="dxa"/>
            <w:vAlign w:val="center"/>
          </w:tcPr>
          <w:p w14:paraId="6AC15BBB"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闪点</w:t>
            </w:r>
            <w:r>
              <w:rPr>
                <w:rFonts w:ascii="Times New Roman" w:eastAsia="宋体" w:hAnsi="Times New Roman" w:cs="Times New Roman"/>
                <w:szCs w:val="21"/>
              </w:rPr>
              <w:t>(℃):</w:t>
            </w:r>
            <w:r>
              <w:rPr>
                <w:rFonts w:ascii="Times New Roman" w:eastAsia="宋体" w:hAnsi="Times New Roman" w:cs="Times New Roman"/>
                <w:szCs w:val="21"/>
              </w:rPr>
              <w:t>无意义</w:t>
            </w:r>
          </w:p>
        </w:tc>
      </w:tr>
      <w:tr w:rsidR="00D12939" w14:paraId="1BEBCB3F" w14:textId="77777777">
        <w:trPr>
          <w:cantSplit/>
          <w:trHeight w:val="304"/>
        </w:trPr>
        <w:tc>
          <w:tcPr>
            <w:tcW w:w="596" w:type="dxa"/>
            <w:vMerge/>
            <w:vAlign w:val="center"/>
          </w:tcPr>
          <w:p w14:paraId="032DDBCF"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1156503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爆炸下限</w:t>
            </w:r>
            <w:r>
              <w:rPr>
                <w:rFonts w:ascii="Times New Roman" w:eastAsia="宋体" w:hAnsi="Times New Roman" w:cs="Times New Roman"/>
                <w:szCs w:val="21"/>
              </w:rPr>
              <w:t>(%):4.0</w:t>
            </w:r>
          </w:p>
        </w:tc>
        <w:tc>
          <w:tcPr>
            <w:tcW w:w="4070" w:type="dxa"/>
            <w:vAlign w:val="center"/>
          </w:tcPr>
          <w:p w14:paraId="37503AC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爆炸上限</w:t>
            </w:r>
            <w:r>
              <w:rPr>
                <w:rFonts w:ascii="Times New Roman" w:eastAsia="宋体" w:hAnsi="Times New Roman" w:cs="Times New Roman"/>
                <w:szCs w:val="21"/>
              </w:rPr>
              <w:t>(%):46.0</w:t>
            </w:r>
          </w:p>
        </w:tc>
      </w:tr>
      <w:tr w:rsidR="00D12939" w14:paraId="527D7007" w14:textId="77777777">
        <w:trPr>
          <w:cantSplit/>
          <w:trHeight w:val="321"/>
        </w:trPr>
        <w:tc>
          <w:tcPr>
            <w:tcW w:w="596" w:type="dxa"/>
            <w:vMerge/>
            <w:vAlign w:val="center"/>
          </w:tcPr>
          <w:p w14:paraId="3FE0F964"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34CC5270"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最小点火能</w:t>
            </w:r>
            <w:r>
              <w:rPr>
                <w:rFonts w:ascii="Times New Roman" w:eastAsia="宋体" w:hAnsi="Times New Roman" w:cs="Times New Roman"/>
                <w:szCs w:val="21"/>
              </w:rPr>
              <w:t>(MJ):0.077</w:t>
            </w:r>
          </w:p>
        </w:tc>
        <w:tc>
          <w:tcPr>
            <w:tcW w:w="4070" w:type="dxa"/>
            <w:vAlign w:val="center"/>
          </w:tcPr>
          <w:p w14:paraId="1D8355C0"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最大爆炸压力</w:t>
            </w:r>
            <w:r>
              <w:rPr>
                <w:rFonts w:ascii="Times New Roman" w:eastAsia="宋体" w:hAnsi="Times New Roman" w:cs="Times New Roman"/>
                <w:szCs w:val="21"/>
              </w:rPr>
              <w:t>(MPa):0.490</w:t>
            </w:r>
          </w:p>
        </w:tc>
      </w:tr>
      <w:tr w:rsidR="00D12939" w14:paraId="450D1E81" w14:textId="77777777">
        <w:trPr>
          <w:cantSplit/>
          <w:trHeight w:val="304"/>
        </w:trPr>
        <w:tc>
          <w:tcPr>
            <w:tcW w:w="596" w:type="dxa"/>
            <w:vMerge/>
            <w:vAlign w:val="center"/>
          </w:tcPr>
          <w:p w14:paraId="313FAF1C" w14:textId="77777777" w:rsidR="00D12939" w:rsidRDefault="00D12939">
            <w:pPr>
              <w:autoSpaceDE w:val="0"/>
              <w:autoSpaceDN w:val="0"/>
              <w:textAlignment w:val="bottom"/>
              <w:rPr>
                <w:rFonts w:ascii="Times New Roman" w:eastAsia="宋体" w:hAnsi="Times New Roman" w:cs="Times New Roman"/>
                <w:szCs w:val="21"/>
              </w:rPr>
            </w:pPr>
          </w:p>
        </w:tc>
        <w:tc>
          <w:tcPr>
            <w:tcW w:w="5050" w:type="dxa"/>
            <w:gridSpan w:val="2"/>
            <w:vAlign w:val="center"/>
          </w:tcPr>
          <w:p w14:paraId="732D949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燃烧热</w:t>
            </w:r>
            <w:r>
              <w:rPr>
                <w:rFonts w:ascii="Times New Roman" w:eastAsia="宋体" w:hAnsi="Times New Roman" w:cs="Times New Roman"/>
                <w:szCs w:val="21"/>
              </w:rPr>
              <w:t>:3524 kcal/kg</w:t>
            </w:r>
          </w:p>
        </w:tc>
        <w:tc>
          <w:tcPr>
            <w:tcW w:w="4070" w:type="dxa"/>
            <w:vAlign w:val="center"/>
          </w:tcPr>
          <w:p w14:paraId="36AA79BD"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燃烧</w:t>
            </w:r>
            <w:r>
              <w:rPr>
                <w:rFonts w:ascii="Times New Roman" w:eastAsia="宋体" w:hAnsi="Times New Roman" w:cs="Times New Roman"/>
                <w:szCs w:val="21"/>
              </w:rPr>
              <w:t>(</w:t>
            </w:r>
            <w:r>
              <w:rPr>
                <w:rFonts w:ascii="Times New Roman" w:eastAsia="宋体" w:hAnsi="Times New Roman" w:cs="Times New Roman"/>
                <w:szCs w:val="21"/>
              </w:rPr>
              <w:t>分解</w:t>
            </w:r>
            <w:r>
              <w:rPr>
                <w:rFonts w:ascii="Times New Roman" w:eastAsia="宋体" w:hAnsi="Times New Roman" w:cs="Times New Roman"/>
                <w:szCs w:val="21"/>
              </w:rPr>
              <w:t>)</w:t>
            </w:r>
            <w:r>
              <w:rPr>
                <w:rFonts w:ascii="Times New Roman" w:eastAsia="宋体" w:hAnsi="Times New Roman" w:cs="Times New Roman"/>
                <w:szCs w:val="21"/>
              </w:rPr>
              <w:t>产物</w:t>
            </w:r>
            <w:r>
              <w:rPr>
                <w:rFonts w:ascii="Times New Roman" w:eastAsia="宋体" w:hAnsi="Times New Roman" w:cs="Times New Roman"/>
                <w:szCs w:val="21"/>
              </w:rPr>
              <w:t>:</w:t>
            </w:r>
            <w:r>
              <w:rPr>
                <w:rFonts w:ascii="Times New Roman" w:eastAsia="宋体" w:hAnsi="Times New Roman" w:cs="Times New Roman"/>
                <w:szCs w:val="21"/>
              </w:rPr>
              <w:t>硫氧化物</w:t>
            </w:r>
          </w:p>
        </w:tc>
      </w:tr>
      <w:tr w:rsidR="00D12939" w14:paraId="0A2E5AFE" w14:textId="77777777">
        <w:trPr>
          <w:cantSplit/>
          <w:trHeight w:val="914"/>
        </w:trPr>
        <w:tc>
          <w:tcPr>
            <w:tcW w:w="596" w:type="dxa"/>
            <w:vMerge/>
            <w:vAlign w:val="center"/>
          </w:tcPr>
          <w:p w14:paraId="23580259" w14:textId="77777777" w:rsidR="00D12939" w:rsidRDefault="00D12939">
            <w:pPr>
              <w:autoSpaceDE w:val="0"/>
              <w:autoSpaceDN w:val="0"/>
              <w:textAlignment w:val="bottom"/>
              <w:rPr>
                <w:rFonts w:ascii="Times New Roman" w:eastAsia="宋体" w:hAnsi="Times New Roman" w:cs="Times New Roman"/>
                <w:szCs w:val="21"/>
              </w:rPr>
            </w:pPr>
          </w:p>
        </w:tc>
        <w:tc>
          <w:tcPr>
            <w:tcW w:w="9120" w:type="dxa"/>
            <w:gridSpan w:val="3"/>
            <w:vAlign w:val="center"/>
          </w:tcPr>
          <w:p w14:paraId="025ECEC0"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危险特性：与空气混合能形成爆炸性混合物，遇明火、高热能引起燃烧爆炸。与浓硝酸、发烟硝酸或其它强氧化剂剧烈反应，发生爆炸。气体比空气重，能在较低处扩散到相当远的地方，遇明火会引着回燃。</w:t>
            </w:r>
          </w:p>
        </w:tc>
      </w:tr>
      <w:tr w:rsidR="00D12939" w14:paraId="450763E4" w14:textId="77777777">
        <w:trPr>
          <w:cantSplit/>
          <w:trHeight w:val="609"/>
        </w:trPr>
        <w:tc>
          <w:tcPr>
            <w:tcW w:w="596" w:type="dxa"/>
            <w:vMerge/>
            <w:vAlign w:val="center"/>
          </w:tcPr>
          <w:p w14:paraId="2F658171" w14:textId="77777777" w:rsidR="00D12939" w:rsidRDefault="00D12939">
            <w:pPr>
              <w:autoSpaceDE w:val="0"/>
              <w:autoSpaceDN w:val="0"/>
              <w:textAlignment w:val="bottom"/>
              <w:rPr>
                <w:rFonts w:ascii="Times New Roman" w:eastAsia="宋体" w:hAnsi="Times New Roman" w:cs="Times New Roman"/>
                <w:szCs w:val="21"/>
              </w:rPr>
            </w:pPr>
          </w:p>
        </w:tc>
        <w:tc>
          <w:tcPr>
            <w:tcW w:w="9120" w:type="dxa"/>
            <w:gridSpan w:val="3"/>
            <w:vAlign w:val="center"/>
          </w:tcPr>
          <w:p w14:paraId="64239B3D"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灭火方法</w:t>
            </w:r>
            <w:r>
              <w:rPr>
                <w:rFonts w:ascii="Times New Roman" w:eastAsia="宋体" w:hAnsi="Times New Roman" w:cs="Times New Roman"/>
                <w:szCs w:val="21"/>
              </w:rPr>
              <w:t>:</w:t>
            </w:r>
            <w:r>
              <w:rPr>
                <w:rFonts w:ascii="Times New Roman" w:eastAsia="宋体" w:hAnsi="Times New Roman" w:cs="Times New Roman"/>
                <w:szCs w:val="21"/>
              </w:rPr>
              <w:t>消防人员必须穿戴全身防火防毒服。切断气源。若不能切断气源，则不允许熄灭正在燃烧的气体，喷水冷却容器，可能的话将容器从火场移至空旷处。</w:t>
            </w:r>
          </w:p>
        </w:tc>
      </w:tr>
      <w:tr w:rsidR="00D12939" w14:paraId="412EA77E" w14:textId="77777777">
        <w:trPr>
          <w:cantSplit/>
          <w:trHeight w:val="321"/>
        </w:trPr>
        <w:tc>
          <w:tcPr>
            <w:tcW w:w="596" w:type="dxa"/>
            <w:vMerge/>
            <w:vAlign w:val="center"/>
          </w:tcPr>
          <w:p w14:paraId="478FF333" w14:textId="77777777" w:rsidR="00D12939" w:rsidRDefault="00D12939">
            <w:pPr>
              <w:autoSpaceDE w:val="0"/>
              <w:autoSpaceDN w:val="0"/>
              <w:textAlignment w:val="bottom"/>
              <w:rPr>
                <w:rFonts w:ascii="Times New Roman" w:eastAsia="宋体" w:hAnsi="Times New Roman" w:cs="Times New Roman"/>
                <w:szCs w:val="21"/>
              </w:rPr>
            </w:pPr>
          </w:p>
        </w:tc>
        <w:tc>
          <w:tcPr>
            <w:tcW w:w="9120" w:type="dxa"/>
            <w:gridSpan w:val="3"/>
            <w:vAlign w:val="center"/>
          </w:tcPr>
          <w:p w14:paraId="7871CF67"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灭火剂</w:t>
            </w:r>
            <w:r>
              <w:rPr>
                <w:rFonts w:ascii="Times New Roman" w:eastAsia="宋体" w:hAnsi="Times New Roman" w:cs="Times New Roman"/>
                <w:szCs w:val="21"/>
              </w:rPr>
              <w:t>:</w:t>
            </w:r>
            <w:r>
              <w:rPr>
                <w:rFonts w:ascii="Times New Roman" w:eastAsia="宋体" w:hAnsi="Times New Roman" w:cs="Times New Roman"/>
                <w:szCs w:val="21"/>
              </w:rPr>
              <w:t>雾状水、抗溶性泡沫、干粉。</w:t>
            </w:r>
          </w:p>
        </w:tc>
      </w:tr>
      <w:tr w:rsidR="00D12939" w14:paraId="5E8FFDE2" w14:textId="77777777">
        <w:trPr>
          <w:cantSplit/>
          <w:trHeight w:val="288"/>
        </w:trPr>
        <w:tc>
          <w:tcPr>
            <w:tcW w:w="596" w:type="dxa"/>
            <w:vMerge w:val="restart"/>
            <w:vAlign w:val="center"/>
          </w:tcPr>
          <w:p w14:paraId="35DC5707"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健康危害</w:t>
            </w:r>
          </w:p>
        </w:tc>
        <w:tc>
          <w:tcPr>
            <w:tcW w:w="9120" w:type="dxa"/>
            <w:gridSpan w:val="3"/>
            <w:vAlign w:val="center"/>
          </w:tcPr>
          <w:p w14:paraId="6103819B"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侵入途径</w:t>
            </w:r>
            <w:r>
              <w:rPr>
                <w:rFonts w:ascii="Times New Roman" w:eastAsia="宋体" w:hAnsi="Times New Roman" w:cs="Times New Roman"/>
                <w:szCs w:val="21"/>
              </w:rPr>
              <w:t>:</w:t>
            </w:r>
            <w:r>
              <w:rPr>
                <w:rFonts w:ascii="Times New Roman" w:eastAsia="宋体" w:hAnsi="Times New Roman" w:cs="Times New Roman"/>
                <w:szCs w:val="21"/>
              </w:rPr>
              <w:t>吸入</w:t>
            </w:r>
          </w:p>
        </w:tc>
      </w:tr>
      <w:tr w:rsidR="00D12939" w14:paraId="5E61E3D0" w14:textId="77777777">
        <w:trPr>
          <w:cantSplit/>
          <w:trHeight w:val="258"/>
        </w:trPr>
        <w:tc>
          <w:tcPr>
            <w:tcW w:w="596" w:type="dxa"/>
            <w:vMerge/>
            <w:vAlign w:val="center"/>
          </w:tcPr>
          <w:p w14:paraId="550BBA7D" w14:textId="77777777" w:rsidR="00D12939" w:rsidRDefault="00D12939">
            <w:pPr>
              <w:autoSpaceDE w:val="0"/>
              <w:autoSpaceDN w:val="0"/>
              <w:textAlignment w:val="bottom"/>
              <w:rPr>
                <w:rFonts w:ascii="Times New Roman" w:eastAsia="宋体" w:hAnsi="Times New Roman" w:cs="Times New Roman"/>
                <w:szCs w:val="21"/>
              </w:rPr>
            </w:pPr>
          </w:p>
        </w:tc>
        <w:tc>
          <w:tcPr>
            <w:tcW w:w="9120" w:type="dxa"/>
            <w:gridSpan w:val="3"/>
            <w:vAlign w:val="center"/>
          </w:tcPr>
          <w:p w14:paraId="3DFE431F"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健康危害</w:t>
            </w:r>
            <w:r>
              <w:rPr>
                <w:rFonts w:ascii="Times New Roman" w:eastAsia="宋体" w:hAnsi="Times New Roman" w:cs="Times New Roman"/>
                <w:szCs w:val="21"/>
              </w:rPr>
              <w:t>:</w:t>
            </w:r>
            <w:r>
              <w:rPr>
                <w:rFonts w:ascii="Times New Roman" w:eastAsia="宋体" w:hAnsi="Times New Roman" w:cs="Times New Roman"/>
                <w:szCs w:val="21"/>
              </w:rPr>
              <w:t>本品是强烈的神经毒物，对粘膜有强烈刺激作用。</w:t>
            </w:r>
          </w:p>
        </w:tc>
      </w:tr>
      <w:tr w:rsidR="00D12939" w14:paraId="28560F37" w14:textId="77777777">
        <w:trPr>
          <w:cantSplit/>
          <w:trHeight w:val="1132"/>
        </w:trPr>
        <w:tc>
          <w:tcPr>
            <w:tcW w:w="596" w:type="dxa"/>
            <w:vMerge/>
            <w:vAlign w:val="center"/>
          </w:tcPr>
          <w:p w14:paraId="6C6D7D73" w14:textId="77777777" w:rsidR="00D12939" w:rsidRDefault="00D12939">
            <w:pPr>
              <w:autoSpaceDE w:val="0"/>
              <w:autoSpaceDN w:val="0"/>
              <w:textAlignment w:val="bottom"/>
              <w:rPr>
                <w:rFonts w:ascii="Times New Roman" w:eastAsia="宋体" w:hAnsi="Times New Roman" w:cs="Times New Roman"/>
                <w:szCs w:val="21"/>
              </w:rPr>
            </w:pPr>
          </w:p>
        </w:tc>
        <w:tc>
          <w:tcPr>
            <w:tcW w:w="9120" w:type="dxa"/>
            <w:gridSpan w:val="3"/>
            <w:vAlign w:val="center"/>
          </w:tcPr>
          <w:p w14:paraId="3F728B48"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急性中毒：短期内吸入高浓度硫化氢后出现流泪、眼痛、眼内异物感、畏光、视物模糊、流涕、咽喉部灼热感、咳嗽、胸闷、头痛、乏力、意识模糊等。部分患者可有心肌损害。重者可出现脑水肿、肺水肿。极高浓度</w:t>
            </w:r>
            <w:r>
              <w:rPr>
                <w:rFonts w:ascii="Times New Roman" w:eastAsia="宋体" w:hAnsi="Times New Roman" w:cs="Times New Roman"/>
                <w:szCs w:val="21"/>
              </w:rPr>
              <w:t>(1000mg/m</w:t>
            </w:r>
            <w:r>
              <w:rPr>
                <w:rFonts w:ascii="Times New Roman" w:eastAsia="宋体" w:hAnsi="Times New Roman" w:cs="Times New Roman"/>
                <w:szCs w:val="21"/>
                <w:vertAlign w:val="superscript"/>
              </w:rPr>
              <w:t>3</w:t>
            </w:r>
            <w:r>
              <w:rPr>
                <w:rFonts w:ascii="Times New Roman" w:eastAsia="宋体" w:hAnsi="Times New Roman" w:cs="Times New Roman"/>
                <w:szCs w:val="21"/>
              </w:rPr>
              <w:t>以上</w:t>
            </w:r>
            <w:r>
              <w:rPr>
                <w:rFonts w:ascii="Times New Roman" w:eastAsia="宋体" w:hAnsi="Times New Roman" w:cs="Times New Roman"/>
                <w:szCs w:val="21"/>
              </w:rPr>
              <w:t>)</w:t>
            </w:r>
            <w:r>
              <w:rPr>
                <w:rFonts w:ascii="Times New Roman" w:eastAsia="宋体" w:hAnsi="Times New Roman" w:cs="Times New Roman"/>
                <w:szCs w:val="21"/>
              </w:rPr>
              <w:t>然时可在数种内突然昏迷，呼吸和心跳骤停，发生闪电型死亡。高浓度接触眼结膜发生水肿和角膜溃殇。</w:t>
            </w:r>
          </w:p>
        </w:tc>
      </w:tr>
      <w:tr w:rsidR="00D12939" w14:paraId="50AD6D0D" w14:textId="77777777">
        <w:trPr>
          <w:cantSplit/>
          <w:trHeight w:val="304"/>
        </w:trPr>
        <w:tc>
          <w:tcPr>
            <w:tcW w:w="596" w:type="dxa"/>
            <w:vMerge/>
            <w:vAlign w:val="center"/>
          </w:tcPr>
          <w:p w14:paraId="08928474" w14:textId="77777777" w:rsidR="00D12939" w:rsidRDefault="00D12939">
            <w:pPr>
              <w:autoSpaceDE w:val="0"/>
              <w:autoSpaceDN w:val="0"/>
              <w:textAlignment w:val="bottom"/>
              <w:rPr>
                <w:rFonts w:ascii="Times New Roman" w:eastAsia="宋体" w:hAnsi="Times New Roman" w:cs="Times New Roman"/>
                <w:szCs w:val="21"/>
              </w:rPr>
            </w:pPr>
          </w:p>
        </w:tc>
        <w:tc>
          <w:tcPr>
            <w:tcW w:w="9120" w:type="dxa"/>
            <w:gridSpan w:val="3"/>
            <w:vAlign w:val="center"/>
          </w:tcPr>
          <w:p w14:paraId="77F016F3"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长期低浓度接触，引起神经衰弱综合症和植物神经功能紊乱。</w:t>
            </w:r>
          </w:p>
        </w:tc>
      </w:tr>
      <w:tr w:rsidR="00D12939" w14:paraId="0DC07A60" w14:textId="77777777">
        <w:trPr>
          <w:cantSplit/>
          <w:trHeight w:val="321"/>
        </w:trPr>
        <w:tc>
          <w:tcPr>
            <w:tcW w:w="596" w:type="dxa"/>
            <w:vMerge/>
            <w:vAlign w:val="center"/>
          </w:tcPr>
          <w:p w14:paraId="283D6078" w14:textId="77777777" w:rsidR="00D12939" w:rsidRDefault="00D12939">
            <w:pPr>
              <w:autoSpaceDE w:val="0"/>
              <w:autoSpaceDN w:val="0"/>
              <w:textAlignment w:val="bottom"/>
              <w:rPr>
                <w:rFonts w:ascii="Times New Roman" w:eastAsia="宋体" w:hAnsi="Times New Roman" w:cs="Times New Roman"/>
                <w:szCs w:val="21"/>
              </w:rPr>
            </w:pPr>
          </w:p>
        </w:tc>
        <w:tc>
          <w:tcPr>
            <w:tcW w:w="9120" w:type="dxa"/>
            <w:gridSpan w:val="3"/>
            <w:vAlign w:val="center"/>
          </w:tcPr>
          <w:p w14:paraId="55AA9FC7" w14:textId="77777777" w:rsidR="00D12939" w:rsidRDefault="004F47F5">
            <w:pPr>
              <w:autoSpaceDE w:val="0"/>
              <w:autoSpaceDN w:val="0"/>
              <w:textAlignment w:val="bottom"/>
              <w:rPr>
                <w:rFonts w:ascii="Times New Roman" w:eastAsia="宋体" w:hAnsi="Times New Roman" w:cs="Times New Roman"/>
                <w:szCs w:val="21"/>
              </w:rPr>
            </w:pPr>
            <w:r>
              <w:rPr>
                <w:rFonts w:ascii="Times New Roman" w:eastAsia="宋体" w:hAnsi="Times New Roman" w:cs="Times New Roman"/>
                <w:szCs w:val="21"/>
              </w:rPr>
              <w:t>工作场所最高允许浓度：中国</w:t>
            </w:r>
            <w:r>
              <w:rPr>
                <w:rFonts w:ascii="Times New Roman" w:eastAsia="宋体" w:hAnsi="Times New Roman" w:cs="Times New Roman"/>
                <w:szCs w:val="21"/>
              </w:rPr>
              <w:t>MAC=10mg/m</w:t>
            </w:r>
            <w:r>
              <w:rPr>
                <w:rFonts w:ascii="Times New Roman" w:eastAsia="宋体" w:hAnsi="Times New Roman" w:cs="Times New Roman"/>
                <w:szCs w:val="21"/>
                <w:vertAlign w:val="superscript"/>
              </w:rPr>
              <w:t>3</w:t>
            </w:r>
          </w:p>
        </w:tc>
      </w:tr>
    </w:tbl>
    <w:p w14:paraId="2C2369A0" w14:textId="77777777" w:rsidR="00D12939" w:rsidRDefault="004F47F5">
      <w:pPr>
        <w:pStyle w:val="2"/>
        <w:spacing w:line="360" w:lineRule="auto"/>
        <w:ind w:firstLineChars="165" w:firstLine="462"/>
        <w:rPr>
          <w:sz w:val="28"/>
        </w:rPr>
      </w:pPr>
      <w:bookmarkStart w:id="570" w:name="_Toc121411800"/>
      <w:r>
        <w:rPr>
          <w:sz w:val="28"/>
        </w:rPr>
        <w:t>8.5</w:t>
      </w:r>
      <w:r>
        <w:rPr>
          <w:sz w:val="28"/>
        </w:rPr>
        <w:t>环境风险分析及防范措施</w:t>
      </w:r>
      <w:bookmarkEnd w:id="570"/>
    </w:p>
    <w:p w14:paraId="6597F42B" w14:textId="77777777" w:rsidR="00D12939" w:rsidRDefault="004F47F5">
      <w:pPr>
        <w:pStyle w:val="2a"/>
        <w:adjustRightInd w:val="0"/>
        <w:snapToGrid w:val="0"/>
        <w:spacing w:after="0" w:line="360" w:lineRule="auto"/>
        <w:ind w:leftChars="0" w:left="0" w:firstLine="480"/>
      </w:pPr>
      <w:r>
        <w:rPr>
          <w:kern w:val="0"/>
        </w:rPr>
        <w:t>工</w:t>
      </w:r>
      <w:r>
        <w:t>程运行后主要风险因素是：填埋气体爆炸，产生次生污染物，可能对大气造成污染；垃圾填埋场渗滤液的泄漏，可能对土壤和地下水体造成污染；垃圾堆体坍塌及坝体发生溃堤，现分述如下：</w:t>
      </w:r>
    </w:p>
    <w:p w14:paraId="117EF5AF" w14:textId="77777777" w:rsidR="00D12939" w:rsidRDefault="004F47F5">
      <w:pPr>
        <w:pStyle w:val="2a"/>
        <w:adjustRightInd w:val="0"/>
        <w:snapToGrid w:val="0"/>
        <w:spacing w:after="0" w:line="360" w:lineRule="auto"/>
        <w:ind w:leftChars="0" w:left="0" w:firstLine="480"/>
      </w:pPr>
      <w:r>
        <w:lastRenderedPageBreak/>
        <w:t>（</w:t>
      </w:r>
      <w:r>
        <w:t>1</w:t>
      </w:r>
      <w:r>
        <w:t>）填埋气体的爆炸</w:t>
      </w:r>
    </w:p>
    <w:p w14:paraId="4EA3E8CE" w14:textId="77777777" w:rsidR="00D12939" w:rsidRDefault="004F47F5">
      <w:pPr>
        <w:pStyle w:val="2a"/>
        <w:adjustRightInd w:val="0"/>
        <w:snapToGrid w:val="0"/>
        <w:spacing w:after="0" w:line="360" w:lineRule="auto"/>
        <w:ind w:leftChars="0" w:left="0" w:firstLine="480"/>
      </w:pPr>
      <w:r>
        <w:t>生活垃圾在填埋过程中，会分解出大量的废气，其废气量与垃圾成分和被分解的固体废物的种类有关。所产生的气体主要含有甲烷、二氧化碳、硫化氢、氨气等。</w:t>
      </w:r>
    </w:p>
    <w:p w14:paraId="01270374" w14:textId="77777777" w:rsidR="00D12939" w:rsidRDefault="004F47F5">
      <w:pPr>
        <w:pStyle w:val="2a"/>
        <w:adjustRightInd w:val="0"/>
        <w:snapToGrid w:val="0"/>
        <w:spacing w:after="0" w:line="360" w:lineRule="auto"/>
        <w:ind w:leftChars="0" w:left="0" w:firstLine="480"/>
      </w:pPr>
      <w:r>
        <w:t>甲烷气体随着垃圾填埋时间的延长而增多。甲烷俗称沼气，是一种无色无味的有机气体，其化学性质易燃易爆，当有氧存在时，甲烷浓度达到</w:t>
      </w:r>
      <w:r>
        <w:t>5%-15%</w:t>
      </w:r>
      <w:r>
        <w:t>时就可能发生爆炸。当甲烷等气体聚集在封闭或未封闭的空间内，如建筑物、下水道、人工洞穴或填埋场内地下空间以及填埋场外附近的沟槽中，并且有燃烧源（即明火）时，就会引起爆炸或发生火灾，并且填埋气体通过填埋表面的裂缝大量溢出时，可点燃垃圾废物中的易燃物质，发生火灾。因此，垃圾场易发生爆炸。燃烧废气中含有氮氧化物、一氧化碳、二氧化碳进入大气中对大气造成污染。</w:t>
      </w:r>
    </w:p>
    <w:p w14:paraId="50BC19BC" w14:textId="77777777" w:rsidR="00D12939" w:rsidRDefault="004F47F5">
      <w:pPr>
        <w:pStyle w:val="2a"/>
        <w:adjustRightInd w:val="0"/>
        <w:snapToGrid w:val="0"/>
        <w:spacing w:after="0" w:line="360" w:lineRule="auto"/>
        <w:ind w:leftChars="0" w:left="0" w:firstLine="480"/>
      </w:pPr>
      <w:r>
        <w:t>根据设计要求，垃圾场对气体进行了有效的收集和导排，整个系统由导气石笼、导气管、排气管等部分组成。正常情况下不会发生事故。但如导排系统发生故障使甲烷气体聚集，达到一定浓度就极有可能发生爆炸事故，将会对周围人群和环境空气产生污染危害。</w:t>
      </w:r>
    </w:p>
    <w:p w14:paraId="5B341BA9" w14:textId="77777777" w:rsidR="00D12939" w:rsidRDefault="004F47F5">
      <w:pPr>
        <w:pStyle w:val="2a"/>
        <w:adjustRightInd w:val="0"/>
        <w:snapToGrid w:val="0"/>
        <w:spacing w:after="0" w:line="360" w:lineRule="auto"/>
        <w:ind w:leftChars="0" w:left="0" w:firstLine="480"/>
      </w:pPr>
      <w:r>
        <w:t>（</w:t>
      </w:r>
      <w:r>
        <w:t>2</w:t>
      </w:r>
      <w:r>
        <w:t>）垃圾堆体坍塌及坝体发生溃堤</w:t>
      </w:r>
    </w:p>
    <w:p w14:paraId="791609F1" w14:textId="77777777" w:rsidR="00D12939" w:rsidRDefault="004F47F5">
      <w:pPr>
        <w:pStyle w:val="2a"/>
        <w:adjustRightInd w:val="0"/>
        <w:snapToGrid w:val="0"/>
        <w:spacing w:after="0" w:line="360" w:lineRule="auto"/>
        <w:ind w:leftChars="0" w:left="0" w:firstLine="480"/>
      </w:pPr>
      <w:r>
        <w:t>项目垃圾坝边坡较稳定，抗震稳定性较好。根据《水工建筑物抗震设计标准》（</w:t>
      </w:r>
      <w:r>
        <w:t>GB51247-2018</w:t>
      </w:r>
      <w:r>
        <w:t>）的规定，属于对建坝一般地段。地基承载力可满足上部荷载的要求，可采用天然地基。</w:t>
      </w:r>
    </w:p>
    <w:p w14:paraId="5D8863CD" w14:textId="77777777" w:rsidR="00D12939" w:rsidRDefault="004F47F5">
      <w:pPr>
        <w:pStyle w:val="2a"/>
        <w:adjustRightInd w:val="0"/>
        <w:snapToGrid w:val="0"/>
        <w:spacing w:after="0" w:line="360" w:lineRule="auto"/>
        <w:ind w:leftChars="0" w:left="0" w:firstLine="480"/>
      </w:pPr>
      <w:r>
        <w:t>项目采取有效的地表径流导流、截洪和泄洪措施堆体水位控制。覆盖于反压措施、体型优化、及时抽排深层填埋气等措施后，堆体整体和局部的静力稳定安全系数均能满足规范要求，因此在严格做好堆体内排水、导气工作和保证填埋工艺质量的前提下，本工程垃圾堆体产生滑坡地质灾害的危险性很小，其安全性有保障。但是若不能及时排出会导致填埋库区内积存大量渗滤液，这将加重垃圾坝承载负荷，存在垮坝的危险。尤其当遇到特大暴雨或发生地震等严重地质灾害时，则坝体仍可能会出现倒塌等安全问题。如果发生这种现象，将会影响渗滤液和地表径流的正常收集，使已填埋的垃圾冲向下游，对下游地表水、植被和土壤等造成严重影响，并堵塞沟道、道路、河道，散发恶臭气体，影响周围环境空间质量，同时是垃圾填埋场无法正常运行。因此，为杜绝坝体出现安全问题而引起环境污染，建设单位和施工单位必须严把质量关，选择有资质的正规单位设计、专业施工队伍，严格按照设计施工，加强施工期监理，确保坝体质量。</w:t>
      </w:r>
    </w:p>
    <w:p w14:paraId="5469960C" w14:textId="77777777" w:rsidR="00D12939" w:rsidRDefault="004F47F5">
      <w:pPr>
        <w:pStyle w:val="2a"/>
        <w:adjustRightInd w:val="0"/>
        <w:snapToGrid w:val="0"/>
        <w:spacing w:after="0" w:line="360" w:lineRule="auto"/>
        <w:ind w:leftChars="0" w:left="0" w:firstLine="480"/>
      </w:pPr>
      <w:r>
        <w:t>（</w:t>
      </w:r>
      <w:r>
        <w:t>3</w:t>
      </w:r>
      <w:r>
        <w:t>）渗滤液溢出风险</w:t>
      </w:r>
    </w:p>
    <w:p w14:paraId="71AE3DBF" w14:textId="77777777" w:rsidR="00D12939" w:rsidRDefault="004F47F5">
      <w:pPr>
        <w:pStyle w:val="2a"/>
        <w:adjustRightInd w:val="0"/>
        <w:snapToGrid w:val="0"/>
        <w:spacing w:after="0" w:line="360" w:lineRule="auto"/>
        <w:ind w:leftChars="0" w:left="0" w:firstLine="480"/>
      </w:pPr>
      <w:r>
        <w:t>根据项目设计文件，垃圾填埋场防洪按照</w:t>
      </w:r>
      <w:r>
        <w:t>50</w:t>
      </w:r>
      <w:r>
        <w:t>年一遇洪水设计，</w:t>
      </w:r>
      <w:r>
        <w:t>100</w:t>
      </w:r>
      <w:r>
        <w:t>年一遇洪水校核，为了防洪和减少填埋场区的降水量，为确保填埋场区防洪安全，拦截及排放周围山坡及填埋场坡面的地表径流，减少渗入垃圾填埋场的水量，从而减少垃圾渗滤液的产生量，工程措施上在填</w:t>
      </w:r>
      <w:r>
        <w:lastRenderedPageBreak/>
        <w:t>埋区设计截洪沟、中间锚固平台排水沟，保证填埋场的运行安全。</w:t>
      </w:r>
    </w:p>
    <w:p w14:paraId="4483BE19" w14:textId="77777777" w:rsidR="00D12939" w:rsidRDefault="004F47F5">
      <w:pPr>
        <w:pStyle w:val="2a"/>
        <w:adjustRightInd w:val="0"/>
        <w:snapToGrid w:val="0"/>
        <w:spacing w:after="0" w:line="360" w:lineRule="auto"/>
        <w:ind w:leftChars="0" w:left="0" w:firstLine="480"/>
      </w:pPr>
      <w:r>
        <w:t>根据工程分析可知，渗滤液调节池完全可以满足对渗滤液的调节作用。如果出现百年不遇的特大降水等情况，渗滤液调节池不能容纳填埋场所产生的渗滤液时，可关闭渗滤液收集设施内设置的阀门，将渗滤液封闭在填埋场内，同时采用回灌方式将调节池中的渗滤液回灌至填埋堆体内，利用表面蒸发减少渗滤液。尽管发生</w:t>
      </w:r>
      <w:r>
        <w:t>100</w:t>
      </w:r>
      <w:r>
        <w:t>年一遇以上洪水的几率很小，但建设单位仍应制订包括填埋场污水排放口的水质监测制度、超标报警等风险在内的应急预案。</w:t>
      </w:r>
    </w:p>
    <w:p w14:paraId="0D20ACB6" w14:textId="77777777" w:rsidR="00D12939" w:rsidRDefault="004F47F5">
      <w:pPr>
        <w:pStyle w:val="2a"/>
        <w:adjustRightInd w:val="0"/>
        <w:snapToGrid w:val="0"/>
        <w:spacing w:after="0" w:line="360" w:lineRule="auto"/>
        <w:ind w:leftChars="0" w:left="0" w:firstLine="480"/>
      </w:pPr>
      <w:r>
        <w:t>（</w:t>
      </w:r>
      <w:r>
        <w:t>4</w:t>
      </w:r>
      <w:r>
        <w:t>）强降雨风险分析</w:t>
      </w:r>
    </w:p>
    <w:p w14:paraId="398E7D9C" w14:textId="77777777" w:rsidR="00D12939" w:rsidRDefault="004F47F5">
      <w:pPr>
        <w:pStyle w:val="2a"/>
        <w:adjustRightInd w:val="0"/>
        <w:snapToGrid w:val="0"/>
        <w:spacing w:after="0" w:line="360" w:lineRule="auto"/>
        <w:ind w:leftChars="0" w:left="0" w:firstLine="480"/>
      </w:pPr>
      <w:r>
        <w:t>本项目渗滤液产生量为</w:t>
      </w:r>
      <w:r>
        <w:t>40.56m</w:t>
      </w:r>
      <w:r>
        <w:rPr>
          <w:vertAlign w:val="superscript"/>
        </w:rPr>
        <w:t>3</w:t>
      </w:r>
      <w:r>
        <w:t>/d</w:t>
      </w:r>
      <w:r>
        <w:t>，渗滤液调节池容积为</w:t>
      </w:r>
      <w:r>
        <w:t>1800m</w:t>
      </w:r>
      <w:r>
        <w:rPr>
          <w:vertAlign w:val="superscript"/>
        </w:rPr>
        <w:t>3</w:t>
      </w:r>
      <w:r>
        <w:t>，容量可满足最大降雨时水量要求，因此，强降雨时渗滤液外溢可能性较小。为保证安全生产运行，最大限度地减少污染风险，在垃圾填埋场运行期间，必要时对截洪沟加水泥盖板，并经常疏通，防止截洪沟堵塞；并在日常运行时，特别是雨季时，留出渗滤液收集池的剩余容积以调节强暴雨的渗滤液。尽管发生</w:t>
      </w:r>
      <w:r>
        <w:t>100</w:t>
      </w:r>
      <w:r>
        <w:t>年以上一遇洪水的概率很小，但建设单位仍应制定包括监测、报警等措施在内的应急预案。</w:t>
      </w:r>
    </w:p>
    <w:p w14:paraId="7F565B84" w14:textId="77777777" w:rsidR="00D12939" w:rsidRDefault="004F47F5">
      <w:pPr>
        <w:pStyle w:val="2"/>
        <w:spacing w:line="360" w:lineRule="auto"/>
        <w:ind w:firstLineChars="165" w:firstLine="462"/>
        <w:rPr>
          <w:sz w:val="28"/>
        </w:rPr>
      </w:pPr>
      <w:bookmarkStart w:id="571" w:name="_Toc121411801"/>
      <w:r>
        <w:rPr>
          <w:sz w:val="28"/>
        </w:rPr>
        <w:t>8.6</w:t>
      </w:r>
      <w:r>
        <w:rPr>
          <w:sz w:val="28"/>
        </w:rPr>
        <w:t>环境风险应急预案</w:t>
      </w:r>
      <w:bookmarkEnd w:id="571"/>
    </w:p>
    <w:p w14:paraId="2F01CD44" w14:textId="77777777" w:rsidR="00D12939" w:rsidRDefault="004F47F5">
      <w:pPr>
        <w:pStyle w:val="2a"/>
        <w:adjustRightInd w:val="0"/>
        <w:snapToGrid w:val="0"/>
        <w:spacing w:after="0" w:line="360" w:lineRule="auto"/>
        <w:ind w:leftChars="0" w:left="0" w:firstLine="480"/>
      </w:pPr>
      <w:r>
        <w:t>制定风险事故应急预案目的是要迅速而有效地将事故损失减至最小。本项目建议应急预案方案见表</w:t>
      </w:r>
      <w:r>
        <w:t>8.6-1</w:t>
      </w:r>
      <w:r>
        <w:t>。</w:t>
      </w:r>
    </w:p>
    <w:p w14:paraId="732C7C59" w14:textId="77777777" w:rsidR="00D12939" w:rsidRDefault="004F47F5">
      <w:pPr>
        <w:adjustRightInd w:val="0"/>
        <w:snapToGrid w:val="0"/>
        <w:jc w:val="center"/>
        <w:rPr>
          <w:rFonts w:ascii="黑体" w:eastAsia="黑体" w:hAnsi="黑体"/>
          <w:bCs/>
          <w:kern w:val="0"/>
          <w:sz w:val="24"/>
          <w:szCs w:val="21"/>
        </w:rPr>
      </w:pPr>
      <w:r>
        <w:rPr>
          <w:rFonts w:ascii="黑体" w:eastAsia="黑体" w:hAnsi="黑体"/>
          <w:bCs/>
          <w:kern w:val="0"/>
          <w:sz w:val="24"/>
          <w:szCs w:val="21"/>
        </w:rPr>
        <w:t>表</w:t>
      </w:r>
      <w:r>
        <w:rPr>
          <w:rFonts w:ascii="黑体" w:eastAsia="黑体" w:hAnsi="黑体" w:hint="eastAsia"/>
          <w:bCs/>
          <w:kern w:val="0"/>
          <w:sz w:val="24"/>
          <w:szCs w:val="21"/>
        </w:rPr>
        <w:t>8</w:t>
      </w:r>
      <w:r>
        <w:rPr>
          <w:rFonts w:ascii="黑体" w:eastAsia="黑体" w:hAnsi="黑体"/>
          <w:bCs/>
          <w:kern w:val="0"/>
          <w:sz w:val="24"/>
          <w:szCs w:val="21"/>
        </w:rPr>
        <w:t>.6-1  项目建议应急预案编制内容表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1993"/>
        <w:gridCol w:w="6857"/>
      </w:tblGrid>
      <w:tr w:rsidR="00D12939" w14:paraId="2FB4B08A" w14:textId="77777777">
        <w:trPr>
          <w:trHeight w:val="340"/>
        </w:trPr>
        <w:tc>
          <w:tcPr>
            <w:tcW w:w="453" w:type="pct"/>
            <w:vAlign w:val="center"/>
          </w:tcPr>
          <w:p w14:paraId="0CAB4996" w14:textId="77777777" w:rsidR="00D12939" w:rsidRDefault="004F47F5">
            <w:pPr>
              <w:pStyle w:val="afff6"/>
              <w:adjustRightInd w:val="0"/>
              <w:snapToGrid w:val="0"/>
              <w:spacing w:after="0"/>
              <w:ind w:firstLineChars="0" w:firstLine="0"/>
              <w:jc w:val="center"/>
              <w:rPr>
                <w:bCs/>
                <w:sz w:val="21"/>
                <w:szCs w:val="21"/>
              </w:rPr>
            </w:pPr>
            <w:r>
              <w:rPr>
                <w:bCs/>
                <w:sz w:val="21"/>
                <w:szCs w:val="21"/>
              </w:rPr>
              <w:t>序号</w:t>
            </w:r>
          </w:p>
        </w:tc>
        <w:tc>
          <w:tcPr>
            <w:tcW w:w="1024" w:type="pct"/>
            <w:vAlign w:val="center"/>
          </w:tcPr>
          <w:p w14:paraId="2232BEA9" w14:textId="77777777" w:rsidR="00D12939" w:rsidRDefault="004F47F5">
            <w:pPr>
              <w:pStyle w:val="afff6"/>
              <w:adjustRightInd w:val="0"/>
              <w:snapToGrid w:val="0"/>
              <w:spacing w:after="0"/>
              <w:ind w:firstLineChars="0" w:firstLine="0"/>
              <w:jc w:val="center"/>
              <w:rPr>
                <w:bCs/>
                <w:sz w:val="21"/>
                <w:szCs w:val="21"/>
              </w:rPr>
            </w:pPr>
            <w:r>
              <w:rPr>
                <w:bCs/>
                <w:sz w:val="21"/>
                <w:szCs w:val="21"/>
              </w:rPr>
              <w:t>项目</w:t>
            </w:r>
          </w:p>
        </w:tc>
        <w:tc>
          <w:tcPr>
            <w:tcW w:w="3523" w:type="pct"/>
            <w:vAlign w:val="center"/>
          </w:tcPr>
          <w:p w14:paraId="0FC91198" w14:textId="77777777" w:rsidR="00D12939" w:rsidRDefault="004F47F5">
            <w:pPr>
              <w:pStyle w:val="afff6"/>
              <w:adjustRightInd w:val="0"/>
              <w:snapToGrid w:val="0"/>
              <w:spacing w:after="0"/>
              <w:ind w:firstLineChars="0" w:firstLine="0"/>
              <w:jc w:val="center"/>
              <w:rPr>
                <w:bCs/>
                <w:sz w:val="21"/>
                <w:szCs w:val="21"/>
              </w:rPr>
            </w:pPr>
            <w:r>
              <w:rPr>
                <w:bCs/>
                <w:sz w:val="21"/>
                <w:szCs w:val="21"/>
              </w:rPr>
              <w:t>内容及要求</w:t>
            </w:r>
          </w:p>
        </w:tc>
      </w:tr>
      <w:tr w:rsidR="00D12939" w14:paraId="3EE0C3D4" w14:textId="77777777">
        <w:trPr>
          <w:trHeight w:val="340"/>
        </w:trPr>
        <w:tc>
          <w:tcPr>
            <w:tcW w:w="453" w:type="pct"/>
            <w:vAlign w:val="center"/>
          </w:tcPr>
          <w:p w14:paraId="41E55A13" w14:textId="77777777" w:rsidR="00D12939" w:rsidRDefault="004F47F5">
            <w:pPr>
              <w:pStyle w:val="afff6"/>
              <w:adjustRightInd w:val="0"/>
              <w:snapToGrid w:val="0"/>
              <w:spacing w:after="0"/>
              <w:ind w:firstLineChars="0" w:firstLine="0"/>
              <w:jc w:val="center"/>
              <w:rPr>
                <w:sz w:val="21"/>
                <w:szCs w:val="21"/>
              </w:rPr>
            </w:pPr>
            <w:r>
              <w:rPr>
                <w:sz w:val="21"/>
                <w:szCs w:val="21"/>
              </w:rPr>
              <w:t>1</w:t>
            </w:r>
          </w:p>
        </w:tc>
        <w:tc>
          <w:tcPr>
            <w:tcW w:w="1024" w:type="pct"/>
            <w:vAlign w:val="center"/>
          </w:tcPr>
          <w:p w14:paraId="16BD70BC" w14:textId="77777777" w:rsidR="00D12939" w:rsidRDefault="004F47F5">
            <w:pPr>
              <w:pStyle w:val="afff6"/>
              <w:adjustRightInd w:val="0"/>
              <w:snapToGrid w:val="0"/>
              <w:spacing w:after="0"/>
              <w:ind w:firstLineChars="0" w:firstLine="0"/>
              <w:jc w:val="center"/>
              <w:rPr>
                <w:sz w:val="21"/>
                <w:szCs w:val="21"/>
              </w:rPr>
            </w:pPr>
            <w:r>
              <w:rPr>
                <w:sz w:val="21"/>
                <w:szCs w:val="21"/>
              </w:rPr>
              <w:t>应急计划区</w:t>
            </w:r>
          </w:p>
        </w:tc>
        <w:tc>
          <w:tcPr>
            <w:tcW w:w="3523" w:type="pct"/>
            <w:vAlign w:val="center"/>
          </w:tcPr>
          <w:p w14:paraId="7C9A8A00" w14:textId="77777777" w:rsidR="00D12939" w:rsidRDefault="004F47F5">
            <w:pPr>
              <w:pStyle w:val="afff6"/>
              <w:adjustRightInd w:val="0"/>
              <w:snapToGrid w:val="0"/>
              <w:spacing w:after="0"/>
              <w:ind w:firstLineChars="0" w:firstLine="0"/>
              <w:rPr>
                <w:sz w:val="21"/>
                <w:szCs w:val="21"/>
              </w:rPr>
            </w:pPr>
            <w:r>
              <w:rPr>
                <w:sz w:val="21"/>
                <w:szCs w:val="21"/>
              </w:rPr>
              <w:t>危险目标：填埋场区、渗滤液调节池、渗滤液处理站</w:t>
            </w:r>
          </w:p>
          <w:p w14:paraId="4FAD1A8F" w14:textId="77777777" w:rsidR="00D12939" w:rsidRDefault="004F47F5">
            <w:pPr>
              <w:pStyle w:val="afff6"/>
              <w:adjustRightInd w:val="0"/>
              <w:snapToGrid w:val="0"/>
              <w:spacing w:after="0"/>
              <w:ind w:firstLineChars="0" w:firstLine="0"/>
              <w:rPr>
                <w:sz w:val="21"/>
                <w:szCs w:val="21"/>
              </w:rPr>
            </w:pPr>
            <w:r>
              <w:rPr>
                <w:sz w:val="21"/>
                <w:szCs w:val="21"/>
              </w:rPr>
              <w:t>环境保护目标：松林村</w:t>
            </w:r>
          </w:p>
        </w:tc>
      </w:tr>
      <w:tr w:rsidR="00D12939" w14:paraId="66FCFE0E" w14:textId="77777777">
        <w:trPr>
          <w:trHeight w:val="340"/>
        </w:trPr>
        <w:tc>
          <w:tcPr>
            <w:tcW w:w="453" w:type="pct"/>
            <w:vAlign w:val="center"/>
          </w:tcPr>
          <w:p w14:paraId="4FC57AB9" w14:textId="77777777" w:rsidR="00D12939" w:rsidRDefault="004F47F5">
            <w:pPr>
              <w:pStyle w:val="afff6"/>
              <w:adjustRightInd w:val="0"/>
              <w:snapToGrid w:val="0"/>
              <w:spacing w:after="0"/>
              <w:ind w:firstLineChars="0" w:firstLine="0"/>
              <w:jc w:val="center"/>
              <w:rPr>
                <w:sz w:val="21"/>
                <w:szCs w:val="21"/>
              </w:rPr>
            </w:pPr>
            <w:r>
              <w:rPr>
                <w:sz w:val="21"/>
                <w:szCs w:val="21"/>
              </w:rPr>
              <w:t>2</w:t>
            </w:r>
          </w:p>
        </w:tc>
        <w:tc>
          <w:tcPr>
            <w:tcW w:w="1024" w:type="pct"/>
            <w:vAlign w:val="center"/>
          </w:tcPr>
          <w:p w14:paraId="6601FBD2" w14:textId="77777777" w:rsidR="00D12939" w:rsidRDefault="004F47F5">
            <w:pPr>
              <w:pStyle w:val="afff6"/>
              <w:adjustRightInd w:val="0"/>
              <w:snapToGrid w:val="0"/>
              <w:spacing w:after="0"/>
              <w:ind w:firstLineChars="0" w:firstLine="0"/>
              <w:jc w:val="center"/>
              <w:rPr>
                <w:sz w:val="21"/>
                <w:szCs w:val="21"/>
              </w:rPr>
            </w:pPr>
            <w:r>
              <w:rPr>
                <w:sz w:val="21"/>
                <w:szCs w:val="21"/>
              </w:rPr>
              <w:t>应急组织机构、人员</w:t>
            </w:r>
          </w:p>
        </w:tc>
        <w:tc>
          <w:tcPr>
            <w:tcW w:w="3523" w:type="pct"/>
            <w:vAlign w:val="center"/>
          </w:tcPr>
          <w:p w14:paraId="7526A7B7" w14:textId="77777777" w:rsidR="00D12939" w:rsidRDefault="004F47F5">
            <w:pPr>
              <w:pStyle w:val="afff6"/>
              <w:adjustRightInd w:val="0"/>
              <w:snapToGrid w:val="0"/>
              <w:spacing w:after="0"/>
              <w:ind w:firstLineChars="0" w:firstLine="0"/>
              <w:rPr>
                <w:sz w:val="21"/>
                <w:szCs w:val="21"/>
              </w:rPr>
            </w:pPr>
            <w:r>
              <w:rPr>
                <w:sz w:val="21"/>
                <w:szCs w:val="21"/>
              </w:rPr>
              <w:t>设立应急救援领导小组：由区长任组长，镇长任副组长，由环保、环卫、安全及运行管理人员等组成应急领导小组</w:t>
            </w:r>
          </w:p>
        </w:tc>
      </w:tr>
      <w:tr w:rsidR="00D12939" w14:paraId="6904DB61" w14:textId="77777777">
        <w:trPr>
          <w:trHeight w:val="340"/>
        </w:trPr>
        <w:tc>
          <w:tcPr>
            <w:tcW w:w="453" w:type="pct"/>
            <w:vAlign w:val="center"/>
          </w:tcPr>
          <w:p w14:paraId="12AB528E" w14:textId="77777777" w:rsidR="00D12939" w:rsidRDefault="004F47F5">
            <w:pPr>
              <w:pStyle w:val="afff6"/>
              <w:adjustRightInd w:val="0"/>
              <w:snapToGrid w:val="0"/>
              <w:spacing w:after="0"/>
              <w:ind w:firstLineChars="0" w:firstLine="0"/>
              <w:jc w:val="center"/>
              <w:rPr>
                <w:sz w:val="21"/>
                <w:szCs w:val="21"/>
              </w:rPr>
            </w:pPr>
            <w:r>
              <w:rPr>
                <w:sz w:val="21"/>
                <w:szCs w:val="21"/>
              </w:rPr>
              <w:t>3</w:t>
            </w:r>
          </w:p>
        </w:tc>
        <w:tc>
          <w:tcPr>
            <w:tcW w:w="1024" w:type="pct"/>
            <w:vAlign w:val="center"/>
          </w:tcPr>
          <w:p w14:paraId="518AC18A" w14:textId="77777777" w:rsidR="00D12939" w:rsidRDefault="004F47F5">
            <w:pPr>
              <w:pStyle w:val="afff6"/>
              <w:adjustRightInd w:val="0"/>
              <w:snapToGrid w:val="0"/>
              <w:spacing w:after="0"/>
              <w:ind w:firstLineChars="0" w:firstLine="0"/>
              <w:jc w:val="center"/>
              <w:rPr>
                <w:sz w:val="21"/>
                <w:szCs w:val="21"/>
              </w:rPr>
            </w:pPr>
            <w:r>
              <w:rPr>
                <w:sz w:val="21"/>
                <w:szCs w:val="21"/>
              </w:rPr>
              <w:t>预案分级响应条件</w:t>
            </w:r>
          </w:p>
        </w:tc>
        <w:tc>
          <w:tcPr>
            <w:tcW w:w="3523" w:type="pct"/>
            <w:vAlign w:val="center"/>
          </w:tcPr>
          <w:p w14:paraId="532FAE90" w14:textId="77777777" w:rsidR="00D12939" w:rsidRDefault="004F47F5">
            <w:pPr>
              <w:pStyle w:val="afff6"/>
              <w:adjustRightInd w:val="0"/>
              <w:snapToGrid w:val="0"/>
              <w:spacing w:after="0"/>
              <w:ind w:firstLineChars="0" w:firstLine="0"/>
              <w:rPr>
                <w:sz w:val="21"/>
                <w:szCs w:val="21"/>
              </w:rPr>
            </w:pPr>
            <w:r>
              <w:rPr>
                <w:sz w:val="21"/>
                <w:szCs w:val="21"/>
              </w:rPr>
              <w:t>规定预案级别及分级响应程序：</w:t>
            </w:r>
          </w:p>
          <w:p w14:paraId="6748A593" w14:textId="77777777" w:rsidR="00D12939" w:rsidRDefault="004F47F5">
            <w:pPr>
              <w:pStyle w:val="afff6"/>
              <w:adjustRightInd w:val="0"/>
              <w:snapToGrid w:val="0"/>
              <w:spacing w:after="0"/>
              <w:ind w:firstLineChars="0" w:firstLine="0"/>
              <w:rPr>
                <w:sz w:val="21"/>
                <w:szCs w:val="21"/>
              </w:rPr>
            </w:pPr>
            <w:r>
              <w:rPr>
                <w:sz w:val="21"/>
                <w:szCs w:val="21"/>
              </w:rPr>
              <w:t>一级：设定为填埋库区渗漏、垃圾坝垮塌等事故发生；启动乡一级应急预案，第一时间向政府及有关部门通知汇报二级：设定为填埋气导排异常、截洪渠堵塞、渗滤液处置异常等事故，启动乡二级应急预案，由应急救援领导小组及时处理并向相关部门汇报</w:t>
            </w:r>
          </w:p>
        </w:tc>
      </w:tr>
      <w:tr w:rsidR="00D12939" w14:paraId="2D446848" w14:textId="77777777">
        <w:trPr>
          <w:trHeight w:val="340"/>
        </w:trPr>
        <w:tc>
          <w:tcPr>
            <w:tcW w:w="453" w:type="pct"/>
            <w:vAlign w:val="center"/>
          </w:tcPr>
          <w:p w14:paraId="7A61166A" w14:textId="77777777" w:rsidR="00D12939" w:rsidRDefault="004F47F5">
            <w:pPr>
              <w:pStyle w:val="afff6"/>
              <w:adjustRightInd w:val="0"/>
              <w:snapToGrid w:val="0"/>
              <w:spacing w:after="0"/>
              <w:ind w:firstLineChars="0" w:firstLine="0"/>
              <w:jc w:val="center"/>
              <w:rPr>
                <w:sz w:val="21"/>
                <w:szCs w:val="21"/>
              </w:rPr>
            </w:pPr>
            <w:r>
              <w:rPr>
                <w:sz w:val="21"/>
                <w:szCs w:val="21"/>
              </w:rPr>
              <w:t>4</w:t>
            </w:r>
          </w:p>
        </w:tc>
        <w:tc>
          <w:tcPr>
            <w:tcW w:w="1024" w:type="pct"/>
            <w:vAlign w:val="center"/>
          </w:tcPr>
          <w:p w14:paraId="79A5DC36" w14:textId="77777777" w:rsidR="00D12939" w:rsidRDefault="004F47F5">
            <w:pPr>
              <w:pStyle w:val="afff6"/>
              <w:adjustRightInd w:val="0"/>
              <w:snapToGrid w:val="0"/>
              <w:spacing w:after="0"/>
              <w:ind w:firstLineChars="0" w:firstLine="0"/>
              <w:jc w:val="center"/>
              <w:rPr>
                <w:sz w:val="21"/>
                <w:szCs w:val="21"/>
              </w:rPr>
            </w:pPr>
            <w:r>
              <w:rPr>
                <w:sz w:val="21"/>
                <w:szCs w:val="21"/>
              </w:rPr>
              <w:t>应急救援保障</w:t>
            </w:r>
          </w:p>
        </w:tc>
        <w:tc>
          <w:tcPr>
            <w:tcW w:w="3523" w:type="pct"/>
            <w:vAlign w:val="center"/>
          </w:tcPr>
          <w:p w14:paraId="6AFDFF9F" w14:textId="77777777" w:rsidR="00D12939" w:rsidRDefault="004F47F5">
            <w:pPr>
              <w:pStyle w:val="afff6"/>
              <w:adjustRightInd w:val="0"/>
              <w:snapToGrid w:val="0"/>
              <w:spacing w:after="0"/>
              <w:ind w:firstLineChars="0" w:firstLine="0"/>
              <w:rPr>
                <w:sz w:val="21"/>
                <w:szCs w:val="21"/>
              </w:rPr>
            </w:pPr>
            <w:r>
              <w:rPr>
                <w:sz w:val="21"/>
                <w:szCs w:val="21"/>
              </w:rPr>
              <w:t>应急设施、设备等：各项应急处理处置的防火灾爆炸、防毒气的设施与设备（如利用填埋场推土机、备好铁镐、铁锹、消防器材与防护服等），必须经常保持完好状态和随时使用状态</w:t>
            </w:r>
          </w:p>
        </w:tc>
      </w:tr>
      <w:tr w:rsidR="00D12939" w14:paraId="139E3B3C" w14:textId="77777777">
        <w:trPr>
          <w:trHeight w:val="340"/>
        </w:trPr>
        <w:tc>
          <w:tcPr>
            <w:tcW w:w="453" w:type="pct"/>
            <w:vAlign w:val="center"/>
          </w:tcPr>
          <w:p w14:paraId="34614CD3" w14:textId="77777777" w:rsidR="00D12939" w:rsidRDefault="004F47F5">
            <w:pPr>
              <w:pStyle w:val="afff6"/>
              <w:adjustRightInd w:val="0"/>
              <w:snapToGrid w:val="0"/>
              <w:spacing w:after="0"/>
              <w:ind w:firstLineChars="0" w:firstLine="0"/>
              <w:jc w:val="center"/>
              <w:rPr>
                <w:sz w:val="21"/>
                <w:szCs w:val="21"/>
              </w:rPr>
            </w:pPr>
            <w:r>
              <w:rPr>
                <w:sz w:val="21"/>
                <w:szCs w:val="21"/>
              </w:rPr>
              <w:t>5</w:t>
            </w:r>
          </w:p>
        </w:tc>
        <w:tc>
          <w:tcPr>
            <w:tcW w:w="1024" w:type="pct"/>
            <w:vAlign w:val="center"/>
          </w:tcPr>
          <w:p w14:paraId="13CD1D1C" w14:textId="77777777" w:rsidR="00D12939" w:rsidRDefault="004F47F5">
            <w:pPr>
              <w:pStyle w:val="afff6"/>
              <w:adjustRightInd w:val="0"/>
              <w:snapToGrid w:val="0"/>
              <w:spacing w:after="0"/>
              <w:ind w:firstLineChars="0" w:firstLine="0"/>
              <w:jc w:val="center"/>
              <w:rPr>
                <w:sz w:val="21"/>
                <w:szCs w:val="21"/>
              </w:rPr>
            </w:pPr>
            <w:r>
              <w:rPr>
                <w:sz w:val="21"/>
                <w:szCs w:val="21"/>
              </w:rPr>
              <w:t>报警、通讯联络方式</w:t>
            </w:r>
          </w:p>
        </w:tc>
        <w:tc>
          <w:tcPr>
            <w:tcW w:w="3523" w:type="pct"/>
            <w:vAlign w:val="center"/>
          </w:tcPr>
          <w:p w14:paraId="3EE28893" w14:textId="77777777" w:rsidR="00D12939" w:rsidRDefault="004F47F5">
            <w:pPr>
              <w:pStyle w:val="afff6"/>
              <w:adjustRightInd w:val="0"/>
              <w:snapToGrid w:val="0"/>
              <w:spacing w:after="0"/>
              <w:ind w:firstLineChars="0" w:firstLine="0"/>
              <w:rPr>
                <w:sz w:val="21"/>
                <w:szCs w:val="21"/>
              </w:rPr>
            </w:pPr>
            <w:r>
              <w:rPr>
                <w:sz w:val="21"/>
                <w:szCs w:val="21"/>
              </w:rPr>
              <w:t>规定应急状态下的报警通讯方式、通知方式和交通保障、管制：填埋场区全天巡检、值班制度；配备内、外线相结合，有线、无线相结合的电话报警通讯和事故紧急通知方式；明确应急交通车辆</w:t>
            </w:r>
          </w:p>
        </w:tc>
      </w:tr>
      <w:tr w:rsidR="00D12939" w14:paraId="1348BA51" w14:textId="77777777">
        <w:trPr>
          <w:trHeight w:val="340"/>
        </w:trPr>
        <w:tc>
          <w:tcPr>
            <w:tcW w:w="453" w:type="pct"/>
            <w:vAlign w:val="center"/>
          </w:tcPr>
          <w:p w14:paraId="38531961" w14:textId="77777777" w:rsidR="00D12939" w:rsidRDefault="004F47F5">
            <w:pPr>
              <w:pStyle w:val="afff6"/>
              <w:adjustRightInd w:val="0"/>
              <w:snapToGrid w:val="0"/>
              <w:spacing w:after="0"/>
              <w:ind w:firstLineChars="0" w:firstLine="0"/>
              <w:jc w:val="center"/>
              <w:rPr>
                <w:sz w:val="21"/>
                <w:szCs w:val="21"/>
              </w:rPr>
            </w:pPr>
            <w:r>
              <w:rPr>
                <w:sz w:val="21"/>
                <w:szCs w:val="21"/>
              </w:rPr>
              <w:t>6</w:t>
            </w:r>
          </w:p>
        </w:tc>
        <w:tc>
          <w:tcPr>
            <w:tcW w:w="1024" w:type="pct"/>
            <w:vAlign w:val="center"/>
          </w:tcPr>
          <w:p w14:paraId="67017AFF" w14:textId="77777777" w:rsidR="00D12939" w:rsidRDefault="004F47F5">
            <w:pPr>
              <w:pStyle w:val="afff6"/>
              <w:adjustRightInd w:val="0"/>
              <w:snapToGrid w:val="0"/>
              <w:spacing w:after="0"/>
              <w:ind w:firstLineChars="0" w:firstLine="0"/>
              <w:jc w:val="center"/>
              <w:rPr>
                <w:sz w:val="21"/>
                <w:szCs w:val="21"/>
              </w:rPr>
            </w:pPr>
            <w:r>
              <w:rPr>
                <w:sz w:val="21"/>
                <w:szCs w:val="21"/>
              </w:rPr>
              <w:t>应急环境监测、抢险、救援及控制措施</w:t>
            </w:r>
          </w:p>
        </w:tc>
        <w:tc>
          <w:tcPr>
            <w:tcW w:w="3523" w:type="pct"/>
            <w:vAlign w:val="center"/>
          </w:tcPr>
          <w:p w14:paraId="3ED883E5" w14:textId="77777777" w:rsidR="00D12939" w:rsidRDefault="004F47F5">
            <w:pPr>
              <w:pStyle w:val="afff6"/>
              <w:adjustRightInd w:val="0"/>
              <w:snapToGrid w:val="0"/>
              <w:spacing w:after="0"/>
              <w:ind w:firstLineChars="0" w:firstLine="0"/>
              <w:rPr>
                <w:sz w:val="21"/>
                <w:szCs w:val="21"/>
              </w:rPr>
            </w:pPr>
            <w:r>
              <w:rPr>
                <w:sz w:val="21"/>
                <w:szCs w:val="21"/>
              </w:rPr>
              <w:t>出现事故情况，立即报告专业队伍负责对事故现场进行侦查监测，并对事故性质、参数与后果进行评估，为领导小组提供决策依据</w:t>
            </w:r>
          </w:p>
        </w:tc>
      </w:tr>
      <w:tr w:rsidR="00D12939" w14:paraId="7F154838" w14:textId="77777777">
        <w:trPr>
          <w:trHeight w:val="340"/>
        </w:trPr>
        <w:tc>
          <w:tcPr>
            <w:tcW w:w="453" w:type="pct"/>
            <w:vAlign w:val="center"/>
          </w:tcPr>
          <w:p w14:paraId="68206BE6" w14:textId="77777777" w:rsidR="00D12939" w:rsidRDefault="004F47F5">
            <w:pPr>
              <w:pStyle w:val="afff6"/>
              <w:adjustRightInd w:val="0"/>
              <w:snapToGrid w:val="0"/>
              <w:spacing w:after="0"/>
              <w:ind w:firstLineChars="0" w:firstLine="0"/>
              <w:jc w:val="center"/>
              <w:rPr>
                <w:sz w:val="21"/>
                <w:szCs w:val="21"/>
              </w:rPr>
            </w:pPr>
            <w:r>
              <w:rPr>
                <w:sz w:val="21"/>
                <w:szCs w:val="21"/>
              </w:rPr>
              <w:t>7</w:t>
            </w:r>
          </w:p>
        </w:tc>
        <w:tc>
          <w:tcPr>
            <w:tcW w:w="1024" w:type="pct"/>
            <w:vAlign w:val="center"/>
          </w:tcPr>
          <w:p w14:paraId="3ED8326B" w14:textId="77777777" w:rsidR="00D12939" w:rsidRDefault="004F47F5">
            <w:pPr>
              <w:pStyle w:val="afff6"/>
              <w:adjustRightInd w:val="0"/>
              <w:snapToGrid w:val="0"/>
              <w:spacing w:after="0"/>
              <w:ind w:firstLineChars="0" w:firstLine="0"/>
              <w:jc w:val="center"/>
              <w:rPr>
                <w:sz w:val="21"/>
                <w:szCs w:val="21"/>
              </w:rPr>
            </w:pPr>
            <w:r>
              <w:rPr>
                <w:sz w:val="21"/>
                <w:szCs w:val="21"/>
              </w:rPr>
              <w:t>应急监测、防护措施、消除事故</w:t>
            </w:r>
          </w:p>
        </w:tc>
        <w:tc>
          <w:tcPr>
            <w:tcW w:w="3523" w:type="pct"/>
            <w:vAlign w:val="center"/>
          </w:tcPr>
          <w:p w14:paraId="071300E0" w14:textId="77777777" w:rsidR="00D12939" w:rsidRDefault="004F47F5">
            <w:pPr>
              <w:pStyle w:val="afff6"/>
              <w:adjustRightInd w:val="0"/>
              <w:snapToGrid w:val="0"/>
              <w:spacing w:after="0"/>
              <w:ind w:firstLineChars="0" w:firstLine="0"/>
              <w:rPr>
                <w:sz w:val="21"/>
                <w:szCs w:val="21"/>
              </w:rPr>
            </w:pPr>
            <w:r>
              <w:rPr>
                <w:sz w:val="21"/>
                <w:szCs w:val="21"/>
              </w:rPr>
              <w:t>组织人员、设施对事故现场、邻近区域、控制区域进行调查，并及时组织力量清除事故污染区域及相应设施</w:t>
            </w:r>
          </w:p>
        </w:tc>
      </w:tr>
      <w:tr w:rsidR="00D12939" w14:paraId="0034600B" w14:textId="77777777">
        <w:trPr>
          <w:trHeight w:val="340"/>
        </w:trPr>
        <w:tc>
          <w:tcPr>
            <w:tcW w:w="453" w:type="pct"/>
            <w:vAlign w:val="center"/>
          </w:tcPr>
          <w:p w14:paraId="6E808B0C" w14:textId="77777777" w:rsidR="00D12939" w:rsidRDefault="004F47F5">
            <w:pPr>
              <w:pStyle w:val="afff6"/>
              <w:adjustRightInd w:val="0"/>
              <w:snapToGrid w:val="0"/>
              <w:spacing w:after="0"/>
              <w:ind w:firstLineChars="0" w:firstLine="0"/>
              <w:jc w:val="center"/>
              <w:rPr>
                <w:sz w:val="21"/>
                <w:szCs w:val="21"/>
              </w:rPr>
            </w:pPr>
            <w:r>
              <w:rPr>
                <w:sz w:val="21"/>
                <w:szCs w:val="21"/>
              </w:rPr>
              <w:lastRenderedPageBreak/>
              <w:t>8</w:t>
            </w:r>
          </w:p>
        </w:tc>
        <w:tc>
          <w:tcPr>
            <w:tcW w:w="1024" w:type="pct"/>
            <w:vAlign w:val="center"/>
          </w:tcPr>
          <w:p w14:paraId="54632B31" w14:textId="77777777" w:rsidR="00D12939" w:rsidRDefault="004F47F5">
            <w:pPr>
              <w:pStyle w:val="afff6"/>
              <w:adjustRightInd w:val="0"/>
              <w:snapToGrid w:val="0"/>
              <w:spacing w:after="0"/>
              <w:ind w:firstLineChars="0" w:firstLine="0"/>
              <w:jc w:val="center"/>
              <w:rPr>
                <w:sz w:val="21"/>
                <w:szCs w:val="21"/>
              </w:rPr>
            </w:pPr>
            <w:r>
              <w:rPr>
                <w:sz w:val="21"/>
                <w:szCs w:val="21"/>
              </w:rPr>
              <w:t>人员紧急撤离、疏散组织计划</w:t>
            </w:r>
          </w:p>
        </w:tc>
        <w:tc>
          <w:tcPr>
            <w:tcW w:w="3523" w:type="pct"/>
            <w:vAlign w:val="center"/>
          </w:tcPr>
          <w:p w14:paraId="7B7CDCED" w14:textId="77777777" w:rsidR="00D12939" w:rsidRDefault="004F47F5">
            <w:pPr>
              <w:pStyle w:val="afff6"/>
              <w:adjustRightInd w:val="0"/>
              <w:snapToGrid w:val="0"/>
              <w:spacing w:after="0"/>
              <w:ind w:firstLineChars="0" w:firstLine="0"/>
              <w:rPr>
                <w:sz w:val="21"/>
                <w:szCs w:val="21"/>
              </w:rPr>
            </w:pPr>
            <w:r>
              <w:rPr>
                <w:sz w:val="21"/>
                <w:szCs w:val="21"/>
              </w:rPr>
              <w:t>规定垃圾坝垮塌事故下，散户村民邻近区、受事故影响区域人员和公众，应迅速组织撤离，同时开展医疗救护</w:t>
            </w:r>
          </w:p>
        </w:tc>
      </w:tr>
      <w:tr w:rsidR="00D12939" w14:paraId="35A35AFE" w14:textId="77777777">
        <w:trPr>
          <w:trHeight w:val="340"/>
        </w:trPr>
        <w:tc>
          <w:tcPr>
            <w:tcW w:w="453" w:type="pct"/>
            <w:vAlign w:val="center"/>
          </w:tcPr>
          <w:p w14:paraId="745547DB" w14:textId="77777777" w:rsidR="00D12939" w:rsidRDefault="004F47F5">
            <w:pPr>
              <w:pStyle w:val="afff6"/>
              <w:adjustRightInd w:val="0"/>
              <w:snapToGrid w:val="0"/>
              <w:spacing w:after="0"/>
              <w:ind w:firstLineChars="0" w:firstLine="0"/>
              <w:jc w:val="center"/>
              <w:rPr>
                <w:sz w:val="21"/>
                <w:szCs w:val="21"/>
              </w:rPr>
            </w:pPr>
            <w:r>
              <w:rPr>
                <w:sz w:val="21"/>
                <w:szCs w:val="21"/>
              </w:rPr>
              <w:t>9</w:t>
            </w:r>
          </w:p>
        </w:tc>
        <w:tc>
          <w:tcPr>
            <w:tcW w:w="1024" w:type="pct"/>
            <w:vAlign w:val="center"/>
          </w:tcPr>
          <w:p w14:paraId="06B28FCE" w14:textId="77777777" w:rsidR="00D12939" w:rsidRDefault="004F47F5">
            <w:pPr>
              <w:pStyle w:val="afff6"/>
              <w:adjustRightInd w:val="0"/>
              <w:snapToGrid w:val="0"/>
              <w:spacing w:after="0"/>
              <w:ind w:firstLineChars="0" w:firstLine="0"/>
              <w:jc w:val="center"/>
              <w:rPr>
                <w:sz w:val="21"/>
                <w:szCs w:val="21"/>
              </w:rPr>
            </w:pPr>
            <w:r>
              <w:rPr>
                <w:sz w:val="21"/>
                <w:szCs w:val="21"/>
              </w:rPr>
              <w:t>事故应急救援关闭程序与恢复措施</w:t>
            </w:r>
          </w:p>
        </w:tc>
        <w:tc>
          <w:tcPr>
            <w:tcW w:w="3523" w:type="pct"/>
            <w:vAlign w:val="center"/>
          </w:tcPr>
          <w:p w14:paraId="0B437B46" w14:textId="77777777" w:rsidR="00D12939" w:rsidRDefault="004F47F5">
            <w:pPr>
              <w:pStyle w:val="afff6"/>
              <w:adjustRightInd w:val="0"/>
              <w:snapToGrid w:val="0"/>
              <w:spacing w:after="0"/>
              <w:ind w:firstLineChars="0" w:firstLine="0"/>
              <w:rPr>
                <w:sz w:val="21"/>
                <w:szCs w:val="21"/>
              </w:rPr>
            </w:pPr>
            <w:r>
              <w:rPr>
                <w:sz w:val="21"/>
                <w:szCs w:val="21"/>
              </w:rPr>
              <w:t>规定应急状态终止程序：</w:t>
            </w:r>
          </w:p>
          <w:p w14:paraId="36DCF111" w14:textId="77777777" w:rsidR="00D12939" w:rsidRDefault="004F47F5">
            <w:pPr>
              <w:pStyle w:val="afff6"/>
              <w:adjustRightInd w:val="0"/>
              <w:snapToGrid w:val="0"/>
              <w:spacing w:after="0"/>
              <w:ind w:firstLineChars="0" w:firstLine="0"/>
              <w:rPr>
                <w:sz w:val="21"/>
                <w:szCs w:val="21"/>
              </w:rPr>
            </w:pPr>
            <w:r>
              <w:rPr>
                <w:sz w:val="21"/>
                <w:szCs w:val="21"/>
              </w:rPr>
              <w:t>规定事故现场善后处理、恢复措施</w:t>
            </w:r>
          </w:p>
          <w:p w14:paraId="5518DB56" w14:textId="77777777" w:rsidR="00D12939" w:rsidRDefault="004F47F5">
            <w:pPr>
              <w:pStyle w:val="afff6"/>
              <w:adjustRightInd w:val="0"/>
              <w:snapToGrid w:val="0"/>
              <w:spacing w:after="0"/>
              <w:ind w:firstLineChars="0" w:firstLine="0"/>
              <w:rPr>
                <w:sz w:val="21"/>
                <w:szCs w:val="21"/>
              </w:rPr>
            </w:pPr>
            <w:r>
              <w:rPr>
                <w:sz w:val="21"/>
                <w:szCs w:val="21"/>
              </w:rPr>
              <w:t>制定邻近区域解除事故警戒及善后恢复措施</w:t>
            </w:r>
          </w:p>
        </w:tc>
      </w:tr>
      <w:tr w:rsidR="00D12939" w14:paraId="4A694946" w14:textId="77777777">
        <w:trPr>
          <w:trHeight w:val="340"/>
        </w:trPr>
        <w:tc>
          <w:tcPr>
            <w:tcW w:w="453" w:type="pct"/>
            <w:vAlign w:val="center"/>
          </w:tcPr>
          <w:p w14:paraId="56E69990" w14:textId="77777777" w:rsidR="00D12939" w:rsidRDefault="004F47F5">
            <w:pPr>
              <w:pStyle w:val="afff6"/>
              <w:adjustRightInd w:val="0"/>
              <w:snapToGrid w:val="0"/>
              <w:spacing w:after="0"/>
              <w:ind w:firstLineChars="0" w:firstLine="0"/>
              <w:jc w:val="center"/>
              <w:rPr>
                <w:sz w:val="21"/>
                <w:szCs w:val="21"/>
              </w:rPr>
            </w:pPr>
            <w:r>
              <w:rPr>
                <w:sz w:val="21"/>
                <w:szCs w:val="21"/>
              </w:rPr>
              <w:t>10</w:t>
            </w:r>
          </w:p>
        </w:tc>
        <w:tc>
          <w:tcPr>
            <w:tcW w:w="1024" w:type="pct"/>
            <w:vAlign w:val="center"/>
          </w:tcPr>
          <w:p w14:paraId="679E1A9A" w14:textId="77777777" w:rsidR="00D12939" w:rsidRDefault="004F47F5">
            <w:pPr>
              <w:pStyle w:val="afff6"/>
              <w:adjustRightInd w:val="0"/>
              <w:snapToGrid w:val="0"/>
              <w:spacing w:after="0"/>
              <w:ind w:firstLineChars="0" w:firstLine="0"/>
              <w:jc w:val="center"/>
              <w:rPr>
                <w:sz w:val="21"/>
                <w:szCs w:val="21"/>
              </w:rPr>
            </w:pPr>
            <w:r>
              <w:rPr>
                <w:sz w:val="21"/>
                <w:szCs w:val="21"/>
              </w:rPr>
              <w:t>应急培训计划</w:t>
            </w:r>
          </w:p>
        </w:tc>
        <w:tc>
          <w:tcPr>
            <w:tcW w:w="3523" w:type="pct"/>
            <w:vAlign w:val="center"/>
          </w:tcPr>
          <w:p w14:paraId="376F785D" w14:textId="77777777" w:rsidR="00D12939" w:rsidRDefault="004F47F5">
            <w:pPr>
              <w:pStyle w:val="afff6"/>
              <w:adjustRightInd w:val="0"/>
              <w:snapToGrid w:val="0"/>
              <w:spacing w:after="0"/>
              <w:ind w:firstLineChars="0" w:firstLine="0"/>
              <w:rPr>
                <w:sz w:val="21"/>
                <w:szCs w:val="21"/>
              </w:rPr>
            </w:pPr>
            <w:r>
              <w:rPr>
                <w:sz w:val="21"/>
                <w:szCs w:val="21"/>
              </w:rPr>
              <w:t>应急计划制定后，平时安排人员培训与演练</w:t>
            </w:r>
          </w:p>
        </w:tc>
      </w:tr>
      <w:tr w:rsidR="00D12939" w14:paraId="6072F766" w14:textId="77777777">
        <w:trPr>
          <w:trHeight w:val="340"/>
        </w:trPr>
        <w:tc>
          <w:tcPr>
            <w:tcW w:w="453" w:type="pct"/>
            <w:vAlign w:val="center"/>
          </w:tcPr>
          <w:p w14:paraId="442CD2D4" w14:textId="77777777" w:rsidR="00D12939" w:rsidRDefault="004F47F5">
            <w:pPr>
              <w:pStyle w:val="afff6"/>
              <w:adjustRightInd w:val="0"/>
              <w:snapToGrid w:val="0"/>
              <w:spacing w:after="0"/>
              <w:ind w:firstLineChars="0" w:firstLine="0"/>
              <w:jc w:val="center"/>
              <w:rPr>
                <w:sz w:val="21"/>
                <w:szCs w:val="21"/>
              </w:rPr>
            </w:pPr>
            <w:r>
              <w:rPr>
                <w:sz w:val="21"/>
                <w:szCs w:val="21"/>
              </w:rPr>
              <w:t>11</w:t>
            </w:r>
          </w:p>
        </w:tc>
        <w:tc>
          <w:tcPr>
            <w:tcW w:w="1024" w:type="pct"/>
            <w:vAlign w:val="center"/>
          </w:tcPr>
          <w:p w14:paraId="06A0E50A" w14:textId="77777777" w:rsidR="00D12939" w:rsidRDefault="004F47F5">
            <w:pPr>
              <w:pStyle w:val="afff6"/>
              <w:adjustRightInd w:val="0"/>
              <w:snapToGrid w:val="0"/>
              <w:spacing w:after="0"/>
              <w:ind w:firstLineChars="0" w:firstLine="0"/>
              <w:jc w:val="center"/>
              <w:rPr>
                <w:sz w:val="21"/>
                <w:szCs w:val="21"/>
              </w:rPr>
            </w:pPr>
            <w:r>
              <w:rPr>
                <w:sz w:val="21"/>
                <w:szCs w:val="21"/>
              </w:rPr>
              <w:t>公众教育和信息</w:t>
            </w:r>
          </w:p>
        </w:tc>
        <w:tc>
          <w:tcPr>
            <w:tcW w:w="3523" w:type="pct"/>
            <w:vAlign w:val="center"/>
          </w:tcPr>
          <w:p w14:paraId="657F51D3" w14:textId="77777777" w:rsidR="00D12939" w:rsidRDefault="004F47F5">
            <w:pPr>
              <w:pStyle w:val="afff6"/>
              <w:adjustRightInd w:val="0"/>
              <w:snapToGrid w:val="0"/>
              <w:spacing w:after="0"/>
              <w:ind w:firstLineChars="0" w:firstLine="0"/>
              <w:rPr>
                <w:sz w:val="21"/>
                <w:szCs w:val="21"/>
              </w:rPr>
            </w:pPr>
            <w:r>
              <w:rPr>
                <w:sz w:val="21"/>
                <w:szCs w:val="21"/>
              </w:rPr>
              <w:t>对项目邻近区域开展公众教育、培训和发布有关信息</w:t>
            </w:r>
          </w:p>
        </w:tc>
      </w:tr>
    </w:tbl>
    <w:p w14:paraId="3589E58A" w14:textId="77777777" w:rsidR="00D12939" w:rsidRDefault="004F47F5">
      <w:pPr>
        <w:pStyle w:val="2"/>
        <w:spacing w:line="360" w:lineRule="auto"/>
        <w:ind w:firstLineChars="165" w:firstLine="462"/>
        <w:rPr>
          <w:sz w:val="28"/>
        </w:rPr>
      </w:pPr>
      <w:bookmarkStart w:id="572" w:name="_Toc41343004"/>
      <w:bookmarkStart w:id="573" w:name="_Toc121411802"/>
      <w:r>
        <w:rPr>
          <w:rFonts w:hint="eastAsia"/>
          <w:sz w:val="28"/>
        </w:rPr>
        <w:t>8</w:t>
      </w:r>
      <w:r>
        <w:rPr>
          <w:sz w:val="28"/>
        </w:rPr>
        <w:t>.7</w:t>
      </w:r>
      <w:r>
        <w:rPr>
          <w:rFonts w:hint="eastAsia"/>
          <w:sz w:val="28"/>
        </w:rPr>
        <w:t>环境风险影响评价结论</w:t>
      </w:r>
      <w:bookmarkEnd w:id="572"/>
      <w:bookmarkEnd w:id="573"/>
    </w:p>
    <w:p w14:paraId="06379EAD" w14:textId="77777777" w:rsidR="00D12939" w:rsidRDefault="004F47F5">
      <w:pPr>
        <w:pStyle w:val="2a"/>
        <w:adjustRightInd w:val="0"/>
        <w:snapToGrid w:val="0"/>
        <w:spacing w:after="0" w:line="360" w:lineRule="auto"/>
        <w:ind w:leftChars="0" w:left="0" w:firstLine="480"/>
      </w:pPr>
      <w:r>
        <w:t>本次评价对可能存在的风险进行分析，并给出响应的污染防治措施，再此基础上提出事故应急预案，以尽可能将风险事故发生概率降至最低。在采取评价提出的各项风险防范措施后，项目环境风险可防可控。</w:t>
      </w:r>
    </w:p>
    <w:p w14:paraId="1ECF0786" w14:textId="77777777" w:rsidR="00D12939" w:rsidRDefault="004F47F5">
      <w:pPr>
        <w:pStyle w:val="2a"/>
        <w:adjustRightInd w:val="0"/>
        <w:snapToGrid w:val="0"/>
        <w:spacing w:after="0" w:line="360" w:lineRule="auto"/>
        <w:ind w:leftChars="0" w:left="0" w:firstLine="480"/>
      </w:pPr>
      <w:r>
        <w:t>本项目环境风险简单分析内容见表</w:t>
      </w:r>
      <w:r>
        <w:t>8.7-1</w:t>
      </w:r>
      <w:r>
        <w:t>。</w:t>
      </w:r>
    </w:p>
    <w:p w14:paraId="07606DC2" w14:textId="77777777" w:rsidR="00D12939" w:rsidRDefault="004F47F5">
      <w:pPr>
        <w:adjustRightInd w:val="0"/>
        <w:snapToGrid w:val="0"/>
        <w:jc w:val="center"/>
        <w:rPr>
          <w:rFonts w:ascii="黑体" w:eastAsia="黑体" w:hAnsi="黑体"/>
          <w:bCs/>
          <w:kern w:val="0"/>
          <w:sz w:val="24"/>
          <w:szCs w:val="21"/>
        </w:rPr>
      </w:pPr>
      <w:r>
        <w:rPr>
          <w:rFonts w:ascii="黑体" w:eastAsia="黑体" w:hAnsi="黑体"/>
          <w:bCs/>
          <w:kern w:val="0"/>
          <w:sz w:val="24"/>
          <w:szCs w:val="21"/>
        </w:rPr>
        <w:t>表8.7-1  项目环境风险简单分析内容表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2"/>
        <w:gridCol w:w="1506"/>
        <w:gridCol w:w="2540"/>
        <w:gridCol w:w="1385"/>
        <w:gridCol w:w="2563"/>
      </w:tblGrid>
      <w:tr w:rsidR="00D12939" w14:paraId="38D1535D" w14:textId="77777777">
        <w:trPr>
          <w:trHeight w:val="340"/>
          <w:jc w:val="center"/>
        </w:trPr>
        <w:tc>
          <w:tcPr>
            <w:tcW w:w="1742" w:type="dxa"/>
            <w:vAlign w:val="center"/>
          </w:tcPr>
          <w:p w14:paraId="195F694C" w14:textId="77777777" w:rsidR="00D12939" w:rsidRDefault="004F47F5">
            <w:pPr>
              <w:pStyle w:val="afff6"/>
              <w:spacing w:after="0"/>
              <w:ind w:firstLineChars="0" w:firstLine="0"/>
              <w:jc w:val="center"/>
              <w:rPr>
                <w:sz w:val="21"/>
                <w:szCs w:val="21"/>
              </w:rPr>
            </w:pPr>
            <w:r>
              <w:rPr>
                <w:sz w:val="21"/>
                <w:szCs w:val="21"/>
              </w:rPr>
              <w:t>建设项目名称</w:t>
            </w:r>
          </w:p>
        </w:tc>
        <w:tc>
          <w:tcPr>
            <w:tcW w:w="7994" w:type="dxa"/>
            <w:gridSpan w:val="4"/>
            <w:vAlign w:val="center"/>
          </w:tcPr>
          <w:p w14:paraId="7C573676" w14:textId="77777777" w:rsidR="00D12939" w:rsidRDefault="004F47F5">
            <w:pPr>
              <w:pStyle w:val="afff6"/>
              <w:spacing w:after="0"/>
              <w:ind w:firstLineChars="0" w:firstLine="0"/>
              <w:jc w:val="center"/>
              <w:rPr>
                <w:sz w:val="21"/>
                <w:szCs w:val="21"/>
              </w:rPr>
            </w:pPr>
            <w:r>
              <w:rPr>
                <w:rFonts w:hint="eastAsia"/>
                <w:sz w:val="21"/>
                <w:szCs w:val="21"/>
              </w:rPr>
              <w:t>柞水县固体废弃物综合处置场项目</w:t>
            </w:r>
          </w:p>
        </w:tc>
      </w:tr>
      <w:tr w:rsidR="00D12939" w14:paraId="57A087E0" w14:textId="77777777">
        <w:trPr>
          <w:trHeight w:val="340"/>
          <w:jc w:val="center"/>
        </w:trPr>
        <w:tc>
          <w:tcPr>
            <w:tcW w:w="1742" w:type="dxa"/>
            <w:vAlign w:val="center"/>
          </w:tcPr>
          <w:p w14:paraId="5177F26C" w14:textId="77777777" w:rsidR="00D12939" w:rsidRDefault="004F47F5">
            <w:pPr>
              <w:pStyle w:val="afff6"/>
              <w:spacing w:after="0"/>
              <w:ind w:firstLineChars="0" w:firstLine="0"/>
              <w:jc w:val="center"/>
              <w:rPr>
                <w:sz w:val="21"/>
                <w:szCs w:val="21"/>
              </w:rPr>
            </w:pPr>
            <w:r>
              <w:rPr>
                <w:sz w:val="21"/>
                <w:szCs w:val="21"/>
              </w:rPr>
              <w:t>建设地点</w:t>
            </w:r>
          </w:p>
        </w:tc>
        <w:tc>
          <w:tcPr>
            <w:tcW w:w="7994" w:type="dxa"/>
            <w:gridSpan w:val="4"/>
            <w:vAlign w:val="center"/>
          </w:tcPr>
          <w:p w14:paraId="019BF8B2" w14:textId="77777777" w:rsidR="00D12939" w:rsidRDefault="004F47F5">
            <w:pPr>
              <w:pStyle w:val="afff6"/>
              <w:spacing w:after="0"/>
              <w:ind w:firstLineChars="0" w:firstLine="0"/>
              <w:jc w:val="center"/>
              <w:rPr>
                <w:sz w:val="21"/>
                <w:szCs w:val="21"/>
              </w:rPr>
            </w:pPr>
            <w:r>
              <w:rPr>
                <w:rFonts w:hint="eastAsia"/>
                <w:sz w:val="21"/>
                <w:szCs w:val="21"/>
              </w:rPr>
              <w:t>商洛市柞水县小六里沟</w:t>
            </w:r>
          </w:p>
        </w:tc>
      </w:tr>
      <w:tr w:rsidR="00D12939" w14:paraId="23F65BA8" w14:textId="77777777">
        <w:trPr>
          <w:trHeight w:val="340"/>
          <w:jc w:val="center"/>
        </w:trPr>
        <w:tc>
          <w:tcPr>
            <w:tcW w:w="1742" w:type="dxa"/>
            <w:vAlign w:val="center"/>
          </w:tcPr>
          <w:p w14:paraId="44897398" w14:textId="77777777" w:rsidR="00D12939" w:rsidRDefault="004F47F5">
            <w:pPr>
              <w:pStyle w:val="afff6"/>
              <w:spacing w:after="0"/>
              <w:ind w:firstLineChars="0" w:firstLine="0"/>
              <w:jc w:val="center"/>
              <w:rPr>
                <w:sz w:val="21"/>
                <w:szCs w:val="21"/>
              </w:rPr>
            </w:pPr>
            <w:r>
              <w:rPr>
                <w:sz w:val="21"/>
                <w:szCs w:val="21"/>
              </w:rPr>
              <w:t>地理坐标</w:t>
            </w:r>
          </w:p>
        </w:tc>
        <w:tc>
          <w:tcPr>
            <w:tcW w:w="1506" w:type="dxa"/>
            <w:vAlign w:val="center"/>
          </w:tcPr>
          <w:p w14:paraId="68245DA4" w14:textId="77777777" w:rsidR="00D12939" w:rsidRDefault="004F47F5">
            <w:pPr>
              <w:pStyle w:val="afff6"/>
              <w:spacing w:after="0"/>
              <w:ind w:firstLineChars="0" w:firstLine="0"/>
              <w:jc w:val="center"/>
              <w:rPr>
                <w:sz w:val="21"/>
                <w:szCs w:val="21"/>
              </w:rPr>
            </w:pPr>
            <w:r>
              <w:rPr>
                <w:sz w:val="21"/>
                <w:szCs w:val="21"/>
              </w:rPr>
              <w:t>经度</w:t>
            </w:r>
          </w:p>
        </w:tc>
        <w:tc>
          <w:tcPr>
            <w:tcW w:w="2540" w:type="dxa"/>
            <w:vAlign w:val="center"/>
          </w:tcPr>
          <w:p w14:paraId="56294B19" w14:textId="77777777" w:rsidR="00D12939" w:rsidRDefault="004F47F5">
            <w:pPr>
              <w:pStyle w:val="afff6"/>
              <w:spacing w:after="0"/>
              <w:ind w:firstLineChars="0" w:firstLine="0"/>
              <w:jc w:val="center"/>
              <w:rPr>
                <w:sz w:val="21"/>
                <w:szCs w:val="21"/>
              </w:rPr>
            </w:pPr>
            <w:r>
              <w:rPr>
                <w:sz w:val="21"/>
                <w:szCs w:val="21"/>
              </w:rPr>
              <w:t>109°14′11.80″</w:t>
            </w:r>
          </w:p>
        </w:tc>
        <w:tc>
          <w:tcPr>
            <w:tcW w:w="1385" w:type="dxa"/>
            <w:vAlign w:val="center"/>
          </w:tcPr>
          <w:p w14:paraId="0932D4DA" w14:textId="77777777" w:rsidR="00D12939" w:rsidRDefault="004F47F5">
            <w:pPr>
              <w:pStyle w:val="afff6"/>
              <w:spacing w:after="0"/>
              <w:ind w:firstLineChars="0" w:firstLine="0"/>
              <w:jc w:val="center"/>
              <w:rPr>
                <w:sz w:val="21"/>
                <w:szCs w:val="21"/>
              </w:rPr>
            </w:pPr>
            <w:r>
              <w:rPr>
                <w:sz w:val="21"/>
                <w:szCs w:val="21"/>
              </w:rPr>
              <w:t>纬度</w:t>
            </w:r>
          </w:p>
        </w:tc>
        <w:tc>
          <w:tcPr>
            <w:tcW w:w="2563" w:type="dxa"/>
            <w:vAlign w:val="center"/>
          </w:tcPr>
          <w:p w14:paraId="7E1C6FB5" w14:textId="77777777" w:rsidR="00D12939" w:rsidRDefault="004F47F5">
            <w:pPr>
              <w:pStyle w:val="afff6"/>
              <w:spacing w:after="0"/>
              <w:ind w:firstLineChars="0" w:firstLine="0"/>
              <w:jc w:val="center"/>
              <w:rPr>
                <w:sz w:val="21"/>
                <w:szCs w:val="21"/>
              </w:rPr>
            </w:pPr>
            <w:r>
              <w:rPr>
                <w:sz w:val="21"/>
                <w:szCs w:val="21"/>
              </w:rPr>
              <w:t>33°39′24.28″</w:t>
            </w:r>
          </w:p>
        </w:tc>
      </w:tr>
      <w:tr w:rsidR="00D12939" w14:paraId="083B05EC" w14:textId="77777777">
        <w:trPr>
          <w:trHeight w:val="340"/>
          <w:jc w:val="center"/>
        </w:trPr>
        <w:tc>
          <w:tcPr>
            <w:tcW w:w="1742" w:type="dxa"/>
            <w:vAlign w:val="center"/>
          </w:tcPr>
          <w:p w14:paraId="3D26FAE6" w14:textId="77777777" w:rsidR="00D12939" w:rsidRDefault="004F47F5">
            <w:pPr>
              <w:pStyle w:val="afff6"/>
              <w:spacing w:after="0"/>
              <w:ind w:firstLineChars="0" w:firstLine="0"/>
              <w:jc w:val="center"/>
              <w:rPr>
                <w:sz w:val="21"/>
                <w:szCs w:val="21"/>
              </w:rPr>
            </w:pPr>
            <w:r>
              <w:rPr>
                <w:sz w:val="21"/>
                <w:szCs w:val="21"/>
              </w:rPr>
              <w:t>主要危险物质分布</w:t>
            </w:r>
          </w:p>
        </w:tc>
        <w:tc>
          <w:tcPr>
            <w:tcW w:w="7994" w:type="dxa"/>
            <w:gridSpan w:val="4"/>
            <w:vAlign w:val="center"/>
          </w:tcPr>
          <w:p w14:paraId="1B740C3E" w14:textId="77777777" w:rsidR="00D12939" w:rsidRDefault="004F47F5">
            <w:pPr>
              <w:pStyle w:val="afff6"/>
              <w:spacing w:after="0"/>
              <w:ind w:firstLineChars="0" w:firstLine="0"/>
              <w:rPr>
                <w:sz w:val="21"/>
                <w:szCs w:val="21"/>
              </w:rPr>
            </w:pPr>
            <w:r>
              <w:rPr>
                <w:rFonts w:hAnsi="宋体"/>
                <w:sz w:val="21"/>
                <w:szCs w:val="21"/>
              </w:rPr>
              <w:t>①</w:t>
            </w:r>
            <w:r>
              <w:rPr>
                <w:sz w:val="21"/>
                <w:szCs w:val="21"/>
              </w:rPr>
              <w:t>项目垃圾填埋场产排填埋气（甲烷、硫化氢和氨气），有引发爆炸的隐患；</w:t>
            </w:r>
          </w:p>
          <w:p w14:paraId="4E067353" w14:textId="77777777" w:rsidR="00D12939" w:rsidRDefault="004F47F5">
            <w:pPr>
              <w:pStyle w:val="afff6"/>
              <w:spacing w:after="0"/>
              <w:ind w:firstLineChars="0" w:firstLine="0"/>
              <w:rPr>
                <w:sz w:val="21"/>
                <w:szCs w:val="21"/>
              </w:rPr>
            </w:pPr>
            <w:r>
              <w:rPr>
                <w:rFonts w:hAnsi="宋体"/>
                <w:sz w:val="21"/>
                <w:szCs w:val="21"/>
              </w:rPr>
              <w:t>②</w:t>
            </w:r>
            <w:r>
              <w:rPr>
                <w:sz w:val="21"/>
                <w:szCs w:val="21"/>
              </w:rPr>
              <w:t>填埋场产排渗滤液如下渗可能对地下水的污染；</w:t>
            </w:r>
          </w:p>
          <w:p w14:paraId="688317F5" w14:textId="77777777" w:rsidR="00D12939" w:rsidRDefault="004F47F5">
            <w:pPr>
              <w:pStyle w:val="afff6"/>
              <w:spacing w:after="0"/>
              <w:ind w:firstLineChars="0" w:firstLine="0"/>
              <w:rPr>
                <w:sz w:val="21"/>
                <w:szCs w:val="21"/>
              </w:rPr>
            </w:pPr>
            <w:r>
              <w:rPr>
                <w:rFonts w:hAnsi="宋体"/>
                <w:sz w:val="21"/>
                <w:szCs w:val="21"/>
              </w:rPr>
              <w:t>③</w:t>
            </w:r>
            <w:r>
              <w:rPr>
                <w:sz w:val="21"/>
                <w:szCs w:val="21"/>
              </w:rPr>
              <w:t>填埋场垃圾坝体可能发生溃坝引发的环境问题。</w:t>
            </w:r>
          </w:p>
        </w:tc>
      </w:tr>
      <w:tr w:rsidR="00D12939" w14:paraId="50EDDF6A" w14:textId="77777777">
        <w:trPr>
          <w:trHeight w:val="340"/>
          <w:jc w:val="center"/>
        </w:trPr>
        <w:tc>
          <w:tcPr>
            <w:tcW w:w="1742" w:type="dxa"/>
            <w:vAlign w:val="center"/>
          </w:tcPr>
          <w:p w14:paraId="5B5EE222" w14:textId="77777777" w:rsidR="00D12939" w:rsidRDefault="004F47F5">
            <w:pPr>
              <w:pStyle w:val="afff6"/>
              <w:spacing w:after="0"/>
              <w:ind w:firstLineChars="0" w:firstLine="0"/>
              <w:rPr>
                <w:sz w:val="21"/>
                <w:szCs w:val="21"/>
              </w:rPr>
            </w:pPr>
            <w:r>
              <w:rPr>
                <w:sz w:val="21"/>
                <w:szCs w:val="21"/>
              </w:rPr>
              <w:t>环境影响途径及危害后果（大气、地表水、地下水等）</w:t>
            </w:r>
          </w:p>
        </w:tc>
        <w:tc>
          <w:tcPr>
            <w:tcW w:w="7994" w:type="dxa"/>
            <w:gridSpan w:val="4"/>
            <w:vAlign w:val="center"/>
          </w:tcPr>
          <w:p w14:paraId="6216236B" w14:textId="77777777" w:rsidR="00D12939" w:rsidRDefault="004F47F5">
            <w:pPr>
              <w:pStyle w:val="afff6"/>
              <w:spacing w:after="0"/>
              <w:ind w:firstLineChars="0" w:firstLine="0"/>
              <w:rPr>
                <w:sz w:val="21"/>
                <w:szCs w:val="21"/>
              </w:rPr>
            </w:pPr>
            <w:r>
              <w:rPr>
                <w:rFonts w:ascii="宋体" w:hAnsi="宋体" w:cs="宋体" w:hint="eastAsia"/>
                <w:sz w:val="21"/>
                <w:szCs w:val="21"/>
              </w:rPr>
              <w:t>①</w:t>
            </w:r>
            <w:r>
              <w:rPr>
                <w:sz w:val="21"/>
                <w:szCs w:val="21"/>
              </w:rPr>
              <w:t>填埋气引发爆炸隐患：填埋气体导排异常，当甲烷气浓度达到</w:t>
            </w:r>
            <w:r>
              <w:rPr>
                <w:sz w:val="21"/>
                <w:szCs w:val="21"/>
              </w:rPr>
              <w:t>5%</w:t>
            </w:r>
            <w:r>
              <w:rPr>
                <w:sz w:val="21"/>
                <w:szCs w:val="21"/>
              </w:rPr>
              <w:t>～</w:t>
            </w:r>
            <w:r>
              <w:rPr>
                <w:sz w:val="21"/>
                <w:szCs w:val="21"/>
              </w:rPr>
              <w:t>15%</w:t>
            </w:r>
            <w:r>
              <w:rPr>
                <w:sz w:val="21"/>
                <w:szCs w:val="21"/>
              </w:rPr>
              <w:t>，与空气混合如遇明火，会引起爆炸，发生火灾，造成人员伤亡、财产损失和社会影响。</w:t>
            </w:r>
          </w:p>
          <w:p w14:paraId="06599D63" w14:textId="77777777" w:rsidR="00D12939" w:rsidRDefault="004F47F5">
            <w:pPr>
              <w:pStyle w:val="afff6"/>
              <w:spacing w:after="0"/>
              <w:ind w:firstLineChars="0" w:firstLine="0"/>
              <w:rPr>
                <w:sz w:val="21"/>
                <w:szCs w:val="21"/>
              </w:rPr>
            </w:pPr>
            <w:r>
              <w:rPr>
                <w:rFonts w:ascii="宋体" w:hAnsi="宋体" w:cs="宋体" w:hint="eastAsia"/>
                <w:sz w:val="21"/>
                <w:szCs w:val="21"/>
              </w:rPr>
              <w:t>②</w:t>
            </w:r>
            <w:r>
              <w:rPr>
                <w:sz w:val="21"/>
                <w:szCs w:val="21"/>
              </w:rPr>
              <w:t>填埋场渗滤液污染地下水风险：填埋场导排系统失效、防渗层断裂、溃坝等会导致地下水污染。</w:t>
            </w:r>
          </w:p>
          <w:p w14:paraId="36F78674" w14:textId="77777777" w:rsidR="00D12939" w:rsidRDefault="004F47F5">
            <w:pPr>
              <w:pStyle w:val="afff6"/>
              <w:spacing w:after="0"/>
              <w:ind w:firstLineChars="0" w:firstLine="0"/>
              <w:rPr>
                <w:sz w:val="21"/>
                <w:szCs w:val="21"/>
              </w:rPr>
            </w:pPr>
            <w:r>
              <w:rPr>
                <w:rFonts w:ascii="宋体" w:hAnsi="宋体" w:cs="宋体" w:hint="eastAsia"/>
                <w:sz w:val="21"/>
                <w:szCs w:val="21"/>
              </w:rPr>
              <w:t>③</w:t>
            </w:r>
            <w:r>
              <w:rPr>
                <w:sz w:val="21"/>
                <w:szCs w:val="21"/>
              </w:rPr>
              <w:t>垃圾坝溃坝风险：如遇暴雨时填埋场可能发生洪水、引起垃圾坝溃坝事故，垃圾堵塞沟道，散发恶臭气体，影响区内地下水、土壤和生态环境。</w:t>
            </w:r>
          </w:p>
        </w:tc>
      </w:tr>
      <w:tr w:rsidR="00D12939" w14:paraId="2A23FBFB" w14:textId="77777777">
        <w:trPr>
          <w:trHeight w:val="340"/>
          <w:jc w:val="center"/>
        </w:trPr>
        <w:tc>
          <w:tcPr>
            <w:tcW w:w="1742" w:type="dxa"/>
            <w:vAlign w:val="center"/>
          </w:tcPr>
          <w:p w14:paraId="50A0C617" w14:textId="77777777" w:rsidR="00D12939" w:rsidRDefault="004F47F5">
            <w:pPr>
              <w:pStyle w:val="afff6"/>
              <w:spacing w:after="0"/>
              <w:ind w:firstLineChars="0" w:firstLine="0"/>
              <w:jc w:val="center"/>
              <w:rPr>
                <w:sz w:val="21"/>
                <w:szCs w:val="21"/>
              </w:rPr>
            </w:pPr>
            <w:r>
              <w:rPr>
                <w:sz w:val="21"/>
                <w:szCs w:val="21"/>
              </w:rPr>
              <w:t>风险防范措施要求</w:t>
            </w:r>
          </w:p>
        </w:tc>
        <w:tc>
          <w:tcPr>
            <w:tcW w:w="7994" w:type="dxa"/>
            <w:gridSpan w:val="4"/>
            <w:vAlign w:val="center"/>
          </w:tcPr>
          <w:p w14:paraId="42DC3F5D" w14:textId="77777777" w:rsidR="00D12939" w:rsidRDefault="004F47F5">
            <w:pPr>
              <w:pStyle w:val="afff6"/>
              <w:spacing w:after="0"/>
              <w:ind w:firstLineChars="0" w:firstLine="0"/>
              <w:rPr>
                <w:sz w:val="21"/>
                <w:szCs w:val="21"/>
              </w:rPr>
            </w:pPr>
            <w:r>
              <w:rPr>
                <w:rFonts w:ascii="宋体" w:hAnsi="宋体" w:cs="宋体" w:hint="eastAsia"/>
                <w:sz w:val="21"/>
                <w:szCs w:val="21"/>
              </w:rPr>
              <w:t>①</w:t>
            </w:r>
            <w:r>
              <w:rPr>
                <w:sz w:val="21"/>
                <w:szCs w:val="21"/>
              </w:rPr>
              <w:t>填埋气防治措施：一是场区严禁烟火，设明显防火标志牌；二是每月对导气孔进行沼气浓度监测，每半年进行一次沼气（</w:t>
            </w:r>
            <w:r>
              <w:rPr>
                <w:sz w:val="21"/>
                <w:szCs w:val="21"/>
              </w:rPr>
              <w:t>CH</w:t>
            </w:r>
            <w:r>
              <w:rPr>
                <w:sz w:val="21"/>
                <w:szCs w:val="21"/>
                <w:vertAlign w:val="subscript"/>
              </w:rPr>
              <w:t>4</w:t>
            </w:r>
            <w:r>
              <w:rPr>
                <w:sz w:val="21"/>
                <w:szCs w:val="21"/>
              </w:rPr>
              <w:t>、</w:t>
            </w:r>
            <w:r>
              <w:rPr>
                <w:sz w:val="21"/>
                <w:szCs w:val="21"/>
              </w:rPr>
              <w:t>H</w:t>
            </w:r>
            <w:r>
              <w:rPr>
                <w:sz w:val="21"/>
                <w:szCs w:val="21"/>
                <w:vertAlign w:val="subscript"/>
              </w:rPr>
              <w:t>2</w:t>
            </w:r>
            <w:r>
              <w:rPr>
                <w:sz w:val="21"/>
                <w:szCs w:val="21"/>
              </w:rPr>
              <w:t>S</w:t>
            </w:r>
            <w:r>
              <w:rPr>
                <w:sz w:val="21"/>
                <w:szCs w:val="21"/>
              </w:rPr>
              <w:t>、</w:t>
            </w:r>
            <w:r>
              <w:rPr>
                <w:sz w:val="21"/>
                <w:szCs w:val="21"/>
              </w:rPr>
              <w:t>NH</w:t>
            </w:r>
            <w:r>
              <w:rPr>
                <w:sz w:val="21"/>
                <w:szCs w:val="21"/>
                <w:vertAlign w:val="subscript"/>
              </w:rPr>
              <w:t>3</w:t>
            </w:r>
            <w:r>
              <w:rPr>
                <w:sz w:val="21"/>
                <w:szCs w:val="21"/>
              </w:rPr>
              <w:t>含量）环境质量监测；三是建议设置沼气浓度超限警示系统；四是加强对填埋气收集导排措施的检查、监管；五是制定填埋场防火、防爆应急预案，定期进行演练。</w:t>
            </w:r>
          </w:p>
          <w:p w14:paraId="1677B8EA" w14:textId="77777777" w:rsidR="00D12939" w:rsidRDefault="004F47F5">
            <w:pPr>
              <w:pStyle w:val="afff6"/>
              <w:spacing w:after="0"/>
              <w:ind w:firstLineChars="0" w:firstLine="0"/>
              <w:rPr>
                <w:sz w:val="21"/>
                <w:szCs w:val="21"/>
              </w:rPr>
            </w:pPr>
            <w:r>
              <w:rPr>
                <w:rFonts w:ascii="宋体" w:hAnsi="宋体" w:cs="宋体" w:hint="eastAsia"/>
                <w:sz w:val="21"/>
                <w:szCs w:val="21"/>
              </w:rPr>
              <w:t>②</w:t>
            </w:r>
            <w:r>
              <w:rPr>
                <w:sz w:val="21"/>
                <w:szCs w:val="21"/>
              </w:rPr>
              <w:t>渗滤液污染地下水防治措施：一是加强填埋场规范作业和管理，应落实值班制度，责任到人，坚持做好填埋作业、巡检记录，雨季增加巡检次数；二是设置观测井，强化对库区地下水的检查和观测；三是重点管理库区整个防渗层的完好性、渗滤液</w:t>
            </w:r>
            <w:r>
              <w:rPr>
                <w:rFonts w:hint="eastAsia"/>
                <w:sz w:val="21"/>
                <w:szCs w:val="21"/>
              </w:rPr>
              <w:t>调节</w:t>
            </w:r>
            <w:r>
              <w:rPr>
                <w:sz w:val="21"/>
                <w:szCs w:val="21"/>
              </w:rPr>
              <w:t>池及防渗的完好性、观测井和截洪沟的完好性、弃土场规范堆、取土的防洪措施等，并做好检查记录、存档备查，避免发生故障造成区内地下水污染。四是全面管理垃圾填埋安全运行情况，做好各种检查记录等，一旦发现异常，立即排查故障抢修；控制故障排放对区内地下水影响。</w:t>
            </w:r>
          </w:p>
          <w:p w14:paraId="09FDB297" w14:textId="77777777" w:rsidR="00D12939" w:rsidRDefault="004F47F5">
            <w:pPr>
              <w:pStyle w:val="afff6"/>
              <w:spacing w:after="0"/>
              <w:ind w:firstLineChars="0" w:firstLine="0"/>
              <w:rPr>
                <w:sz w:val="21"/>
                <w:szCs w:val="21"/>
              </w:rPr>
            </w:pPr>
            <w:r>
              <w:rPr>
                <w:rFonts w:ascii="宋体" w:hAnsi="宋体" w:cs="宋体" w:hint="eastAsia"/>
                <w:sz w:val="21"/>
                <w:szCs w:val="21"/>
              </w:rPr>
              <w:t>③</w:t>
            </w:r>
            <w:r>
              <w:rPr>
                <w:sz w:val="21"/>
                <w:szCs w:val="21"/>
              </w:rPr>
              <w:t>地表水防治措施：一是运营期填埋场渗滤液处理达标后部分回用于填埋区，剩余尾水经罐车运至柞水县污水处理厂进一步处理。二是填埋场必要时对截洪沟加水泥盖板，并经常疏通，防止截洪沟堵塞；三是雨季检查渗滤液</w:t>
            </w:r>
            <w:r>
              <w:rPr>
                <w:rFonts w:hint="eastAsia"/>
                <w:sz w:val="21"/>
                <w:szCs w:val="21"/>
              </w:rPr>
              <w:t>调节</w:t>
            </w:r>
            <w:r>
              <w:rPr>
                <w:sz w:val="21"/>
                <w:szCs w:val="21"/>
              </w:rPr>
              <w:t>池留出容积以调节强暴雨的渗滤液；四是制定监测、报警等措施在内的应急预案。</w:t>
            </w:r>
          </w:p>
          <w:p w14:paraId="64B90C91" w14:textId="77777777" w:rsidR="00D12939" w:rsidRDefault="004F47F5">
            <w:pPr>
              <w:pStyle w:val="afff6"/>
              <w:spacing w:after="0"/>
              <w:ind w:firstLineChars="0" w:firstLine="0"/>
              <w:rPr>
                <w:sz w:val="21"/>
                <w:szCs w:val="21"/>
              </w:rPr>
            </w:pPr>
            <w:r>
              <w:rPr>
                <w:rFonts w:ascii="宋体" w:hAnsi="宋体" w:cs="宋体" w:hint="eastAsia"/>
                <w:sz w:val="21"/>
                <w:szCs w:val="21"/>
              </w:rPr>
              <w:t>④</w:t>
            </w:r>
            <w:r>
              <w:rPr>
                <w:sz w:val="21"/>
                <w:szCs w:val="21"/>
              </w:rPr>
              <w:t>垃圾坝溃坝防治措施：一是强化坝体维护、管理与检查，发现问题及时处理；项目</w:t>
            </w:r>
            <w:r>
              <w:rPr>
                <w:sz w:val="21"/>
                <w:szCs w:val="21"/>
              </w:rPr>
              <w:lastRenderedPageBreak/>
              <w:t>应进行施工监理，严把质量关；二是建议对坝下游外边坡应采用浆砌石护坡，防治雨水冲刷，增加坝体抗冲击负荷与强度，同时对坝体上游边坡与填埋区要做整体防渗处理；三是汛期增加巡视人员对坝体及其边坡的检查频率，发现问题及时采取有效措施；四是制定应急预案。</w:t>
            </w:r>
          </w:p>
        </w:tc>
      </w:tr>
    </w:tbl>
    <w:p w14:paraId="418695D7" w14:textId="77777777" w:rsidR="00D12939" w:rsidRDefault="00D12939">
      <w:pPr>
        <w:sectPr w:rsidR="00D12939">
          <w:pgSz w:w="11906" w:h="16838"/>
          <w:pgMar w:top="1440" w:right="1080" w:bottom="1440" w:left="1080" w:header="851" w:footer="992" w:gutter="0"/>
          <w:cols w:space="425"/>
          <w:docGrid w:type="lines" w:linePitch="312"/>
        </w:sectPr>
      </w:pPr>
    </w:p>
    <w:p w14:paraId="632F21C9" w14:textId="77777777" w:rsidR="00D12939" w:rsidRDefault="004F47F5">
      <w:pPr>
        <w:pStyle w:val="1"/>
        <w:jc w:val="center"/>
        <w:rPr>
          <w:sz w:val="30"/>
          <w:szCs w:val="30"/>
        </w:rPr>
      </w:pPr>
      <w:bookmarkStart w:id="574" w:name="_Toc121411803"/>
      <w:r>
        <w:rPr>
          <w:sz w:val="30"/>
          <w:szCs w:val="30"/>
        </w:rPr>
        <w:lastRenderedPageBreak/>
        <w:t>9</w:t>
      </w:r>
      <w:r>
        <w:rPr>
          <w:sz w:val="30"/>
          <w:szCs w:val="30"/>
        </w:rPr>
        <w:tab/>
      </w:r>
      <w:r>
        <w:rPr>
          <w:sz w:val="30"/>
          <w:szCs w:val="30"/>
        </w:rPr>
        <w:t>环境保护措施及其可行性论证</w:t>
      </w:r>
      <w:bookmarkEnd w:id="574"/>
    </w:p>
    <w:p w14:paraId="222FFD34" w14:textId="77777777" w:rsidR="00D12939" w:rsidRDefault="004F47F5">
      <w:pPr>
        <w:pStyle w:val="2"/>
        <w:spacing w:line="360" w:lineRule="auto"/>
        <w:ind w:firstLineChars="165" w:firstLine="462"/>
        <w:rPr>
          <w:sz w:val="28"/>
        </w:rPr>
      </w:pPr>
      <w:bookmarkStart w:id="575" w:name="_Toc121411804"/>
      <w:r>
        <w:rPr>
          <w:sz w:val="28"/>
        </w:rPr>
        <w:t>9</w:t>
      </w:r>
      <w:r>
        <w:rPr>
          <w:rFonts w:hint="eastAsia"/>
          <w:sz w:val="28"/>
        </w:rPr>
        <w:t>.1</w:t>
      </w:r>
      <w:r>
        <w:rPr>
          <w:sz w:val="28"/>
        </w:rPr>
        <w:t>施工期环境保护措施</w:t>
      </w:r>
      <w:bookmarkEnd w:id="575"/>
    </w:p>
    <w:p w14:paraId="26117DEC"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76" w:name="_Toc121411805"/>
      <w:bookmarkStart w:id="577" w:name="_Toc113952322"/>
      <w:bookmarkStart w:id="578" w:name="_Toc30089305"/>
      <w:r>
        <w:rPr>
          <w:rFonts w:ascii="Times New Roman" w:eastAsia="黑体" w:hAnsi="Times New Roman" w:cs="Times New Roman"/>
          <w:b w:val="0"/>
          <w:sz w:val="24"/>
        </w:rPr>
        <w:t>9.1</w:t>
      </w:r>
      <w:r>
        <w:rPr>
          <w:rFonts w:ascii="Times New Roman" w:eastAsia="黑体" w:hAnsi="Times New Roman" w:cs="Times New Roman" w:hint="eastAsia"/>
          <w:b w:val="0"/>
          <w:sz w:val="24"/>
        </w:rPr>
        <w:t>.1</w:t>
      </w:r>
      <w:r>
        <w:rPr>
          <w:rFonts w:ascii="Times New Roman" w:eastAsia="黑体" w:hAnsi="Times New Roman" w:cs="Times New Roman"/>
          <w:b w:val="0"/>
          <w:sz w:val="24"/>
        </w:rPr>
        <w:t>扬尘防治措施</w:t>
      </w:r>
      <w:bookmarkEnd w:id="576"/>
      <w:bookmarkEnd w:id="577"/>
      <w:bookmarkEnd w:id="578"/>
    </w:p>
    <w:p w14:paraId="08188BE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施工扬尘主要土建期工程建设过程中产生的扬尘，废土装卸中及运输过程散落产生的扬尘，出入工地后施工机械轮胎和履带碾轧形成的灰尘；另外施工物料的粉状物质在装卸、堆放时产生的扬尘</w:t>
      </w:r>
      <w:r>
        <w:rPr>
          <w:rFonts w:ascii="Times New Roman" w:eastAsia="宋体" w:hAnsi="Times New Roman" w:cs="Times New Roman" w:hint="eastAsia"/>
          <w:sz w:val="24"/>
        </w:rPr>
        <w:t>；以及施工机械废气，</w:t>
      </w:r>
      <w:r>
        <w:rPr>
          <w:rFonts w:ascii="Times New Roman" w:eastAsia="宋体" w:hAnsi="Times New Roman" w:cs="Times New Roman"/>
          <w:sz w:val="24"/>
        </w:rPr>
        <w:t>对周围大气环境质量会造成一定影响，项目针对施工扬尘主要采取以下防治措施：</w:t>
      </w:r>
    </w:p>
    <w:p w14:paraId="30BB9CC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1</w:t>
      </w:r>
      <w:r>
        <w:rPr>
          <w:rFonts w:ascii="Times New Roman" w:eastAsia="宋体" w:hAnsi="Times New Roman" w:cs="Times New Roman"/>
          <w:sz w:val="24"/>
        </w:rPr>
        <w:t>）强化施工期环境管理，提高全员环保意识宣传和教育，制定合理施工计划，缩短工期，采取集中力量逐项施工方法，坚决杜绝粗放式施工现象发生。</w:t>
      </w:r>
    </w:p>
    <w:p w14:paraId="2879FD78"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2</w:t>
      </w:r>
      <w:r>
        <w:rPr>
          <w:rFonts w:ascii="Times New Roman" w:eastAsia="宋体" w:hAnsi="Times New Roman" w:cs="Times New Roman"/>
          <w:sz w:val="24"/>
        </w:rPr>
        <w:t>）大风天气时停止土方等扬尘类施工，并采取防尘措施，减轻施工扬尘外逸对周围环境空气的影响。</w:t>
      </w:r>
    </w:p>
    <w:p w14:paraId="6AFDBE81"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3</w:t>
      </w:r>
      <w:r>
        <w:rPr>
          <w:rFonts w:ascii="Times New Roman" w:eastAsia="宋体" w:hAnsi="Times New Roman" w:cs="Times New Roman"/>
          <w:sz w:val="24"/>
        </w:rPr>
        <w:t>）使用施工便道进行物料运输。此外，运输建筑材料车辆不超载，运输颗粒物料车辆装载高度不超过车槽；运输土石方车辆采取覆盖等防尘措施，防止物料沿途抛散导致二次扬尘。</w:t>
      </w:r>
    </w:p>
    <w:p w14:paraId="238259DE"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4</w:t>
      </w:r>
      <w:r>
        <w:rPr>
          <w:rFonts w:ascii="Times New Roman" w:eastAsia="宋体" w:hAnsi="Times New Roman" w:cs="Times New Roman"/>
          <w:sz w:val="24"/>
        </w:rPr>
        <w:t>）在施工场地出口设置洗车台，配备专门的清洗设备和人员负责对出入施工场地口的运输车辆车体和车轮及时冲洗、净化处理，保证运输车辆不得携带泥土驶出工地；同时，对施工点周围应采取绿化及地面临时硬化等防尘措施。</w:t>
      </w:r>
    </w:p>
    <w:p w14:paraId="5ABE6EFE"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5</w:t>
      </w:r>
      <w:r>
        <w:rPr>
          <w:rFonts w:ascii="Times New Roman" w:eastAsia="宋体" w:hAnsi="Times New Roman" w:cs="Times New Roman"/>
          <w:sz w:val="24"/>
        </w:rPr>
        <w:t>）及时清理堆放在场地和道路上的弃土、弃渣及抛撒料，对不能及时清运的，必须采取覆盖等措施，防治二次扬尘。</w:t>
      </w:r>
    </w:p>
    <w:p w14:paraId="56B4DBD7"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6</w:t>
      </w:r>
      <w:r>
        <w:rPr>
          <w:rFonts w:ascii="Times New Roman" w:eastAsia="宋体" w:hAnsi="Times New Roman" w:cs="Times New Roman"/>
          <w:sz w:val="24"/>
        </w:rPr>
        <w:t>）结构施工阶段使用外购商品混凝土，禁止现场搅拌混凝土产生扬尘污染。</w:t>
      </w:r>
    </w:p>
    <w:p w14:paraId="7362B19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7</w:t>
      </w:r>
      <w:r>
        <w:rPr>
          <w:rFonts w:ascii="Times New Roman" w:eastAsia="宋体" w:hAnsi="Times New Roman" w:cs="Times New Roman"/>
          <w:sz w:val="24"/>
        </w:rPr>
        <w:t>）沙、渣土、灰土等易产生扬尘的物料，采取覆盖防尘布、防尘网、配合定期喷洒粉尘抑制剂等措施，防止风蚀起尘。</w:t>
      </w:r>
    </w:p>
    <w:p w14:paraId="2C4358E1"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8</w:t>
      </w:r>
      <w:r>
        <w:rPr>
          <w:rFonts w:ascii="Times New Roman" w:eastAsia="宋体" w:hAnsi="Times New Roman" w:cs="Times New Roman"/>
          <w:sz w:val="24"/>
        </w:rPr>
        <w:t>）制定施工场地及进场道路的洒水灭尘制度，配备洒水车，加强在天气干燥时对进场道路的洒水频次，减轻道路扬尘对两侧居民等环境敏感点的影响。</w:t>
      </w:r>
    </w:p>
    <w:p w14:paraId="2EB5689C"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针对本项目场地清理阶段土石方工程量较大，为降低该阶段扬尘的影响，本次评价强调以下几点：</w:t>
      </w:r>
    </w:p>
    <w:p w14:paraId="007AFD58"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1</w:t>
      </w:r>
      <w:r>
        <w:rPr>
          <w:rFonts w:ascii="Times New Roman" w:eastAsia="宋体" w:hAnsi="Times New Roman" w:cs="Times New Roman"/>
          <w:sz w:val="24"/>
        </w:rPr>
        <w:t>）配备洒水车定时喷洒，确保施工地面的潮湿。</w:t>
      </w:r>
    </w:p>
    <w:p w14:paraId="0955D630"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2</w:t>
      </w:r>
      <w:r>
        <w:rPr>
          <w:rFonts w:ascii="Times New Roman" w:eastAsia="宋体" w:hAnsi="Times New Roman" w:cs="Times New Roman"/>
          <w:sz w:val="24"/>
        </w:rPr>
        <w:t>）对库底清理后的填埋土方及时摊铺、及时碾压，保证在土方湿润的情况下碾压，避免因土质疏松造成扬尘大范围扩散。</w:t>
      </w:r>
    </w:p>
    <w:p w14:paraId="3D06B24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3</w:t>
      </w:r>
      <w:r>
        <w:rPr>
          <w:rFonts w:ascii="Times New Roman" w:eastAsia="宋体" w:hAnsi="Times New Roman" w:cs="Times New Roman"/>
          <w:sz w:val="24"/>
        </w:rPr>
        <w:t>）机械启动前先对施工道路和场地提前进行洒水、湿润，确保不起尘。</w:t>
      </w:r>
    </w:p>
    <w:p w14:paraId="44F20DA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lastRenderedPageBreak/>
        <w:t>4</w:t>
      </w:r>
      <w:r>
        <w:rPr>
          <w:rFonts w:ascii="Times New Roman" w:eastAsia="宋体" w:hAnsi="Times New Roman" w:cs="Times New Roman"/>
          <w:sz w:val="24"/>
        </w:rPr>
        <w:t>）作业机械必须按照规定道路通行路线行驶，禁止随意开辟道路。</w:t>
      </w:r>
    </w:p>
    <w:p w14:paraId="15034060"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5</w:t>
      </w:r>
      <w:r>
        <w:rPr>
          <w:rFonts w:ascii="Times New Roman" w:eastAsia="宋体" w:hAnsi="Times New Roman" w:cs="Times New Roman"/>
          <w:sz w:val="24"/>
        </w:rPr>
        <w:t>）在风力大于</w:t>
      </w:r>
      <w:r>
        <w:rPr>
          <w:rFonts w:ascii="Times New Roman" w:eastAsia="宋体" w:hAnsi="Times New Roman" w:cs="Times New Roman"/>
          <w:sz w:val="24"/>
        </w:rPr>
        <w:t>4</w:t>
      </w:r>
      <w:r>
        <w:rPr>
          <w:rFonts w:ascii="Times New Roman" w:eastAsia="宋体" w:hAnsi="Times New Roman" w:cs="Times New Roman"/>
          <w:sz w:val="24"/>
        </w:rPr>
        <w:t>级时停止进行土方施工。</w:t>
      </w:r>
    </w:p>
    <w:p w14:paraId="38C961E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6</w:t>
      </w:r>
      <w:r>
        <w:rPr>
          <w:rFonts w:ascii="Times New Roman" w:eastAsia="宋体" w:hAnsi="Times New Roman" w:cs="Times New Roman"/>
          <w:sz w:val="24"/>
        </w:rPr>
        <w:t>）在施工结束后，填埋场两侧山体裸露面和应采取撒草籽等相应绿化措施对扬尘进一步进行预防和控制。</w:t>
      </w:r>
    </w:p>
    <w:p w14:paraId="20BD3874"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在采取以上这些环保措施后，可以有效的</w:t>
      </w:r>
      <w:r>
        <w:rPr>
          <w:rFonts w:ascii="Times New Roman" w:eastAsia="宋体" w:hAnsi="Times New Roman" w:cs="Times New Roman" w:hint="eastAsia"/>
          <w:sz w:val="24"/>
        </w:rPr>
        <w:t>降低</w:t>
      </w:r>
      <w:r>
        <w:rPr>
          <w:rFonts w:ascii="Times New Roman" w:eastAsia="宋体" w:hAnsi="Times New Roman" w:cs="Times New Roman"/>
          <w:sz w:val="24"/>
        </w:rPr>
        <w:t>施工扬尘环境</w:t>
      </w:r>
      <w:r>
        <w:rPr>
          <w:rFonts w:ascii="Times New Roman" w:eastAsia="宋体" w:hAnsi="Times New Roman" w:cs="Times New Roman" w:hint="eastAsia"/>
          <w:sz w:val="24"/>
        </w:rPr>
        <w:t>影响</w:t>
      </w:r>
      <w:r>
        <w:rPr>
          <w:rFonts w:ascii="Times New Roman" w:eastAsia="宋体" w:hAnsi="Times New Roman" w:cs="Times New Roman"/>
          <w:sz w:val="24"/>
        </w:rPr>
        <w:t>。</w:t>
      </w:r>
    </w:p>
    <w:p w14:paraId="162B7EB4"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79" w:name="_Toc121411806"/>
      <w:bookmarkStart w:id="580" w:name="_Toc30089306"/>
      <w:bookmarkStart w:id="581" w:name="_Toc113952323"/>
      <w:r>
        <w:rPr>
          <w:rFonts w:ascii="Times New Roman" w:eastAsia="黑体" w:hAnsi="Times New Roman" w:cs="Times New Roman"/>
          <w:b w:val="0"/>
          <w:sz w:val="24"/>
        </w:rPr>
        <w:t>9</w:t>
      </w:r>
      <w:r>
        <w:rPr>
          <w:rFonts w:ascii="Times New Roman" w:eastAsia="黑体" w:hAnsi="Times New Roman" w:cs="Times New Roman" w:hint="eastAsia"/>
          <w:b w:val="0"/>
          <w:sz w:val="24"/>
        </w:rPr>
        <w:t>.1.2</w:t>
      </w:r>
      <w:r>
        <w:rPr>
          <w:rFonts w:ascii="Times New Roman" w:eastAsia="黑体" w:hAnsi="Times New Roman" w:cs="Times New Roman"/>
          <w:b w:val="0"/>
          <w:sz w:val="24"/>
        </w:rPr>
        <w:t>废水治理措施</w:t>
      </w:r>
      <w:bookmarkEnd w:id="579"/>
      <w:bookmarkEnd w:id="580"/>
      <w:bookmarkEnd w:id="581"/>
    </w:p>
    <w:p w14:paraId="1DA87A96"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1</w:t>
      </w:r>
      <w:r>
        <w:rPr>
          <w:rFonts w:ascii="Times New Roman" w:eastAsia="宋体" w:hAnsi="Times New Roman" w:cs="Times New Roman"/>
          <w:sz w:val="24"/>
        </w:rPr>
        <w:t>）施工单位将严格对地面水的排放进行组织设计，严禁乱排、乱流导致污染沟道、水体。</w:t>
      </w:r>
    </w:p>
    <w:p w14:paraId="637392FF"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2</w:t>
      </w:r>
      <w:r>
        <w:rPr>
          <w:rFonts w:ascii="Times New Roman" w:eastAsia="宋体" w:hAnsi="Times New Roman" w:cs="Times New Roman"/>
          <w:sz w:val="24"/>
        </w:rPr>
        <w:t>）施工场地设置临时环保卫生厕所，</w:t>
      </w:r>
      <w:r>
        <w:rPr>
          <w:rFonts w:ascii="Times New Roman" w:eastAsia="宋体" w:hAnsi="Times New Roman" w:cs="Times New Roman" w:hint="eastAsia"/>
          <w:sz w:val="24"/>
        </w:rPr>
        <w:t>生活</w:t>
      </w:r>
      <w:r>
        <w:rPr>
          <w:rFonts w:ascii="Times New Roman" w:eastAsia="宋体" w:hAnsi="Times New Roman" w:cs="Times New Roman"/>
          <w:sz w:val="24"/>
        </w:rPr>
        <w:t>污水定期</w:t>
      </w:r>
      <w:r>
        <w:rPr>
          <w:rFonts w:ascii="Times New Roman" w:eastAsia="宋体" w:hAnsi="Times New Roman" w:cs="Times New Roman" w:hint="eastAsia"/>
          <w:sz w:val="24"/>
        </w:rPr>
        <w:t>外委</w:t>
      </w:r>
      <w:r>
        <w:rPr>
          <w:rFonts w:ascii="Times New Roman" w:eastAsia="宋体" w:hAnsi="Times New Roman" w:cs="Times New Roman"/>
          <w:sz w:val="24"/>
        </w:rPr>
        <w:t>清运；对施工时产生的泥浆水及洗车平台废水应设置临时沉砂池，含泥沙雨水，泥浆水经沉砂池沉淀后全部回用。</w:t>
      </w:r>
    </w:p>
    <w:p w14:paraId="63DB3DEA"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3</w:t>
      </w:r>
      <w:r>
        <w:rPr>
          <w:rFonts w:ascii="Times New Roman" w:eastAsia="宋体" w:hAnsi="Times New Roman" w:cs="Times New Roman"/>
          <w:sz w:val="24"/>
        </w:rPr>
        <w:t>）临时环保卫生厕所、临时沉淀池和沉砂池要按照规范进行修建，地面要进行硬化，防止生活污水对地下水造成污染。</w:t>
      </w:r>
    </w:p>
    <w:p w14:paraId="6CE32ED2"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以上述污染防治措施简单易行，可有效地做好施工污水对周边水体的污染。加之施工活动周期较短，不会对施工场地周围水环境造成较大污染。</w:t>
      </w:r>
    </w:p>
    <w:p w14:paraId="62880EF2"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82" w:name="_Toc113952324"/>
      <w:bookmarkStart w:id="583" w:name="_Toc30089307"/>
      <w:bookmarkStart w:id="584" w:name="_Toc121411807"/>
      <w:r>
        <w:rPr>
          <w:rFonts w:ascii="Times New Roman" w:eastAsia="黑体" w:hAnsi="Times New Roman" w:cs="Times New Roman"/>
          <w:b w:val="0"/>
          <w:sz w:val="24"/>
        </w:rPr>
        <w:t>9</w:t>
      </w:r>
      <w:r>
        <w:rPr>
          <w:rFonts w:ascii="Times New Roman" w:eastAsia="黑体" w:hAnsi="Times New Roman" w:cs="Times New Roman" w:hint="eastAsia"/>
          <w:b w:val="0"/>
          <w:sz w:val="24"/>
        </w:rPr>
        <w:t>.1.3</w:t>
      </w:r>
      <w:r>
        <w:rPr>
          <w:rFonts w:ascii="Times New Roman" w:eastAsia="黑体" w:hAnsi="Times New Roman" w:cs="Times New Roman"/>
          <w:b w:val="0"/>
          <w:sz w:val="24"/>
        </w:rPr>
        <w:t>噪声控制措施</w:t>
      </w:r>
      <w:bookmarkEnd w:id="582"/>
      <w:bookmarkEnd w:id="583"/>
      <w:bookmarkEnd w:id="584"/>
    </w:p>
    <w:p w14:paraId="18B2400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合理安排施工时间，制订施工计划时，应尽可能避免大量高噪声设备同时施工，主要噪声源尽量安排在昼间非正常休息时间内进行，减少夜间施工量。</w:t>
      </w:r>
    </w:p>
    <w:p w14:paraId="094FAF94"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85" w:name="_Toc121411808"/>
      <w:bookmarkStart w:id="586" w:name="_Toc30089308"/>
      <w:bookmarkStart w:id="587" w:name="_Toc113952325"/>
      <w:r>
        <w:rPr>
          <w:rFonts w:ascii="Times New Roman" w:eastAsia="黑体" w:hAnsi="Times New Roman" w:cs="Times New Roman"/>
          <w:b w:val="0"/>
          <w:sz w:val="24"/>
        </w:rPr>
        <w:t>9</w:t>
      </w:r>
      <w:r>
        <w:rPr>
          <w:rFonts w:ascii="Times New Roman" w:eastAsia="黑体" w:hAnsi="Times New Roman" w:cs="Times New Roman" w:hint="eastAsia"/>
          <w:b w:val="0"/>
          <w:sz w:val="24"/>
        </w:rPr>
        <w:t>.1.4</w:t>
      </w:r>
      <w:r>
        <w:rPr>
          <w:rFonts w:ascii="Times New Roman" w:eastAsia="黑体" w:hAnsi="Times New Roman" w:cs="Times New Roman"/>
          <w:b w:val="0"/>
          <w:sz w:val="24"/>
        </w:rPr>
        <w:t>固体废物处置措施</w:t>
      </w:r>
      <w:bookmarkEnd w:id="585"/>
      <w:bookmarkEnd w:id="586"/>
      <w:bookmarkEnd w:id="587"/>
    </w:p>
    <w:p w14:paraId="510F827A"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1</w:t>
      </w:r>
      <w:r>
        <w:rPr>
          <w:rFonts w:ascii="Times New Roman" w:eastAsia="宋体" w:hAnsi="Times New Roman" w:cs="Times New Roman"/>
          <w:sz w:val="24"/>
          <w:szCs w:val="24"/>
        </w:rPr>
        <w:t>）施工期间设置生活垃圾箱（桶），固定地点堆放，收集后送至资源化利用厂焚烧处置；</w:t>
      </w:r>
    </w:p>
    <w:p w14:paraId="5B0D679F"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2</w:t>
      </w:r>
      <w:r>
        <w:rPr>
          <w:rFonts w:ascii="Times New Roman" w:eastAsia="宋体" w:hAnsi="Times New Roman" w:cs="Times New Roman"/>
          <w:sz w:val="24"/>
          <w:szCs w:val="24"/>
        </w:rPr>
        <w:t>）建设期由于地表开挖产生的少量土石方余方，进入临时堆土场等待回填、覆土利用，临时堆场周边应设截排水沟、拦渣坝等，杜绝弃土渣等随意丢弃、堆放对暴雨季节防洪、泄洪产生不利影响；</w:t>
      </w:r>
    </w:p>
    <w:p w14:paraId="2C4D2EC8"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3</w:t>
      </w:r>
      <w:r>
        <w:rPr>
          <w:rFonts w:ascii="Times New Roman" w:eastAsia="宋体" w:hAnsi="Times New Roman" w:cs="Times New Roman"/>
          <w:sz w:val="24"/>
          <w:szCs w:val="24"/>
        </w:rPr>
        <w:t>）施工期多余的土方回填库区外低洼区域，并做好围挡、截排水等水土保持措施，作为后期封场覆盖土源。</w:t>
      </w:r>
    </w:p>
    <w:p w14:paraId="28087757"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88" w:name="_Toc121411809"/>
      <w:bookmarkStart w:id="589" w:name="_Toc30089309"/>
      <w:bookmarkStart w:id="590" w:name="_Toc113952326"/>
      <w:r>
        <w:rPr>
          <w:rFonts w:ascii="Times New Roman" w:eastAsia="黑体" w:hAnsi="Times New Roman" w:cs="Times New Roman"/>
          <w:b w:val="0"/>
          <w:sz w:val="24"/>
        </w:rPr>
        <w:t>9</w:t>
      </w:r>
      <w:r>
        <w:rPr>
          <w:rFonts w:ascii="Times New Roman" w:eastAsia="黑体" w:hAnsi="Times New Roman" w:cs="Times New Roman" w:hint="eastAsia"/>
          <w:b w:val="0"/>
          <w:sz w:val="24"/>
        </w:rPr>
        <w:t>.1.5</w:t>
      </w:r>
      <w:r>
        <w:rPr>
          <w:rFonts w:ascii="Times New Roman" w:eastAsia="黑体" w:hAnsi="Times New Roman" w:cs="Times New Roman"/>
          <w:b w:val="0"/>
          <w:sz w:val="24"/>
        </w:rPr>
        <w:t>生态环境保护措施</w:t>
      </w:r>
      <w:bookmarkEnd w:id="588"/>
      <w:bookmarkEnd w:id="589"/>
      <w:bookmarkEnd w:id="590"/>
    </w:p>
    <w:p w14:paraId="67D6FF6C" w14:textId="77777777" w:rsidR="00D12939" w:rsidRDefault="004F47F5">
      <w:pPr>
        <w:pStyle w:val="Q-"/>
      </w:pPr>
      <w:r>
        <w:t>为减少施工期对生态环境的影响</w:t>
      </w:r>
      <w:r>
        <w:rPr>
          <w:rFonts w:hint="eastAsia"/>
        </w:rPr>
        <w:t>，</w:t>
      </w:r>
      <w:r>
        <w:t>拟采取以下措施</w:t>
      </w:r>
      <w:r>
        <w:rPr>
          <w:rFonts w:hint="eastAsia"/>
        </w:rPr>
        <w:t>：</w:t>
      </w:r>
    </w:p>
    <w:p w14:paraId="3E11C2A1" w14:textId="77777777" w:rsidR="00D12939" w:rsidRDefault="004F47F5">
      <w:pPr>
        <w:pStyle w:val="Q-"/>
      </w:pPr>
      <w:bookmarkStart w:id="591" w:name="_Toc113952327"/>
      <w:bookmarkStart w:id="592" w:name="_Toc30089310"/>
      <w:r>
        <w:t>1</w:t>
      </w:r>
      <w:r>
        <w:t>）应严格遵守国家和地方有关土地管理法律、法规，合理安排建设用地，节约土地资源，做好生态恢复。</w:t>
      </w:r>
    </w:p>
    <w:p w14:paraId="4A645FA6" w14:textId="77777777" w:rsidR="00D12939" w:rsidRDefault="004F47F5">
      <w:pPr>
        <w:pStyle w:val="Q-"/>
      </w:pPr>
      <w:r>
        <w:t>2</w:t>
      </w:r>
      <w:r>
        <w:t>）在设计和施工过程中，应因地制宜地利用自然地形地貌，进行土方工程的合理设计和施工，避免乱挖乱填，充分利用挖方和土地平整的弃土作填方，不设置专门的取土场，在基建</w:t>
      </w:r>
      <w:r>
        <w:lastRenderedPageBreak/>
        <w:t>施工中，所需砂、石料应向当地砂石料市场购买，不另设采砂、石料厂，以免产生新的生态破坏。</w:t>
      </w:r>
    </w:p>
    <w:p w14:paraId="07B62FE3" w14:textId="77777777" w:rsidR="00D12939" w:rsidRDefault="004F47F5">
      <w:pPr>
        <w:pStyle w:val="Q-"/>
      </w:pPr>
      <w:r>
        <w:t>3</w:t>
      </w:r>
      <w:r>
        <w:t>）合理放置弃土，开挖土方实行分层堆放与合理利用，表层土作为填埋场周边绿化用土利用。</w:t>
      </w:r>
    </w:p>
    <w:p w14:paraId="7357BD00" w14:textId="77777777" w:rsidR="00D12939" w:rsidRDefault="004F47F5">
      <w:pPr>
        <w:pStyle w:val="Q-"/>
      </w:pPr>
      <w:r>
        <w:t>4</w:t>
      </w:r>
      <w:r>
        <w:t>）在基建施工作业过程中加强施工组织与管理，限制作业范围，禁止随意砍伐林木和毁坏植被。</w:t>
      </w:r>
    </w:p>
    <w:p w14:paraId="07FAA948" w14:textId="77777777" w:rsidR="00D12939" w:rsidRDefault="004F47F5">
      <w:pPr>
        <w:pStyle w:val="Q-"/>
      </w:pPr>
      <w:r>
        <w:t>5</w:t>
      </w:r>
      <w:r>
        <w:t>）对边坡地、裸露地、闲置地、绿化用地、道路两旁进行绿化规划、设计、建设和管理。通过植树种草，绿化裸地，美化环境，保持水土，净化污染，改善生态。设置植物防护体系，树种的选择应因地制宜、适地种树，以乡土树种为主。</w:t>
      </w:r>
    </w:p>
    <w:p w14:paraId="363CE16F" w14:textId="77777777" w:rsidR="00D12939" w:rsidRDefault="004F47F5">
      <w:pPr>
        <w:pStyle w:val="Q-"/>
      </w:pPr>
      <w:r>
        <w:t>6</w:t>
      </w:r>
      <w:r>
        <w:t>）施工过程应分区、分段进行，对开挖土方、弃渣等临时堆放场设置挡土坝和截排水设施，并进行护坡处理，防止发生水土流失。</w:t>
      </w:r>
    </w:p>
    <w:p w14:paraId="58A13497" w14:textId="77777777" w:rsidR="00D12939" w:rsidRDefault="004F47F5">
      <w:pPr>
        <w:pStyle w:val="Q-"/>
      </w:pPr>
      <w:r>
        <w:t>7</w:t>
      </w:r>
      <w:r>
        <w:t>）多余土方临时堆放于二期场地，在堆放前应将场地表层土事先剥离，单独堆放，堆土采用台体形，坡面整平、拍实，坡底处采取围挡，堆土表面种草防护。</w:t>
      </w:r>
    </w:p>
    <w:p w14:paraId="3B6B79D2"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93" w:name="_Toc121411810"/>
      <w:r>
        <w:rPr>
          <w:rFonts w:ascii="Times New Roman" w:eastAsia="黑体" w:hAnsi="Times New Roman" w:cs="Times New Roman"/>
          <w:b w:val="0"/>
          <w:sz w:val="24"/>
        </w:rPr>
        <w:t>9</w:t>
      </w:r>
      <w:r>
        <w:rPr>
          <w:rFonts w:ascii="Times New Roman" w:eastAsia="黑体" w:hAnsi="Times New Roman" w:cs="Times New Roman" w:hint="eastAsia"/>
          <w:b w:val="0"/>
          <w:sz w:val="24"/>
        </w:rPr>
        <w:t>.1.6</w:t>
      </w:r>
      <w:r>
        <w:rPr>
          <w:rFonts w:ascii="Times New Roman" w:eastAsia="黑体" w:hAnsi="Times New Roman" w:cs="Times New Roman"/>
          <w:b w:val="0"/>
          <w:sz w:val="24"/>
        </w:rPr>
        <w:t>施工期管理</w:t>
      </w:r>
      <w:bookmarkEnd w:id="591"/>
      <w:bookmarkEnd w:id="592"/>
      <w:bookmarkEnd w:id="593"/>
    </w:p>
    <w:p w14:paraId="252D3586"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为了加强施工期的环境管理力度，项目单位应同工程中标的承包商签订《建设工程施工期的保护环境协议》，并在施工过程中督促施工单位设专人负责，以确保各项控制措施的落实，协议内容要求承包商遵守国家和地方制定的环境法律、法规，主要内容有：</w:t>
      </w:r>
    </w:p>
    <w:p w14:paraId="526B0D0D"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w:t>
      </w:r>
      <w:r>
        <w:rPr>
          <w:rFonts w:ascii="Times New Roman" w:eastAsia="宋体" w:hAnsi="Times New Roman" w:cs="Times New Roman"/>
          <w:kern w:val="0"/>
          <w:sz w:val="24"/>
        </w:rPr>
        <w:t>1</w:t>
      </w:r>
      <w:r>
        <w:rPr>
          <w:rFonts w:ascii="Times New Roman" w:eastAsia="宋体" w:hAnsi="Times New Roman" w:cs="Times New Roman"/>
          <w:kern w:val="0"/>
          <w:sz w:val="24"/>
        </w:rPr>
        <w:t>）工程</w:t>
      </w:r>
      <w:r>
        <w:rPr>
          <w:rFonts w:ascii="Times New Roman" w:eastAsia="宋体" w:hAnsi="Times New Roman" w:cs="Times New Roman"/>
          <w:kern w:val="0"/>
          <w:sz w:val="24"/>
        </w:rPr>
        <w:t>“</w:t>
      </w:r>
      <w:r>
        <w:rPr>
          <w:rFonts w:ascii="Times New Roman" w:eastAsia="宋体" w:hAnsi="Times New Roman" w:cs="Times New Roman"/>
          <w:kern w:val="0"/>
          <w:sz w:val="24"/>
        </w:rPr>
        <w:t>三同时</w:t>
      </w:r>
      <w:r>
        <w:rPr>
          <w:rFonts w:ascii="Times New Roman" w:eastAsia="宋体" w:hAnsi="Times New Roman" w:cs="Times New Roman"/>
          <w:kern w:val="0"/>
          <w:sz w:val="24"/>
        </w:rPr>
        <w:t>”</w:t>
      </w:r>
      <w:r>
        <w:rPr>
          <w:rFonts w:ascii="Times New Roman" w:eastAsia="宋体" w:hAnsi="Times New Roman" w:cs="Times New Roman"/>
          <w:kern w:val="0"/>
          <w:sz w:val="24"/>
        </w:rPr>
        <w:t>检查</w:t>
      </w:r>
    </w:p>
    <w:p w14:paraId="6FE08E7A"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项目建设期间，应根据国家和地方环境保护部门的相关规定和要求，检查工程是否符合</w:t>
      </w:r>
      <w:r>
        <w:rPr>
          <w:rFonts w:ascii="Times New Roman" w:eastAsia="宋体" w:hAnsi="Times New Roman" w:cs="Times New Roman"/>
          <w:kern w:val="0"/>
          <w:sz w:val="24"/>
        </w:rPr>
        <w:t>“</w:t>
      </w:r>
      <w:r>
        <w:rPr>
          <w:rFonts w:ascii="Times New Roman" w:eastAsia="宋体" w:hAnsi="Times New Roman" w:cs="Times New Roman"/>
          <w:kern w:val="0"/>
          <w:sz w:val="24"/>
        </w:rPr>
        <w:t>三同时</w:t>
      </w:r>
      <w:r>
        <w:rPr>
          <w:rFonts w:ascii="Times New Roman" w:eastAsia="宋体" w:hAnsi="Times New Roman" w:cs="Times New Roman"/>
          <w:kern w:val="0"/>
          <w:sz w:val="24"/>
        </w:rPr>
        <w:t>”</w:t>
      </w:r>
      <w:r>
        <w:rPr>
          <w:rFonts w:ascii="Times New Roman" w:eastAsia="宋体" w:hAnsi="Times New Roman" w:cs="Times New Roman"/>
          <w:kern w:val="0"/>
          <w:sz w:val="24"/>
        </w:rPr>
        <w:t>原则，污染防治措施，特别是主要的防污染设备是否按计划与主体工程同时设计、同时施工，质量是否符合要求。</w:t>
      </w:r>
    </w:p>
    <w:p w14:paraId="14C6C799"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w:t>
      </w:r>
      <w:r>
        <w:rPr>
          <w:rFonts w:ascii="Times New Roman" w:eastAsia="宋体" w:hAnsi="Times New Roman" w:cs="Times New Roman"/>
          <w:kern w:val="0"/>
          <w:sz w:val="24"/>
        </w:rPr>
        <w:t>2</w:t>
      </w:r>
      <w:r>
        <w:rPr>
          <w:rFonts w:ascii="Times New Roman" w:eastAsia="宋体" w:hAnsi="Times New Roman" w:cs="Times New Roman"/>
          <w:kern w:val="0"/>
          <w:sz w:val="24"/>
        </w:rPr>
        <w:t>）施工废水管理</w:t>
      </w:r>
    </w:p>
    <w:p w14:paraId="28E3F400"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在建筑工地设置连续、畅通的排水设施，施工产生的泥浆水未经沉淀及处理不得</w:t>
      </w:r>
      <w:r>
        <w:rPr>
          <w:rFonts w:ascii="Times New Roman" w:eastAsia="宋体" w:hAnsi="Times New Roman" w:cs="Times New Roman" w:hint="eastAsia"/>
          <w:kern w:val="0"/>
          <w:sz w:val="24"/>
        </w:rPr>
        <w:t>随意</w:t>
      </w:r>
      <w:r>
        <w:rPr>
          <w:rFonts w:ascii="Times New Roman" w:eastAsia="宋体" w:hAnsi="Times New Roman" w:cs="Times New Roman"/>
          <w:kern w:val="0"/>
          <w:sz w:val="24"/>
        </w:rPr>
        <w:t>排放。</w:t>
      </w:r>
    </w:p>
    <w:p w14:paraId="4C147F69"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w:t>
      </w:r>
      <w:r>
        <w:rPr>
          <w:rFonts w:ascii="Times New Roman" w:eastAsia="宋体" w:hAnsi="Times New Roman" w:cs="Times New Roman"/>
          <w:kern w:val="0"/>
          <w:sz w:val="24"/>
        </w:rPr>
        <w:t>3</w:t>
      </w:r>
      <w:r>
        <w:rPr>
          <w:rFonts w:ascii="Times New Roman" w:eastAsia="宋体" w:hAnsi="Times New Roman" w:cs="Times New Roman"/>
          <w:kern w:val="0"/>
          <w:sz w:val="24"/>
        </w:rPr>
        <w:t>）严格督察，控制施工环境影响</w:t>
      </w:r>
    </w:p>
    <w:p w14:paraId="4968D010"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hint="eastAsia"/>
          <w:kern w:val="0"/>
          <w:sz w:val="24"/>
        </w:rPr>
        <w:t>①</w:t>
      </w:r>
      <w:r>
        <w:rPr>
          <w:rFonts w:ascii="Times New Roman" w:eastAsia="宋体" w:hAnsi="Times New Roman" w:cs="Times New Roman"/>
          <w:kern w:val="0"/>
          <w:sz w:val="24"/>
        </w:rPr>
        <w:t>建筑垃圾、施工弃土堆放、装卸、运输是否按对策措施要求落实。</w:t>
      </w:r>
    </w:p>
    <w:p w14:paraId="5502C563"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hint="eastAsia"/>
          <w:kern w:val="0"/>
          <w:sz w:val="24"/>
        </w:rPr>
        <w:t>②</w:t>
      </w:r>
      <w:r>
        <w:rPr>
          <w:rFonts w:ascii="Times New Roman" w:eastAsia="宋体" w:hAnsi="Times New Roman" w:cs="Times New Roman"/>
          <w:kern w:val="0"/>
          <w:sz w:val="24"/>
        </w:rPr>
        <w:t>运输中应有防止尘土飞扬、泥浆泄漏、污水外流、渣土散落及车辆沾带泥土等措施。</w:t>
      </w:r>
    </w:p>
    <w:p w14:paraId="665B3D0E" w14:textId="77777777" w:rsidR="00D12939" w:rsidRDefault="004F47F5">
      <w:pPr>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hint="eastAsia"/>
          <w:kern w:val="0"/>
          <w:sz w:val="24"/>
        </w:rPr>
        <w:t>③</w:t>
      </w:r>
      <w:r>
        <w:rPr>
          <w:rFonts w:ascii="Times New Roman" w:eastAsia="宋体" w:hAnsi="Times New Roman" w:cs="Times New Roman"/>
          <w:kern w:val="0"/>
          <w:sz w:val="24"/>
        </w:rPr>
        <w:t>施工过程中是否有效控制各类机械设备产生的噪声污染，是否严格执行了不得在</w:t>
      </w:r>
      <w:r>
        <w:rPr>
          <w:rFonts w:ascii="Times New Roman" w:eastAsia="宋体" w:hAnsi="Times New Roman" w:cs="Times New Roman"/>
          <w:kern w:val="0"/>
          <w:sz w:val="24"/>
        </w:rPr>
        <w:t>23:00~6:00</w:t>
      </w:r>
      <w:r>
        <w:rPr>
          <w:rFonts w:ascii="Times New Roman" w:eastAsia="宋体" w:hAnsi="Times New Roman" w:cs="Times New Roman"/>
          <w:kern w:val="0"/>
          <w:sz w:val="24"/>
        </w:rPr>
        <w:t>从事打桩等高噪声作业的规定。</w:t>
      </w:r>
    </w:p>
    <w:p w14:paraId="554236F9" w14:textId="77777777" w:rsidR="00D12939" w:rsidRDefault="004F47F5">
      <w:pPr>
        <w:pStyle w:val="af5"/>
        <w:spacing w:line="360" w:lineRule="auto"/>
        <w:ind w:firstLine="480"/>
        <w:rPr>
          <w:szCs w:val="22"/>
        </w:rPr>
      </w:pPr>
      <w:r>
        <w:rPr>
          <w:rFonts w:hint="eastAsia"/>
          <w:szCs w:val="22"/>
        </w:rPr>
        <w:t>④</w:t>
      </w:r>
      <w:r>
        <w:rPr>
          <w:szCs w:val="22"/>
        </w:rPr>
        <w:t>建筑工地生活污水和生活垃圾是否按规定进行了分类、暂存和最终处置。</w:t>
      </w:r>
    </w:p>
    <w:p w14:paraId="6843D615" w14:textId="77777777" w:rsidR="00D12939" w:rsidRDefault="004F47F5">
      <w:pPr>
        <w:pStyle w:val="2"/>
        <w:spacing w:line="360" w:lineRule="auto"/>
        <w:ind w:firstLineChars="165" w:firstLine="462"/>
        <w:rPr>
          <w:sz w:val="28"/>
        </w:rPr>
      </w:pPr>
      <w:bookmarkStart w:id="594" w:name="_Toc121411811"/>
      <w:r>
        <w:rPr>
          <w:sz w:val="28"/>
        </w:rPr>
        <w:lastRenderedPageBreak/>
        <w:t>9</w:t>
      </w:r>
      <w:r>
        <w:rPr>
          <w:rFonts w:hint="eastAsia"/>
          <w:sz w:val="28"/>
        </w:rPr>
        <w:t>.</w:t>
      </w:r>
      <w:r>
        <w:rPr>
          <w:sz w:val="28"/>
        </w:rPr>
        <w:t>2</w:t>
      </w:r>
      <w:r>
        <w:rPr>
          <w:sz w:val="28"/>
        </w:rPr>
        <w:t>运营期环境保护措施</w:t>
      </w:r>
      <w:bookmarkEnd w:id="594"/>
    </w:p>
    <w:p w14:paraId="6D3D086D"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595" w:name="_Toc121411812"/>
      <w:r>
        <w:rPr>
          <w:rFonts w:ascii="Times New Roman" w:eastAsia="黑体" w:hAnsi="Times New Roman" w:cs="Times New Roman"/>
          <w:b w:val="0"/>
          <w:sz w:val="24"/>
        </w:rPr>
        <w:t>9.2.1</w:t>
      </w:r>
      <w:r>
        <w:rPr>
          <w:rFonts w:ascii="Times New Roman" w:eastAsia="黑体" w:hAnsi="Times New Roman" w:cs="Times New Roman"/>
          <w:b w:val="0"/>
          <w:sz w:val="24"/>
        </w:rPr>
        <w:t>大气污染防治措施分析</w:t>
      </w:r>
      <w:bookmarkEnd w:id="488"/>
      <w:bookmarkEnd w:id="595"/>
    </w:p>
    <w:p w14:paraId="59792A64" w14:textId="77777777" w:rsidR="00D12939" w:rsidRDefault="004F47F5">
      <w:pPr>
        <w:pStyle w:val="4"/>
        <w:spacing w:before="0" w:after="0" w:line="360" w:lineRule="auto"/>
        <w:ind w:firstLineChars="200" w:firstLine="482"/>
        <w:rPr>
          <w:rFonts w:ascii="宋体" w:eastAsia="宋体" w:hAnsi="宋体"/>
          <w:sz w:val="24"/>
        </w:rPr>
      </w:pPr>
      <w:bookmarkStart w:id="596" w:name="_Toc417744295"/>
      <w:bookmarkStart w:id="597" w:name="_Toc417462078"/>
      <w:bookmarkStart w:id="598" w:name="_Toc417743998"/>
      <w:bookmarkStart w:id="599" w:name="_Toc417462730"/>
      <w:bookmarkStart w:id="600" w:name="_Toc41343015"/>
      <w:r>
        <w:rPr>
          <w:rFonts w:ascii="宋体" w:eastAsia="宋体" w:hAnsi="宋体" w:hint="eastAsia"/>
          <w:sz w:val="24"/>
        </w:rPr>
        <w:t>9</w:t>
      </w:r>
      <w:r>
        <w:rPr>
          <w:rFonts w:ascii="宋体" w:eastAsia="宋体" w:hAnsi="宋体"/>
          <w:sz w:val="24"/>
        </w:rPr>
        <w:t>.2.1.1填埋气污染防治措施及可行性分析</w:t>
      </w:r>
      <w:bookmarkEnd w:id="596"/>
      <w:bookmarkEnd w:id="597"/>
      <w:bookmarkEnd w:id="598"/>
      <w:bookmarkEnd w:id="599"/>
      <w:bookmarkEnd w:id="600"/>
    </w:p>
    <w:p w14:paraId="185C34A5" w14:textId="77777777" w:rsidR="00D12939" w:rsidRDefault="004F47F5">
      <w:pPr>
        <w:pStyle w:val="affffffffe"/>
        <w:ind w:firstLine="496"/>
        <w:rPr>
          <w:color w:val="auto"/>
        </w:rPr>
      </w:pPr>
      <w:r>
        <w:rPr>
          <w:color w:val="auto"/>
        </w:rPr>
        <w:t>填埋场废气是由垃圾腐败、发酵、分解而慢慢地散发出来的，填埋场内垃圾厌氧发酵产生大量气体，其主要成分为</w:t>
      </w:r>
      <w:r>
        <w:rPr>
          <w:color w:val="auto"/>
        </w:rPr>
        <w:t>CH</w:t>
      </w:r>
      <w:r>
        <w:rPr>
          <w:color w:val="auto"/>
          <w:vertAlign w:val="subscript"/>
        </w:rPr>
        <w:t>4</w:t>
      </w:r>
      <w:r>
        <w:rPr>
          <w:color w:val="auto"/>
        </w:rPr>
        <w:t>、</w:t>
      </w:r>
      <w:r>
        <w:rPr>
          <w:color w:val="auto"/>
        </w:rPr>
        <w:t>CO</w:t>
      </w:r>
      <w:r>
        <w:rPr>
          <w:color w:val="auto"/>
          <w:vertAlign w:val="subscript"/>
        </w:rPr>
        <w:t>2</w:t>
      </w:r>
      <w:r>
        <w:rPr>
          <w:color w:val="auto"/>
        </w:rPr>
        <w:t>。</w:t>
      </w:r>
      <w:r>
        <w:rPr>
          <w:color w:val="auto"/>
          <w:spacing w:val="-4"/>
        </w:rPr>
        <w:t>根据项目初步设计，</w:t>
      </w:r>
      <w:r>
        <w:rPr>
          <w:color w:val="auto"/>
        </w:rPr>
        <w:t>本项目垃圾填埋场内所产生的气体采用预埋石笼导气（竖向排气井），填埋气体经导气石笼导出后直接排放。</w:t>
      </w:r>
      <w:r>
        <w:rPr>
          <w:rFonts w:hint="eastAsia"/>
          <w:color w:val="auto"/>
        </w:rPr>
        <w:t>根据本工程生活垃圾近期以无害化处理为主的治理目标，以及目前填埋气的回收利用有较大的困难和投资较大的原因，确定本填埋场使用年限内只考虑采用自然导排方式。</w:t>
      </w:r>
    </w:p>
    <w:p w14:paraId="245C4A27" w14:textId="77777777" w:rsidR="00D12939" w:rsidRDefault="004F47F5">
      <w:pPr>
        <w:pStyle w:val="affffffffe"/>
        <w:ind w:firstLine="496"/>
        <w:rPr>
          <w:color w:val="auto"/>
        </w:rPr>
      </w:pPr>
      <w:r>
        <w:rPr>
          <w:rFonts w:hint="eastAsia"/>
          <w:color w:val="auto"/>
        </w:rPr>
        <w:t>考虑到填埋气为易燃气体，在日常管理中存在一定爆炸风险，环评建议，在日常管理中，工作人员须使用便捷式甲烷测定仪定期对填埋区和填埋区气体进行监测，若发现导气管排放口甲烷的体积分数达到</w:t>
      </w:r>
      <w:r>
        <w:rPr>
          <w:rFonts w:hint="eastAsia"/>
          <w:color w:val="auto"/>
        </w:rPr>
        <w:t>5%</w:t>
      </w:r>
      <w:r>
        <w:rPr>
          <w:rFonts w:hint="eastAsia"/>
          <w:color w:val="auto"/>
        </w:rPr>
        <w:t>以上时，将原填埋气体导排系统改建成填埋气体主动收集系统，进入开放式的燃烧火炬系统燃烧处理，达标排放。具体做法为：对原集气井顶端进行改装，套上封闭管头密封，从侧面引出</w:t>
      </w:r>
      <w:r>
        <w:rPr>
          <w:rFonts w:hint="eastAsia"/>
          <w:color w:val="auto"/>
        </w:rPr>
        <w:t>DN50</w:t>
      </w:r>
      <w:r>
        <w:rPr>
          <w:rFonts w:hint="eastAsia"/>
          <w:color w:val="auto"/>
        </w:rPr>
        <w:t>的聚乙烯管（</w:t>
      </w:r>
      <w:r>
        <w:rPr>
          <w:rFonts w:hint="eastAsia"/>
          <w:color w:val="auto"/>
        </w:rPr>
        <w:t>PE100</w:t>
      </w:r>
      <w:r>
        <w:rPr>
          <w:rFonts w:hint="eastAsia"/>
          <w:color w:val="auto"/>
        </w:rPr>
        <w:t>）进行气体收集，然后在填埋区内建立连接横管，在风机作用下将填埋区内集气井收集的填埋气集中送出，将收集的填埋气送至填埋气体燃烧系统，将填埋气燃烧，达标排放。</w:t>
      </w:r>
    </w:p>
    <w:p w14:paraId="03957417" w14:textId="77777777" w:rsidR="00D12939" w:rsidRDefault="004F47F5">
      <w:pPr>
        <w:pStyle w:val="affffffffe"/>
        <w:ind w:firstLine="496"/>
        <w:rPr>
          <w:color w:val="auto"/>
        </w:rPr>
      </w:pPr>
      <w:r>
        <w:rPr>
          <w:rFonts w:hint="eastAsia"/>
          <w:color w:val="auto"/>
        </w:rPr>
        <w:t>综上所述，根据《生活垃圾卫生填埋处理技术规范》（</w:t>
      </w:r>
      <w:r>
        <w:rPr>
          <w:rFonts w:hint="eastAsia"/>
          <w:color w:val="auto"/>
        </w:rPr>
        <w:t>GB50869-2013</w:t>
      </w:r>
      <w:r>
        <w:rPr>
          <w:rFonts w:hint="eastAsia"/>
          <w:color w:val="auto"/>
        </w:rPr>
        <w:t>）</w:t>
      </w:r>
      <w:r>
        <w:rPr>
          <w:rFonts w:hint="eastAsia"/>
          <w:color w:val="auto"/>
        </w:rPr>
        <w:t>11.1.3</w:t>
      </w:r>
      <w:r>
        <w:rPr>
          <w:rFonts w:hint="eastAsia"/>
          <w:color w:val="auto"/>
        </w:rPr>
        <w:t>“填埋场不具备填埋气体利用条件时，应采用火炬法燃烧处理，”本项目在填埋初期采用被动导排系统，经导气井直接排放，当导气管排放口甲烷的体积分数达到</w:t>
      </w:r>
      <w:r>
        <w:rPr>
          <w:rFonts w:hint="eastAsia"/>
          <w:color w:val="auto"/>
        </w:rPr>
        <w:t>5%</w:t>
      </w:r>
      <w:r>
        <w:rPr>
          <w:rFonts w:hint="eastAsia"/>
          <w:color w:val="auto"/>
        </w:rPr>
        <w:t>以上时，将原填埋气体导排系统改建成填埋气体主动收集系统，进入燃烧火炬系统燃烧处理。评价认为填埋场气体在经过以上措施处理后对周围空气质量影响较小，本工程填埋气体的处置措施是可行的。</w:t>
      </w:r>
    </w:p>
    <w:p w14:paraId="1793597E" w14:textId="77777777" w:rsidR="00D12939" w:rsidRDefault="004F47F5">
      <w:pPr>
        <w:pStyle w:val="affffffffe"/>
        <w:ind w:firstLine="496"/>
        <w:rPr>
          <w:color w:val="auto"/>
        </w:rPr>
      </w:pPr>
      <w:r>
        <w:rPr>
          <w:rFonts w:hint="eastAsia"/>
          <w:color w:val="auto"/>
        </w:rPr>
        <w:t>为防止易爆气体发生爆炸的环境风险事故，环评建议：一是场区严禁烟火，设明显防火标志牌；二建议设置沼气浓度超限警示系统；三是加强对填埋气收集导排措施的检查、监管；四是建议增设火炬点燃系统，当发现或检测填埋气导气排管中易爆气体浓度较高时，及时采取高空火炬点燃措施。</w:t>
      </w:r>
    </w:p>
    <w:p w14:paraId="0ADD0706" w14:textId="77777777" w:rsidR="00D12939" w:rsidRDefault="004F47F5">
      <w:pPr>
        <w:pStyle w:val="affffffffe"/>
        <w:ind w:firstLine="496"/>
        <w:rPr>
          <w:color w:val="auto"/>
        </w:rPr>
      </w:pPr>
      <w:r>
        <w:rPr>
          <w:rFonts w:hint="eastAsia"/>
          <w:color w:val="auto"/>
        </w:rPr>
        <w:t>综上所述，评价认为填埋场气体在经过集中收集排放后对周围空气质量影响较小，本工程填埋气体的处置措施是可行的。</w:t>
      </w:r>
      <w:bookmarkStart w:id="601" w:name="_Toc41343016"/>
    </w:p>
    <w:p w14:paraId="5C633942"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hint="eastAsia"/>
          <w:sz w:val="24"/>
        </w:rPr>
        <w:lastRenderedPageBreak/>
        <w:t>9</w:t>
      </w:r>
      <w:r>
        <w:rPr>
          <w:rFonts w:ascii="宋体" w:eastAsia="宋体" w:hAnsi="宋体"/>
          <w:sz w:val="24"/>
        </w:rPr>
        <w:t>.2.1.2填埋区恶臭气体防治措施及可行性分析</w:t>
      </w:r>
      <w:bookmarkEnd w:id="601"/>
    </w:p>
    <w:p w14:paraId="65988F23" w14:textId="77777777" w:rsidR="00D12939" w:rsidRDefault="004F47F5">
      <w:pPr>
        <w:pStyle w:val="affffffffe"/>
        <w:ind w:firstLine="496"/>
        <w:rPr>
          <w:color w:val="auto"/>
        </w:rPr>
      </w:pPr>
      <w:r>
        <w:rPr>
          <w:rFonts w:hint="eastAsia"/>
          <w:color w:val="auto"/>
        </w:rPr>
        <w:t>垃圾处理过程中产生的恶臭气体主要是垃圾中的有机物质分解产生的，主要有</w:t>
      </w:r>
      <w:r>
        <w:rPr>
          <w:rFonts w:hint="eastAsia"/>
          <w:color w:val="auto"/>
        </w:rPr>
        <w:t>NH</w:t>
      </w:r>
      <w:r>
        <w:rPr>
          <w:rFonts w:hint="eastAsia"/>
          <w:color w:val="auto"/>
          <w:vertAlign w:val="subscript"/>
        </w:rPr>
        <w:t>3</w:t>
      </w:r>
      <w:r>
        <w:rPr>
          <w:rFonts w:hint="eastAsia"/>
          <w:color w:val="auto"/>
        </w:rPr>
        <w:t>、</w:t>
      </w:r>
      <w:r>
        <w:rPr>
          <w:rFonts w:hint="eastAsia"/>
          <w:color w:val="auto"/>
        </w:rPr>
        <w:t>H</w:t>
      </w:r>
      <w:r>
        <w:rPr>
          <w:rFonts w:hint="eastAsia"/>
          <w:color w:val="auto"/>
          <w:vertAlign w:val="subscript"/>
        </w:rPr>
        <w:t>2</w:t>
      </w:r>
      <w:r>
        <w:rPr>
          <w:rFonts w:hint="eastAsia"/>
          <w:color w:val="auto"/>
        </w:rPr>
        <w:t>S</w:t>
      </w:r>
      <w:r>
        <w:rPr>
          <w:rFonts w:hint="eastAsia"/>
          <w:color w:val="auto"/>
        </w:rPr>
        <w:t>、甲硫醇等气体，主要产生于垃圾的厌氧过程。垃圾填埋场是开放型的，设置特别的脱臭装置对于无组织排放的气体是困难的。为此，本次评价提出以下恶臭气体污染防治措施：</w:t>
      </w:r>
    </w:p>
    <w:p w14:paraId="28B81CB7" w14:textId="77777777" w:rsidR="00D12939" w:rsidRDefault="004F47F5">
      <w:pPr>
        <w:pStyle w:val="affffffffe"/>
        <w:ind w:firstLine="496"/>
        <w:rPr>
          <w:color w:val="auto"/>
        </w:rPr>
      </w:pPr>
      <w:r>
        <w:rPr>
          <w:rFonts w:hint="eastAsia"/>
          <w:color w:val="auto"/>
        </w:rPr>
        <w:t>1</w:t>
      </w:r>
      <w:r>
        <w:rPr>
          <w:rFonts w:hint="eastAsia"/>
          <w:color w:val="auto"/>
        </w:rPr>
        <w:t>）项目建成后，应制订分区、分单元填埋作业计划，并按计划逐区、逐单元、逐层进行填埋作业。</w:t>
      </w:r>
    </w:p>
    <w:p w14:paraId="3A325AA5" w14:textId="77777777" w:rsidR="00D12939" w:rsidRDefault="004F47F5">
      <w:pPr>
        <w:pStyle w:val="affffffffe"/>
        <w:ind w:firstLine="496"/>
        <w:rPr>
          <w:color w:val="auto"/>
        </w:rPr>
      </w:pPr>
      <w:r>
        <w:rPr>
          <w:rFonts w:hint="eastAsia"/>
          <w:color w:val="auto"/>
        </w:rPr>
        <w:t>2</w:t>
      </w:r>
      <w:r>
        <w:rPr>
          <w:rFonts w:hint="eastAsia"/>
          <w:color w:val="auto"/>
        </w:rPr>
        <w:t>）定期喷洒药物，喷洒消臭、脱臭剂和杀虫剂，减少恶臭气体挥发。</w:t>
      </w:r>
    </w:p>
    <w:p w14:paraId="38CC2E54" w14:textId="77777777" w:rsidR="00D12939" w:rsidRDefault="004F47F5">
      <w:pPr>
        <w:pStyle w:val="affffffffe"/>
        <w:ind w:firstLine="496"/>
        <w:rPr>
          <w:color w:val="auto"/>
        </w:rPr>
      </w:pPr>
      <w:r>
        <w:rPr>
          <w:rFonts w:hint="eastAsia"/>
          <w:color w:val="auto"/>
        </w:rPr>
        <w:t>3</w:t>
      </w:r>
      <w:r>
        <w:rPr>
          <w:rFonts w:hint="eastAsia"/>
          <w:color w:val="auto"/>
        </w:rPr>
        <w:t>）在填埋场四周设置宽约</w:t>
      </w:r>
      <w:r>
        <w:rPr>
          <w:rFonts w:hint="eastAsia"/>
          <w:color w:val="auto"/>
        </w:rPr>
        <w:t>10m</w:t>
      </w:r>
      <w:r>
        <w:rPr>
          <w:rFonts w:hint="eastAsia"/>
          <w:color w:val="auto"/>
        </w:rPr>
        <w:t>的绿化隔离带，组成一道绿色防护屏障。在生产管理区、进场道理也有充足绿化。建议在树种选择上，不仅要考虑美化效果，还必须考虑在除臭、防火、吸尘、杀菌等方面的作用，以减少无组织排放对周围环境的影响。</w:t>
      </w:r>
    </w:p>
    <w:p w14:paraId="0C1A23D0" w14:textId="77777777" w:rsidR="00D12939" w:rsidRDefault="004F47F5">
      <w:pPr>
        <w:pStyle w:val="affffffffe"/>
        <w:ind w:firstLine="496"/>
        <w:rPr>
          <w:color w:val="auto"/>
        </w:rPr>
      </w:pPr>
      <w:r>
        <w:rPr>
          <w:rFonts w:hint="eastAsia"/>
          <w:color w:val="auto"/>
        </w:rPr>
        <w:t>根据类比调查结果，采取以上恶臭防治措施后，项目填埋场周围恶臭气体浓度能满足《恶臭污染物排放标准》（</w:t>
      </w:r>
      <w:r>
        <w:rPr>
          <w:rFonts w:hint="eastAsia"/>
          <w:color w:val="auto"/>
        </w:rPr>
        <w:t>GB14554-93</w:t>
      </w:r>
      <w:r>
        <w:rPr>
          <w:rFonts w:hint="eastAsia"/>
          <w:color w:val="auto"/>
        </w:rPr>
        <w:t>）表</w:t>
      </w:r>
      <w:r>
        <w:rPr>
          <w:rFonts w:hint="eastAsia"/>
          <w:color w:val="auto"/>
        </w:rPr>
        <w:t>1</w:t>
      </w:r>
      <w:r>
        <w:rPr>
          <w:rFonts w:hint="eastAsia"/>
          <w:color w:val="auto"/>
        </w:rPr>
        <w:t>中恶臭污染物厂界二级标准要求。防治措施基本可行。</w:t>
      </w:r>
    </w:p>
    <w:p w14:paraId="61DC8720" w14:textId="77777777" w:rsidR="00D12939" w:rsidRDefault="004F47F5">
      <w:pPr>
        <w:pStyle w:val="4"/>
        <w:spacing w:before="0" w:after="0" w:line="360" w:lineRule="auto"/>
        <w:ind w:firstLineChars="200" w:firstLine="482"/>
        <w:rPr>
          <w:rFonts w:ascii="宋体" w:eastAsia="宋体" w:hAnsi="宋体"/>
          <w:sz w:val="24"/>
        </w:rPr>
      </w:pPr>
      <w:bookmarkStart w:id="602" w:name="_Toc41343017"/>
      <w:r>
        <w:rPr>
          <w:rFonts w:ascii="宋体" w:eastAsia="宋体" w:hAnsi="宋体" w:hint="eastAsia"/>
          <w:sz w:val="24"/>
        </w:rPr>
        <w:t>9</w:t>
      </w:r>
      <w:r>
        <w:rPr>
          <w:rFonts w:ascii="宋体" w:eastAsia="宋体" w:hAnsi="宋体"/>
          <w:sz w:val="24"/>
        </w:rPr>
        <w:t>.2.1.3</w:t>
      </w:r>
      <w:r>
        <w:rPr>
          <w:rFonts w:ascii="宋体" w:eastAsia="宋体" w:hAnsi="宋体" w:hint="eastAsia"/>
          <w:sz w:val="24"/>
        </w:rPr>
        <w:t>调节池和渗滤液处理站恶臭气体的控制及治理措施</w:t>
      </w:r>
      <w:bookmarkEnd w:id="602"/>
    </w:p>
    <w:p w14:paraId="6438C90A" w14:textId="77777777" w:rsidR="00D12939" w:rsidRDefault="004F47F5">
      <w:pPr>
        <w:pStyle w:val="affffffffe"/>
        <w:ind w:firstLine="496"/>
        <w:rPr>
          <w:color w:val="auto"/>
        </w:rPr>
      </w:pPr>
      <w:r>
        <w:rPr>
          <w:color w:val="auto"/>
        </w:rPr>
        <w:t>垃圾填埋场设有</w:t>
      </w:r>
      <w:r>
        <w:rPr>
          <w:color w:val="auto"/>
        </w:rPr>
        <w:t>1</w:t>
      </w:r>
      <w:r>
        <w:rPr>
          <w:color w:val="auto"/>
        </w:rPr>
        <w:t>座渗滤液调节池</w:t>
      </w:r>
      <w:r>
        <w:rPr>
          <w:rFonts w:hint="eastAsia"/>
          <w:color w:val="auto"/>
        </w:rPr>
        <w:t>和</w:t>
      </w:r>
      <w:r>
        <w:rPr>
          <w:rFonts w:hint="eastAsia"/>
          <w:color w:val="auto"/>
        </w:rPr>
        <w:t>1</w:t>
      </w:r>
      <w:r>
        <w:rPr>
          <w:rFonts w:hint="eastAsia"/>
          <w:color w:val="auto"/>
        </w:rPr>
        <w:t>座渗滤液处理站</w:t>
      </w:r>
      <w:r>
        <w:rPr>
          <w:color w:val="auto"/>
        </w:rPr>
        <w:t>，</w:t>
      </w:r>
      <w:r>
        <w:rPr>
          <w:rFonts w:hint="eastAsia"/>
          <w:color w:val="auto"/>
        </w:rPr>
        <w:t>均</w:t>
      </w:r>
      <w:r>
        <w:rPr>
          <w:color w:val="auto"/>
        </w:rPr>
        <w:t>位于</w:t>
      </w:r>
      <w:r>
        <w:rPr>
          <w:rFonts w:hint="eastAsia"/>
          <w:color w:val="auto"/>
        </w:rPr>
        <w:t>填埋</w:t>
      </w:r>
      <w:r>
        <w:rPr>
          <w:color w:val="auto"/>
        </w:rPr>
        <w:t>库区</w:t>
      </w:r>
      <w:r>
        <w:rPr>
          <w:rFonts w:hint="eastAsia"/>
          <w:color w:val="auto"/>
        </w:rPr>
        <w:t>东侧，调节池有效</w:t>
      </w:r>
      <w:r>
        <w:rPr>
          <w:color w:val="auto"/>
        </w:rPr>
        <w:t>容积为</w:t>
      </w:r>
      <w:r>
        <w:rPr>
          <w:color w:val="auto"/>
        </w:rPr>
        <w:t>1800m</w:t>
      </w:r>
      <w:r>
        <w:rPr>
          <w:color w:val="auto"/>
          <w:vertAlign w:val="superscript"/>
        </w:rPr>
        <w:t>3</w:t>
      </w:r>
      <w:r>
        <w:rPr>
          <w:color w:val="auto"/>
        </w:rPr>
        <w:t>，渗滤液调节池</w:t>
      </w:r>
      <w:r>
        <w:rPr>
          <w:rFonts w:hint="eastAsia"/>
          <w:color w:val="auto"/>
        </w:rPr>
        <w:t>和渗滤液处理站均</w:t>
      </w:r>
      <w:r>
        <w:rPr>
          <w:color w:val="auto"/>
        </w:rPr>
        <w:t>加盖封闭</w:t>
      </w:r>
      <w:r>
        <w:rPr>
          <w:rFonts w:hint="eastAsia"/>
          <w:color w:val="auto"/>
        </w:rPr>
        <w:t>，恶臭气体经收集后进入离子除臭系统，处理达标的尾气经过</w:t>
      </w:r>
      <w:r>
        <w:rPr>
          <w:rFonts w:hint="eastAsia"/>
          <w:color w:val="auto"/>
        </w:rPr>
        <w:t>1</w:t>
      </w:r>
      <w:r>
        <w:rPr>
          <w:color w:val="auto"/>
        </w:rPr>
        <w:t>5</w:t>
      </w:r>
      <w:r>
        <w:rPr>
          <w:rFonts w:hint="eastAsia"/>
          <w:color w:val="auto"/>
        </w:rPr>
        <w:t>m</w:t>
      </w:r>
      <w:r>
        <w:rPr>
          <w:rFonts w:hint="eastAsia"/>
          <w:color w:val="auto"/>
        </w:rPr>
        <w:t>高的排气筒外排。</w:t>
      </w:r>
    </w:p>
    <w:p w14:paraId="71856C7B" w14:textId="77777777" w:rsidR="00D12939" w:rsidRDefault="004F47F5">
      <w:pPr>
        <w:pStyle w:val="affffffffe"/>
        <w:ind w:firstLine="496"/>
        <w:rPr>
          <w:color w:val="auto"/>
        </w:rPr>
      </w:pPr>
      <w:r>
        <w:rPr>
          <w:rFonts w:hint="eastAsia"/>
          <w:color w:val="auto"/>
        </w:rPr>
        <w:t>离子除臭与传统的除臭设备（生物法、化学洗涤法）相比，具有去除效率高、占地少、能耗低操作简便、自动化程度高、能适应极端气候条件、无二次污染等优点。本项目采用离子除臭系统措施可行。</w:t>
      </w:r>
    </w:p>
    <w:p w14:paraId="269FA172" w14:textId="77777777" w:rsidR="00D12939" w:rsidRDefault="004F47F5">
      <w:pPr>
        <w:pStyle w:val="4"/>
        <w:spacing w:before="0" w:after="0" w:line="360" w:lineRule="auto"/>
        <w:ind w:firstLineChars="200" w:firstLine="482"/>
        <w:rPr>
          <w:rFonts w:ascii="宋体" w:eastAsia="宋体" w:hAnsi="宋体"/>
          <w:sz w:val="24"/>
        </w:rPr>
      </w:pPr>
      <w:bookmarkStart w:id="603" w:name="_Toc41343018"/>
      <w:r>
        <w:rPr>
          <w:rFonts w:ascii="宋体" w:eastAsia="宋体" w:hAnsi="宋体" w:hint="eastAsia"/>
          <w:sz w:val="24"/>
        </w:rPr>
        <w:t>9</w:t>
      </w:r>
      <w:r>
        <w:rPr>
          <w:rFonts w:ascii="宋体" w:eastAsia="宋体" w:hAnsi="宋体"/>
          <w:sz w:val="24"/>
        </w:rPr>
        <w:t>.2.1.4扬尘污染防治措施及可行性分析</w:t>
      </w:r>
      <w:bookmarkEnd w:id="603"/>
    </w:p>
    <w:p w14:paraId="55016881" w14:textId="77777777" w:rsidR="00D12939" w:rsidRDefault="004F47F5">
      <w:pPr>
        <w:pStyle w:val="affffffffe"/>
        <w:ind w:firstLine="496"/>
        <w:rPr>
          <w:color w:val="auto"/>
        </w:rPr>
      </w:pPr>
      <w:r>
        <w:rPr>
          <w:color w:val="auto"/>
        </w:rPr>
        <w:t>扬尘污染主要是由于垃圾装卸、填埋场作业过程中运及运输车辆运行产生的扬尘，尤其在干旱季节更为严重。为了减少对周边环境空气的影响，要求采取如下措施：</w:t>
      </w:r>
    </w:p>
    <w:p w14:paraId="321311C1" w14:textId="77777777" w:rsidR="00D12939" w:rsidRDefault="004F47F5">
      <w:pPr>
        <w:pStyle w:val="affffffffe"/>
        <w:ind w:firstLine="496"/>
        <w:rPr>
          <w:color w:val="auto"/>
        </w:rPr>
      </w:pPr>
      <w:r>
        <w:rPr>
          <w:rFonts w:ascii="宋体" w:hAnsi="宋体" w:cs="宋体" w:hint="eastAsia"/>
          <w:color w:val="auto"/>
        </w:rPr>
        <w:t>①</w:t>
      </w:r>
      <w:r>
        <w:rPr>
          <w:color w:val="auto"/>
        </w:rPr>
        <w:t>垃圾运输车采用密闭式车辆运输，控制车辆的行驶速度；</w:t>
      </w:r>
    </w:p>
    <w:p w14:paraId="209CDA61" w14:textId="77777777" w:rsidR="00D12939" w:rsidRDefault="004F47F5">
      <w:pPr>
        <w:pStyle w:val="affffffffe"/>
        <w:ind w:firstLine="496"/>
        <w:rPr>
          <w:color w:val="auto"/>
        </w:rPr>
      </w:pPr>
      <w:r>
        <w:rPr>
          <w:rFonts w:ascii="宋体" w:hAnsi="宋体" w:cs="宋体" w:hint="eastAsia"/>
          <w:color w:val="auto"/>
        </w:rPr>
        <w:t>②</w:t>
      </w:r>
      <w:r>
        <w:rPr>
          <w:color w:val="auto"/>
        </w:rPr>
        <w:t>填埋区配备洒水车，对扬尘较大的道路和作业区洒水，以控制扬尘的产生，填埋作业时建立定期洒水制度；</w:t>
      </w:r>
    </w:p>
    <w:p w14:paraId="3C7276BB" w14:textId="77777777" w:rsidR="00D12939" w:rsidRDefault="004F47F5">
      <w:pPr>
        <w:pStyle w:val="affffffffe"/>
        <w:ind w:firstLine="496"/>
        <w:rPr>
          <w:color w:val="auto"/>
        </w:rPr>
      </w:pPr>
      <w:r>
        <w:rPr>
          <w:rFonts w:ascii="宋体" w:hAnsi="宋体" w:cs="宋体" w:hint="eastAsia"/>
          <w:color w:val="auto"/>
        </w:rPr>
        <w:t>③</w:t>
      </w:r>
      <w:r>
        <w:rPr>
          <w:color w:val="auto"/>
        </w:rPr>
        <w:t>填埋区四周防飞散网，有效防止垃圾填埋过程中轻质垃圾的飘飞；</w:t>
      </w:r>
    </w:p>
    <w:p w14:paraId="0E41C651" w14:textId="77777777" w:rsidR="00D12939" w:rsidRDefault="004F47F5">
      <w:pPr>
        <w:pStyle w:val="affffffffe"/>
        <w:ind w:firstLine="496"/>
        <w:rPr>
          <w:color w:val="auto"/>
        </w:rPr>
      </w:pPr>
      <w:r>
        <w:rPr>
          <w:rFonts w:ascii="宋体" w:hAnsi="宋体" w:cs="宋体" w:hint="eastAsia"/>
          <w:color w:val="auto"/>
        </w:rPr>
        <w:t>④</w:t>
      </w:r>
      <w:r>
        <w:rPr>
          <w:color w:val="auto"/>
        </w:rPr>
        <w:t>填埋场地处低山沟谷，山体本身为天然屏障，可有效减少对周边环境空气的影响</w:t>
      </w:r>
      <w:r>
        <w:rPr>
          <w:rFonts w:hint="eastAsia"/>
          <w:color w:val="auto"/>
        </w:rPr>
        <w:t>。</w:t>
      </w:r>
    </w:p>
    <w:p w14:paraId="0C61D7DD" w14:textId="77777777" w:rsidR="00D12939" w:rsidRDefault="004F47F5">
      <w:pPr>
        <w:pStyle w:val="affffffffe"/>
        <w:ind w:firstLine="496"/>
        <w:rPr>
          <w:color w:val="auto"/>
        </w:rPr>
      </w:pPr>
      <w:r>
        <w:rPr>
          <w:color w:val="auto"/>
        </w:rPr>
        <w:lastRenderedPageBreak/>
        <w:t>上述扬尘防治措施可有效降低项目运营期扬尘排放浓度，且操作方便，经济技术上可行。</w:t>
      </w:r>
    </w:p>
    <w:p w14:paraId="20A2E2DF" w14:textId="77777777" w:rsidR="00D12939" w:rsidRDefault="004F47F5">
      <w:pPr>
        <w:pStyle w:val="4"/>
        <w:spacing w:before="0" w:after="0" w:line="360" w:lineRule="auto"/>
        <w:ind w:firstLineChars="200" w:firstLine="482"/>
        <w:rPr>
          <w:rFonts w:ascii="宋体" w:eastAsia="宋体" w:hAnsi="宋体"/>
          <w:sz w:val="24"/>
        </w:rPr>
      </w:pPr>
      <w:bookmarkStart w:id="604" w:name="_Toc41343019"/>
      <w:r>
        <w:rPr>
          <w:rFonts w:ascii="宋体" w:eastAsia="宋体" w:hAnsi="宋体" w:hint="eastAsia"/>
          <w:sz w:val="24"/>
        </w:rPr>
        <w:t>9</w:t>
      </w:r>
      <w:r>
        <w:rPr>
          <w:rFonts w:ascii="宋体" w:eastAsia="宋体" w:hAnsi="宋体"/>
          <w:sz w:val="24"/>
        </w:rPr>
        <w:t>.2.1.5管理要求</w:t>
      </w:r>
      <w:bookmarkEnd w:id="604"/>
    </w:p>
    <w:p w14:paraId="23E65796" w14:textId="77777777" w:rsidR="00D12939" w:rsidRDefault="004F47F5">
      <w:pPr>
        <w:pStyle w:val="affffffffe"/>
        <w:ind w:firstLine="496"/>
        <w:rPr>
          <w:color w:val="auto"/>
        </w:rPr>
      </w:pPr>
      <w:r>
        <w:rPr>
          <w:rFonts w:hint="eastAsia"/>
          <w:color w:val="auto"/>
        </w:rPr>
        <w:t>在填埋区实施的斜面作业中，应在尽量缩小的区域内快速地进行平铺、压实和覆土操作；应减少平铺时垃圾的飞扬和抛洒，确保压实强度，并采取日覆盖与适时覆盖相结合的方式，避免垃圾的暴露；定期喷药除臭剂；为了防止恶臭气体对人身体健康的影响，应对填埋场工作人员配备口罩等防护用品，可保护在岗职工身体健康。</w:t>
      </w:r>
    </w:p>
    <w:p w14:paraId="56BACF69"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05" w:name="_Toc41343020"/>
      <w:bookmarkStart w:id="606" w:name="_Toc121411813"/>
      <w:r>
        <w:rPr>
          <w:rFonts w:ascii="Times New Roman" w:eastAsia="黑体" w:hAnsi="Times New Roman" w:cs="Times New Roman" w:hint="eastAsia"/>
          <w:b w:val="0"/>
          <w:sz w:val="24"/>
        </w:rPr>
        <w:t>9</w:t>
      </w:r>
      <w:r>
        <w:rPr>
          <w:rFonts w:ascii="Times New Roman" w:eastAsia="黑体" w:hAnsi="Times New Roman" w:cs="Times New Roman"/>
          <w:b w:val="0"/>
          <w:sz w:val="24"/>
        </w:rPr>
        <w:t>.2.2</w:t>
      </w:r>
      <w:r>
        <w:rPr>
          <w:rFonts w:ascii="Times New Roman" w:eastAsia="黑体" w:hAnsi="Times New Roman" w:cs="Times New Roman"/>
          <w:b w:val="0"/>
          <w:sz w:val="24"/>
        </w:rPr>
        <w:t>废水污染防治措施分析</w:t>
      </w:r>
      <w:bookmarkEnd w:id="605"/>
      <w:bookmarkEnd w:id="606"/>
    </w:p>
    <w:p w14:paraId="57B3D8A4" w14:textId="77777777" w:rsidR="00D12939" w:rsidRDefault="004F47F5">
      <w:pPr>
        <w:pStyle w:val="affffffffe"/>
        <w:ind w:firstLine="496"/>
        <w:rPr>
          <w:color w:val="auto"/>
          <w:szCs w:val="28"/>
        </w:rPr>
      </w:pPr>
      <w:r>
        <w:rPr>
          <w:color w:val="auto"/>
        </w:rPr>
        <w:t>本</w:t>
      </w:r>
      <w:r>
        <w:rPr>
          <w:rFonts w:hint="eastAsia"/>
          <w:color w:val="auto"/>
        </w:rPr>
        <w:t>项目运营期废水主要有垃圾渗滤液、渗滤液处理站反冲洗废水、渗滤液处理站地面冲洗废水、洗车废水和员工生活污水。员工生活污水经化粪池处理后和反冲洗废水、地面冲洗废水、垃圾渗滤液均进入渗滤液处理站进行处理，洗车废水经简单沉淀后回用于填埋场洒水抑尘</w:t>
      </w:r>
      <w:r>
        <w:rPr>
          <w:color w:val="auto"/>
          <w:szCs w:val="28"/>
        </w:rPr>
        <w:t>。</w:t>
      </w:r>
    </w:p>
    <w:p w14:paraId="298B0231" w14:textId="77777777" w:rsidR="00D12939" w:rsidRDefault="004F47F5">
      <w:pPr>
        <w:pStyle w:val="4"/>
        <w:spacing w:before="0" w:after="0" w:line="360" w:lineRule="auto"/>
        <w:ind w:firstLineChars="200" w:firstLine="482"/>
        <w:rPr>
          <w:rFonts w:ascii="宋体" w:eastAsia="宋体" w:hAnsi="宋体"/>
          <w:sz w:val="24"/>
        </w:rPr>
      </w:pPr>
      <w:bookmarkStart w:id="607" w:name="_Toc41343021"/>
      <w:r>
        <w:rPr>
          <w:rFonts w:ascii="宋体" w:eastAsia="宋体" w:hAnsi="宋体" w:hint="eastAsia"/>
          <w:sz w:val="24"/>
        </w:rPr>
        <w:t>9</w:t>
      </w:r>
      <w:r>
        <w:rPr>
          <w:rFonts w:ascii="宋体" w:eastAsia="宋体" w:hAnsi="宋体"/>
          <w:sz w:val="24"/>
        </w:rPr>
        <w:t>.2.2</w:t>
      </w:r>
      <w:r>
        <w:rPr>
          <w:rFonts w:ascii="宋体" w:eastAsia="宋体" w:hAnsi="宋体" w:hint="eastAsia"/>
          <w:sz w:val="24"/>
        </w:rPr>
        <w:t>.</w:t>
      </w:r>
      <w:r>
        <w:rPr>
          <w:rFonts w:ascii="宋体" w:eastAsia="宋体" w:hAnsi="宋体"/>
          <w:sz w:val="24"/>
        </w:rPr>
        <w:t>1</w:t>
      </w:r>
      <w:r>
        <w:rPr>
          <w:rFonts w:ascii="宋体" w:eastAsia="宋体" w:hAnsi="宋体" w:hint="eastAsia"/>
          <w:sz w:val="24"/>
        </w:rPr>
        <w:t>渗滤液导排、收集与处理系统</w:t>
      </w:r>
      <w:bookmarkEnd w:id="607"/>
    </w:p>
    <w:p w14:paraId="54DFD9E1" w14:textId="77777777" w:rsidR="00D12939" w:rsidRDefault="004F47F5">
      <w:pPr>
        <w:pStyle w:val="affffffffe"/>
        <w:ind w:firstLine="496"/>
        <w:rPr>
          <w:color w:val="auto"/>
        </w:rPr>
      </w:pPr>
      <w:r>
        <w:rPr>
          <w:rFonts w:hint="eastAsia"/>
          <w:color w:val="auto"/>
        </w:rPr>
        <w:t>垃圾渗滤液产生量主要受直接进入填埋库区与垃圾接触的降雨量影响，因此采取有效措施从源头控制进入填埋场地表径流量是控制渗滤液产生量的关键，而渗滤液中污染物浓度则主要受填埋垃圾成分等因素的影响，据此应在填埋场设计阶段、填埋作业过程及终场后全生命周期过程采取必要的污染防治措施，减少垃圾渗滤液产生。工程初步设计，综合区域自然状况、城镇水处理及经济承受能力等方面因素，对垃圾渗滤液进行导排、收集和回流系统拟采取以下工程措施：</w:t>
      </w:r>
    </w:p>
    <w:p w14:paraId="2AB682E7" w14:textId="77777777" w:rsidR="00D12939" w:rsidRDefault="004F47F5">
      <w:pPr>
        <w:pStyle w:val="affffffffe"/>
        <w:ind w:firstLine="496"/>
        <w:rPr>
          <w:color w:val="auto"/>
        </w:rPr>
      </w:pPr>
      <w:r>
        <w:rPr>
          <w:rFonts w:hint="eastAsia"/>
          <w:color w:val="auto"/>
        </w:rPr>
        <w:t>①为防止洪雨水进入库区，对填埋场设截排洪沟和挡水坝以减少填埋场运营过程渗滤液产生量；</w:t>
      </w:r>
    </w:p>
    <w:p w14:paraId="36C89C8E" w14:textId="77777777" w:rsidR="00D12939" w:rsidRDefault="004F47F5">
      <w:pPr>
        <w:pStyle w:val="affffffffe"/>
        <w:ind w:firstLine="496"/>
        <w:rPr>
          <w:color w:val="auto"/>
        </w:rPr>
      </w:pPr>
      <w:r>
        <w:rPr>
          <w:rFonts w:hint="eastAsia"/>
          <w:color w:val="auto"/>
        </w:rPr>
        <w:t>②为有效地收集垃圾中渗滤液，在场地中间与两侧防渗层上透水层中铺设</w:t>
      </w:r>
      <w:r>
        <w:rPr>
          <w:color w:val="auto"/>
        </w:rPr>
        <w:t>HDPE</w:t>
      </w:r>
      <w:r>
        <w:rPr>
          <w:rFonts w:hint="eastAsia"/>
          <w:color w:val="auto"/>
        </w:rPr>
        <w:t>导流支干管，导流干管敷设在集水盲沟内，渗滤液经盲沟内的导排管排入垃圾坝外渗滤液调节池，可形成水平与垂直相结合较为完善的渗滤液收集系统；</w:t>
      </w:r>
    </w:p>
    <w:p w14:paraId="492AB5BF" w14:textId="195CB95C" w:rsidR="00D12939" w:rsidRDefault="004F47F5">
      <w:pPr>
        <w:pStyle w:val="affffffffe"/>
        <w:ind w:firstLine="496"/>
        <w:rPr>
          <w:color w:val="auto"/>
        </w:rPr>
      </w:pPr>
      <w:r>
        <w:rPr>
          <w:rFonts w:hint="eastAsia"/>
          <w:color w:val="auto"/>
        </w:rPr>
        <w:t>③垃圾渗滤液采用“</w:t>
      </w:r>
      <w:r>
        <w:rPr>
          <w:color w:val="auto"/>
        </w:rPr>
        <w:t>预处理</w:t>
      </w:r>
      <w:r>
        <w:rPr>
          <w:color w:val="auto"/>
        </w:rPr>
        <w:t>-</w:t>
      </w:r>
      <w:r>
        <w:rPr>
          <w:color w:val="auto"/>
        </w:rPr>
        <w:t>一体化反应池</w:t>
      </w:r>
      <w:r>
        <w:rPr>
          <w:color w:val="auto"/>
        </w:rPr>
        <w:t>-</w:t>
      </w:r>
      <w:r>
        <w:rPr>
          <w:color w:val="auto"/>
        </w:rPr>
        <w:t>气浮</w:t>
      </w:r>
      <w:r>
        <w:rPr>
          <w:color w:val="auto"/>
        </w:rPr>
        <w:t>-</w:t>
      </w:r>
      <w:r>
        <w:rPr>
          <w:color w:val="auto"/>
        </w:rPr>
        <w:t>斜板沉淀</w:t>
      </w:r>
      <w:r>
        <w:rPr>
          <w:color w:val="auto"/>
        </w:rPr>
        <w:t>-A</w:t>
      </w:r>
      <w:r>
        <w:rPr>
          <w:color w:val="auto"/>
          <w:vertAlign w:val="superscript"/>
        </w:rPr>
        <w:t>2</w:t>
      </w:r>
      <w:r>
        <w:rPr>
          <w:color w:val="auto"/>
        </w:rPr>
        <w:t>/O-MBR</w:t>
      </w:r>
      <w:r>
        <w:rPr>
          <w:color w:val="auto"/>
        </w:rPr>
        <w:t>膜池</w:t>
      </w:r>
      <w:r>
        <w:rPr>
          <w:color w:val="auto"/>
        </w:rPr>
        <w:t>-</w:t>
      </w:r>
      <w:r>
        <w:rPr>
          <w:color w:val="auto"/>
        </w:rPr>
        <w:t>纳滤</w:t>
      </w:r>
      <w:r>
        <w:rPr>
          <w:color w:val="auto"/>
        </w:rPr>
        <w:t>-</w:t>
      </w:r>
      <w:r>
        <w:rPr>
          <w:color w:val="auto"/>
        </w:rPr>
        <w:t>反渗透</w:t>
      </w:r>
      <w:r>
        <w:rPr>
          <w:rFonts w:hint="eastAsia"/>
          <w:color w:val="auto"/>
        </w:rPr>
        <w:t>”</w:t>
      </w:r>
      <w:r w:rsidR="003E3DF1">
        <w:rPr>
          <w:rFonts w:hint="eastAsia"/>
          <w:color w:val="auto"/>
        </w:rPr>
        <w:t>，</w:t>
      </w:r>
      <w:r w:rsidR="003E3DF1" w:rsidRPr="003E3DF1">
        <w:rPr>
          <w:rFonts w:hint="eastAsia"/>
        </w:rPr>
        <w:t xml:space="preserve"> </w:t>
      </w:r>
      <w:r w:rsidR="003E3DF1" w:rsidRPr="003E3DF1">
        <w:rPr>
          <w:rFonts w:hint="eastAsia"/>
          <w:color w:val="FF0000"/>
        </w:rPr>
        <w:t>纳滤和反渗透产生的浓缩液回灌至填埋场，清液</w:t>
      </w:r>
      <w:r w:rsidRPr="003E3DF1">
        <w:rPr>
          <w:rFonts w:hint="eastAsia"/>
          <w:color w:val="FF0000"/>
        </w:rPr>
        <w:t>达到《生活垃圾填埋场污染控制标准》（</w:t>
      </w:r>
      <w:r w:rsidRPr="003E3DF1">
        <w:rPr>
          <w:color w:val="FF0000"/>
        </w:rPr>
        <w:t>GB16889-2008</w:t>
      </w:r>
      <w:r w:rsidRPr="003E3DF1">
        <w:rPr>
          <w:rFonts w:hint="eastAsia"/>
          <w:color w:val="FF0000"/>
        </w:rPr>
        <w:t>）表</w:t>
      </w:r>
      <w:r w:rsidRPr="003E3DF1">
        <w:rPr>
          <w:color w:val="FF0000"/>
        </w:rPr>
        <w:t>2</w:t>
      </w:r>
      <w:r w:rsidRPr="003E3DF1">
        <w:rPr>
          <w:rFonts w:hint="eastAsia"/>
          <w:color w:val="FF0000"/>
        </w:rPr>
        <w:t>标准，</w:t>
      </w:r>
      <w:r w:rsidRPr="003E3DF1">
        <w:rPr>
          <w:color w:val="FF0000"/>
        </w:rPr>
        <w:t>后</w:t>
      </w:r>
      <w:r w:rsidRPr="003E3DF1">
        <w:rPr>
          <w:rFonts w:hint="eastAsia"/>
          <w:color w:val="FF0000"/>
        </w:rPr>
        <w:t>部分回用于库区洒水，剩余尾水</w:t>
      </w:r>
      <w:r w:rsidRPr="003E3DF1">
        <w:rPr>
          <w:color w:val="FF0000"/>
        </w:rPr>
        <w:t>采用槽罐车运输方式，运至柞水县污水处理厂</w:t>
      </w:r>
      <w:r w:rsidRPr="003E3DF1">
        <w:rPr>
          <w:rFonts w:hint="eastAsia"/>
          <w:color w:val="FF0000"/>
        </w:rPr>
        <w:t>进一步处理。</w:t>
      </w:r>
    </w:p>
    <w:p w14:paraId="068B4924" w14:textId="77777777" w:rsidR="00D12939" w:rsidRDefault="004F47F5">
      <w:pPr>
        <w:pStyle w:val="affffffffe"/>
        <w:ind w:firstLine="496"/>
        <w:rPr>
          <w:color w:val="auto"/>
        </w:rPr>
      </w:pPr>
      <w:r>
        <w:rPr>
          <w:rFonts w:hint="eastAsia"/>
          <w:color w:val="auto"/>
        </w:rPr>
        <w:t>综上所述，渗滤液导排、收集与处理较为切合工程和当地实际，措施基本可行。</w:t>
      </w:r>
    </w:p>
    <w:p w14:paraId="28819B02" w14:textId="77777777" w:rsidR="00D12939" w:rsidRDefault="004F47F5">
      <w:pPr>
        <w:pStyle w:val="4"/>
        <w:spacing w:before="0" w:after="0" w:line="360" w:lineRule="auto"/>
        <w:ind w:firstLineChars="200" w:firstLine="482"/>
        <w:rPr>
          <w:rFonts w:ascii="宋体" w:eastAsia="宋体" w:hAnsi="宋体"/>
          <w:sz w:val="24"/>
        </w:rPr>
      </w:pPr>
      <w:bookmarkStart w:id="608" w:name="_Toc41343022"/>
      <w:r>
        <w:rPr>
          <w:rFonts w:ascii="宋体" w:eastAsia="宋体" w:hAnsi="宋体" w:hint="eastAsia"/>
          <w:sz w:val="24"/>
        </w:rPr>
        <w:lastRenderedPageBreak/>
        <w:t>9</w:t>
      </w:r>
      <w:r>
        <w:rPr>
          <w:rFonts w:ascii="宋体" w:eastAsia="宋体" w:hAnsi="宋体"/>
          <w:sz w:val="24"/>
        </w:rPr>
        <w:t>.2.2.2</w:t>
      </w:r>
      <w:r>
        <w:rPr>
          <w:rFonts w:ascii="宋体" w:eastAsia="宋体" w:hAnsi="宋体" w:hint="eastAsia"/>
          <w:sz w:val="24"/>
        </w:rPr>
        <w:t>渗滤液处理工艺</w:t>
      </w:r>
      <w:bookmarkEnd w:id="608"/>
    </w:p>
    <w:p w14:paraId="0F2466A8" w14:textId="77777777" w:rsidR="00D12939" w:rsidRDefault="004F47F5">
      <w:pPr>
        <w:spacing w:line="360" w:lineRule="auto"/>
        <w:ind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渗滤液处理</w:t>
      </w:r>
      <w:r>
        <w:rPr>
          <w:rFonts w:ascii="Times New Roman" w:eastAsia="宋体" w:hAnsi="Times New Roman" w:cs="Times New Roman" w:hint="eastAsia"/>
          <w:kern w:val="0"/>
          <w:sz w:val="24"/>
          <w:szCs w:val="24"/>
        </w:rPr>
        <w:t>场主要建设内容包括格栅、调节池、气浮池、生化反应池、纳滤装置、反渗透装置、脱水机房、污泥池、泵房、加药间以及控制室、值班室、配电室等，</w:t>
      </w:r>
      <w:r>
        <w:rPr>
          <w:rFonts w:ascii="Times New Roman" w:eastAsia="宋体" w:hAnsi="Times New Roman" w:cs="Times New Roman"/>
          <w:kern w:val="0"/>
          <w:sz w:val="24"/>
          <w:szCs w:val="24"/>
        </w:rPr>
        <w:t>处理工艺流程见图</w:t>
      </w:r>
      <w:r>
        <w:rPr>
          <w:rFonts w:ascii="Times New Roman" w:eastAsia="宋体" w:hAnsi="Times New Roman" w:cs="Times New Roman" w:hint="eastAsia"/>
          <w:kern w:val="0"/>
          <w:sz w:val="24"/>
          <w:szCs w:val="24"/>
        </w:rPr>
        <w:t>8.3-1</w:t>
      </w:r>
      <w:r>
        <w:rPr>
          <w:rFonts w:ascii="Times New Roman" w:eastAsia="宋体" w:hAnsi="Times New Roman" w:cs="Times New Roman" w:hint="eastAsia"/>
          <w:kern w:val="0"/>
          <w:sz w:val="24"/>
          <w:szCs w:val="24"/>
        </w:rPr>
        <w:t>。</w:t>
      </w:r>
    </w:p>
    <w:p w14:paraId="02830716" w14:textId="77777777" w:rsidR="00D12939" w:rsidRDefault="004F47F5">
      <w:pPr>
        <w:pStyle w:val="affffffffe"/>
        <w:spacing w:line="240" w:lineRule="auto"/>
        <w:ind w:firstLineChars="0" w:firstLine="0"/>
        <w:jc w:val="center"/>
        <w:rPr>
          <w:color w:val="auto"/>
        </w:rPr>
      </w:pPr>
      <w:r>
        <w:rPr>
          <w:noProof/>
          <w:color w:val="auto"/>
        </w:rPr>
        <w:drawing>
          <wp:inline distT="0" distB="0" distL="0" distR="0">
            <wp:extent cx="3457575" cy="507682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2"/>
                    <a:stretch>
                      <a:fillRect/>
                    </a:stretch>
                  </pic:blipFill>
                  <pic:spPr>
                    <a:xfrm>
                      <a:off x="0" y="0"/>
                      <a:ext cx="3457575" cy="5076825"/>
                    </a:xfrm>
                    <a:prstGeom prst="rect">
                      <a:avLst/>
                    </a:prstGeom>
                  </pic:spPr>
                </pic:pic>
              </a:graphicData>
            </a:graphic>
          </wp:inline>
        </w:drawing>
      </w:r>
    </w:p>
    <w:p w14:paraId="77B3987A" w14:textId="77777777" w:rsidR="00D12939" w:rsidRDefault="004F47F5">
      <w:pPr>
        <w:autoSpaceDE w:val="0"/>
        <w:autoSpaceDN w:val="0"/>
        <w:adjustRightInd w:val="0"/>
        <w:spacing w:line="360" w:lineRule="auto"/>
        <w:ind w:firstLineChars="200" w:firstLine="480"/>
        <w:jc w:val="center"/>
        <w:rPr>
          <w:rFonts w:ascii="黑体" w:eastAsia="黑体" w:hAnsi="黑体"/>
          <w:sz w:val="24"/>
          <w:szCs w:val="21"/>
        </w:rPr>
      </w:pPr>
      <w:r>
        <w:rPr>
          <w:rFonts w:ascii="黑体" w:eastAsia="黑体" w:hAnsi="黑体" w:hint="eastAsia"/>
          <w:sz w:val="24"/>
          <w:szCs w:val="21"/>
        </w:rPr>
        <w:t>图</w:t>
      </w:r>
      <w:r>
        <w:rPr>
          <w:rFonts w:ascii="黑体" w:eastAsia="黑体" w:hAnsi="黑体"/>
          <w:sz w:val="24"/>
          <w:szCs w:val="21"/>
        </w:rPr>
        <w:t>9.2</w:t>
      </w:r>
      <w:r>
        <w:rPr>
          <w:rFonts w:ascii="黑体" w:eastAsia="黑体" w:hAnsi="黑体" w:hint="eastAsia"/>
          <w:sz w:val="24"/>
          <w:szCs w:val="21"/>
        </w:rPr>
        <w:t>-1</w:t>
      </w:r>
      <w:r>
        <w:rPr>
          <w:rFonts w:ascii="黑体" w:eastAsia="黑体" w:hAnsi="黑体"/>
          <w:sz w:val="24"/>
          <w:szCs w:val="21"/>
        </w:rPr>
        <w:t xml:space="preserve">   渗滤液处理</w:t>
      </w:r>
      <w:r>
        <w:rPr>
          <w:rFonts w:ascii="黑体" w:eastAsia="黑体" w:hAnsi="黑体" w:hint="eastAsia"/>
          <w:sz w:val="24"/>
          <w:szCs w:val="21"/>
        </w:rPr>
        <w:t>场</w:t>
      </w:r>
      <w:r>
        <w:rPr>
          <w:rFonts w:ascii="黑体" w:eastAsia="黑体" w:hAnsi="黑体"/>
          <w:sz w:val="24"/>
          <w:szCs w:val="21"/>
        </w:rPr>
        <w:t>处理工艺流程图</w:t>
      </w:r>
    </w:p>
    <w:p w14:paraId="3FED7716" w14:textId="77777777" w:rsidR="00D12939" w:rsidRDefault="004F47F5">
      <w:pPr>
        <w:autoSpaceDE w:val="0"/>
        <w:autoSpaceDN w:val="0"/>
        <w:adjustRightInd w:val="0"/>
        <w:snapToGrid w:val="0"/>
        <w:spacing w:line="360" w:lineRule="auto"/>
        <w:ind w:firstLineChars="175" w:firstLine="420"/>
        <w:rPr>
          <w:rFonts w:ascii="Times New Roman" w:eastAsia="宋体" w:hAnsi="Times New Roman" w:cs="Times New Roman"/>
          <w:sz w:val="24"/>
          <w:szCs w:val="24"/>
        </w:rPr>
      </w:pPr>
      <w:r>
        <w:rPr>
          <w:rFonts w:ascii="Times New Roman" w:eastAsia="宋体" w:hAnsi="Times New Roman" w:cs="Times New Roman"/>
          <w:sz w:val="24"/>
          <w:szCs w:val="24"/>
        </w:rPr>
        <w:t>本项目污水处理站设计进出水水质及各构筑物去除率见表</w:t>
      </w:r>
      <w:r>
        <w:rPr>
          <w:rFonts w:ascii="Times New Roman" w:eastAsia="宋体" w:hAnsi="Times New Roman" w:cs="Times New Roman"/>
          <w:sz w:val="24"/>
          <w:szCs w:val="24"/>
        </w:rPr>
        <w:t>9.2-1</w:t>
      </w:r>
      <w:r>
        <w:rPr>
          <w:rFonts w:ascii="Times New Roman" w:eastAsia="宋体" w:hAnsi="Times New Roman" w:cs="Times New Roman"/>
          <w:sz w:val="24"/>
          <w:szCs w:val="24"/>
        </w:rPr>
        <w:t>。</w:t>
      </w:r>
    </w:p>
    <w:p w14:paraId="13FE4DA7" w14:textId="77777777" w:rsidR="00D12939" w:rsidRDefault="004F47F5">
      <w:pPr>
        <w:jc w:val="center"/>
        <w:rPr>
          <w:rFonts w:ascii="黑体" w:eastAsia="黑体" w:hAnsi="黑体"/>
          <w:sz w:val="24"/>
          <w:szCs w:val="21"/>
        </w:rPr>
      </w:pPr>
      <w:r>
        <w:rPr>
          <w:rFonts w:ascii="黑体" w:eastAsia="黑体" w:hAnsi="黑体"/>
          <w:sz w:val="24"/>
          <w:szCs w:val="21"/>
        </w:rPr>
        <w:t>表9.2-1    污水处理站设计进出水水质及各构筑物去除率</w:t>
      </w:r>
    </w:p>
    <w:tbl>
      <w:tblPr>
        <w:tblW w:w="483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55"/>
        <w:gridCol w:w="1671"/>
        <w:gridCol w:w="925"/>
        <w:gridCol w:w="1479"/>
        <w:gridCol w:w="1295"/>
        <w:gridCol w:w="1479"/>
        <w:gridCol w:w="1293"/>
      </w:tblGrid>
      <w:tr w:rsidR="00D12939" w14:paraId="5B8D7258" w14:textId="77777777">
        <w:trPr>
          <w:trHeight w:val="689"/>
          <w:jc w:val="center"/>
        </w:trPr>
        <w:tc>
          <w:tcPr>
            <w:tcW w:w="1557" w:type="pct"/>
            <w:gridSpan w:val="2"/>
            <w:tcBorders>
              <w:top w:val="single" w:sz="12" w:space="0" w:color="auto"/>
              <w:bottom w:val="single" w:sz="4" w:space="0" w:color="auto"/>
              <w:tl2br w:val="single" w:sz="4" w:space="0" w:color="auto"/>
            </w:tcBorders>
            <w:vAlign w:val="center"/>
          </w:tcPr>
          <w:p w14:paraId="1DF5BE29"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项目</w:t>
            </w:r>
          </w:p>
          <w:p w14:paraId="778CF119" w14:textId="77777777" w:rsidR="00D12939" w:rsidRDefault="00D12939">
            <w:pPr>
              <w:jc w:val="center"/>
              <w:rPr>
                <w:rFonts w:ascii="Times New Roman" w:eastAsia="宋体" w:hAnsi="Times New Roman" w:cs="Times New Roman"/>
                <w:bCs/>
                <w:szCs w:val="21"/>
              </w:rPr>
            </w:pPr>
          </w:p>
          <w:p w14:paraId="750A53D9"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构筑物</w:t>
            </w:r>
          </w:p>
        </w:tc>
        <w:tc>
          <w:tcPr>
            <w:tcW w:w="492" w:type="pct"/>
            <w:vAlign w:val="center"/>
          </w:tcPr>
          <w:p w14:paraId="283FB122" w14:textId="77777777" w:rsidR="00D12939" w:rsidRDefault="004F47F5">
            <w:pPr>
              <w:widowControl/>
              <w:jc w:val="center"/>
              <w:rPr>
                <w:rFonts w:ascii="Times New Roman" w:eastAsia="宋体" w:hAnsi="Times New Roman" w:cs="Times New Roman"/>
                <w:bCs/>
                <w:szCs w:val="21"/>
              </w:rPr>
            </w:pPr>
            <w:r>
              <w:rPr>
                <w:rFonts w:ascii="Times New Roman" w:eastAsia="宋体" w:hAnsi="Times New Roman" w:cs="Times New Roman"/>
                <w:bCs/>
                <w:szCs w:val="21"/>
              </w:rPr>
              <w:t>COD</w:t>
            </w:r>
          </w:p>
        </w:tc>
        <w:tc>
          <w:tcPr>
            <w:tcW w:w="787" w:type="pct"/>
            <w:vAlign w:val="center"/>
          </w:tcPr>
          <w:p w14:paraId="2E7B1E39"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BOD</w:t>
            </w:r>
            <w:r>
              <w:rPr>
                <w:rFonts w:ascii="Times New Roman" w:eastAsia="宋体" w:hAnsi="Times New Roman" w:cs="Times New Roman"/>
                <w:bCs/>
                <w:szCs w:val="21"/>
                <w:vertAlign w:val="subscript"/>
              </w:rPr>
              <w:t>5</w:t>
            </w:r>
          </w:p>
        </w:tc>
        <w:tc>
          <w:tcPr>
            <w:tcW w:w="689" w:type="pct"/>
            <w:vAlign w:val="center"/>
          </w:tcPr>
          <w:p w14:paraId="44434560"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hint="eastAsia"/>
                <w:bCs/>
                <w:szCs w:val="21"/>
              </w:rPr>
              <w:t>N</w:t>
            </w:r>
            <w:r>
              <w:rPr>
                <w:rFonts w:ascii="Times New Roman" w:eastAsia="宋体" w:hAnsi="Times New Roman" w:cs="Times New Roman"/>
                <w:bCs/>
                <w:szCs w:val="21"/>
              </w:rPr>
              <w:t>H</w:t>
            </w:r>
            <w:r>
              <w:rPr>
                <w:rFonts w:ascii="Times New Roman" w:eastAsia="宋体" w:hAnsi="Times New Roman" w:cs="Times New Roman"/>
                <w:bCs/>
                <w:szCs w:val="21"/>
                <w:vertAlign w:val="subscript"/>
              </w:rPr>
              <w:t>3</w:t>
            </w:r>
            <w:r>
              <w:rPr>
                <w:rFonts w:ascii="Times New Roman" w:eastAsia="宋体" w:hAnsi="Times New Roman" w:cs="Times New Roman"/>
                <w:bCs/>
                <w:szCs w:val="21"/>
              </w:rPr>
              <w:t>-N</w:t>
            </w:r>
          </w:p>
        </w:tc>
        <w:tc>
          <w:tcPr>
            <w:tcW w:w="787" w:type="pct"/>
            <w:vAlign w:val="center"/>
          </w:tcPr>
          <w:p w14:paraId="63C95774"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hint="eastAsia"/>
                <w:bCs/>
                <w:szCs w:val="21"/>
              </w:rPr>
              <w:t>T</w:t>
            </w:r>
            <w:r>
              <w:rPr>
                <w:rFonts w:ascii="Times New Roman" w:eastAsia="宋体" w:hAnsi="Times New Roman" w:cs="Times New Roman"/>
                <w:bCs/>
                <w:szCs w:val="21"/>
              </w:rPr>
              <w:t>N</w:t>
            </w:r>
          </w:p>
        </w:tc>
        <w:tc>
          <w:tcPr>
            <w:tcW w:w="688" w:type="pct"/>
            <w:vAlign w:val="center"/>
          </w:tcPr>
          <w:p w14:paraId="3E2CE657" w14:textId="77777777" w:rsidR="00D12939" w:rsidRDefault="004F47F5">
            <w:pPr>
              <w:jc w:val="center"/>
              <w:rPr>
                <w:rFonts w:ascii="Times New Roman" w:eastAsia="宋体" w:hAnsi="Times New Roman" w:cs="Times New Roman"/>
                <w:bCs/>
                <w:szCs w:val="21"/>
              </w:rPr>
            </w:pPr>
            <w:r>
              <w:rPr>
                <w:rFonts w:ascii="Times New Roman" w:eastAsia="宋体" w:hAnsi="Times New Roman" w:cs="Times New Roman"/>
                <w:bCs/>
                <w:szCs w:val="21"/>
              </w:rPr>
              <w:t>SS</w:t>
            </w:r>
          </w:p>
        </w:tc>
      </w:tr>
      <w:tr w:rsidR="00D12939" w14:paraId="3CB6F291" w14:textId="77777777">
        <w:trPr>
          <w:trHeight w:val="385"/>
          <w:jc w:val="center"/>
        </w:trPr>
        <w:tc>
          <w:tcPr>
            <w:tcW w:w="668" w:type="pct"/>
            <w:vMerge w:val="restart"/>
            <w:tcBorders>
              <w:top w:val="single" w:sz="4" w:space="0" w:color="auto"/>
            </w:tcBorders>
            <w:vAlign w:val="center"/>
          </w:tcPr>
          <w:p w14:paraId="5C68728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预处理</w:t>
            </w:r>
          </w:p>
        </w:tc>
        <w:tc>
          <w:tcPr>
            <w:tcW w:w="889" w:type="pct"/>
            <w:tcBorders>
              <w:top w:val="single" w:sz="4" w:space="0" w:color="auto"/>
            </w:tcBorders>
            <w:vAlign w:val="center"/>
          </w:tcPr>
          <w:p w14:paraId="2DFEC01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进水水质</w:t>
            </w:r>
            <w:r>
              <w:rPr>
                <w:rFonts w:ascii="Times New Roman" w:eastAsia="宋体" w:hAnsi="Times New Roman" w:cs="Times New Roman"/>
                <w:szCs w:val="21"/>
              </w:rPr>
              <w:t>(mg/L)</w:t>
            </w:r>
          </w:p>
        </w:tc>
        <w:tc>
          <w:tcPr>
            <w:tcW w:w="492" w:type="pct"/>
            <w:vAlign w:val="center"/>
          </w:tcPr>
          <w:p w14:paraId="211B4543"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0000</w:t>
            </w:r>
          </w:p>
        </w:tc>
        <w:tc>
          <w:tcPr>
            <w:tcW w:w="787" w:type="pct"/>
            <w:vAlign w:val="center"/>
          </w:tcPr>
          <w:p w14:paraId="2E3CE333" w14:textId="77777777" w:rsidR="00D12939" w:rsidRDefault="004F47F5">
            <w:pPr>
              <w:widowControl/>
              <w:jc w:val="center"/>
              <w:rPr>
                <w:rFonts w:ascii="Times New Roman" w:eastAsia="宋体" w:hAnsi="Times New Roman" w:cs="Times New Roman"/>
                <w:kern w:val="0"/>
                <w:szCs w:val="21"/>
              </w:rPr>
            </w:pPr>
            <w:r>
              <w:rPr>
                <w:rFonts w:ascii="Times New Roman" w:eastAsia="宋体" w:hAnsi="Times New Roman" w:cs="Times New Roman" w:hint="eastAsia"/>
                <w:kern w:val="0"/>
                <w:szCs w:val="21"/>
              </w:rPr>
              <w:t>1</w:t>
            </w:r>
            <w:r>
              <w:rPr>
                <w:rFonts w:ascii="Times New Roman" w:eastAsia="宋体" w:hAnsi="Times New Roman" w:cs="Times New Roman"/>
                <w:kern w:val="0"/>
                <w:szCs w:val="21"/>
              </w:rPr>
              <w:t>2000</w:t>
            </w:r>
          </w:p>
        </w:tc>
        <w:tc>
          <w:tcPr>
            <w:tcW w:w="689" w:type="pct"/>
            <w:vAlign w:val="center"/>
          </w:tcPr>
          <w:p w14:paraId="70E4D66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200</w:t>
            </w:r>
          </w:p>
        </w:tc>
        <w:tc>
          <w:tcPr>
            <w:tcW w:w="787" w:type="pct"/>
            <w:vAlign w:val="center"/>
          </w:tcPr>
          <w:p w14:paraId="1602BE3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500</w:t>
            </w:r>
          </w:p>
        </w:tc>
        <w:tc>
          <w:tcPr>
            <w:tcW w:w="688" w:type="pct"/>
            <w:vAlign w:val="center"/>
          </w:tcPr>
          <w:p w14:paraId="0248C4E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500</w:t>
            </w:r>
          </w:p>
        </w:tc>
      </w:tr>
      <w:tr w:rsidR="00D12939" w14:paraId="57A8E373" w14:textId="77777777">
        <w:trPr>
          <w:trHeight w:val="360"/>
          <w:jc w:val="center"/>
        </w:trPr>
        <w:tc>
          <w:tcPr>
            <w:tcW w:w="668" w:type="pct"/>
            <w:vMerge/>
            <w:vAlign w:val="center"/>
          </w:tcPr>
          <w:p w14:paraId="518468F0" w14:textId="77777777" w:rsidR="00D12939" w:rsidRDefault="00D12939">
            <w:pPr>
              <w:jc w:val="center"/>
              <w:rPr>
                <w:rFonts w:ascii="Times New Roman" w:eastAsia="宋体" w:hAnsi="Times New Roman" w:cs="Times New Roman"/>
                <w:szCs w:val="21"/>
              </w:rPr>
            </w:pPr>
          </w:p>
        </w:tc>
        <w:tc>
          <w:tcPr>
            <w:tcW w:w="889" w:type="pct"/>
            <w:vAlign w:val="center"/>
          </w:tcPr>
          <w:p w14:paraId="5FBA9BD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出水水质</w:t>
            </w:r>
            <w:r>
              <w:rPr>
                <w:rFonts w:ascii="Times New Roman" w:eastAsia="宋体" w:hAnsi="Times New Roman" w:cs="Times New Roman"/>
                <w:szCs w:val="21"/>
              </w:rPr>
              <w:t>(mg/L)</w:t>
            </w:r>
          </w:p>
        </w:tc>
        <w:tc>
          <w:tcPr>
            <w:tcW w:w="492" w:type="pct"/>
            <w:vAlign w:val="center"/>
          </w:tcPr>
          <w:p w14:paraId="14FAAE4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7200</w:t>
            </w:r>
          </w:p>
        </w:tc>
        <w:tc>
          <w:tcPr>
            <w:tcW w:w="787" w:type="pct"/>
            <w:vAlign w:val="center"/>
          </w:tcPr>
          <w:p w14:paraId="6FFD963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600</w:t>
            </w:r>
          </w:p>
        </w:tc>
        <w:tc>
          <w:tcPr>
            <w:tcW w:w="689" w:type="pct"/>
            <w:vAlign w:val="center"/>
          </w:tcPr>
          <w:p w14:paraId="6E78987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044</w:t>
            </w:r>
          </w:p>
        </w:tc>
        <w:tc>
          <w:tcPr>
            <w:tcW w:w="787" w:type="pct"/>
            <w:vAlign w:val="center"/>
          </w:tcPr>
          <w:p w14:paraId="237D069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245</w:t>
            </w:r>
          </w:p>
        </w:tc>
        <w:tc>
          <w:tcPr>
            <w:tcW w:w="688" w:type="pct"/>
            <w:vAlign w:val="center"/>
          </w:tcPr>
          <w:p w14:paraId="0E7272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350</w:t>
            </w:r>
          </w:p>
        </w:tc>
      </w:tr>
      <w:tr w:rsidR="00D12939" w14:paraId="5D3B4D4B" w14:textId="77777777">
        <w:trPr>
          <w:trHeight w:val="552"/>
          <w:jc w:val="center"/>
        </w:trPr>
        <w:tc>
          <w:tcPr>
            <w:tcW w:w="668" w:type="pct"/>
            <w:vMerge/>
            <w:vAlign w:val="center"/>
          </w:tcPr>
          <w:p w14:paraId="052A995C" w14:textId="77777777" w:rsidR="00D12939" w:rsidRDefault="00D12939">
            <w:pPr>
              <w:jc w:val="center"/>
              <w:rPr>
                <w:rFonts w:ascii="Times New Roman" w:eastAsia="宋体" w:hAnsi="Times New Roman" w:cs="Times New Roman"/>
                <w:szCs w:val="21"/>
              </w:rPr>
            </w:pPr>
          </w:p>
        </w:tc>
        <w:tc>
          <w:tcPr>
            <w:tcW w:w="889" w:type="pct"/>
            <w:vAlign w:val="center"/>
          </w:tcPr>
          <w:p w14:paraId="4E4A051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去除率</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Pr>
                <w:rFonts w:ascii="Times New Roman" w:eastAsia="宋体" w:hAnsi="Times New Roman" w:cs="Times New Roman" w:hint="eastAsia"/>
                <w:szCs w:val="21"/>
              </w:rPr>
              <w:t>）</w:t>
            </w:r>
          </w:p>
        </w:tc>
        <w:tc>
          <w:tcPr>
            <w:tcW w:w="492" w:type="pct"/>
            <w:vAlign w:val="center"/>
          </w:tcPr>
          <w:p w14:paraId="08B1EC58" w14:textId="77777777" w:rsidR="00D12939" w:rsidRDefault="004F47F5">
            <w:pPr>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4</w:t>
            </w:r>
          </w:p>
        </w:tc>
        <w:tc>
          <w:tcPr>
            <w:tcW w:w="787" w:type="pct"/>
            <w:vAlign w:val="center"/>
          </w:tcPr>
          <w:p w14:paraId="2CC4AD2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689" w:type="pct"/>
            <w:vAlign w:val="center"/>
          </w:tcPr>
          <w:p w14:paraId="1033B26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3</w:t>
            </w:r>
          </w:p>
        </w:tc>
        <w:tc>
          <w:tcPr>
            <w:tcW w:w="787" w:type="pct"/>
            <w:vAlign w:val="center"/>
          </w:tcPr>
          <w:p w14:paraId="2A50996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7</w:t>
            </w:r>
          </w:p>
        </w:tc>
        <w:tc>
          <w:tcPr>
            <w:tcW w:w="688" w:type="pct"/>
            <w:vAlign w:val="center"/>
          </w:tcPr>
          <w:p w14:paraId="7118BDE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w:t>
            </w:r>
          </w:p>
        </w:tc>
      </w:tr>
      <w:tr w:rsidR="00D12939" w14:paraId="50F3B6BD" w14:textId="77777777">
        <w:trPr>
          <w:trHeight w:val="385"/>
          <w:jc w:val="center"/>
        </w:trPr>
        <w:tc>
          <w:tcPr>
            <w:tcW w:w="668" w:type="pct"/>
            <w:vMerge w:val="restart"/>
            <w:vAlign w:val="center"/>
          </w:tcPr>
          <w:p w14:paraId="47111D9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物化反应</w:t>
            </w:r>
            <w:r>
              <w:rPr>
                <w:rFonts w:ascii="Times New Roman" w:eastAsia="宋体" w:hAnsi="Times New Roman" w:cs="Times New Roman" w:hint="eastAsia"/>
                <w:szCs w:val="21"/>
              </w:rPr>
              <w:lastRenderedPageBreak/>
              <w:t>段</w:t>
            </w:r>
          </w:p>
        </w:tc>
        <w:tc>
          <w:tcPr>
            <w:tcW w:w="889" w:type="pct"/>
            <w:vAlign w:val="center"/>
          </w:tcPr>
          <w:p w14:paraId="76A8566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lastRenderedPageBreak/>
              <w:t>进水水质</w:t>
            </w:r>
            <w:r>
              <w:rPr>
                <w:rFonts w:ascii="Times New Roman" w:eastAsia="宋体" w:hAnsi="Times New Roman" w:cs="Times New Roman"/>
                <w:szCs w:val="21"/>
              </w:rPr>
              <w:t>(mg/L)</w:t>
            </w:r>
          </w:p>
        </w:tc>
        <w:tc>
          <w:tcPr>
            <w:tcW w:w="492" w:type="pct"/>
            <w:vAlign w:val="center"/>
          </w:tcPr>
          <w:p w14:paraId="3306E07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7200</w:t>
            </w:r>
          </w:p>
        </w:tc>
        <w:tc>
          <w:tcPr>
            <w:tcW w:w="787" w:type="pct"/>
            <w:vAlign w:val="center"/>
          </w:tcPr>
          <w:p w14:paraId="29DE209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600</w:t>
            </w:r>
          </w:p>
        </w:tc>
        <w:tc>
          <w:tcPr>
            <w:tcW w:w="689" w:type="pct"/>
            <w:vAlign w:val="center"/>
          </w:tcPr>
          <w:p w14:paraId="499598F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044</w:t>
            </w:r>
          </w:p>
        </w:tc>
        <w:tc>
          <w:tcPr>
            <w:tcW w:w="787" w:type="pct"/>
            <w:vAlign w:val="center"/>
          </w:tcPr>
          <w:p w14:paraId="0B19766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1245</w:t>
            </w:r>
          </w:p>
        </w:tc>
        <w:tc>
          <w:tcPr>
            <w:tcW w:w="688" w:type="pct"/>
            <w:vAlign w:val="center"/>
          </w:tcPr>
          <w:p w14:paraId="6AE0E66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350</w:t>
            </w:r>
          </w:p>
        </w:tc>
      </w:tr>
      <w:tr w:rsidR="00D12939" w14:paraId="6688ED98" w14:textId="77777777">
        <w:trPr>
          <w:trHeight w:val="469"/>
          <w:jc w:val="center"/>
        </w:trPr>
        <w:tc>
          <w:tcPr>
            <w:tcW w:w="668" w:type="pct"/>
            <w:vMerge/>
            <w:vAlign w:val="center"/>
          </w:tcPr>
          <w:p w14:paraId="30B648DA" w14:textId="77777777" w:rsidR="00D12939" w:rsidRDefault="00D12939">
            <w:pPr>
              <w:jc w:val="center"/>
              <w:rPr>
                <w:rFonts w:ascii="Times New Roman" w:eastAsia="宋体" w:hAnsi="Times New Roman" w:cs="Times New Roman"/>
                <w:szCs w:val="21"/>
              </w:rPr>
            </w:pPr>
          </w:p>
        </w:tc>
        <w:tc>
          <w:tcPr>
            <w:tcW w:w="889" w:type="pct"/>
            <w:vAlign w:val="center"/>
          </w:tcPr>
          <w:p w14:paraId="5C15A5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出水水质</w:t>
            </w:r>
            <w:r>
              <w:rPr>
                <w:rFonts w:ascii="Times New Roman" w:eastAsia="宋体" w:hAnsi="Times New Roman" w:cs="Times New Roman"/>
                <w:szCs w:val="21"/>
              </w:rPr>
              <w:t>(mg/L)</w:t>
            </w:r>
          </w:p>
        </w:tc>
        <w:tc>
          <w:tcPr>
            <w:tcW w:w="492" w:type="pct"/>
            <w:vAlign w:val="center"/>
          </w:tcPr>
          <w:p w14:paraId="456871C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460</w:t>
            </w:r>
          </w:p>
        </w:tc>
        <w:tc>
          <w:tcPr>
            <w:tcW w:w="787" w:type="pct"/>
            <w:vAlign w:val="center"/>
          </w:tcPr>
          <w:p w14:paraId="52E1CBA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5</w:t>
            </w:r>
            <w:r>
              <w:rPr>
                <w:rFonts w:ascii="Times New Roman" w:eastAsia="宋体" w:hAnsi="Times New Roman" w:cs="Times New Roman"/>
                <w:szCs w:val="21"/>
              </w:rPr>
              <w:t>760</w:t>
            </w:r>
          </w:p>
        </w:tc>
        <w:tc>
          <w:tcPr>
            <w:tcW w:w="689" w:type="pct"/>
            <w:vAlign w:val="center"/>
          </w:tcPr>
          <w:p w14:paraId="3B4E1F1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24.76</w:t>
            </w:r>
          </w:p>
        </w:tc>
        <w:tc>
          <w:tcPr>
            <w:tcW w:w="787" w:type="pct"/>
            <w:vAlign w:val="center"/>
          </w:tcPr>
          <w:p w14:paraId="3F0B2D9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96</w:t>
            </w:r>
          </w:p>
        </w:tc>
        <w:tc>
          <w:tcPr>
            <w:tcW w:w="688" w:type="pct"/>
            <w:vAlign w:val="center"/>
          </w:tcPr>
          <w:p w14:paraId="2ADFCB5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6</w:t>
            </w:r>
            <w:r>
              <w:rPr>
                <w:rFonts w:ascii="Times New Roman" w:eastAsia="宋体" w:hAnsi="Times New Roman" w:cs="Times New Roman"/>
                <w:szCs w:val="21"/>
              </w:rPr>
              <w:t>75</w:t>
            </w:r>
          </w:p>
        </w:tc>
      </w:tr>
      <w:tr w:rsidR="00D12939" w14:paraId="5CE9DF3B" w14:textId="77777777">
        <w:trPr>
          <w:trHeight w:val="338"/>
          <w:jc w:val="center"/>
        </w:trPr>
        <w:tc>
          <w:tcPr>
            <w:tcW w:w="668" w:type="pct"/>
            <w:vMerge/>
            <w:vAlign w:val="center"/>
          </w:tcPr>
          <w:p w14:paraId="2E0FDF60" w14:textId="77777777" w:rsidR="00D12939" w:rsidRDefault="00D12939">
            <w:pPr>
              <w:jc w:val="center"/>
              <w:rPr>
                <w:rFonts w:ascii="Times New Roman" w:eastAsia="宋体" w:hAnsi="Times New Roman" w:cs="Times New Roman"/>
                <w:szCs w:val="21"/>
              </w:rPr>
            </w:pPr>
          </w:p>
        </w:tc>
        <w:tc>
          <w:tcPr>
            <w:tcW w:w="889" w:type="pct"/>
            <w:vAlign w:val="center"/>
          </w:tcPr>
          <w:p w14:paraId="31F922B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去除率</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Pr>
                <w:rFonts w:ascii="Times New Roman" w:eastAsia="宋体" w:hAnsi="Times New Roman" w:cs="Times New Roman" w:hint="eastAsia"/>
                <w:szCs w:val="21"/>
              </w:rPr>
              <w:t>）</w:t>
            </w:r>
          </w:p>
        </w:tc>
        <w:tc>
          <w:tcPr>
            <w:tcW w:w="492" w:type="pct"/>
            <w:vAlign w:val="center"/>
          </w:tcPr>
          <w:p w14:paraId="3DB5B33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5</w:t>
            </w:r>
          </w:p>
        </w:tc>
        <w:tc>
          <w:tcPr>
            <w:tcW w:w="787" w:type="pct"/>
            <w:vAlign w:val="center"/>
          </w:tcPr>
          <w:p w14:paraId="7EA89AD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0</w:t>
            </w:r>
          </w:p>
        </w:tc>
        <w:tc>
          <w:tcPr>
            <w:tcW w:w="689" w:type="pct"/>
            <w:vAlign w:val="center"/>
          </w:tcPr>
          <w:p w14:paraId="254A33B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1</w:t>
            </w:r>
          </w:p>
        </w:tc>
        <w:tc>
          <w:tcPr>
            <w:tcW w:w="787" w:type="pct"/>
            <w:vAlign w:val="center"/>
          </w:tcPr>
          <w:p w14:paraId="2AAE606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688" w:type="pct"/>
            <w:vAlign w:val="center"/>
          </w:tcPr>
          <w:p w14:paraId="7EB4107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5</w:t>
            </w:r>
            <w:r>
              <w:rPr>
                <w:rFonts w:ascii="Times New Roman" w:eastAsia="宋体" w:hAnsi="Times New Roman" w:cs="Times New Roman"/>
                <w:szCs w:val="21"/>
              </w:rPr>
              <w:t>0</w:t>
            </w:r>
          </w:p>
        </w:tc>
      </w:tr>
      <w:tr w:rsidR="00D12939" w14:paraId="77567D89" w14:textId="77777777">
        <w:trPr>
          <w:trHeight w:val="385"/>
          <w:jc w:val="center"/>
        </w:trPr>
        <w:tc>
          <w:tcPr>
            <w:tcW w:w="668" w:type="pct"/>
            <w:vMerge w:val="restart"/>
            <w:vAlign w:val="center"/>
          </w:tcPr>
          <w:p w14:paraId="1325C77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生化反应段</w:t>
            </w:r>
          </w:p>
        </w:tc>
        <w:tc>
          <w:tcPr>
            <w:tcW w:w="889" w:type="pct"/>
            <w:vAlign w:val="center"/>
          </w:tcPr>
          <w:p w14:paraId="2B6191F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进水水质</w:t>
            </w:r>
            <w:r>
              <w:rPr>
                <w:rFonts w:ascii="Times New Roman" w:eastAsia="宋体" w:hAnsi="Times New Roman" w:cs="Times New Roman"/>
                <w:szCs w:val="21"/>
              </w:rPr>
              <w:t>(mg/L)</w:t>
            </w:r>
          </w:p>
        </w:tc>
        <w:tc>
          <w:tcPr>
            <w:tcW w:w="492" w:type="pct"/>
            <w:vAlign w:val="center"/>
          </w:tcPr>
          <w:p w14:paraId="592AA9D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460</w:t>
            </w:r>
          </w:p>
        </w:tc>
        <w:tc>
          <w:tcPr>
            <w:tcW w:w="787" w:type="pct"/>
            <w:vAlign w:val="center"/>
          </w:tcPr>
          <w:p w14:paraId="54C2A4E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5</w:t>
            </w:r>
            <w:r>
              <w:rPr>
                <w:rFonts w:ascii="Times New Roman" w:eastAsia="宋体" w:hAnsi="Times New Roman" w:cs="Times New Roman"/>
                <w:szCs w:val="21"/>
              </w:rPr>
              <w:t>760</w:t>
            </w:r>
          </w:p>
        </w:tc>
        <w:tc>
          <w:tcPr>
            <w:tcW w:w="689" w:type="pct"/>
            <w:vAlign w:val="center"/>
          </w:tcPr>
          <w:p w14:paraId="4A3C044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24.76</w:t>
            </w:r>
          </w:p>
        </w:tc>
        <w:tc>
          <w:tcPr>
            <w:tcW w:w="787" w:type="pct"/>
            <w:vAlign w:val="center"/>
          </w:tcPr>
          <w:p w14:paraId="7B7E29D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96</w:t>
            </w:r>
          </w:p>
        </w:tc>
        <w:tc>
          <w:tcPr>
            <w:tcW w:w="688" w:type="pct"/>
            <w:vAlign w:val="center"/>
          </w:tcPr>
          <w:p w14:paraId="3218AAA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6</w:t>
            </w:r>
            <w:r>
              <w:rPr>
                <w:rFonts w:ascii="Times New Roman" w:eastAsia="宋体" w:hAnsi="Times New Roman" w:cs="Times New Roman"/>
                <w:szCs w:val="21"/>
              </w:rPr>
              <w:t>75</w:t>
            </w:r>
          </w:p>
        </w:tc>
      </w:tr>
      <w:tr w:rsidR="00D12939" w14:paraId="0F99DAAD" w14:textId="77777777">
        <w:trPr>
          <w:trHeight w:val="405"/>
          <w:jc w:val="center"/>
        </w:trPr>
        <w:tc>
          <w:tcPr>
            <w:tcW w:w="668" w:type="pct"/>
            <w:vMerge/>
            <w:vAlign w:val="center"/>
          </w:tcPr>
          <w:p w14:paraId="4C1AE090" w14:textId="77777777" w:rsidR="00D12939" w:rsidRDefault="00D12939">
            <w:pPr>
              <w:jc w:val="center"/>
              <w:rPr>
                <w:rFonts w:ascii="Times New Roman" w:eastAsia="宋体" w:hAnsi="Times New Roman" w:cs="Times New Roman"/>
                <w:szCs w:val="21"/>
              </w:rPr>
            </w:pPr>
          </w:p>
        </w:tc>
        <w:tc>
          <w:tcPr>
            <w:tcW w:w="889" w:type="pct"/>
            <w:vAlign w:val="center"/>
          </w:tcPr>
          <w:p w14:paraId="3E25CE7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出水水质</w:t>
            </w:r>
            <w:r>
              <w:rPr>
                <w:rFonts w:ascii="Times New Roman" w:eastAsia="宋体" w:hAnsi="Times New Roman" w:cs="Times New Roman"/>
                <w:szCs w:val="21"/>
              </w:rPr>
              <w:t>(mg/L)</w:t>
            </w:r>
          </w:p>
        </w:tc>
        <w:tc>
          <w:tcPr>
            <w:tcW w:w="492" w:type="pct"/>
            <w:vAlign w:val="center"/>
          </w:tcPr>
          <w:p w14:paraId="4B6DFF5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83.8</w:t>
            </w:r>
          </w:p>
        </w:tc>
        <w:tc>
          <w:tcPr>
            <w:tcW w:w="787" w:type="pct"/>
            <w:vAlign w:val="center"/>
          </w:tcPr>
          <w:p w14:paraId="55E8DC0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72.8</w:t>
            </w:r>
          </w:p>
        </w:tc>
        <w:tc>
          <w:tcPr>
            <w:tcW w:w="689" w:type="pct"/>
            <w:vAlign w:val="center"/>
          </w:tcPr>
          <w:p w14:paraId="614EFB2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6.5</w:t>
            </w:r>
          </w:p>
        </w:tc>
        <w:tc>
          <w:tcPr>
            <w:tcW w:w="787" w:type="pct"/>
            <w:vAlign w:val="center"/>
          </w:tcPr>
          <w:p w14:paraId="2E06AB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9.8</w:t>
            </w:r>
          </w:p>
        </w:tc>
        <w:tc>
          <w:tcPr>
            <w:tcW w:w="688" w:type="pct"/>
            <w:vAlign w:val="center"/>
          </w:tcPr>
          <w:p w14:paraId="50DB7EB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p>
        </w:tc>
      </w:tr>
      <w:tr w:rsidR="00D12939" w14:paraId="2D92D337" w14:textId="77777777">
        <w:trPr>
          <w:trHeight w:val="405"/>
          <w:jc w:val="center"/>
        </w:trPr>
        <w:tc>
          <w:tcPr>
            <w:tcW w:w="668" w:type="pct"/>
            <w:vMerge/>
            <w:vAlign w:val="center"/>
          </w:tcPr>
          <w:p w14:paraId="1C66D34D" w14:textId="77777777" w:rsidR="00D12939" w:rsidRDefault="00D12939">
            <w:pPr>
              <w:jc w:val="center"/>
              <w:rPr>
                <w:rFonts w:ascii="Times New Roman" w:eastAsia="宋体" w:hAnsi="Times New Roman" w:cs="Times New Roman"/>
                <w:szCs w:val="21"/>
              </w:rPr>
            </w:pPr>
          </w:p>
        </w:tc>
        <w:tc>
          <w:tcPr>
            <w:tcW w:w="889" w:type="pct"/>
            <w:vAlign w:val="center"/>
          </w:tcPr>
          <w:p w14:paraId="2FC4EA2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去除率</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Pr>
                <w:rFonts w:ascii="Times New Roman" w:eastAsia="宋体" w:hAnsi="Times New Roman" w:cs="Times New Roman" w:hint="eastAsia"/>
                <w:szCs w:val="21"/>
              </w:rPr>
              <w:t>）</w:t>
            </w:r>
          </w:p>
        </w:tc>
        <w:tc>
          <w:tcPr>
            <w:tcW w:w="492" w:type="pct"/>
            <w:vAlign w:val="center"/>
          </w:tcPr>
          <w:p w14:paraId="3057579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7</w:t>
            </w:r>
          </w:p>
        </w:tc>
        <w:tc>
          <w:tcPr>
            <w:tcW w:w="787" w:type="pct"/>
            <w:vAlign w:val="center"/>
          </w:tcPr>
          <w:p w14:paraId="21C941D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7</w:t>
            </w:r>
          </w:p>
        </w:tc>
        <w:tc>
          <w:tcPr>
            <w:tcW w:w="689" w:type="pct"/>
            <w:vAlign w:val="center"/>
          </w:tcPr>
          <w:p w14:paraId="40F0594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8</w:t>
            </w:r>
          </w:p>
        </w:tc>
        <w:tc>
          <w:tcPr>
            <w:tcW w:w="787" w:type="pct"/>
            <w:vAlign w:val="center"/>
          </w:tcPr>
          <w:p w14:paraId="5F9D05A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5</w:t>
            </w:r>
          </w:p>
        </w:tc>
        <w:tc>
          <w:tcPr>
            <w:tcW w:w="688" w:type="pct"/>
            <w:vAlign w:val="center"/>
          </w:tcPr>
          <w:p w14:paraId="25EDC45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00</w:t>
            </w:r>
          </w:p>
        </w:tc>
      </w:tr>
      <w:tr w:rsidR="00D12939" w14:paraId="151D7763" w14:textId="77777777">
        <w:trPr>
          <w:trHeight w:val="405"/>
          <w:jc w:val="center"/>
        </w:trPr>
        <w:tc>
          <w:tcPr>
            <w:tcW w:w="668" w:type="pct"/>
            <w:vMerge w:val="restart"/>
            <w:vAlign w:val="center"/>
          </w:tcPr>
          <w:p w14:paraId="74BDBDF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膜系统处理段</w:t>
            </w:r>
          </w:p>
        </w:tc>
        <w:tc>
          <w:tcPr>
            <w:tcW w:w="889" w:type="pct"/>
            <w:vAlign w:val="center"/>
          </w:tcPr>
          <w:p w14:paraId="2E2EB16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进水水质</w:t>
            </w:r>
            <w:r>
              <w:rPr>
                <w:rFonts w:ascii="Times New Roman" w:eastAsia="宋体" w:hAnsi="Times New Roman" w:cs="Times New Roman"/>
                <w:szCs w:val="21"/>
              </w:rPr>
              <w:t>(mg/L)</w:t>
            </w:r>
          </w:p>
        </w:tc>
        <w:tc>
          <w:tcPr>
            <w:tcW w:w="492" w:type="pct"/>
            <w:vAlign w:val="center"/>
          </w:tcPr>
          <w:p w14:paraId="5057DD0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83.8</w:t>
            </w:r>
          </w:p>
        </w:tc>
        <w:tc>
          <w:tcPr>
            <w:tcW w:w="787" w:type="pct"/>
            <w:vAlign w:val="center"/>
          </w:tcPr>
          <w:p w14:paraId="55C7735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72.8</w:t>
            </w:r>
          </w:p>
        </w:tc>
        <w:tc>
          <w:tcPr>
            <w:tcW w:w="689" w:type="pct"/>
            <w:vAlign w:val="center"/>
          </w:tcPr>
          <w:p w14:paraId="5FA0BEF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6.5</w:t>
            </w:r>
          </w:p>
        </w:tc>
        <w:tc>
          <w:tcPr>
            <w:tcW w:w="787" w:type="pct"/>
            <w:vAlign w:val="center"/>
          </w:tcPr>
          <w:p w14:paraId="34CB45A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9.8</w:t>
            </w:r>
          </w:p>
        </w:tc>
        <w:tc>
          <w:tcPr>
            <w:tcW w:w="688" w:type="pct"/>
            <w:vAlign w:val="center"/>
          </w:tcPr>
          <w:p w14:paraId="753BE06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w:t>
            </w:r>
          </w:p>
        </w:tc>
      </w:tr>
      <w:tr w:rsidR="00D12939" w14:paraId="1E3BAE9B" w14:textId="77777777">
        <w:trPr>
          <w:trHeight w:val="405"/>
          <w:jc w:val="center"/>
        </w:trPr>
        <w:tc>
          <w:tcPr>
            <w:tcW w:w="668" w:type="pct"/>
            <w:vMerge/>
            <w:vAlign w:val="center"/>
          </w:tcPr>
          <w:p w14:paraId="2679D706" w14:textId="77777777" w:rsidR="00D12939" w:rsidRDefault="00D12939">
            <w:pPr>
              <w:jc w:val="center"/>
              <w:rPr>
                <w:rFonts w:ascii="Times New Roman" w:eastAsia="宋体" w:hAnsi="Times New Roman" w:cs="Times New Roman"/>
                <w:szCs w:val="21"/>
              </w:rPr>
            </w:pPr>
          </w:p>
        </w:tc>
        <w:tc>
          <w:tcPr>
            <w:tcW w:w="889" w:type="pct"/>
            <w:vAlign w:val="center"/>
          </w:tcPr>
          <w:p w14:paraId="2B3AD4A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出水水质</w:t>
            </w:r>
            <w:r>
              <w:rPr>
                <w:rFonts w:ascii="Times New Roman" w:eastAsia="宋体" w:hAnsi="Times New Roman" w:cs="Times New Roman"/>
                <w:szCs w:val="21"/>
              </w:rPr>
              <w:t>(mg/L)</w:t>
            </w:r>
          </w:p>
        </w:tc>
        <w:tc>
          <w:tcPr>
            <w:tcW w:w="492" w:type="pct"/>
            <w:vAlign w:val="center"/>
          </w:tcPr>
          <w:p w14:paraId="0AFCCB7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00</w:t>
            </w:r>
          </w:p>
        </w:tc>
        <w:tc>
          <w:tcPr>
            <w:tcW w:w="787" w:type="pct"/>
            <w:vAlign w:val="center"/>
          </w:tcPr>
          <w:p w14:paraId="1F170C1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689" w:type="pct"/>
            <w:vAlign w:val="center"/>
          </w:tcPr>
          <w:p w14:paraId="5237C97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w:t>
            </w:r>
          </w:p>
        </w:tc>
        <w:tc>
          <w:tcPr>
            <w:tcW w:w="787" w:type="pct"/>
            <w:vAlign w:val="center"/>
          </w:tcPr>
          <w:p w14:paraId="41389E6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688" w:type="pct"/>
            <w:vAlign w:val="center"/>
          </w:tcPr>
          <w:p w14:paraId="34222D9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0</w:t>
            </w:r>
          </w:p>
        </w:tc>
      </w:tr>
      <w:tr w:rsidR="00D12939" w14:paraId="0EF81EA1" w14:textId="77777777">
        <w:trPr>
          <w:trHeight w:val="405"/>
          <w:jc w:val="center"/>
        </w:trPr>
        <w:tc>
          <w:tcPr>
            <w:tcW w:w="668" w:type="pct"/>
            <w:vMerge/>
            <w:vAlign w:val="center"/>
          </w:tcPr>
          <w:p w14:paraId="72A64559" w14:textId="77777777" w:rsidR="00D12939" w:rsidRDefault="00D12939">
            <w:pPr>
              <w:jc w:val="center"/>
              <w:rPr>
                <w:rFonts w:ascii="Times New Roman" w:eastAsia="宋体" w:hAnsi="Times New Roman" w:cs="Times New Roman"/>
                <w:szCs w:val="21"/>
              </w:rPr>
            </w:pPr>
          </w:p>
        </w:tc>
        <w:tc>
          <w:tcPr>
            <w:tcW w:w="889" w:type="pct"/>
            <w:vAlign w:val="center"/>
          </w:tcPr>
          <w:p w14:paraId="6FBF6DC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去除率</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Pr>
                <w:rFonts w:ascii="Times New Roman" w:eastAsia="宋体" w:hAnsi="Times New Roman" w:cs="Times New Roman" w:hint="eastAsia"/>
                <w:szCs w:val="21"/>
              </w:rPr>
              <w:t>）</w:t>
            </w:r>
          </w:p>
        </w:tc>
        <w:tc>
          <w:tcPr>
            <w:tcW w:w="492" w:type="pct"/>
            <w:vAlign w:val="center"/>
          </w:tcPr>
          <w:p w14:paraId="1DE259D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6</w:t>
            </w:r>
            <w:r>
              <w:rPr>
                <w:rFonts w:ascii="Times New Roman" w:eastAsia="宋体" w:hAnsi="Times New Roman" w:cs="Times New Roman"/>
                <w:szCs w:val="21"/>
              </w:rPr>
              <w:t>5</w:t>
            </w:r>
          </w:p>
        </w:tc>
        <w:tc>
          <w:tcPr>
            <w:tcW w:w="787" w:type="pct"/>
            <w:vAlign w:val="center"/>
          </w:tcPr>
          <w:p w14:paraId="0F9E112F"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8</w:t>
            </w:r>
            <w:r>
              <w:rPr>
                <w:rFonts w:ascii="Times New Roman" w:eastAsia="宋体" w:hAnsi="Times New Roman" w:cs="Times New Roman"/>
                <w:szCs w:val="21"/>
              </w:rPr>
              <w:t>8</w:t>
            </w:r>
          </w:p>
        </w:tc>
        <w:tc>
          <w:tcPr>
            <w:tcW w:w="689" w:type="pct"/>
            <w:vAlign w:val="center"/>
          </w:tcPr>
          <w:p w14:paraId="3E05FDC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p>
        </w:tc>
        <w:tc>
          <w:tcPr>
            <w:tcW w:w="787" w:type="pct"/>
            <w:vAlign w:val="center"/>
          </w:tcPr>
          <w:p w14:paraId="06E4D27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6</w:t>
            </w:r>
            <w:r>
              <w:rPr>
                <w:rFonts w:ascii="Times New Roman" w:eastAsia="宋体" w:hAnsi="Times New Roman" w:cs="Times New Roman"/>
                <w:szCs w:val="21"/>
              </w:rPr>
              <w:t>0</w:t>
            </w:r>
          </w:p>
        </w:tc>
        <w:tc>
          <w:tcPr>
            <w:tcW w:w="688" w:type="pct"/>
            <w:vAlign w:val="center"/>
          </w:tcPr>
          <w:p w14:paraId="136B1B0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w:t>
            </w:r>
          </w:p>
        </w:tc>
      </w:tr>
      <w:tr w:rsidR="00D12939" w14:paraId="481D3B29" w14:textId="77777777">
        <w:trPr>
          <w:trHeight w:val="385"/>
          <w:jc w:val="center"/>
        </w:trPr>
        <w:tc>
          <w:tcPr>
            <w:tcW w:w="1557" w:type="pct"/>
            <w:gridSpan w:val="2"/>
            <w:vAlign w:val="center"/>
          </w:tcPr>
          <w:p w14:paraId="5FBBC67A"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总去除效率</w:t>
            </w:r>
            <w:r>
              <w:rPr>
                <w:rFonts w:ascii="Times New Roman" w:eastAsia="宋体" w:hAnsi="Times New Roman" w:cs="Times New Roman" w:hint="eastAsia"/>
                <w:szCs w:val="21"/>
              </w:rPr>
              <w:t>（</w:t>
            </w:r>
            <w:r>
              <w:rPr>
                <w:rFonts w:ascii="Times New Roman" w:eastAsia="宋体" w:hAnsi="Times New Roman" w:cs="Times New Roman" w:hint="eastAsia"/>
                <w:szCs w:val="21"/>
              </w:rPr>
              <w:t>%</w:t>
            </w:r>
            <w:r>
              <w:rPr>
                <w:rFonts w:ascii="Times New Roman" w:eastAsia="宋体" w:hAnsi="Times New Roman" w:cs="Times New Roman" w:hint="eastAsia"/>
                <w:szCs w:val="21"/>
              </w:rPr>
              <w:t>）</w:t>
            </w:r>
          </w:p>
        </w:tc>
        <w:tc>
          <w:tcPr>
            <w:tcW w:w="492" w:type="pct"/>
            <w:vAlign w:val="center"/>
          </w:tcPr>
          <w:p w14:paraId="41BA14C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9</w:t>
            </w:r>
            <w:r>
              <w:rPr>
                <w:rFonts w:ascii="Times New Roman" w:eastAsia="宋体" w:hAnsi="Times New Roman" w:cs="Times New Roman"/>
                <w:szCs w:val="21"/>
              </w:rPr>
              <w:t>9.5</w:t>
            </w:r>
          </w:p>
        </w:tc>
        <w:tc>
          <w:tcPr>
            <w:tcW w:w="787" w:type="pct"/>
            <w:vAlign w:val="center"/>
          </w:tcPr>
          <w:p w14:paraId="1ABCFE8D" w14:textId="77777777" w:rsidR="00D12939" w:rsidRDefault="004F47F5">
            <w:pPr>
              <w:widowControl/>
              <w:jc w:val="center"/>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9</w:t>
            </w:r>
            <w:r>
              <w:rPr>
                <w:rFonts w:ascii="Times New Roman" w:eastAsia="宋体" w:hAnsi="Times New Roman" w:cs="Times New Roman"/>
                <w:kern w:val="0"/>
                <w:sz w:val="24"/>
                <w:szCs w:val="24"/>
              </w:rPr>
              <w:t>9.8</w:t>
            </w:r>
          </w:p>
        </w:tc>
        <w:tc>
          <w:tcPr>
            <w:tcW w:w="689" w:type="pct"/>
            <w:vAlign w:val="center"/>
          </w:tcPr>
          <w:p w14:paraId="5F7E2749"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9</w:t>
            </w:r>
            <w:r>
              <w:rPr>
                <w:rFonts w:ascii="Times New Roman" w:eastAsia="宋体" w:hAnsi="Times New Roman" w:cs="Times New Roman"/>
              </w:rPr>
              <w:t>8.75</w:t>
            </w:r>
          </w:p>
        </w:tc>
        <w:tc>
          <w:tcPr>
            <w:tcW w:w="787" w:type="pct"/>
            <w:vAlign w:val="center"/>
          </w:tcPr>
          <w:p w14:paraId="05B600FA"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9</w:t>
            </w:r>
            <w:r>
              <w:rPr>
                <w:rFonts w:ascii="Times New Roman" w:eastAsia="宋体" w:hAnsi="Times New Roman" w:cs="Times New Roman"/>
              </w:rPr>
              <w:t>8.7</w:t>
            </w:r>
          </w:p>
        </w:tc>
        <w:tc>
          <w:tcPr>
            <w:tcW w:w="688" w:type="pct"/>
            <w:vAlign w:val="center"/>
          </w:tcPr>
          <w:p w14:paraId="3250280D" w14:textId="77777777" w:rsidR="00D12939" w:rsidRDefault="004F47F5">
            <w:pPr>
              <w:jc w:val="center"/>
              <w:rPr>
                <w:rFonts w:ascii="Times New Roman" w:eastAsia="宋体" w:hAnsi="Times New Roman" w:cs="Times New Roman"/>
              </w:rPr>
            </w:pPr>
            <w:r>
              <w:rPr>
                <w:rFonts w:ascii="Times New Roman" w:eastAsia="宋体" w:hAnsi="Times New Roman" w:cs="Times New Roman" w:hint="eastAsia"/>
              </w:rPr>
              <w:t>1</w:t>
            </w:r>
            <w:r>
              <w:rPr>
                <w:rFonts w:ascii="Times New Roman" w:eastAsia="宋体" w:hAnsi="Times New Roman" w:cs="Times New Roman"/>
              </w:rPr>
              <w:t>00</w:t>
            </w:r>
          </w:p>
        </w:tc>
      </w:tr>
      <w:tr w:rsidR="00D12939" w14:paraId="46FAE07D" w14:textId="77777777">
        <w:trPr>
          <w:trHeight w:val="385"/>
          <w:jc w:val="center"/>
        </w:trPr>
        <w:tc>
          <w:tcPr>
            <w:tcW w:w="1557" w:type="pct"/>
            <w:gridSpan w:val="2"/>
            <w:vAlign w:val="center"/>
          </w:tcPr>
          <w:p w14:paraId="247375D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处理后出水水质</w:t>
            </w:r>
            <w:r>
              <w:rPr>
                <w:rFonts w:ascii="Times New Roman" w:eastAsia="宋体" w:hAnsi="Times New Roman" w:cs="Times New Roman"/>
                <w:szCs w:val="21"/>
              </w:rPr>
              <w:t>(mg/L)</w:t>
            </w:r>
          </w:p>
        </w:tc>
        <w:tc>
          <w:tcPr>
            <w:tcW w:w="492" w:type="pct"/>
            <w:vAlign w:val="center"/>
          </w:tcPr>
          <w:p w14:paraId="7C7C090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00</w:t>
            </w:r>
          </w:p>
        </w:tc>
        <w:tc>
          <w:tcPr>
            <w:tcW w:w="787" w:type="pct"/>
            <w:vAlign w:val="center"/>
          </w:tcPr>
          <w:p w14:paraId="3D722DA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689" w:type="pct"/>
            <w:vAlign w:val="center"/>
          </w:tcPr>
          <w:p w14:paraId="604F163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5</w:t>
            </w:r>
          </w:p>
        </w:tc>
        <w:tc>
          <w:tcPr>
            <w:tcW w:w="787" w:type="pct"/>
            <w:vAlign w:val="center"/>
          </w:tcPr>
          <w:p w14:paraId="551544E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0</w:t>
            </w:r>
          </w:p>
        </w:tc>
        <w:tc>
          <w:tcPr>
            <w:tcW w:w="688" w:type="pct"/>
            <w:vAlign w:val="center"/>
          </w:tcPr>
          <w:p w14:paraId="2C013FD7"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0</w:t>
            </w:r>
          </w:p>
        </w:tc>
      </w:tr>
      <w:tr w:rsidR="00D12939" w14:paraId="29F25F08" w14:textId="77777777">
        <w:trPr>
          <w:trHeight w:val="385"/>
          <w:jc w:val="center"/>
        </w:trPr>
        <w:tc>
          <w:tcPr>
            <w:tcW w:w="1557" w:type="pct"/>
            <w:gridSpan w:val="2"/>
            <w:vAlign w:val="center"/>
          </w:tcPr>
          <w:p w14:paraId="2182FCE5"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hint="eastAsia"/>
                <w:szCs w:val="21"/>
              </w:rPr>
              <w:t>生活垃圾填埋场污染控制标准》（</w:t>
            </w:r>
            <w:r>
              <w:rPr>
                <w:rFonts w:ascii="Times New Roman" w:eastAsia="宋体" w:hAnsi="Times New Roman" w:cs="Times New Roman"/>
                <w:szCs w:val="21"/>
              </w:rPr>
              <w:t>GB16889-2008</w:t>
            </w:r>
            <w:r>
              <w:rPr>
                <w:rFonts w:ascii="Times New Roman" w:eastAsia="宋体" w:hAnsi="Times New Roman" w:cs="Times New Roman"/>
                <w:szCs w:val="21"/>
              </w:rPr>
              <w:t>）表</w:t>
            </w:r>
            <w:r>
              <w:rPr>
                <w:rFonts w:ascii="Times New Roman" w:eastAsia="宋体" w:hAnsi="Times New Roman" w:cs="Times New Roman"/>
                <w:szCs w:val="21"/>
              </w:rPr>
              <w:t>2</w:t>
            </w:r>
            <w:r>
              <w:rPr>
                <w:rFonts w:ascii="Times New Roman" w:eastAsia="宋体" w:hAnsi="Times New Roman" w:cs="Times New Roman"/>
                <w:szCs w:val="21"/>
              </w:rPr>
              <w:t>标准</w:t>
            </w:r>
          </w:p>
        </w:tc>
        <w:tc>
          <w:tcPr>
            <w:tcW w:w="492" w:type="pct"/>
            <w:vAlign w:val="center"/>
          </w:tcPr>
          <w:p w14:paraId="392C9CBB"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≤100</w:t>
            </w:r>
          </w:p>
        </w:tc>
        <w:tc>
          <w:tcPr>
            <w:tcW w:w="787" w:type="pct"/>
            <w:vAlign w:val="center"/>
          </w:tcPr>
          <w:p w14:paraId="7F858CF8" w14:textId="77777777" w:rsidR="00D12939" w:rsidRDefault="004F47F5">
            <w:pPr>
              <w:widowControl/>
              <w:jc w:val="center"/>
              <w:rPr>
                <w:rFonts w:ascii="Times New Roman" w:eastAsia="宋体" w:hAnsi="Times New Roman" w:cs="Times New Roman"/>
                <w:szCs w:val="21"/>
              </w:rPr>
            </w:pPr>
            <w:r>
              <w:rPr>
                <w:rFonts w:ascii="Times New Roman" w:eastAsia="宋体" w:hAnsi="Times New Roman" w:cs="Times New Roman"/>
                <w:szCs w:val="21"/>
              </w:rPr>
              <w:t>≤30</w:t>
            </w:r>
          </w:p>
        </w:tc>
        <w:tc>
          <w:tcPr>
            <w:tcW w:w="689" w:type="pct"/>
            <w:vAlign w:val="center"/>
          </w:tcPr>
          <w:p w14:paraId="417DFA88"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≤25</w:t>
            </w:r>
          </w:p>
        </w:tc>
        <w:tc>
          <w:tcPr>
            <w:tcW w:w="787" w:type="pct"/>
            <w:vAlign w:val="center"/>
          </w:tcPr>
          <w:p w14:paraId="190117BD"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≤40</w:t>
            </w:r>
          </w:p>
        </w:tc>
        <w:tc>
          <w:tcPr>
            <w:tcW w:w="688" w:type="pct"/>
            <w:vAlign w:val="center"/>
          </w:tcPr>
          <w:p w14:paraId="59F86974"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≤30</w:t>
            </w:r>
          </w:p>
        </w:tc>
      </w:tr>
    </w:tbl>
    <w:p w14:paraId="52349238" w14:textId="77777777" w:rsidR="00D12939" w:rsidRDefault="004F47F5">
      <w:pPr>
        <w:pStyle w:val="4"/>
        <w:spacing w:before="0" w:after="0" w:line="360" w:lineRule="auto"/>
        <w:ind w:firstLineChars="200" w:firstLine="482"/>
        <w:rPr>
          <w:rFonts w:ascii="宋体" w:eastAsia="宋体" w:hAnsi="宋体"/>
          <w:sz w:val="24"/>
        </w:rPr>
      </w:pPr>
      <w:bookmarkStart w:id="609" w:name="_Toc41343023"/>
      <w:r>
        <w:rPr>
          <w:rFonts w:ascii="宋体" w:eastAsia="宋体" w:hAnsi="宋体" w:hint="eastAsia"/>
          <w:sz w:val="24"/>
        </w:rPr>
        <w:t>9</w:t>
      </w:r>
      <w:r>
        <w:rPr>
          <w:rFonts w:ascii="宋体" w:eastAsia="宋体" w:hAnsi="宋体"/>
          <w:sz w:val="24"/>
        </w:rPr>
        <w:t>.2.2.3</w:t>
      </w:r>
      <w:r>
        <w:rPr>
          <w:rFonts w:ascii="宋体" w:eastAsia="宋体" w:hAnsi="宋体" w:hint="eastAsia"/>
          <w:sz w:val="24"/>
        </w:rPr>
        <w:t>尾水接纳可行性分析</w:t>
      </w:r>
      <w:bookmarkEnd w:id="609"/>
    </w:p>
    <w:p w14:paraId="45DA3FCA" w14:textId="77777777" w:rsidR="00D12939" w:rsidRDefault="004F47F5">
      <w:pPr>
        <w:pStyle w:val="affffffffe"/>
        <w:ind w:firstLine="496"/>
        <w:rPr>
          <w:color w:val="auto"/>
        </w:rPr>
      </w:pPr>
      <w:r>
        <w:rPr>
          <w:rFonts w:hint="eastAsia"/>
          <w:color w:val="auto"/>
        </w:rPr>
        <w:t>柞水县污水处理厂位于下梁镇明星社区，设计日污水总处理能力为</w:t>
      </w:r>
      <w:r>
        <w:rPr>
          <w:rFonts w:hint="eastAsia"/>
          <w:color w:val="auto"/>
        </w:rPr>
        <w:t>18</w:t>
      </w:r>
      <w:r>
        <w:rPr>
          <w:color w:val="auto"/>
        </w:rPr>
        <w:t>000</w:t>
      </w:r>
      <w:r>
        <w:rPr>
          <w:rFonts w:hint="eastAsia"/>
          <w:color w:val="auto"/>
        </w:rPr>
        <w:t>m</w:t>
      </w:r>
      <w:r>
        <w:rPr>
          <w:color w:val="auto"/>
          <w:vertAlign w:val="superscript"/>
        </w:rPr>
        <w:t>3</w:t>
      </w:r>
      <w:r>
        <w:rPr>
          <w:color w:val="auto"/>
        </w:rPr>
        <w:t>/</w:t>
      </w:r>
      <w:r>
        <w:rPr>
          <w:rFonts w:hint="eastAsia"/>
          <w:color w:val="auto"/>
        </w:rPr>
        <w:t>d</w:t>
      </w:r>
      <w:r>
        <w:rPr>
          <w:rFonts w:hint="eastAsia"/>
          <w:color w:val="auto"/>
        </w:rPr>
        <w:t>，一期规模为</w:t>
      </w:r>
      <w:r>
        <w:rPr>
          <w:rFonts w:hint="eastAsia"/>
          <w:color w:val="auto"/>
        </w:rPr>
        <w:t>8</w:t>
      </w:r>
      <w:r>
        <w:rPr>
          <w:color w:val="auto"/>
        </w:rPr>
        <w:t>000</w:t>
      </w:r>
      <w:r>
        <w:rPr>
          <w:rFonts w:hint="eastAsia"/>
          <w:color w:val="auto"/>
        </w:rPr>
        <w:t>m</w:t>
      </w:r>
      <w:r>
        <w:rPr>
          <w:color w:val="auto"/>
          <w:vertAlign w:val="superscript"/>
        </w:rPr>
        <w:t>3</w:t>
      </w:r>
      <w:r>
        <w:rPr>
          <w:color w:val="auto"/>
        </w:rPr>
        <w:t>/</w:t>
      </w:r>
      <w:r>
        <w:rPr>
          <w:rFonts w:hint="eastAsia"/>
          <w:color w:val="auto"/>
        </w:rPr>
        <w:t>d</w:t>
      </w:r>
      <w:r>
        <w:rPr>
          <w:rFonts w:hint="eastAsia"/>
          <w:color w:val="auto"/>
        </w:rPr>
        <w:t>，设计出水水质为《城镇污水处理厂污染物排放标准》（</w:t>
      </w:r>
      <w:r>
        <w:rPr>
          <w:rFonts w:hint="eastAsia"/>
          <w:color w:val="auto"/>
        </w:rPr>
        <w:t>G</w:t>
      </w:r>
      <w:r>
        <w:rPr>
          <w:color w:val="auto"/>
        </w:rPr>
        <w:t>B18978-2002</w:t>
      </w:r>
      <w:r>
        <w:rPr>
          <w:rFonts w:hint="eastAsia"/>
          <w:color w:val="auto"/>
        </w:rPr>
        <w:t>）一级</w:t>
      </w:r>
      <w:r>
        <w:rPr>
          <w:rFonts w:hint="eastAsia"/>
          <w:color w:val="auto"/>
        </w:rPr>
        <w:t>A</w:t>
      </w:r>
      <w:r>
        <w:rPr>
          <w:rFonts w:hint="eastAsia"/>
          <w:color w:val="auto"/>
        </w:rPr>
        <w:t>标准。主要处理工艺为粗格栅及提升泵房</w:t>
      </w:r>
      <w:r>
        <w:rPr>
          <w:rFonts w:hint="eastAsia"/>
          <w:color w:val="auto"/>
        </w:rPr>
        <w:t>-</w:t>
      </w:r>
      <w:r>
        <w:rPr>
          <w:rFonts w:hint="eastAsia"/>
          <w:color w:val="auto"/>
        </w:rPr>
        <w:t>细格栅及旋流沉砂池</w:t>
      </w:r>
      <w:r>
        <w:rPr>
          <w:rFonts w:hint="eastAsia"/>
          <w:color w:val="auto"/>
        </w:rPr>
        <w:t>-</w:t>
      </w:r>
      <w:r>
        <w:rPr>
          <w:color w:val="auto"/>
        </w:rPr>
        <w:t>A</w:t>
      </w:r>
      <w:r>
        <w:rPr>
          <w:color w:val="auto"/>
          <w:vertAlign w:val="superscript"/>
        </w:rPr>
        <w:t>2</w:t>
      </w:r>
      <w:r>
        <w:rPr>
          <w:color w:val="auto"/>
        </w:rPr>
        <w:t>/O</w:t>
      </w:r>
      <w:r>
        <w:rPr>
          <w:rFonts w:hint="eastAsia"/>
          <w:color w:val="auto"/>
        </w:rPr>
        <w:t>反应池</w:t>
      </w:r>
      <w:r>
        <w:rPr>
          <w:rFonts w:hint="eastAsia"/>
          <w:color w:val="auto"/>
        </w:rPr>
        <w:t>-</w:t>
      </w:r>
      <w:r>
        <w:rPr>
          <w:rFonts w:hint="eastAsia"/>
          <w:color w:val="auto"/>
        </w:rPr>
        <w:t>深度处理，污泥采用机械浓缩脱水工艺，处理后达标尾水外排至乾佑河。</w:t>
      </w:r>
    </w:p>
    <w:p w14:paraId="60CE133B" w14:textId="5130DF20" w:rsidR="00D12939" w:rsidRDefault="004F47F5">
      <w:pPr>
        <w:pStyle w:val="affffffffe"/>
        <w:ind w:firstLine="496"/>
        <w:rPr>
          <w:color w:val="auto"/>
        </w:rPr>
      </w:pPr>
      <w:r>
        <w:rPr>
          <w:rFonts w:hint="eastAsia"/>
          <w:color w:val="auto"/>
        </w:rPr>
        <w:t>柞水县污水处理厂于</w:t>
      </w:r>
      <w:r>
        <w:rPr>
          <w:rFonts w:hint="eastAsia"/>
          <w:color w:val="auto"/>
        </w:rPr>
        <w:t>2</w:t>
      </w:r>
      <w:r>
        <w:rPr>
          <w:color w:val="auto"/>
        </w:rPr>
        <w:t>009</w:t>
      </w:r>
      <w:r>
        <w:rPr>
          <w:rFonts w:hint="eastAsia"/>
          <w:color w:val="auto"/>
        </w:rPr>
        <w:t>年委托西安建筑科技大学编制了环境影响报告书，</w:t>
      </w:r>
      <w:r>
        <w:rPr>
          <w:rFonts w:hint="eastAsia"/>
          <w:color w:val="auto"/>
        </w:rPr>
        <w:t>2</w:t>
      </w:r>
      <w:r>
        <w:rPr>
          <w:color w:val="auto"/>
        </w:rPr>
        <w:t>010</w:t>
      </w:r>
      <w:r>
        <w:rPr>
          <w:rFonts w:hint="eastAsia"/>
          <w:color w:val="auto"/>
        </w:rPr>
        <w:t>年</w:t>
      </w:r>
      <w:r>
        <w:rPr>
          <w:rFonts w:hint="eastAsia"/>
          <w:color w:val="auto"/>
        </w:rPr>
        <w:t>2</w:t>
      </w:r>
      <w:r>
        <w:rPr>
          <w:rFonts w:hint="eastAsia"/>
          <w:color w:val="auto"/>
        </w:rPr>
        <w:t>月获得商洛市生态环境局的批复，一期工程于</w:t>
      </w:r>
      <w:r>
        <w:rPr>
          <w:rFonts w:hint="eastAsia"/>
          <w:color w:val="auto"/>
        </w:rPr>
        <w:t>2</w:t>
      </w:r>
      <w:r>
        <w:rPr>
          <w:color w:val="auto"/>
        </w:rPr>
        <w:t>010</w:t>
      </w:r>
      <w:r>
        <w:rPr>
          <w:rFonts w:hint="eastAsia"/>
          <w:color w:val="auto"/>
        </w:rPr>
        <w:t>年</w:t>
      </w:r>
      <w:r>
        <w:rPr>
          <w:rFonts w:hint="eastAsia"/>
          <w:color w:val="auto"/>
        </w:rPr>
        <w:t>1</w:t>
      </w:r>
      <w:r>
        <w:rPr>
          <w:color w:val="auto"/>
        </w:rPr>
        <w:t>0</w:t>
      </w:r>
      <w:r>
        <w:rPr>
          <w:rFonts w:hint="eastAsia"/>
          <w:color w:val="auto"/>
        </w:rPr>
        <w:t>月开工建设，</w:t>
      </w:r>
      <w:r>
        <w:rPr>
          <w:rFonts w:hint="eastAsia"/>
          <w:color w:val="auto"/>
        </w:rPr>
        <w:t>2</w:t>
      </w:r>
      <w:r>
        <w:rPr>
          <w:color w:val="auto"/>
        </w:rPr>
        <w:t>011</w:t>
      </w:r>
      <w:r>
        <w:rPr>
          <w:rFonts w:hint="eastAsia"/>
          <w:color w:val="auto"/>
        </w:rPr>
        <w:t>年</w:t>
      </w:r>
      <w:r>
        <w:rPr>
          <w:rFonts w:hint="eastAsia"/>
          <w:color w:val="auto"/>
        </w:rPr>
        <w:t>9</w:t>
      </w:r>
      <w:r>
        <w:rPr>
          <w:rFonts w:hint="eastAsia"/>
          <w:color w:val="auto"/>
        </w:rPr>
        <w:t>月基本竣工并进水试运行，</w:t>
      </w:r>
      <w:r>
        <w:rPr>
          <w:rFonts w:hint="eastAsia"/>
          <w:color w:val="auto"/>
        </w:rPr>
        <w:t>2</w:t>
      </w:r>
      <w:r>
        <w:rPr>
          <w:color w:val="auto"/>
        </w:rPr>
        <w:t>011</w:t>
      </w:r>
      <w:r>
        <w:rPr>
          <w:rFonts w:hint="eastAsia"/>
          <w:color w:val="auto"/>
        </w:rPr>
        <w:t>年</w:t>
      </w:r>
      <w:r>
        <w:rPr>
          <w:rFonts w:hint="eastAsia"/>
          <w:color w:val="auto"/>
        </w:rPr>
        <w:t>1</w:t>
      </w:r>
      <w:r>
        <w:rPr>
          <w:color w:val="auto"/>
        </w:rPr>
        <w:t>2</w:t>
      </w:r>
      <w:r>
        <w:rPr>
          <w:rFonts w:hint="eastAsia"/>
          <w:color w:val="auto"/>
        </w:rPr>
        <w:t>月</w:t>
      </w:r>
      <w:r>
        <w:rPr>
          <w:rFonts w:hint="eastAsia"/>
          <w:color w:val="auto"/>
        </w:rPr>
        <w:t>8</w:t>
      </w:r>
      <w:r>
        <w:rPr>
          <w:rFonts w:hint="eastAsia"/>
          <w:color w:val="auto"/>
        </w:rPr>
        <w:t>日经商洛市生态环境局批准试运营，并于</w:t>
      </w:r>
      <w:r>
        <w:rPr>
          <w:rFonts w:hint="eastAsia"/>
          <w:color w:val="auto"/>
        </w:rPr>
        <w:t>2</w:t>
      </w:r>
      <w:r>
        <w:rPr>
          <w:color w:val="auto"/>
        </w:rPr>
        <w:t>012</w:t>
      </w:r>
      <w:r>
        <w:rPr>
          <w:rFonts w:hint="eastAsia"/>
          <w:color w:val="auto"/>
        </w:rPr>
        <w:t>年</w:t>
      </w:r>
      <w:r>
        <w:rPr>
          <w:rFonts w:hint="eastAsia"/>
          <w:color w:val="auto"/>
        </w:rPr>
        <w:t>1</w:t>
      </w:r>
      <w:r>
        <w:rPr>
          <w:color w:val="auto"/>
        </w:rPr>
        <w:t>0</w:t>
      </w:r>
      <w:r>
        <w:rPr>
          <w:rFonts w:hint="eastAsia"/>
          <w:color w:val="auto"/>
        </w:rPr>
        <w:t>月通过一期工程竣工环境保护验收，目前正常运行。</w:t>
      </w:r>
      <w:r w:rsidR="002E3A1D">
        <w:rPr>
          <w:rFonts w:hint="eastAsia"/>
          <w:color w:val="auto"/>
        </w:rPr>
        <w:t>柞水县污水处理厂进水标准见下表：</w:t>
      </w:r>
    </w:p>
    <w:p w14:paraId="5AECA085" w14:textId="1B99A381" w:rsidR="002E3A1D" w:rsidRPr="00585287" w:rsidRDefault="002E3A1D" w:rsidP="002E3A1D">
      <w:pPr>
        <w:pStyle w:val="affffffffe"/>
        <w:ind w:firstLine="496"/>
        <w:jc w:val="center"/>
        <w:rPr>
          <w:rFonts w:ascii="黑体" w:eastAsia="黑体" w:hAnsi="黑体"/>
          <w:color w:val="FF0000"/>
        </w:rPr>
      </w:pPr>
      <w:r w:rsidRPr="00585287">
        <w:rPr>
          <w:rFonts w:ascii="黑体" w:eastAsia="黑体" w:hAnsi="黑体" w:hint="eastAsia"/>
          <w:color w:val="FF0000"/>
        </w:rPr>
        <w:t>表9</w:t>
      </w:r>
      <w:r w:rsidRPr="00585287">
        <w:rPr>
          <w:rFonts w:ascii="黑体" w:eastAsia="黑体" w:hAnsi="黑体"/>
          <w:color w:val="FF0000"/>
        </w:rPr>
        <w:t xml:space="preserve">.2-2  </w:t>
      </w:r>
      <w:r w:rsidRPr="00585287">
        <w:rPr>
          <w:rFonts w:ascii="黑体" w:eastAsia="黑体" w:hAnsi="黑体" w:hint="eastAsia"/>
          <w:color w:val="FF0000"/>
        </w:rPr>
        <w:t>柞水县污水处理厂进水标准一览表（单位：除p</w:t>
      </w:r>
      <w:r w:rsidRPr="00585287">
        <w:rPr>
          <w:rFonts w:ascii="黑体" w:eastAsia="黑体" w:hAnsi="黑体"/>
          <w:color w:val="FF0000"/>
        </w:rPr>
        <w:t>H</w:t>
      </w:r>
      <w:r w:rsidRPr="00585287">
        <w:rPr>
          <w:rFonts w:ascii="黑体" w:eastAsia="黑体" w:hAnsi="黑体" w:hint="eastAsia"/>
          <w:color w:val="FF0000"/>
        </w:rPr>
        <w:t>外，均为mg</w:t>
      </w:r>
      <w:r w:rsidRPr="00585287">
        <w:rPr>
          <w:rFonts w:ascii="黑体" w:eastAsia="黑体" w:hAnsi="黑体"/>
          <w:color w:val="FF0000"/>
        </w:rPr>
        <w:t>/L</w:t>
      </w:r>
      <w:r w:rsidRPr="00585287">
        <w:rPr>
          <w:rFonts w:ascii="黑体" w:eastAsia="黑体" w:hAnsi="黑体" w:hint="eastAsia"/>
          <w:color w:val="FF0000"/>
        </w:rPr>
        <w:t>）</w:t>
      </w:r>
    </w:p>
    <w:tbl>
      <w:tblPr>
        <w:tblStyle w:val="afff8"/>
        <w:tblW w:w="0" w:type="auto"/>
        <w:tblLook w:val="04A0" w:firstRow="1" w:lastRow="0" w:firstColumn="1" w:lastColumn="0" w:noHBand="0" w:noVBand="1"/>
      </w:tblPr>
      <w:tblGrid>
        <w:gridCol w:w="1217"/>
        <w:gridCol w:w="1217"/>
        <w:gridCol w:w="1217"/>
        <w:gridCol w:w="1217"/>
        <w:gridCol w:w="1217"/>
        <w:gridCol w:w="1217"/>
        <w:gridCol w:w="1217"/>
        <w:gridCol w:w="1217"/>
      </w:tblGrid>
      <w:tr w:rsidR="00585287" w:rsidRPr="00585287" w14:paraId="0D7E175F" w14:textId="77777777" w:rsidTr="002E3A1D">
        <w:tc>
          <w:tcPr>
            <w:tcW w:w="1217" w:type="dxa"/>
            <w:vAlign w:val="center"/>
          </w:tcPr>
          <w:p w14:paraId="4C0B6565" w14:textId="5EF68465"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指标</w:t>
            </w:r>
          </w:p>
        </w:tc>
        <w:tc>
          <w:tcPr>
            <w:tcW w:w="1217" w:type="dxa"/>
            <w:vAlign w:val="center"/>
          </w:tcPr>
          <w:p w14:paraId="6C3DA224" w14:textId="1D1765E8"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C</w:t>
            </w:r>
            <w:r w:rsidRPr="00585287">
              <w:rPr>
                <w:color w:val="FF0000"/>
                <w:sz w:val="21"/>
                <w:szCs w:val="21"/>
              </w:rPr>
              <w:t>OD</w:t>
            </w:r>
          </w:p>
        </w:tc>
        <w:tc>
          <w:tcPr>
            <w:tcW w:w="1217" w:type="dxa"/>
            <w:vAlign w:val="center"/>
          </w:tcPr>
          <w:p w14:paraId="13821FBD" w14:textId="622A52D4"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B</w:t>
            </w:r>
            <w:r w:rsidRPr="00585287">
              <w:rPr>
                <w:color w:val="FF0000"/>
                <w:sz w:val="21"/>
                <w:szCs w:val="21"/>
              </w:rPr>
              <w:t>OD5</w:t>
            </w:r>
          </w:p>
        </w:tc>
        <w:tc>
          <w:tcPr>
            <w:tcW w:w="1217" w:type="dxa"/>
            <w:vAlign w:val="center"/>
          </w:tcPr>
          <w:p w14:paraId="0208556E" w14:textId="72EC765B"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S</w:t>
            </w:r>
            <w:r w:rsidRPr="00585287">
              <w:rPr>
                <w:color w:val="FF0000"/>
                <w:sz w:val="21"/>
                <w:szCs w:val="21"/>
              </w:rPr>
              <w:t>S</w:t>
            </w:r>
          </w:p>
        </w:tc>
        <w:tc>
          <w:tcPr>
            <w:tcW w:w="1217" w:type="dxa"/>
            <w:vAlign w:val="center"/>
          </w:tcPr>
          <w:p w14:paraId="14C2002E" w14:textId="43C93020"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T</w:t>
            </w:r>
            <w:r w:rsidRPr="00585287">
              <w:rPr>
                <w:color w:val="FF0000"/>
                <w:sz w:val="21"/>
                <w:szCs w:val="21"/>
              </w:rPr>
              <w:t>N</w:t>
            </w:r>
          </w:p>
        </w:tc>
        <w:tc>
          <w:tcPr>
            <w:tcW w:w="1217" w:type="dxa"/>
            <w:vAlign w:val="center"/>
          </w:tcPr>
          <w:p w14:paraId="718DA66C" w14:textId="2A5BF28B"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氨氮</w:t>
            </w:r>
          </w:p>
        </w:tc>
        <w:tc>
          <w:tcPr>
            <w:tcW w:w="1217" w:type="dxa"/>
            <w:vAlign w:val="center"/>
          </w:tcPr>
          <w:p w14:paraId="6236798A" w14:textId="79D9FDFA"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T</w:t>
            </w:r>
            <w:r w:rsidRPr="00585287">
              <w:rPr>
                <w:color w:val="FF0000"/>
                <w:sz w:val="21"/>
                <w:szCs w:val="21"/>
              </w:rPr>
              <w:t>P</w:t>
            </w:r>
          </w:p>
        </w:tc>
        <w:tc>
          <w:tcPr>
            <w:tcW w:w="1217" w:type="dxa"/>
            <w:vAlign w:val="center"/>
          </w:tcPr>
          <w:p w14:paraId="5EE18A28" w14:textId="5985206F"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p</w:t>
            </w:r>
            <w:r w:rsidRPr="00585287">
              <w:rPr>
                <w:color w:val="FF0000"/>
                <w:sz w:val="21"/>
                <w:szCs w:val="21"/>
              </w:rPr>
              <w:t>H</w:t>
            </w:r>
          </w:p>
        </w:tc>
      </w:tr>
      <w:tr w:rsidR="00585287" w:rsidRPr="00585287" w14:paraId="76E5190B" w14:textId="77777777" w:rsidTr="002E3A1D">
        <w:tc>
          <w:tcPr>
            <w:tcW w:w="1217" w:type="dxa"/>
            <w:vAlign w:val="center"/>
          </w:tcPr>
          <w:p w14:paraId="39534E23" w14:textId="20DF8008"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进水标准</w:t>
            </w:r>
          </w:p>
        </w:tc>
        <w:tc>
          <w:tcPr>
            <w:tcW w:w="1217" w:type="dxa"/>
            <w:vAlign w:val="center"/>
          </w:tcPr>
          <w:p w14:paraId="4BE95826" w14:textId="0A0A71EE"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4</w:t>
            </w:r>
            <w:r w:rsidRPr="00585287">
              <w:rPr>
                <w:color w:val="FF0000"/>
                <w:sz w:val="21"/>
                <w:szCs w:val="21"/>
              </w:rPr>
              <w:t>00</w:t>
            </w:r>
          </w:p>
        </w:tc>
        <w:tc>
          <w:tcPr>
            <w:tcW w:w="1217" w:type="dxa"/>
            <w:vAlign w:val="center"/>
          </w:tcPr>
          <w:p w14:paraId="51E795ED" w14:textId="025F5D8D"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2</w:t>
            </w:r>
            <w:r w:rsidRPr="00585287">
              <w:rPr>
                <w:color w:val="FF0000"/>
                <w:sz w:val="21"/>
                <w:szCs w:val="21"/>
              </w:rPr>
              <w:t>00</w:t>
            </w:r>
          </w:p>
        </w:tc>
        <w:tc>
          <w:tcPr>
            <w:tcW w:w="1217" w:type="dxa"/>
            <w:vAlign w:val="center"/>
          </w:tcPr>
          <w:p w14:paraId="3C6F830F" w14:textId="35C274F9"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2</w:t>
            </w:r>
            <w:r w:rsidRPr="00585287">
              <w:rPr>
                <w:color w:val="FF0000"/>
                <w:sz w:val="21"/>
                <w:szCs w:val="21"/>
              </w:rPr>
              <w:t>20</w:t>
            </w:r>
          </w:p>
        </w:tc>
        <w:tc>
          <w:tcPr>
            <w:tcW w:w="1217" w:type="dxa"/>
            <w:vAlign w:val="center"/>
          </w:tcPr>
          <w:p w14:paraId="1D03A7C0" w14:textId="49BA4819"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4</w:t>
            </w:r>
            <w:r w:rsidRPr="00585287">
              <w:rPr>
                <w:color w:val="FF0000"/>
                <w:sz w:val="21"/>
                <w:szCs w:val="21"/>
              </w:rPr>
              <w:t>0</w:t>
            </w:r>
          </w:p>
        </w:tc>
        <w:tc>
          <w:tcPr>
            <w:tcW w:w="1217" w:type="dxa"/>
            <w:vAlign w:val="center"/>
          </w:tcPr>
          <w:p w14:paraId="3047274D" w14:textId="69D16906"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2</w:t>
            </w:r>
            <w:r w:rsidRPr="00585287">
              <w:rPr>
                <w:color w:val="FF0000"/>
                <w:sz w:val="21"/>
                <w:szCs w:val="21"/>
              </w:rPr>
              <w:t>5</w:t>
            </w:r>
          </w:p>
        </w:tc>
        <w:tc>
          <w:tcPr>
            <w:tcW w:w="1217" w:type="dxa"/>
            <w:vAlign w:val="center"/>
          </w:tcPr>
          <w:p w14:paraId="34BB7171" w14:textId="7850F4D7"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3</w:t>
            </w:r>
          </w:p>
        </w:tc>
        <w:tc>
          <w:tcPr>
            <w:tcW w:w="1217" w:type="dxa"/>
            <w:vAlign w:val="center"/>
          </w:tcPr>
          <w:p w14:paraId="15FBC5EF" w14:textId="784441E9" w:rsidR="002E3A1D" w:rsidRPr="00585287" w:rsidRDefault="002E3A1D" w:rsidP="002E3A1D">
            <w:pPr>
              <w:pStyle w:val="affffffffe"/>
              <w:spacing w:line="240" w:lineRule="auto"/>
              <w:ind w:firstLineChars="0" w:firstLine="0"/>
              <w:jc w:val="center"/>
              <w:rPr>
                <w:color w:val="FF0000"/>
                <w:sz w:val="21"/>
                <w:szCs w:val="21"/>
              </w:rPr>
            </w:pPr>
            <w:r w:rsidRPr="00585287">
              <w:rPr>
                <w:rFonts w:hint="eastAsia"/>
                <w:color w:val="FF0000"/>
                <w:sz w:val="21"/>
                <w:szCs w:val="21"/>
              </w:rPr>
              <w:t>6</w:t>
            </w:r>
            <w:r w:rsidRPr="00585287">
              <w:rPr>
                <w:color w:val="FF0000"/>
                <w:sz w:val="21"/>
                <w:szCs w:val="21"/>
              </w:rPr>
              <w:t>-9</w:t>
            </w:r>
          </w:p>
        </w:tc>
      </w:tr>
    </w:tbl>
    <w:p w14:paraId="5CC49905" w14:textId="55DC7397" w:rsidR="00D12939" w:rsidRDefault="004F47F5">
      <w:pPr>
        <w:pStyle w:val="affffffffe"/>
        <w:ind w:firstLine="496"/>
        <w:rPr>
          <w:color w:val="auto"/>
        </w:rPr>
      </w:pPr>
      <w:r>
        <w:rPr>
          <w:rFonts w:hint="eastAsia"/>
          <w:color w:val="auto"/>
        </w:rPr>
        <w:t>本项目渗滤液经过渗滤液处理站处理后，尾水可满足</w:t>
      </w:r>
      <w:r>
        <w:rPr>
          <w:color w:val="auto"/>
          <w:szCs w:val="21"/>
        </w:rPr>
        <w:t>《</w:t>
      </w:r>
      <w:r>
        <w:rPr>
          <w:rFonts w:hint="eastAsia"/>
          <w:color w:val="auto"/>
          <w:szCs w:val="21"/>
        </w:rPr>
        <w:t>生活垃圾填埋场污染控制标准》（</w:t>
      </w:r>
      <w:r>
        <w:rPr>
          <w:color w:val="auto"/>
          <w:szCs w:val="21"/>
        </w:rPr>
        <w:t>GB16889-2008</w:t>
      </w:r>
      <w:r>
        <w:rPr>
          <w:color w:val="auto"/>
          <w:szCs w:val="21"/>
        </w:rPr>
        <w:t>）表</w:t>
      </w:r>
      <w:r>
        <w:rPr>
          <w:color w:val="auto"/>
          <w:szCs w:val="21"/>
        </w:rPr>
        <w:t>2</w:t>
      </w:r>
      <w:r>
        <w:rPr>
          <w:color w:val="auto"/>
          <w:szCs w:val="21"/>
        </w:rPr>
        <w:t>标准</w:t>
      </w:r>
      <w:r w:rsidR="00585287" w:rsidRPr="00585287">
        <w:rPr>
          <w:rFonts w:hint="eastAsia"/>
          <w:color w:val="FF0000"/>
          <w:szCs w:val="21"/>
        </w:rPr>
        <w:t>，</w:t>
      </w:r>
      <w:r w:rsidR="00585287">
        <w:rPr>
          <w:rFonts w:hint="eastAsia"/>
          <w:color w:val="auto"/>
          <w:szCs w:val="21"/>
        </w:rPr>
        <w:t>少量</w:t>
      </w:r>
      <w:r>
        <w:rPr>
          <w:rFonts w:hint="eastAsia"/>
          <w:color w:val="auto"/>
        </w:rPr>
        <w:t>回用于库区洒水，剩余尾水</w:t>
      </w:r>
      <w:r>
        <w:rPr>
          <w:color w:val="auto"/>
        </w:rPr>
        <w:t>采用槽罐车运输方式，运至柞水县污水处理厂</w:t>
      </w:r>
      <w:r>
        <w:rPr>
          <w:rFonts w:hint="eastAsia"/>
          <w:color w:val="auto"/>
        </w:rPr>
        <w:t>进一步处理，运至柞水县污水处理厂进一步处理的尾水量约为</w:t>
      </w:r>
      <w:r w:rsidR="00DA291F">
        <w:rPr>
          <w:color w:val="auto"/>
        </w:rPr>
        <w:t>35.162</w:t>
      </w:r>
      <w:r>
        <w:rPr>
          <w:rFonts w:hint="eastAsia"/>
          <w:color w:val="auto"/>
        </w:rPr>
        <w:t>m</w:t>
      </w:r>
      <w:r>
        <w:rPr>
          <w:color w:val="auto"/>
          <w:vertAlign w:val="superscript"/>
        </w:rPr>
        <w:t>3</w:t>
      </w:r>
      <w:r>
        <w:rPr>
          <w:color w:val="auto"/>
        </w:rPr>
        <w:t>/</w:t>
      </w:r>
      <w:r>
        <w:rPr>
          <w:rFonts w:hint="eastAsia"/>
          <w:color w:val="auto"/>
        </w:rPr>
        <w:t>d</w:t>
      </w:r>
      <w:r>
        <w:rPr>
          <w:rFonts w:hint="eastAsia"/>
          <w:color w:val="auto"/>
        </w:rPr>
        <w:t>，</w:t>
      </w:r>
      <w:r w:rsidR="00585287" w:rsidRPr="00585287">
        <w:rPr>
          <w:rFonts w:hint="eastAsia"/>
          <w:color w:val="FF0000"/>
          <w:szCs w:val="21"/>
        </w:rPr>
        <w:t>同时</w:t>
      </w:r>
      <w:r w:rsidR="00585287">
        <w:rPr>
          <w:rFonts w:hint="eastAsia"/>
          <w:color w:val="FF0000"/>
          <w:szCs w:val="21"/>
        </w:rPr>
        <w:t>本项目渗滤液处理站处理后的</w:t>
      </w:r>
      <w:r w:rsidR="00585287" w:rsidRPr="00585287">
        <w:rPr>
          <w:rFonts w:hint="eastAsia"/>
          <w:color w:val="FF0000"/>
          <w:szCs w:val="21"/>
        </w:rPr>
        <w:t>尾水水质也满足柞水县污水处理厂进水标准要求</w:t>
      </w:r>
      <w:r w:rsidR="00585287">
        <w:rPr>
          <w:rFonts w:hint="eastAsia"/>
          <w:color w:val="auto"/>
          <w:szCs w:val="21"/>
        </w:rPr>
        <w:t>，</w:t>
      </w:r>
      <w:r>
        <w:rPr>
          <w:rFonts w:hint="eastAsia"/>
          <w:color w:val="auto"/>
        </w:rPr>
        <w:t>因此本项目废水从水质、水量上均不会对柞水县污水处理厂产生冲击，本项目废水经处理达标后进入柞水县污水处理厂进一步处理是可行的。</w:t>
      </w:r>
    </w:p>
    <w:p w14:paraId="1995ECBE" w14:textId="77777777" w:rsidR="00D12939" w:rsidRDefault="004F47F5">
      <w:pPr>
        <w:pStyle w:val="affffffffe"/>
        <w:ind w:firstLine="496"/>
        <w:rPr>
          <w:color w:val="auto"/>
        </w:rPr>
      </w:pPr>
      <w:r>
        <w:rPr>
          <w:rFonts w:hint="eastAsia"/>
          <w:color w:val="auto"/>
        </w:rPr>
        <w:t>综上，项目废水处理工艺措施可行。</w:t>
      </w:r>
    </w:p>
    <w:p w14:paraId="27A80712"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10" w:name="_Toc121411814"/>
      <w:r>
        <w:rPr>
          <w:rFonts w:ascii="Times New Roman" w:eastAsia="黑体" w:hAnsi="Times New Roman" w:cs="Times New Roman"/>
          <w:b w:val="0"/>
          <w:sz w:val="24"/>
        </w:rPr>
        <w:lastRenderedPageBreak/>
        <w:t>9.2.3</w:t>
      </w:r>
      <w:r>
        <w:rPr>
          <w:rFonts w:ascii="Times New Roman" w:eastAsia="黑体" w:hAnsi="Times New Roman" w:cs="Times New Roman" w:hint="eastAsia"/>
          <w:b w:val="0"/>
          <w:sz w:val="24"/>
        </w:rPr>
        <w:t>噪声污染防治措施分析</w:t>
      </w:r>
      <w:bookmarkEnd w:id="610"/>
    </w:p>
    <w:p w14:paraId="74241367"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本工程噪声源主要来自大功率水泵、作业机械设备、运输设备等。项目将根据设备情况分别采用以下降噪措施：</w:t>
      </w:r>
    </w:p>
    <w:p w14:paraId="27095CC4"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1</w:t>
      </w:r>
      <w:r>
        <w:rPr>
          <w:rFonts w:ascii="Times New Roman" w:eastAsia="宋体" w:hAnsi="Times New Roman" w:cs="Times New Roman" w:hint="eastAsia"/>
          <w:sz w:val="24"/>
        </w:rPr>
        <w:t>）对各种泵类采取加装橡胶接头等振动阻尼器；水泵等基础设减振垫；</w:t>
      </w:r>
    </w:p>
    <w:p w14:paraId="2D3898E8"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2</w:t>
      </w:r>
      <w:r>
        <w:rPr>
          <w:rFonts w:ascii="Times New Roman" w:eastAsia="宋体" w:hAnsi="Times New Roman" w:cs="Times New Roman" w:hint="eastAsia"/>
          <w:sz w:val="24"/>
        </w:rPr>
        <w:t>）加强管理，定期进行机械设备的维护，确保设备状态良好；</w:t>
      </w:r>
    </w:p>
    <w:p w14:paraId="6F4EBD9E"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3</w:t>
      </w:r>
      <w:r>
        <w:rPr>
          <w:rFonts w:ascii="Times New Roman" w:eastAsia="宋体" w:hAnsi="Times New Roman" w:cs="Times New Roman" w:hint="eastAsia"/>
          <w:sz w:val="24"/>
        </w:rPr>
        <w:t>）合理布置，噪声源相对集中，控制室、操作间采用隔音的建筑结构；在运行管理人员集中的控制室内，门窗处设置吸声装置（如密封门窗等），以减少噪声对运行人员的影响，使其工作环境达到允许噪声标准；</w:t>
      </w:r>
    </w:p>
    <w:p w14:paraId="3ACD3F39"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sz w:val="24"/>
        </w:rPr>
        <w:t>4</w:t>
      </w:r>
      <w:r>
        <w:rPr>
          <w:rFonts w:ascii="Times New Roman" w:eastAsia="宋体" w:hAnsi="Times New Roman" w:cs="Times New Roman" w:hint="eastAsia"/>
          <w:sz w:val="24"/>
        </w:rPr>
        <w:t>）总图合理布局并加强厂区绿化，减少噪声对周围环境的影响。同时，针对场区运输车辆所产生的交通噪声，采取限制超载、定期保养车辆、场区禁按喇叭等措施。</w:t>
      </w:r>
    </w:p>
    <w:p w14:paraId="6EFF4C0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通过采取上述治理措施后，可确保所有场界噪声均达到《工业企业厂界噪声排放标准》（</w:t>
      </w:r>
      <w:r>
        <w:rPr>
          <w:rFonts w:ascii="Times New Roman" w:eastAsia="宋体" w:hAnsi="Times New Roman" w:cs="Times New Roman"/>
          <w:sz w:val="24"/>
        </w:rPr>
        <w:t>GB12348-2008</w:t>
      </w:r>
      <w:r>
        <w:rPr>
          <w:rFonts w:ascii="Times New Roman" w:eastAsia="宋体" w:hAnsi="Times New Roman" w:cs="Times New Roman" w:hint="eastAsia"/>
          <w:sz w:val="24"/>
        </w:rPr>
        <w:t>）</w:t>
      </w:r>
      <w:r>
        <w:rPr>
          <w:rFonts w:ascii="Times New Roman" w:eastAsia="宋体" w:hAnsi="Times New Roman" w:cs="Times New Roman"/>
          <w:sz w:val="24"/>
        </w:rPr>
        <w:t xml:space="preserve">2 </w:t>
      </w:r>
      <w:r>
        <w:rPr>
          <w:rFonts w:ascii="Times New Roman" w:eastAsia="宋体" w:hAnsi="Times New Roman" w:cs="Times New Roman" w:hint="eastAsia"/>
          <w:sz w:val="24"/>
        </w:rPr>
        <w:t>类标准。</w:t>
      </w:r>
    </w:p>
    <w:p w14:paraId="53150FC5"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11" w:name="_Toc121411815"/>
      <w:bookmarkStart w:id="612" w:name="_Toc30089315"/>
      <w:bookmarkStart w:id="613" w:name="_Toc113952332"/>
      <w:r>
        <w:rPr>
          <w:rFonts w:ascii="Times New Roman" w:eastAsia="黑体" w:hAnsi="Times New Roman" w:cs="Times New Roman"/>
          <w:b w:val="0"/>
          <w:sz w:val="24"/>
        </w:rPr>
        <w:t>9</w:t>
      </w:r>
      <w:r>
        <w:rPr>
          <w:rFonts w:ascii="Times New Roman" w:eastAsia="黑体" w:hAnsi="Times New Roman" w:cs="Times New Roman" w:hint="eastAsia"/>
          <w:b w:val="0"/>
          <w:sz w:val="24"/>
        </w:rPr>
        <w:t>.</w:t>
      </w:r>
      <w:r>
        <w:rPr>
          <w:rFonts w:ascii="Times New Roman" w:eastAsia="黑体" w:hAnsi="Times New Roman" w:cs="Times New Roman"/>
          <w:b w:val="0"/>
          <w:sz w:val="24"/>
        </w:rPr>
        <w:t>2.</w:t>
      </w:r>
      <w:r>
        <w:rPr>
          <w:rFonts w:ascii="Times New Roman" w:eastAsia="黑体" w:hAnsi="Times New Roman" w:cs="Times New Roman" w:hint="eastAsia"/>
          <w:b w:val="0"/>
          <w:sz w:val="24"/>
        </w:rPr>
        <w:t>3</w:t>
      </w:r>
      <w:r>
        <w:rPr>
          <w:rFonts w:ascii="Times New Roman" w:eastAsia="黑体" w:hAnsi="Times New Roman" w:cs="Times New Roman"/>
          <w:b w:val="0"/>
          <w:sz w:val="24"/>
        </w:rPr>
        <w:t>地下水污染防治措施</w:t>
      </w:r>
      <w:bookmarkEnd w:id="611"/>
      <w:bookmarkEnd w:id="612"/>
      <w:bookmarkEnd w:id="613"/>
    </w:p>
    <w:p w14:paraId="6A0AE762"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9</w:t>
      </w:r>
      <w:r>
        <w:rPr>
          <w:rFonts w:ascii="宋体" w:eastAsia="宋体" w:hAnsi="宋体" w:hint="eastAsia"/>
          <w:sz w:val="24"/>
        </w:rPr>
        <w:t>.</w:t>
      </w:r>
      <w:r>
        <w:rPr>
          <w:rFonts w:ascii="宋体" w:eastAsia="宋体" w:hAnsi="宋体"/>
          <w:sz w:val="24"/>
        </w:rPr>
        <w:t>2.</w:t>
      </w:r>
      <w:r>
        <w:rPr>
          <w:rFonts w:ascii="宋体" w:eastAsia="宋体" w:hAnsi="宋体" w:hint="eastAsia"/>
          <w:sz w:val="24"/>
        </w:rPr>
        <w:t>3.1</w:t>
      </w:r>
      <w:r>
        <w:rPr>
          <w:rFonts w:ascii="宋体" w:eastAsia="宋体" w:hAnsi="宋体"/>
          <w:sz w:val="24"/>
        </w:rPr>
        <w:t>源头控制措施</w:t>
      </w:r>
    </w:p>
    <w:p w14:paraId="3F5B8D3E"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本项目产生的废水主要为垃圾渗滤液，其水量和水质受入场垃圾场内汇集雨水等因素影响较大，本评价提出以下几点防控措施：</w:t>
      </w:r>
    </w:p>
    <w:p w14:paraId="364659EB"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1</w:t>
      </w:r>
      <w:r>
        <w:rPr>
          <w:rFonts w:ascii="Times New Roman" w:eastAsia="宋体" w:hAnsi="Times New Roman" w:cs="Times New Roman"/>
          <w:sz w:val="24"/>
        </w:rPr>
        <w:t>）做好雨污分流，本项目环场道路外侧设置环场截洪沟，防止场外雨水进入厂区内，减少垃圾渗滤液产生量。做好填埋区分区分块使用规划，尽可能减少垃圾堆放区裸露面积，对其他未受污染雨水及时导排至场外。</w:t>
      </w:r>
    </w:p>
    <w:p w14:paraId="43F45068"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2</w:t>
      </w:r>
      <w:r>
        <w:rPr>
          <w:rFonts w:ascii="Times New Roman" w:eastAsia="宋体" w:hAnsi="Times New Roman" w:cs="Times New Roman"/>
          <w:sz w:val="24"/>
        </w:rPr>
        <w:t>）管道敷设尽量采用</w:t>
      </w:r>
      <w:r>
        <w:rPr>
          <w:rFonts w:ascii="Times New Roman" w:eastAsia="宋体" w:hAnsi="Times New Roman" w:cs="Times New Roman"/>
          <w:sz w:val="24"/>
        </w:rPr>
        <w:t>“</w:t>
      </w:r>
      <w:r>
        <w:rPr>
          <w:rFonts w:ascii="Times New Roman" w:eastAsia="宋体" w:hAnsi="Times New Roman" w:cs="Times New Roman"/>
          <w:sz w:val="24"/>
        </w:rPr>
        <w:t>可视化</w:t>
      </w:r>
      <w:r>
        <w:rPr>
          <w:rFonts w:ascii="Times New Roman" w:eastAsia="宋体" w:hAnsi="Times New Roman" w:cs="Times New Roman"/>
          <w:sz w:val="24"/>
        </w:rPr>
        <w:t>”</w:t>
      </w:r>
      <w:r>
        <w:rPr>
          <w:rFonts w:ascii="Times New Roman" w:eastAsia="宋体" w:hAnsi="Times New Roman" w:cs="Times New Roman"/>
          <w:sz w:val="24"/>
        </w:rPr>
        <w:t>原则，即管道尽可能地上敷设，做到污染物</w:t>
      </w:r>
      <w:r>
        <w:rPr>
          <w:rFonts w:ascii="Times New Roman" w:eastAsia="宋体" w:hAnsi="Times New Roman" w:cs="Times New Roman"/>
          <w:sz w:val="24"/>
        </w:rPr>
        <w:t>“</w:t>
      </w:r>
      <w:r>
        <w:rPr>
          <w:rFonts w:ascii="Times New Roman" w:eastAsia="宋体" w:hAnsi="Times New Roman" w:cs="Times New Roman"/>
          <w:sz w:val="24"/>
        </w:rPr>
        <w:t>早发现、早处理</w:t>
      </w:r>
      <w:r>
        <w:rPr>
          <w:rFonts w:ascii="Times New Roman" w:eastAsia="宋体" w:hAnsi="Times New Roman" w:cs="Times New Roman"/>
          <w:sz w:val="24"/>
        </w:rPr>
        <w:t>”</w:t>
      </w:r>
      <w:r>
        <w:rPr>
          <w:rFonts w:ascii="Times New Roman" w:eastAsia="宋体" w:hAnsi="Times New Roman" w:cs="Times New Roman"/>
          <w:sz w:val="24"/>
        </w:rPr>
        <w:t>，减少由于埋地管道泄露而造成的地下水污染。</w:t>
      </w:r>
    </w:p>
    <w:p w14:paraId="0EBD7CED"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3</w:t>
      </w:r>
      <w:r>
        <w:rPr>
          <w:rFonts w:ascii="Times New Roman" w:eastAsia="宋体" w:hAnsi="Times New Roman" w:cs="Times New Roman"/>
          <w:sz w:val="24"/>
        </w:rPr>
        <w:t>）加强管理，对职工进行定期培训，防治污染物的跑、冒、滴、漏，将污染物泄漏的环境风险事故降到最低限度。</w:t>
      </w:r>
    </w:p>
    <w:p w14:paraId="166E4D18"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9.2</w:t>
      </w:r>
      <w:r>
        <w:rPr>
          <w:rFonts w:ascii="宋体" w:eastAsia="宋体" w:hAnsi="宋体" w:hint="eastAsia"/>
          <w:sz w:val="24"/>
        </w:rPr>
        <w:t>.3.2</w:t>
      </w:r>
      <w:r>
        <w:rPr>
          <w:rFonts w:ascii="宋体" w:eastAsia="宋体" w:hAnsi="宋体"/>
          <w:sz w:val="24"/>
        </w:rPr>
        <w:t>分区防控措施</w:t>
      </w:r>
    </w:p>
    <w:p w14:paraId="20903FA7"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对填埋区外其他区域的分区及防渗措施技术要求，见</w:t>
      </w:r>
      <w:r>
        <w:rPr>
          <w:rFonts w:ascii="Times New Roman" w:eastAsia="宋体" w:hAnsi="Times New Roman" w:cs="Times New Roman"/>
          <w:sz w:val="24"/>
        </w:rPr>
        <w:fldChar w:fldCharType="begin"/>
      </w:r>
      <w:r>
        <w:rPr>
          <w:rFonts w:ascii="Times New Roman" w:eastAsia="宋体" w:hAnsi="Times New Roman" w:cs="Times New Roman"/>
          <w:sz w:val="24"/>
        </w:rPr>
        <w:instrText xml:space="preserve"> REF _Ref29906535 \h  \* MERGEFORMAT </w:instrText>
      </w:r>
      <w:r>
        <w:rPr>
          <w:rFonts w:ascii="Times New Roman" w:eastAsia="宋体" w:hAnsi="Times New Roman" w:cs="Times New Roman"/>
          <w:sz w:val="24"/>
        </w:rPr>
      </w:r>
      <w:r>
        <w:rPr>
          <w:rFonts w:ascii="Times New Roman" w:eastAsia="宋体" w:hAnsi="Times New Roman" w:cs="Times New Roman"/>
          <w:sz w:val="24"/>
        </w:rPr>
        <w:fldChar w:fldCharType="separate"/>
      </w:r>
      <w:r>
        <w:rPr>
          <w:rFonts w:ascii="Times New Roman" w:eastAsia="宋体" w:hAnsi="Times New Roman" w:cs="Times New Roman"/>
          <w:sz w:val="24"/>
        </w:rPr>
        <w:t>表</w:t>
      </w:r>
      <w:r>
        <w:rPr>
          <w:rFonts w:ascii="Times New Roman" w:eastAsia="宋体" w:hAnsi="Times New Roman" w:cs="Times New Roman"/>
          <w:sz w:val="24"/>
        </w:rPr>
        <w:t>9.2-2</w:t>
      </w:r>
      <w:r>
        <w:rPr>
          <w:rFonts w:ascii="Times New Roman" w:eastAsia="宋体" w:hAnsi="Times New Roman" w:cs="Times New Roman"/>
          <w:sz w:val="24"/>
        </w:rPr>
        <w:fldChar w:fldCharType="end"/>
      </w:r>
      <w:r>
        <w:rPr>
          <w:rFonts w:ascii="Times New Roman" w:eastAsia="宋体" w:hAnsi="Times New Roman" w:cs="Times New Roman"/>
          <w:sz w:val="24"/>
        </w:rPr>
        <w:t>。</w:t>
      </w:r>
    </w:p>
    <w:p w14:paraId="58E6AA68" w14:textId="77777777" w:rsidR="00D12939" w:rsidRDefault="004F47F5">
      <w:pPr>
        <w:ind w:firstLine="420"/>
        <w:jc w:val="center"/>
        <w:rPr>
          <w:rFonts w:ascii="黑体" w:eastAsia="黑体" w:hAnsi="黑体" w:cs="Times New Roman"/>
          <w:sz w:val="24"/>
          <w:szCs w:val="21"/>
        </w:rPr>
      </w:pPr>
      <w:bookmarkStart w:id="614" w:name="_Ref29906535"/>
      <w:r>
        <w:rPr>
          <w:rFonts w:ascii="黑体" w:eastAsia="黑体" w:hAnsi="黑体" w:cs="Times New Roman"/>
          <w:sz w:val="24"/>
          <w:szCs w:val="21"/>
        </w:rPr>
        <w:t>表</w:t>
      </w:r>
      <w:bookmarkEnd w:id="614"/>
      <w:r>
        <w:rPr>
          <w:rFonts w:ascii="黑体" w:eastAsia="黑体" w:hAnsi="黑体" w:cs="Times New Roman"/>
          <w:sz w:val="24"/>
          <w:szCs w:val="21"/>
        </w:rPr>
        <w:t>9.2-2     其他区域分区及防渗要求</w:t>
      </w:r>
    </w:p>
    <w:tbl>
      <w:tblPr>
        <w:tblW w:w="901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86"/>
        <w:gridCol w:w="3624"/>
        <w:gridCol w:w="3700"/>
      </w:tblGrid>
      <w:tr w:rsidR="00D12939" w14:paraId="42296538" w14:textId="77777777">
        <w:trPr>
          <w:trHeight w:val="272"/>
          <w:jc w:val="center"/>
        </w:trPr>
        <w:tc>
          <w:tcPr>
            <w:tcW w:w="1686" w:type="dxa"/>
            <w:vAlign w:val="center"/>
          </w:tcPr>
          <w:p w14:paraId="24242F39"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防渗等级</w:t>
            </w:r>
          </w:p>
        </w:tc>
        <w:tc>
          <w:tcPr>
            <w:tcW w:w="3624" w:type="dxa"/>
            <w:vAlign w:val="center"/>
          </w:tcPr>
          <w:p w14:paraId="1B34769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装置名称</w:t>
            </w:r>
          </w:p>
        </w:tc>
        <w:tc>
          <w:tcPr>
            <w:tcW w:w="3700" w:type="dxa"/>
            <w:vAlign w:val="center"/>
          </w:tcPr>
          <w:p w14:paraId="46B5A936"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防渗技术要求</w:t>
            </w:r>
          </w:p>
        </w:tc>
      </w:tr>
      <w:tr w:rsidR="00D12939" w14:paraId="60C2B2FC" w14:textId="77777777">
        <w:trPr>
          <w:trHeight w:val="272"/>
          <w:jc w:val="center"/>
        </w:trPr>
        <w:tc>
          <w:tcPr>
            <w:tcW w:w="1686" w:type="dxa"/>
            <w:vMerge w:val="restart"/>
            <w:vAlign w:val="center"/>
          </w:tcPr>
          <w:p w14:paraId="491CDEB3"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重点防渗区</w:t>
            </w:r>
          </w:p>
        </w:tc>
        <w:tc>
          <w:tcPr>
            <w:tcW w:w="3624" w:type="dxa"/>
            <w:vAlign w:val="center"/>
          </w:tcPr>
          <w:p w14:paraId="73984C32"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渗滤液</w:t>
            </w:r>
            <w:r>
              <w:rPr>
                <w:rFonts w:ascii="Times New Roman" w:eastAsia="宋体" w:hAnsi="Times New Roman" w:cs="Times New Roman"/>
                <w:szCs w:val="21"/>
              </w:rPr>
              <w:t>调节池</w:t>
            </w:r>
          </w:p>
        </w:tc>
        <w:tc>
          <w:tcPr>
            <w:tcW w:w="3700" w:type="dxa"/>
            <w:vMerge w:val="restart"/>
            <w:vAlign w:val="center"/>
          </w:tcPr>
          <w:p w14:paraId="34B00BD5" w14:textId="77777777" w:rsidR="00D12939" w:rsidRDefault="004F47F5">
            <w:pPr>
              <w:rPr>
                <w:rFonts w:ascii="Times New Roman" w:eastAsia="宋体" w:hAnsi="Times New Roman" w:cs="Times New Roman"/>
                <w:szCs w:val="21"/>
              </w:rPr>
            </w:pPr>
            <w:r>
              <w:rPr>
                <w:rFonts w:ascii="Times New Roman" w:eastAsia="宋体" w:hAnsi="Times New Roman" w:cs="Times New Roman"/>
                <w:szCs w:val="21"/>
              </w:rPr>
              <w:t>等效黏土防渗层</w:t>
            </w:r>
            <w:r>
              <w:rPr>
                <w:rFonts w:ascii="Times New Roman" w:eastAsia="宋体" w:hAnsi="Times New Roman" w:cs="Times New Roman"/>
                <w:szCs w:val="21"/>
              </w:rPr>
              <w:t>Mb≥6m</w:t>
            </w:r>
            <w:r>
              <w:rPr>
                <w:rFonts w:ascii="Times New Roman" w:eastAsia="宋体" w:hAnsi="Times New Roman" w:cs="Times New Roman"/>
                <w:szCs w:val="21"/>
              </w:rPr>
              <w:t>，</w:t>
            </w:r>
            <w:r>
              <w:rPr>
                <w:rFonts w:ascii="Times New Roman" w:eastAsia="宋体" w:hAnsi="Times New Roman" w:cs="Times New Roman"/>
                <w:szCs w:val="21"/>
              </w:rPr>
              <w:t>K≤1.0×10</w:t>
            </w:r>
            <w:r>
              <w:rPr>
                <w:rFonts w:ascii="Times New Roman" w:eastAsia="宋体" w:hAnsi="Times New Roman" w:cs="Times New Roman"/>
                <w:szCs w:val="21"/>
                <w:vertAlign w:val="superscript"/>
              </w:rPr>
              <w:t>--7</w:t>
            </w:r>
            <w:r>
              <w:rPr>
                <w:rFonts w:ascii="Times New Roman" w:eastAsia="宋体" w:hAnsi="Times New Roman" w:cs="Times New Roman"/>
                <w:szCs w:val="21"/>
              </w:rPr>
              <w:t>cm/s</w:t>
            </w:r>
            <w:r>
              <w:rPr>
                <w:rFonts w:ascii="Times New Roman" w:eastAsia="宋体" w:hAnsi="Times New Roman" w:cs="Times New Roman"/>
                <w:szCs w:val="21"/>
              </w:rPr>
              <w:t>或</w:t>
            </w:r>
            <w:r>
              <w:rPr>
                <w:rFonts w:ascii="Times New Roman" w:eastAsia="宋体" w:hAnsi="Times New Roman" w:cs="Times New Roman"/>
                <w:szCs w:val="21"/>
              </w:rPr>
              <w:t>GB18598</w:t>
            </w:r>
          </w:p>
        </w:tc>
      </w:tr>
      <w:tr w:rsidR="00D12939" w14:paraId="6AC7898C" w14:textId="77777777">
        <w:trPr>
          <w:trHeight w:val="272"/>
          <w:jc w:val="center"/>
        </w:trPr>
        <w:tc>
          <w:tcPr>
            <w:tcW w:w="1686" w:type="dxa"/>
            <w:vMerge/>
            <w:vAlign w:val="center"/>
          </w:tcPr>
          <w:p w14:paraId="285947C3" w14:textId="77777777" w:rsidR="00D12939" w:rsidRDefault="00D12939">
            <w:pPr>
              <w:jc w:val="center"/>
              <w:rPr>
                <w:rFonts w:ascii="Times New Roman" w:eastAsia="宋体" w:hAnsi="Times New Roman" w:cs="Times New Roman"/>
                <w:szCs w:val="21"/>
              </w:rPr>
            </w:pPr>
          </w:p>
        </w:tc>
        <w:tc>
          <w:tcPr>
            <w:tcW w:w="3624" w:type="dxa"/>
            <w:vAlign w:val="center"/>
          </w:tcPr>
          <w:p w14:paraId="0422D1F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渗滤液</w:t>
            </w:r>
            <w:r>
              <w:rPr>
                <w:rFonts w:ascii="Times New Roman" w:eastAsia="宋体" w:hAnsi="Times New Roman" w:cs="Times New Roman"/>
                <w:szCs w:val="21"/>
              </w:rPr>
              <w:t>处理站各类废水池</w:t>
            </w:r>
          </w:p>
        </w:tc>
        <w:tc>
          <w:tcPr>
            <w:tcW w:w="3700" w:type="dxa"/>
            <w:vMerge/>
            <w:vAlign w:val="center"/>
          </w:tcPr>
          <w:p w14:paraId="46DEC20F" w14:textId="77777777" w:rsidR="00D12939" w:rsidRDefault="00D12939">
            <w:pPr>
              <w:rPr>
                <w:rFonts w:ascii="Times New Roman" w:eastAsia="宋体" w:hAnsi="Times New Roman" w:cs="Times New Roman"/>
                <w:szCs w:val="21"/>
              </w:rPr>
            </w:pPr>
          </w:p>
        </w:tc>
      </w:tr>
      <w:tr w:rsidR="00D12939" w14:paraId="3A18F625" w14:textId="77777777">
        <w:trPr>
          <w:trHeight w:val="272"/>
          <w:jc w:val="center"/>
        </w:trPr>
        <w:tc>
          <w:tcPr>
            <w:tcW w:w="1686" w:type="dxa"/>
            <w:vMerge/>
            <w:vAlign w:val="center"/>
          </w:tcPr>
          <w:p w14:paraId="03F4A05F" w14:textId="77777777" w:rsidR="00D12939" w:rsidRDefault="00D12939">
            <w:pPr>
              <w:jc w:val="center"/>
              <w:rPr>
                <w:rFonts w:ascii="Times New Roman" w:eastAsia="宋体" w:hAnsi="Times New Roman" w:cs="Times New Roman"/>
                <w:szCs w:val="21"/>
              </w:rPr>
            </w:pPr>
          </w:p>
        </w:tc>
        <w:tc>
          <w:tcPr>
            <w:tcW w:w="3624" w:type="dxa"/>
            <w:vAlign w:val="center"/>
          </w:tcPr>
          <w:p w14:paraId="5AB90E30"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填埋库区</w:t>
            </w:r>
          </w:p>
        </w:tc>
        <w:tc>
          <w:tcPr>
            <w:tcW w:w="3700" w:type="dxa"/>
            <w:vMerge/>
            <w:vAlign w:val="center"/>
          </w:tcPr>
          <w:p w14:paraId="086231B1" w14:textId="77777777" w:rsidR="00D12939" w:rsidRDefault="00D12939">
            <w:pPr>
              <w:rPr>
                <w:rFonts w:ascii="Times New Roman" w:eastAsia="宋体" w:hAnsi="Times New Roman" w:cs="Times New Roman"/>
                <w:szCs w:val="21"/>
              </w:rPr>
            </w:pPr>
          </w:p>
        </w:tc>
      </w:tr>
      <w:tr w:rsidR="00D12939" w14:paraId="4562243F" w14:textId="77777777">
        <w:trPr>
          <w:trHeight w:val="272"/>
          <w:jc w:val="center"/>
        </w:trPr>
        <w:tc>
          <w:tcPr>
            <w:tcW w:w="1686" w:type="dxa"/>
            <w:vAlign w:val="center"/>
          </w:tcPr>
          <w:p w14:paraId="6AA7AEAC"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一般防渗区</w:t>
            </w:r>
          </w:p>
        </w:tc>
        <w:tc>
          <w:tcPr>
            <w:tcW w:w="3624" w:type="dxa"/>
            <w:vAlign w:val="center"/>
          </w:tcPr>
          <w:p w14:paraId="3DE4F66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hint="eastAsia"/>
                <w:szCs w:val="21"/>
              </w:rPr>
              <w:t>渗滤液</w:t>
            </w:r>
            <w:r>
              <w:rPr>
                <w:rFonts w:ascii="Times New Roman" w:eastAsia="宋体" w:hAnsi="Times New Roman" w:cs="Times New Roman"/>
                <w:szCs w:val="21"/>
              </w:rPr>
              <w:t>处理车间</w:t>
            </w:r>
          </w:p>
        </w:tc>
        <w:tc>
          <w:tcPr>
            <w:tcW w:w="3700" w:type="dxa"/>
            <w:vAlign w:val="center"/>
          </w:tcPr>
          <w:p w14:paraId="13CD487A" w14:textId="77777777" w:rsidR="00D12939" w:rsidRDefault="004F47F5">
            <w:pPr>
              <w:rPr>
                <w:rFonts w:ascii="Times New Roman" w:eastAsia="宋体" w:hAnsi="Times New Roman" w:cs="Times New Roman"/>
                <w:szCs w:val="21"/>
              </w:rPr>
            </w:pPr>
            <w:r>
              <w:rPr>
                <w:rFonts w:ascii="Times New Roman" w:eastAsia="宋体" w:hAnsi="Times New Roman" w:cs="Times New Roman"/>
                <w:szCs w:val="21"/>
              </w:rPr>
              <w:t>等效黏土防渗层</w:t>
            </w:r>
            <w:r>
              <w:rPr>
                <w:rFonts w:ascii="Times New Roman" w:eastAsia="宋体" w:hAnsi="Times New Roman" w:cs="Times New Roman"/>
                <w:szCs w:val="21"/>
              </w:rPr>
              <w:t>Mb≥1.5m</w:t>
            </w:r>
            <w:r>
              <w:rPr>
                <w:rFonts w:ascii="Times New Roman" w:eastAsia="宋体" w:hAnsi="Times New Roman" w:cs="Times New Roman"/>
                <w:szCs w:val="21"/>
              </w:rPr>
              <w:t>，</w:t>
            </w:r>
            <w:r>
              <w:rPr>
                <w:rFonts w:ascii="Times New Roman" w:eastAsia="宋体" w:hAnsi="Times New Roman" w:cs="Times New Roman"/>
                <w:szCs w:val="21"/>
              </w:rPr>
              <w:t>K≤1.0×10</w:t>
            </w:r>
            <w:r>
              <w:rPr>
                <w:rFonts w:ascii="Times New Roman" w:eastAsia="宋体" w:hAnsi="Times New Roman" w:cs="Times New Roman"/>
                <w:szCs w:val="21"/>
                <w:vertAlign w:val="superscript"/>
              </w:rPr>
              <w:t>-</w:t>
            </w:r>
            <w:r>
              <w:rPr>
                <w:rFonts w:ascii="Times New Roman" w:eastAsia="宋体" w:hAnsi="Times New Roman" w:cs="Times New Roman"/>
                <w:szCs w:val="21"/>
                <w:vertAlign w:val="superscript"/>
              </w:rPr>
              <w:lastRenderedPageBreak/>
              <w:t>-7</w:t>
            </w:r>
            <w:r>
              <w:rPr>
                <w:rFonts w:ascii="Times New Roman" w:eastAsia="宋体" w:hAnsi="Times New Roman" w:cs="Times New Roman"/>
                <w:szCs w:val="21"/>
              </w:rPr>
              <w:t>cm/S</w:t>
            </w:r>
            <w:r>
              <w:rPr>
                <w:rFonts w:ascii="Times New Roman" w:eastAsia="宋体" w:hAnsi="Times New Roman" w:cs="Times New Roman"/>
                <w:szCs w:val="21"/>
              </w:rPr>
              <w:t>或</w:t>
            </w:r>
            <w:r>
              <w:rPr>
                <w:rFonts w:ascii="Times New Roman" w:eastAsia="宋体" w:hAnsi="Times New Roman" w:cs="Times New Roman"/>
                <w:szCs w:val="21"/>
              </w:rPr>
              <w:t>GB16889</w:t>
            </w:r>
          </w:p>
        </w:tc>
      </w:tr>
      <w:tr w:rsidR="00D12939" w14:paraId="691FA875" w14:textId="77777777">
        <w:trPr>
          <w:trHeight w:val="272"/>
          <w:jc w:val="center"/>
        </w:trPr>
        <w:tc>
          <w:tcPr>
            <w:tcW w:w="1686" w:type="dxa"/>
            <w:vAlign w:val="center"/>
          </w:tcPr>
          <w:p w14:paraId="61155A01"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lastRenderedPageBreak/>
              <w:t>简单防渗区</w:t>
            </w:r>
          </w:p>
        </w:tc>
        <w:tc>
          <w:tcPr>
            <w:tcW w:w="3624" w:type="dxa"/>
            <w:vAlign w:val="center"/>
          </w:tcPr>
          <w:p w14:paraId="0B2ABF65"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场内道路</w:t>
            </w:r>
          </w:p>
        </w:tc>
        <w:tc>
          <w:tcPr>
            <w:tcW w:w="3700" w:type="dxa"/>
            <w:vAlign w:val="center"/>
          </w:tcPr>
          <w:p w14:paraId="01FD2FCE" w14:textId="77777777" w:rsidR="00D12939" w:rsidRDefault="004F47F5">
            <w:pPr>
              <w:jc w:val="center"/>
              <w:rPr>
                <w:rFonts w:ascii="Times New Roman" w:eastAsia="宋体" w:hAnsi="Times New Roman" w:cs="Times New Roman"/>
                <w:szCs w:val="21"/>
              </w:rPr>
            </w:pPr>
            <w:r>
              <w:rPr>
                <w:rFonts w:ascii="Times New Roman" w:eastAsia="宋体" w:hAnsi="Times New Roman" w:cs="Times New Roman"/>
                <w:szCs w:val="21"/>
              </w:rPr>
              <w:t>一般地面硬化</w:t>
            </w:r>
          </w:p>
        </w:tc>
      </w:tr>
    </w:tbl>
    <w:p w14:paraId="7E8E7A4D"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9.2.</w:t>
      </w:r>
      <w:r>
        <w:rPr>
          <w:rFonts w:ascii="宋体" w:eastAsia="宋体" w:hAnsi="宋体" w:hint="eastAsia"/>
          <w:sz w:val="24"/>
        </w:rPr>
        <w:t>3.3地下水监测方案</w:t>
      </w:r>
    </w:p>
    <w:p w14:paraId="3AF6DF19"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为了及时准确的掌握工程区域地下水环境质量状况和地下水中污染物的动态变化，应根据当地地下水流向、污染源分布情况及污染物在地下水中的扩散形式，在厂区及周边区域布设一定数量的地下水污染监控井，建立地下水污染监控体系，建立完善的监测制度，配备先进的监测仪器设备，以便及时发现、及时控制。</w:t>
      </w:r>
      <w:bookmarkStart w:id="615" w:name="_Toc435019897"/>
    </w:p>
    <w:p w14:paraId="2BD99721"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0"/>
        </w:rPr>
      </w:pPr>
      <w:bookmarkStart w:id="616" w:name="_Toc435019898"/>
      <w:bookmarkEnd w:id="615"/>
      <w:r>
        <w:rPr>
          <w:rFonts w:ascii="Times New Roman" w:eastAsia="宋体" w:hAnsi="Times New Roman" w:cs="Times New Roman"/>
          <w:kern w:val="0"/>
          <w:sz w:val="24"/>
          <w:szCs w:val="20"/>
        </w:rPr>
        <w:t>1.</w:t>
      </w:r>
      <w:r>
        <w:rPr>
          <w:rFonts w:ascii="Times New Roman" w:eastAsia="宋体" w:hAnsi="Times New Roman" w:cs="Times New Roman"/>
          <w:kern w:val="0"/>
          <w:sz w:val="24"/>
          <w:szCs w:val="20"/>
        </w:rPr>
        <w:t>监测点布设方案</w:t>
      </w:r>
      <w:bookmarkEnd w:id="616"/>
    </w:p>
    <w:p w14:paraId="558786AF"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0"/>
        </w:rPr>
      </w:pPr>
      <w:r>
        <w:rPr>
          <w:rFonts w:ascii="Times New Roman" w:eastAsia="宋体" w:hAnsi="Times New Roman" w:cs="Times New Roman"/>
          <w:kern w:val="0"/>
          <w:sz w:val="24"/>
          <w:szCs w:val="20"/>
        </w:rPr>
        <w:t>（</w:t>
      </w:r>
      <w:r>
        <w:rPr>
          <w:rFonts w:ascii="Times New Roman" w:eastAsia="宋体" w:hAnsi="Times New Roman" w:cs="Times New Roman"/>
          <w:kern w:val="0"/>
          <w:sz w:val="24"/>
          <w:szCs w:val="20"/>
        </w:rPr>
        <w:t>1</w:t>
      </w:r>
      <w:r>
        <w:rPr>
          <w:rFonts w:ascii="Times New Roman" w:eastAsia="宋体" w:hAnsi="Times New Roman" w:cs="Times New Roman"/>
          <w:kern w:val="0"/>
          <w:sz w:val="24"/>
          <w:szCs w:val="20"/>
        </w:rPr>
        <w:t>）跟踪监测点位</w:t>
      </w:r>
    </w:p>
    <w:p w14:paraId="4B46BC2B"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0"/>
        </w:rPr>
      </w:pPr>
      <w:r>
        <w:rPr>
          <w:rFonts w:ascii="Times New Roman" w:eastAsia="宋体" w:hAnsi="Times New Roman" w:cs="Times New Roman"/>
          <w:kern w:val="0"/>
          <w:sz w:val="24"/>
          <w:szCs w:val="24"/>
        </w:rPr>
        <w:t>根据</w:t>
      </w:r>
      <w:r>
        <w:rPr>
          <w:rFonts w:ascii="Times New Roman" w:eastAsia="宋体" w:hAnsi="Times New Roman" w:cs="Times New Roman"/>
          <w:kern w:val="0"/>
          <w:sz w:val="24"/>
          <w:szCs w:val="24"/>
        </w:rPr>
        <w:t>HJ610-2016</w:t>
      </w:r>
      <w:r>
        <w:rPr>
          <w:rFonts w:ascii="Times New Roman" w:eastAsia="宋体" w:hAnsi="Times New Roman" w:cs="Times New Roman"/>
          <w:kern w:val="0"/>
          <w:sz w:val="24"/>
          <w:szCs w:val="24"/>
        </w:rPr>
        <w:t>，一、二级评价的建设项目，地下水跟踪监测点一般不少于</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个，应至少在建设项目场地、上、下游各布设</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个。</w:t>
      </w:r>
    </w:p>
    <w:p w14:paraId="73AD9A3B"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0"/>
        </w:rPr>
      </w:pPr>
      <w:r>
        <w:rPr>
          <w:rFonts w:ascii="Times New Roman" w:eastAsia="宋体" w:hAnsi="Times New Roman" w:cs="Times New Roman" w:hint="eastAsia"/>
          <w:kern w:val="0"/>
          <w:sz w:val="24"/>
          <w:szCs w:val="20"/>
        </w:rPr>
        <w:t>根据</w:t>
      </w:r>
      <w:r>
        <w:rPr>
          <w:rFonts w:ascii="Times New Roman" w:eastAsia="宋体" w:hAnsi="Times New Roman" w:cs="Times New Roman" w:hint="eastAsia"/>
          <w:kern w:val="0"/>
          <w:sz w:val="24"/>
          <w:szCs w:val="20"/>
        </w:rPr>
        <w:t>GB16889-2008</w:t>
      </w:r>
      <w:r>
        <w:rPr>
          <w:rFonts w:ascii="Times New Roman" w:eastAsia="宋体" w:hAnsi="Times New Roman" w:cs="Times New Roman" w:hint="eastAsia"/>
          <w:kern w:val="0"/>
          <w:sz w:val="24"/>
          <w:szCs w:val="20"/>
        </w:rPr>
        <w:t>要求，</w:t>
      </w:r>
      <w:r>
        <w:rPr>
          <w:rFonts w:ascii="Times New Roman" w:eastAsia="宋体" w:hAnsi="Times New Roman" w:cs="Times New Roman"/>
          <w:kern w:val="0"/>
          <w:sz w:val="24"/>
          <w:szCs w:val="20"/>
        </w:rPr>
        <w:t>本项目共设</w:t>
      </w:r>
      <w:r>
        <w:rPr>
          <w:rFonts w:ascii="Times New Roman" w:eastAsia="宋体" w:hAnsi="Times New Roman" w:cs="Times New Roman" w:hint="eastAsia"/>
          <w:kern w:val="0"/>
          <w:sz w:val="24"/>
          <w:szCs w:val="20"/>
        </w:rPr>
        <w:t>6</w:t>
      </w:r>
      <w:r>
        <w:rPr>
          <w:rFonts w:ascii="Times New Roman" w:eastAsia="宋体" w:hAnsi="Times New Roman" w:cs="Times New Roman"/>
          <w:kern w:val="0"/>
          <w:sz w:val="24"/>
          <w:szCs w:val="20"/>
        </w:rPr>
        <w:t>个跟踪监测点，其中</w:t>
      </w:r>
      <w:r>
        <w:rPr>
          <w:rFonts w:ascii="Times New Roman" w:eastAsia="宋体" w:hAnsi="Times New Roman" w:cs="Times New Roman" w:hint="eastAsia"/>
          <w:kern w:val="0"/>
          <w:sz w:val="24"/>
          <w:szCs w:val="20"/>
        </w:rPr>
        <w:t>一个本底井，一个排水井、两个污染扩散井，两个污染监视井</w:t>
      </w:r>
      <w:r>
        <w:rPr>
          <w:rFonts w:ascii="Times New Roman" w:eastAsia="宋体" w:hAnsi="Times New Roman" w:cs="Times New Roman"/>
          <w:kern w:val="0"/>
          <w:sz w:val="24"/>
          <w:szCs w:val="20"/>
        </w:rPr>
        <w:t>，监测层位均为第四系潜水含水层。</w:t>
      </w:r>
    </w:p>
    <w:p w14:paraId="6602B6C1"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0"/>
        </w:rPr>
      </w:pPr>
      <w:r>
        <w:rPr>
          <w:rFonts w:ascii="Times New Roman" w:eastAsia="宋体" w:hAnsi="Times New Roman" w:cs="Times New Roman"/>
          <w:kern w:val="0"/>
          <w:sz w:val="24"/>
          <w:szCs w:val="20"/>
        </w:rPr>
        <w:t>（</w:t>
      </w:r>
      <w:r>
        <w:rPr>
          <w:rFonts w:ascii="Times New Roman" w:eastAsia="宋体" w:hAnsi="Times New Roman" w:cs="Times New Roman"/>
          <w:kern w:val="0"/>
          <w:sz w:val="24"/>
          <w:szCs w:val="20"/>
        </w:rPr>
        <w:t>2</w:t>
      </w:r>
      <w:r>
        <w:rPr>
          <w:rFonts w:ascii="Times New Roman" w:eastAsia="宋体" w:hAnsi="Times New Roman" w:cs="Times New Roman"/>
          <w:kern w:val="0"/>
          <w:sz w:val="24"/>
          <w:szCs w:val="20"/>
        </w:rPr>
        <w:t>）监测要求</w:t>
      </w:r>
    </w:p>
    <w:p w14:paraId="1129E48E"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0"/>
        </w:rPr>
      </w:pPr>
      <w:r>
        <w:rPr>
          <w:rFonts w:ascii="Times New Roman" w:eastAsia="宋体" w:hAnsi="Times New Roman" w:cs="Times New Roman"/>
          <w:kern w:val="0"/>
          <w:sz w:val="24"/>
          <w:szCs w:val="24"/>
        </w:rPr>
        <w:t>在</w:t>
      </w:r>
      <w:r>
        <w:rPr>
          <w:rFonts w:ascii="Times New Roman" w:eastAsia="宋体" w:hAnsi="Times New Roman" w:cs="Times New Roman" w:hint="eastAsia"/>
          <w:kern w:val="0"/>
          <w:sz w:val="24"/>
          <w:szCs w:val="24"/>
        </w:rPr>
        <w:t>渗滤液</w:t>
      </w:r>
      <w:r>
        <w:rPr>
          <w:rFonts w:ascii="Times New Roman" w:eastAsia="宋体" w:hAnsi="Times New Roman" w:cs="Times New Roman"/>
          <w:kern w:val="0"/>
          <w:sz w:val="24"/>
          <w:szCs w:val="24"/>
        </w:rPr>
        <w:t>调节池下游新建一口跟踪监测井，监测井深度应到潜水面（要求监测到潜水面，具体深度根据施工过程确定），监测井设计钻孔为直孔，具体井径要求按照《国家地下水监测工程初步设计》执行。新建跟踪监测井必须修筑井台，井台应高出地面</w:t>
      </w:r>
      <w:r>
        <w:rPr>
          <w:rFonts w:ascii="Times New Roman" w:eastAsia="宋体" w:hAnsi="Times New Roman" w:cs="Times New Roman"/>
          <w:kern w:val="0"/>
          <w:sz w:val="24"/>
          <w:szCs w:val="24"/>
        </w:rPr>
        <w:t>0.5m</w:t>
      </w:r>
      <w:r>
        <w:rPr>
          <w:rFonts w:ascii="Times New Roman" w:eastAsia="宋体" w:hAnsi="Times New Roman" w:cs="Times New Roman"/>
          <w:kern w:val="0"/>
          <w:sz w:val="24"/>
          <w:szCs w:val="24"/>
        </w:rPr>
        <w:t>以上，架设井盖并标识。地下水跟踪监测井的建设、运行、维护和管理要求均按照《地下水环境监测技术规范》（</w:t>
      </w:r>
      <w:r>
        <w:rPr>
          <w:rFonts w:ascii="Times New Roman" w:eastAsia="宋体" w:hAnsi="Times New Roman" w:cs="Times New Roman"/>
          <w:kern w:val="0"/>
          <w:sz w:val="24"/>
          <w:szCs w:val="24"/>
        </w:rPr>
        <w:t>HJ/T164-2020</w:t>
      </w:r>
      <w:r>
        <w:rPr>
          <w:rFonts w:ascii="Times New Roman" w:eastAsia="宋体" w:hAnsi="Times New Roman" w:cs="Times New Roman"/>
          <w:kern w:val="0"/>
          <w:sz w:val="24"/>
          <w:szCs w:val="24"/>
        </w:rPr>
        <w:t>）执行。</w:t>
      </w:r>
    </w:p>
    <w:p w14:paraId="0F31D848"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0"/>
        </w:rPr>
      </w:pPr>
      <w:r>
        <w:rPr>
          <w:rFonts w:ascii="Times New Roman" w:eastAsia="宋体" w:hAnsi="Times New Roman" w:cs="Times New Roman"/>
          <w:kern w:val="0"/>
          <w:sz w:val="24"/>
          <w:szCs w:val="20"/>
        </w:rPr>
        <w:t>（</w:t>
      </w:r>
      <w:r>
        <w:rPr>
          <w:rFonts w:ascii="Times New Roman" w:eastAsia="宋体" w:hAnsi="Times New Roman" w:cs="Times New Roman"/>
          <w:kern w:val="0"/>
          <w:sz w:val="24"/>
          <w:szCs w:val="20"/>
        </w:rPr>
        <w:t>3</w:t>
      </w:r>
      <w:r>
        <w:rPr>
          <w:rFonts w:ascii="Times New Roman" w:eastAsia="宋体" w:hAnsi="Times New Roman" w:cs="Times New Roman"/>
          <w:kern w:val="0"/>
          <w:sz w:val="24"/>
          <w:szCs w:val="20"/>
        </w:rPr>
        <w:t>）监测方案</w:t>
      </w:r>
    </w:p>
    <w:p w14:paraId="0642FA95"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szCs w:val="20"/>
        </w:rPr>
      </w:pPr>
      <w:r>
        <w:rPr>
          <w:rFonts w:ascii="Times New Roman" w:eastAsia="宋体" w:hAnsi="Times New Roman" w:cs="Times New Roman"/>
          <w:kern w:val="0"/>
          <w:sz w:val="24"/>
          <w:szCs w:val="20"/>
        </w:rPr>
        <w:t>厂区跟踪监测方案如表</w:t>
      </w:r>
      <w:r>
        <w:rPr>
          <w:rFonts w:ascii="Times New Roman" w:eastAsia="宋体" w:hAnsi="Times New Roman" w:cs="Times New Roman" w:hint="eastAsia"/>
          <w:kern w:val="0"/>
          <w:sz w:val="24"/>
          <w:szCs w:val="20"/>
        </w:rPr>
        <w:t>9</w:t>
      </w:r>
      <w:r>
        <w:rPr>
          <w:rFonts w:ascii="Times New Roman" w:eastAsia="宋体" w:hAnsi="Times New Roman" w:cs="Times New Roman"/>
          <w:kern w:val="0"/>
          <w:sz w:val="24"/>
          <w:szCs w:val="20"/>
        </w:rPr>
        <w:t>.</w:t>
      </w:r>
      <w:r>
        <w:rPr>
          <w:rFonts w:ascii="Times New Roman" w:eastAsia="宋体" w:hAnsi="Times New Roman" w:cs="Times New Roman" w:hint="eastAsia"/>
          <w:kern w:val="0"/>
          <w:sz w:val="24"/>
          <w:szCs w:val="20"/>
        </w:rPr>
        <w:t>2</w:t>
      </w:r>
      <w:r>
        <w:rPr>
          <w:rFonts w:ascii="Times New Roman" w:eastAsia="宋体" w:hAnsi="Times New Roman" w:cs="Times New Roman"/>
          <w:kern w:val="0"/>
          <w:sz w:val="24"/>
          <w:szCs w:val="20"/>
        </w:rPr>
        <w:t>-</w:t>
      </w:r>
      <w:r>
        <w:rPr>
          <w:rFonts w:ascii="Times New Roman" w:eastAsia="宋体" w:hAnsi="Times New Roman" w:cs="Times New Roman" w:hint="eastAsia"/>
          <w:kern w:val="0"/>
          <w:sz w:val="24"/>
          <w:szCs w:val="20"/>
        </w:rPr>
        <w:t>3</w:t>
      </w:r>
      <w:r>
        <w:rPr>
          <w:rFonts w:ascii="Times New Roman" w:eastAsia="宋体" w:hAnsi="Times New Roman" w:cs="Times New Roman"/>
          <w:kern w:val="0"/>
          <w:sz w:val="24"/>
          <w:szCs w:val="20"/>
        </w:rPr>
        <w:t>。</w:t>
      </w:r>
    </w:p>
    <w:p w14:paraId="5293D0FD" w14:textId="77777777" w:rsidR="00D12939" w:rsidRDefault="004F47F5">
      <w:pPr>
        <w:jc w:val="center"/>
        <w:rPr>
          <w:rFonts w:ascii="黑体" w:eastAsia="黑体" w:hAnsi="黑体" w:cs="Times New Roman"/>
          <w:kern w:val="0"/>
          <w:sz w:val="24"/>
          <w:szCs w:val="21"/>
        </w:rPr>
      </w:pPr>
      <w:r>
        <w:rPr>
          <w:rFonts w:ascii="黑体" w:eastAsia="黑体" w:hAnsi="黑体" w:cs="Times New Roman"/>
          <w:kern w:val="0"/>
          <w:sz w:val="24"/>
          <w:szCs w:val="21"/>
        </w:rPr>
        <w:t>表</w:t>
      </w:r>
      <w:r>
        <w:rPr>
          <w:rFonts w:ascii="黑体" w:eastAsia="黑体" w:hAnsi="黑体" w:cs="Times New Roman" w:hint="eastAsia"/>
          <w:kern w:val="0"/>
          <w:sz w:val="24"/>
          <w:szCs w:val="21"/>
        </w:rPr>
        <w:t>9</w:t>
      </w:r>
      <w:r>
        <w:rPr>
          <w:rFonts w:ascii="黑体" w:eastAsia="黑体" w:hAnsi="黑体" w:cs="Times New Roman"/>
          <w:kern w:val="0"/>
          <w:sz w:val="24"/>
          <w:szCs w:val="21"/>
        </w:rPr>
        <w:t>.</w:t>
      </w:r>
      <w:r>
        <w:rPr>
          <w:rFonts w:ascii="黑体" w:eastAsia="黑体" w:hAnsi="黑体" w:cs="Times New Roman" w:hint="eastAsia"/>
          <w:kern w:val="0"/>
          <w:sz w:val="24"/>
          <w:szCs w:val="21"/>
        </w:rPr>
        <w:t>2</w:t>
      </w:r>
      <w:r>
        <w:rPr>
          <w:rFonts w:ascii="黑体" w:eastAsia="黑体" w:hAnsi="黑体" w:cs="Times New Roman"/>
          <w:kern w:val="0"/>
          <w:sz w:val="24"/>
          <w:szCs w:val="21"/>
        </w:rPr>
        <w:t>-</w:t>
      </w:r>
      <w:r>
        <w:rPr>
          <w:rFonts w:ascii="黑体" w:eastAsia="黑体" w:hAnsi="黑体" w:cs="Times New Roman" w:hint="eastAsia"/>
          <w:kern w:val="0"/>
          <w:sz w:val="24"/>
          <w:szCs w:val="21"/>
        </w:rPr>
        <w:t>3</w:t>
      </w:r>
      <w:r>
        <w:rPr>
          <w:rFonts w:ascii="黑体" w:eastAsia="黑体" w:hAnsi="黑体" w:cs="Times New Roman"/>
          <w:kern w:val="0"/>
          <w:sz w:val="24"/>
          <w:szCs w:val="21"/>
        </w:rPr>
        <w:t xml:space="preserve">    地下水监测计划</w:t>
      </w:r>
    </w:p>
    <w:tbl>
      <w:tblPr>
        <w:tblW w:w="498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94"/>
        <w:gridCol w:w="1405"/>
        <w:gridCol w:w="1361"/>
        <w:gridCol w:w="138"/>
        <w:gridCol w:w="1320"/>
        <w:gridCol w:w="1309"/>
        <w:gridCol w:w="1334"/>
        <w:gridCol w:w="1332"/>
      </w:tblGrid>
      <w:tr w:rsidR="00D12939" w14:paraId="16C92C28" w14:textId="77777777">
        <w:trPr>
          <w:trHeight w:val="397"/>
          <w:jc w:val="center"/>
        </w:trPr>
        <w:tc>
          <w:tcPr>
            <w:tcW w:w="770" w:type="pct"/>
            <w:vAlign w:val="center"/>
          </w:tcPr>
          <w:p w14:paraId="0BC54FDB"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监测点位置</w:t>
            </w:r>
          </w:p>
        </w:tc>
        <w:tc>
          <w:tcPr>
            <w:tcW w:w="725" w:type="pct"/>
            <w:vAlign w:val="center"/>
          </w:tcPr>
          <w:p w14:paraId="2B954526"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1#</w:t>
            </w:r>
            <w:r>
              <w:rPr>
                <w:rFonts w:ascii="Times New Roman" w:eastAsia="宋体" w:hAnsi="Times New Roman" w:cs="Times New Roman"/>
                <w:kern w:val="0"/>
                <w:szCs w:val="21"/>
              </w:rPr>
              <w:t>小六里沟附近泉水露头</w:t>
            </w:r>
          </w:p>
        </w:tc>
        <w:tc>
          <w:tcPr>
            <w:tcW w:w="773" w:type="pct"/>
            <w:gridSpan w:val="2"/>
            <w:vAlign w:val="center"/>
          </w:tcPr>
          <w:p w14:paraId="188A8C50"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2#</w:t>
            </w:r>
            <w:r>
              <w:rPr>
                <w:rFonts w:ascii="Times New Roman" w:eastAsia="宋体" w:hAnsi="Times New Roman" w:cs="Times New Roman" w:hint="eastAsia"/>
                <w:kern w:val="0"/>
                <w:szCs w:val="21"/>
              </w:rPr>
              <w:t>渗滤液调节池</w:t>
            </w:r>
            <w:r>
              <w:rPr>
                <w:rFonts w:ascii="Times New Roman" w:eastAsia="宋体" w:hAnsi="Times New Roman" w:cs="Times New Roman"/>
                <w:kern w:val="0"/>
                <w:szCs w:val="21"/>
              </w:rPr>
              <w:t>下游</w:t>
            </w:r>
            <w:r>
              <w:rPr>
                <w:rFonts w:ascii="Times New Roman" w:eastAsia="宋体" w:hAnsi="Times New Roman" w:cs="Times New Roman" w:hint="eastAsia"/>
                <w:kern w:val="0"/>
                <w:szCs w:val="21"/>
              </w:rPr>
              <w:t>30</w:t>
            </w:r>
            <w:r>
              <w:rPr>
                <w:rFonts w:ascii="Times New Roman" w:eastAsia="宋体" w:hAnsi="Times New Roman" w:cs="Times New Roman"/>
                <w:kern w:val="0"/>
                <w:szCs w:val="21"/>
              </w:rPr>
              <w:t>m</w:t>
            </w:r>
          </w:p>
        </w:tc>
        <w:tc>
          <w:tcPr>
            <w:tcW w:w="681" w:type="pct"/>
            <w:vAlign w:val="center"/>
          </w:tcPr>
          <w:p w14:paraId="163593CF"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3#</w:t>
            </w:r>
            <w:r>
              <w:rPr>
                <w:rFonts w:ascii="Times New Roman" w:eastAsia="宋体" w:hAnsi="Times New Roman" w:cs="Times New Roman" w:hint="eastAsia"/>
                <w:kern w:val="0"/>
                <w:szCs w:val="21"/>
              </w:rPr>
              <w:t>填埋场地西南侧</w:t>
            </w:r>
          </w:p>
        </w:tc>
        <w:tc>
          <w:tcPr>
            <w:tcW w:w="675" w:type="pct"/>
            <w:vAlign w:val="center"/>
          </w:tcPr>
          <w:p w14:paraId="20742F43"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4#</w:t>
            </w:r>
            <w:r>
              <w:rPr>
                <w:rFonts w:ascii="Times New Roman" w:eastAsia="宋体" w:hAnsi="Times New Roman" w:cs="Times New Roman" w:hint="eastAsia"/>
                <w:kern w:val="0"/>
                <w:szCs w:val="21"/>
              </w:rPr>
              <w:t>填埋场东北侧</w:t>
            </w:r>
          </w:p>
        </w:tc>
        <w:tc>
          <w:tcPr>
            <w:tcW w:w="688" w:type="pct"/>
            <w:vAlign w:val="center"/>
          </w:tcPr>
          <w:p w14:paraId="2445E69F"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5</w:t>
            </w:r>
            <w:r>
              <w:rPr>
                <w:rFonts w:ascii="Times New Roman" w:eastAsia="宋体" w:hAnsi="Times New Roman" w:cs="Times New Roman"/>
                <w:kern w:val="0"/>
                <w:szCs w:val="21"/>
              </w:rPr>
              <w:t>#</w:t>
            </w:r>
            <w:r>
              <w:rPr>
                <w:rFonts w:ascii="Times New Roman" w:eastAsia="宋体" w:hAnsi="Times New Roman" w:cs="Times New Roman"/>
                <w:kern w:val="0"/>
                <w:szCs w:val="21"/>
              </w:rPr>
              <w:t>松林村附近</w:t>
            </w:r>
          </w:p>
        </w:tc>
        <w:tc>
          <w:tcPr>
            <w:tcW w:w="686" w:type="pct"/>
            <w:vAlign w:val="center"/>
          </w:tcPr>
          <w:p w14:paraId="28AD2DF7"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6#</w:t>
            </w:r>
            <w:r>
              <w:rPr>
                <w:rFonts w:ascii="Times New Roman" w:eastAsia="宋体" w:hAnsi="Times New Roman" w:cs="Times New Roman" w:hint="eastAsia"/>
                <w:kern w:val="0"/>
                <w:szCs w:val="21"/>
              </w:rPr>
              <w:t>松林村东南</w:t>
            </w:r>
          </w:p>
        </w:tc>
      </w:tr>
      <w:tr w:rsidR="00D12939" w14:paraId="3A045426" w14:textId="77777777">
        <w:trPr>
          <w:trHeight w:val="397"/>
          <w:jc w:val="center"/>
        </w:trPr>
        <w:tc>
          <w:tcPr>
            <w:tcW w:w="770" w:type="pct"/>
            <w:vAlign w:val="center"/>
          </w:tcPr>
          <w:p w14:paraId="3EAFC2B0"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基本功能</w:t>
            </w:r>
          </w:p>
        </w:tc>
        <w:tc>
          <w:tcPr>
            <w:tcW w:w="725" w:type="pct"/>
            <w:vAlign w:val="center"/>
          </w:tcPr>
          <w:p w14:paraId="77CCB0B4"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本底井</w:t>
            </w:r>
          </w:p>
        </w:tc>
        <w:tc>
          <w:tcPr>
            <w:tcW w:w="773" w:type="pct"/>
            <w:gridSpan w:val="2"/>
            <w:vAlign w:val="center"/>
          </w:tcPr>
          <w:p w14:paraId="02A3D045"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跟踪监测点</w:t>
            </w:r>
            <w:r>
              <w:rPr>
                <w:rFonts w:ascii="Times New Roman" w:eastAsia="宋体" w:hAnsi="Times New Roman" w:cs="Times New Roman" w:hint="eastAsia"/>
                <w:kern w:val="0"/>
                <w:szCs w:val="21"/>
              </w:rPr>
              <w:t>（排水井）</w:t>
            </w:r>
          </w:p>
        </w:tc>
        <w:tc>
          <w:tcPr>
            <w:tcW w:w="681" w:type="pct"/>
            <w:vAlign w:val="center"/>
          </w:tcPr>
          <w:p w14:paraId="6179A9AD"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污染扩散</w:t>
            </w:r>
            <w:r>
              <w:rPr>
                <w:rFonts w:ascii="Times New Roman" w:eastAsia="宋体" w:hAnsi="Times New Roman" w:cs="Times New Roman" w:hint="eastAsia"/>
                <w:kern w:val="0"/>
                <w:szCs w:val="21"/>
              </w:rPr>
              <w:t>井</w:t>
            </w:r>
          </w:p>
        </w:tc>
        <w:tc>
          <w:tcPr>
            <w:tcW w:w="675" w:type="pct"/>
            <w:vAlign w:val="center"/>
          </w:tcPr>
          <w:p w14:paraId="136F3E0D"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污染扩散井</w:t>
            </w:r>
          </w:p>
        </w:tc>
        <w:tc>
          <w:tcPr>
            <w:tcW w:w="688" w:type="pct"/>
            <w:vAlign w:val="center"/>
          </w:tcPr>
          <w:p w14:paraId="2DAC27EE"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污染监视井</w:t>
            </w:r>
          </w:p>
        </w:tc>
        <w:tc>
          <w:tcPr>
            <w:tcW w:w="686" w:type="pct"/>
            <w:vAlign w:val="center"/>
          </w:tcPr>
          <w:p w14:paraId="40849992"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污染监视井</w:t>
            </w:r>
          </w:p>
        </w:tc>
      </w:tr>
      <w:tr w:rsidR="00D12939" w14:paraId="751B6E8D" w14:textId="77777777">
        <w:trPr>
          <w:trHeight w:val="103"/>
          <w:jc w:val="center"/>
        </w:trPr>
        <w:tc>
          <w:tcPr>
            <w:tcW w:w="770" w:type="pct"/>
            <w:vAlign w:val="center"/>
          </w:tcPr>
          <w:p w14:paraId="531D150A"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监测层位</w:t>
            </w:r>
          </w:p>
        </w:tc>
        <w:tc>
          <w:tcPr>
            <w:tcW w:w="4229" w:type="pct"/>
            <w:gridSpan w:val="7"/>
            <w:vAlign w:val="center"/>
          </w:tcPr>
          <w:p w14:paraId="1DBCF54E"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第四系潜水含水层</w:t>
            </w:r>
          </w:p>
        </w:tc>
      </w:tr>
      <w:tr w:rsidR="00D12939" w14:paraId="4CD43CE6" w14:textId="77777777">
        <w:trPr>
          <w:trHeight w:val="108"/>
          <w:jc w:val="center"/>
        </w:trPr>
        <w:tc>
          <w:tcPr>
            <w:tcW w:w="770" w:type="pct"/>
            <w:vAlign w:val="center"/>
          </w:tcPr>
          <w:p w14:paraId="386D006C"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性质</w:t>
            </w:r>
          </w:p>
        </w:tc>
        <w:tc>
          <w:tcPr>
            <w:tcW w:w="725" w:type="pct"/>
            <w:vAlign w:val="center"/>
          </w:tcPr>
          <w:p w14:paraId="48B609F9"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利用</w:t>
            </w:r>
            <w:r>
              <w:rPr>
                <w:rFonts w:ascii="Times New Roman" w:eastAsia="宋体" w:hAnsi="Times New Roman" w:cs="Times New Roman" w:hint="eastAsia"/>
                <w:kern w:val="0"/>
                <w:szCs w:val="21"/>
              </w:rPr>
              <w:t>泉水露头</w:t>
            </w:r>
          </w:p>
        </w:tc>
        <w:tc>
          <w:tcPr>
            <w:tcW w:w="773" w:type="pct"/>
            <w:gridSpan w:val="2"/>
            <w:vAlign w:val="center"/>
          </w:tcPr>
          <w:p w14:paraId="0AA96E07"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新建</w:t>
            </w:r>
          </w:p>
        </w:tc>
        <w:tc>
          <w:tcPr>
            <w:tcW w:w="681" w:type="pct"/>
            <w:vAlign w:val="center"/>
          </w:tcPr>
          <w:p w14:paraId="20EEAA7B"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新建</w:t>
            </w:r>
          </w:p>
        </w:tc>
        <w:tc>
          <w:tcPr>
            <w:tcW w:w="675" w:type="pct"/>
            <w:vAlign w:val="center"/>
          </w:tcPr>
          <w:p w14:paraId="7F0F0367"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新建</w:t>
            </w:r>
          </w:p>
        </w:tc>
        <w:tc>
          <w:tcPr>
            <w:tcW w:w="688" w:type="pct"/>
            <w:vAlign w:val="center"/>
          </w:tcPr>
          <w:p w14:paraId="7E0274A2"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新建</w:t>
            </w:r>
          </w:p>
        </w:tc>
        <w:tc>
          <w:tcPr>
            <w:tcW w:w="686" w:type="pct"/>
            <w:vAlign w:val="center"/>
          </w:tcPr>
          <w:p w14:paraId="3F41728C"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新建</w:t>
            </w:r>
          </w:p>
        </w:tc>
      </w:tr>
      <w:tr w:rsidR="00D12939" w14:paraId="69AFC83A" w14:textId="77777777">
        <w:trPr>
          <w:trHeight w:val="65"/>
          <w:jc w:val="center"/>
        </w:trPr>
        <w:tc>
          <w:tcPr>
            <w:tcW w:w="770" w:type="pct"/>
            <w:vAlign w:val="center"/>
          </w:tcPr>
          <w:p w14:paraId="05312DCF"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监测因子</w:t>
            </w:r>
          </w:p>
        </w:tc>
        <w:tc>
          <w:tcPr>
            <w:tcW w:w="4229" w:type="pct"/>
            <w:gridSpan w:val="7"/>
            <w:vAlign w:val="center"/>
          </w:tcPr>
          <w:p w14:paraId="4AB7010A"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pH</w:t>
            </w:r>
            <w:r>
              <w:rPr>
                <w:rFonts w:ascii="Times New Roman" w:eastAsia="宋体" w:hAnsi="Times New Roman" w:cs="Times New Roman"/>
                <w:kern w:val="0"/>
                <w:szCs w:val="21"/>
              </w:rPr>
              <w:t>、</w:t>
            </w:r>
            <w:r>
              <w:rPr>
                <w:rFonts w:ascii="Times New Roman" w:eastAsia="宋体" w:hAnsi="Times New Roman" w:cs="Times New Roman"/>
                <w:kern w:val="0"/>
                <w:szCs w:val="21"/>
              </w:rPr>
              <w:t>COD</w:t>
            </w:r>
            <w:r>
              <w:rPr>
                <w:rFonts w:ascii="Times New Roman" w:eastAsia="宋体" w:hAnsi="Times New Roman" w:cs="Times New Roman"/>
                <w:kern w:val="0"/>
                <w:szCs w:val="21"/>
              </w:rPr>
              <w:t>、</w:t>
            </w:r>
            <w:r>
              <w:rPr>
                <w:rFonts w:ascii="Times New Roman" w:eastAsia="宋体" w:hAnsi="Times New Roman" w:cs="Times New Roman"/>
                <w:kern w:val="0"/>
                <w:szCs w:val="21"/>
              </w:rPr>
              <w:t>BOD</w:t>
            </w:r>
            <w:r>
              <w:rPr>
                <w:rFonts w:ascii="Times New Roman" w:eastAsia="宋体" w:hAnsi="Times New Roman" w:cs="Times New Roman"/>
                <w:kern w:val="0"/>
                <w:szCs w:val="21"/>
                <w:vertAlign w:val="subscript"/>
              </w:rPr>
              <w:t>5</w:t>
            </w:r>
            <w:r>
              <w:rPr>
                <w:rFonts w:ascii="Times New Roman" w:eastAsia="宋体" w:hAnsi="Times New Roman" w:cs="Times New Roman"/>
                <w:kern w:val="0"/>
                <w:szCs w:val="21"/>
              </w:rPr>
              <w:t>、氨氮</w:t>
            </w:r>
            <w:r>
              <w:rPr>
                <w:rFonts w:ascii="Times New Roman" w:eastAsia="宋体" w:hAnsi="Times New Roman" w:cs="Times New Roman" w:hint="eastAsia"/>
                <w:kern w:val="0"/>
                <w:szCs w:val="21"/>
              </w:rPr>
              <w:t>、总硬度、硝酸盐、亚硝酸盐、硫酸盐、氯化物、挥发性酚类、氰化物、砷、汞、六价铬、铅、氟、镉、铁、锰、铜、锌、粪大肠菌群</w:t>
            </w:r>
          </w:p>
        </w:tc>
      </w:tr>
      <w:tr w:rsidR="00D12939" w14:paraId="04F2AFDB" w14:textId="77777777">
        <w:trPr>
          <w:trHeight w:val="90"/>
          <w:jc w:val="center"/>
        </w:trPr>
        <w:tc>
          <w:tcPr>
            <w:tcW w:w="770" w:type="pct"/>
            <w:vAlign w:val="center"/>
          </w:tcPr>
          <w:p w14:paraId="17A152FB"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监测频率</w:t>
            </w:r>
          </w:p>
        </w:tc>
        <w:tc>
          <w:tcPr>
            <w:tcW w:w="725" w:type="pct"/>
            <w:vAlign w:val="center"/>
          </w:tcPr>
          <w:p w14:paraId="22F92EF8"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一</w:t>
            </w:r>
            <w:r>
              <w:rPr>
                <w:rFonts w:ascii="Times New Roman" w:eastAsia="宋体" w:hAnsi="Times New Roman" w:cs="Times New Roman" w:hint="eastAsia"/>
                <w:kern w:val="0"/>
                <w:szCs w:val="21"/>
              </w:rPr>
              <w:t>月</w:t>
            </w:r>
            <w:r>
              <w:rPr>
                <w:rFonts w:ascii="Times New Roman" w:eastAsia="宋体" w:hAnsi="Times New Roman" w:cs="Times New Roman"/>
                <w:kern w:val="0"/>
                <w:szCs w:val="21"/>
              </w:rPr>
              <w:t>一次</w:t>
            </w:r>
          </w:p>
        </w:tc>
        <w:tc>
          <w:tcPr>
            <w:tcW w:w="702" w:type="pct"/>
            <w:vAlign w:val="center"/>
          </w:tcPr>
          <w:p w14:paraId="4C8B9405"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一周一次</w:t>
            </w:r>
          </w:p>
        </w:tc>
        <w:tc>
          <w:tcPr>
            <w:tcW w:w="2801" w:type="pct"/>
            <w:gridSpan w:val="5"/>
            <w:vAlign w:val="center"/>
          </w:tcPr>
          <w:p w14:paraId="21BA58F0"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hint="eastAsia"/>
                <w:kern w:val="0"/>
                <w:szCs w:val="21"/>
              </w:rPr>
              <w:t>两周一次</w:t>
            </w:r>
          </w:p>
        </w:tc>
      </w:tr>
      <w:tr w:rsidR="00D12939" w14:paraId="4C945CAF" w14:textId="77777777">
        <w:trPr>
          <w:trHeight w:val="65"/>
          <w:jc w:val="center"/>
        </w:trPr>
        <w:tc>
          <w:tcPr>
            <w:tcW w:w="770" w:type="pct"/>
            <w:vAlign w:val="center"/>
          </w:tcPr>
          <w:p w14:paraId="6D510EAA"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监测方法</w:t>
            </w:r>
          </w:p>
        </w:tc>
        <w:tc>
          <w:tcPr>
            <w:tcW w:w="4229" w:type="pct"/>
            <w:gridSpan w:val="7"/>
            <w:vAlign w:val="center"/>
          </w:tcPr>
          <w:p w14:paraId="59AC931B" w14:textId="77777777" w:rsidR="00D12939" w:rsidRDefault="004F47F5">
            <w:pPr>
              <w:jc w:val="center"/>
              <w:outlineLvl w:val="4"/>
              <w:rPr>
                <w:rFonts w:ascii="Times New Roman" w:eastAsia="宋体" w:hAnsi="Times New Roman" w:cs="Times New Roman"/>
                <w:kern w:val="0"/>
                <w:szCs w:val="21"/>
              </w:rPr>
            </w:pPr>
            <w:r>
              <w:rPr>
                <w:rFonts w:ascii="Times New Roman" w:eastAsia="宋体" w:hAnsi="Times New Roman" w:cs="Times New Roman"/>
                <w:kern w:val="0"/>
                <w:szCs w:val="21"/>
              </w:rPr>
              <w:t>《地下水环境监测技术规范》（</w:t>
            </w:r>
            <w:r>
              <w:rPr>
                <w:rFonts w:ascii="Times New Roman" w:eastAsia="宋体" w:hAnsi="Times New Roman" w:cs="Times New Roman"/>
                <w:kern w:val="0"/>
                <w:szCs w:val="21"/>
              </w:rPr>
              <w:t>HJ/T164-2020</w:t>
            </w:r>
            <w:r>
              <w:rPr>
                <w:rFonts w:ascii="Times New Roman" w:eastAsia="宋体" w:hAnsi="Times New Roman" w:cs="Times New Roman"/>
                <w:kern w:val="0"/>
                <w:szCs w:val="21"/>
              </w:rPr>
              <w:t>）</w:t>
            </w:r>
          </w:p>
        </w:tc>
      </w:tr>
    </w:tbl>
    <w:p w14:paraId="72B4724C" w14:textId="77777777" w:rsidR="00D12939" w:rsidRDefault="00D12939">
      <w:pPr>
        <w:jc w:val="center"/>
        <w:rPr>
          <w:rFonts w:ascii="黑体" w:eastAsia="黑体" w:hAnsi="黑体" w:cs="Times New Roman"/>
          <w:kern w:val="0"/>
          <w:sz w:val="24"/>
          <w:szCs w:val="21"/>
        </w:rPr>
      </w:pPr>
    </w:p>
    <w:p w14:paraId="0F91CDD1" w14:textId="77777777" w:rsidR="00D12939" w:rsidRDefault="004F47F5">
      <w:pPr>
        <w:widowControl/>
        <w:adjustRightInd w:val="0"/>
        <w:snapToGrid w:val="0"/>
        <w:spacing w:line="360" w:lineRule="auto"/>
        <w:jc w:val="left"/>
        <w:rPr>
          <w:rFonts w:ascii="Times New Roman" w:eastAsia="宋体" w:hAnsi="Times New Roman" w:cs="Times New Roman"/>
          <w:kern w:val="0"/>
          <w:sz w:val="24"/>
          <w:szCs w:val="20"/>
        </w:rPr>
      </w:pPr>
      <w:r>
        <w:rPr>
          <w:rFonts w:ascii="Times New Roman" w:eastAsia="宋体" w:hAnsi="Times New Roman" w:cs="Times New Roman"/>
          <w:noProof/>
          <w:kern w:val="0"/>
          <w:sz w:val="24"/>
          <w:szCs w:val="20"/>
        </w:rPr>
        <w:drawing>
          <wp:inline distT="0" distB="0" distL="0" distR="0">
            <wp:extent cx="6188710" cy="4389755"/>
            <wp:effectExtent l="0" t="0" r="2540" b="0"/>
            <wp:docPr id="27" name="图片 27" descr="C:\Users\ADMINI~1\AppData\Local\Temp\WeChat Files\fcc2ae2d4fce9d22b049e0fe803d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I~1\AppData\Local\Temp\WeChat Files\fcc2ae2d4fce9d22b049e0fe803d29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6188710" cy="4390367"/>
                    </a:xfrm>
                    <a:prstGeom prst="rect">
                      <a:avLst/>
                    </a:prstGeom>
                    <a:noFill/>
                    <a:ln>
                      <a:noFill/>
                    </a:ln>
                  </pic:spPr>
                </pic:pic>
              </a:graphicData>
            </a:graphic>
          </wp:inline>
        </w:drawing>
      </w:r>
    </w:p>
    <w:p w14:paraId="6791764F" w14:textId="77777777" w:rsidR="00D12939" w:rsidRDefault="004F47F5">
      <w:pPr>
        <w:jc w:val="center"/>
        <w:rPr>
          <w:rFonts w:ascii="黑体" w:eastAsia="黑体" w:hAnsi="黑体"/>
        </w:rPr>
      </w:pPr>
      <w:r>
        <w:rPr>
          <w:rFonts w:ascii="黑体" w:eastAsia="黑体" w:hAnsi="黑体" w:cs="Times New Roman" w:hint="eastAsia"/>
          <w:kern w:val="0"/>
          <w:sz w:val="24"/>
          <w:szCs w:val="20"/>
        </w:rPr>
        <w:t>图9.2-4    地下水跟踪监测点位示意图</w:t>
      </w:r>
    </w:p>
    <w:p w14:paraId="5274950E"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0"/>
        </w:rPr>
      </w:pPr>
      <w:r>
        <w:rPr>
          <w:rFonts w:ascii="Times New Roman" w:eastAsia="宋体" w:hAnsi="Times New Roman" w:cs="Times New Roman"/>
          <w:kern w:val="0"/>
          <w:sz w:val="24"/>
          <w:szCs w:val="20"/>
        </w:rPr>
        <w:t>2</w:t>
      </w:r>
      <w:r>
        <w:rPr>
          <w:rFonts w:ascii="Times New Roman" w:eastAsia="宋体" w:hAnsi="Times New Roman" w:cs="Times New Roman"/>
          <w:kern w:val="0"/>
          <w:sz w:val="24"/>
          <w:szCs w:val="20"/>
        </w:rPr>
        <w:t>、地下水环境管理</w:t>
      </w:r>
    </w:p>
    <w:p w14:paraId="5D872A8D" w14:textId="77777777" w:rsidR="00D12939" w:rsidRDefault="004F47F5">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建设单位应建立地下水污染监控制度和环境管理体系、制订监测计划，同时配备先进的检测仪器和设备，以便及时采取相应的措施。</w:t>
      </w:r>
    </w:p>
    <w:p w14:paraId="257855B7" w14:textId="77777777" w:rsidR="00D12939" w:rsidRDefault="004F47F5">
      <w:pPr>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上述监测结果应按项目有关规定及时建立档案，并定期向安全环保部门汇报，对于常规监测数据应该进行公开。若发现水质异常，特别是危险废物中所含那些成分的浓度上升时，加密监测频次，改为每周监测一次，并立即启动应急响应，上报环境保护部门，同时监测相应地下水风险源的防渗措施是否失效或遭受破坏，及时处理被污染的地下水，确保影响程度降到最低。</w:t>
      </w:r>
    </w:p>
    <w:p w14:paraId="147D15F0"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hint="eastAsia"/>
          <w:sz w:val="24"/>
        </w:rPr>
        <w:t>9.2</w:t>
      </w:r>
      <w:r>
        <w:rPr>
          <w:rFonts w:ascii="宋体" w:eastAsia="宋体" w:hAnsi="宋体"/>
          <w:sz w:val="24"/>
        </w:rPr>
        <w:t>.3.4风险事故应急响应</w:t>
      </w:r>
    </w:p>
    <w:p w14:paraId="1DBF6478"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）在制定规划区安全管理体制的基础上，制订专门的地下水污染事故的应急措施，并应与其它应急预案相协调。</w:t>
      </w:r>
    </w:p>
    <w:p w14:paraId="527DFF9F"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）地下水应急预案应包括以下内容：</w:t>
      </w:r>
    </w:p>
    <w:p w14:paraId="46C46129"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宋体" w:eastAsia="宋体" w:hAnsi="宋体" w:cs="宋体" w:hint="eastAsia"/>
          <w:kern w:val="0"/>
          <w:sz w:val="24"/>
          <w:szCs w:val="24"/>
        </w:rPr>
        <w:t>①</w:t>
      </w:r>
      <w:r>
        <w:rPr>
          <w:rFonts w:ascii="Times New Roman" w:eastAsia="宋体" w:hAnsi="Times New Roman" w:cs="Times New Roman"/>
          <w:kern w:val="0"/>
          <w:sz w:val="24"/>
          <w:szCs w:val="24"/>
        </w:rPr>
        <w:t>应急预案的日常协调和指挥机构；</w:t>
      </w:r>
    </w:p>
    <w:p w14:paraId="76D03908"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宋体" w:eastAsia="宋体" w:hAnsi="宋体" w:cs="宋体" w:hint="eastAsia"/>
          <w:kern w:val="0"/>
          <w:sz w:val="24"/>
          <w:szCs w:val="24"/>
        </w:rPr>
        <w:t>②</w:t>
      </w:r>
      <w:r>
        <w:rPr>
          <w:rFonts w:ascii="Times New Roman" w:eastAsia="宋体" w:hAnsi="Times New Roman" w:cs="Times New Roman"/>
          <w:kern w:val="0"/>
          <w:sz w:val="24"/>
          <w:szCs w:val="24"/>
        </w:rPr>
        <w:t>相关部门在应急预案中的职责和分工；</w:t>
      </w:r>
    </w:p>
    <w:p w14:paraId="2D28F1A0"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spacing w:val="-6"/>
          <w:kern w:val="0"/>
          <w:sz w:val="24"/>
          <w:szCs w:val="24"/>
        </w:rPr>
      </w:pPr>
      <w:r>
        <w:rPr>
          <w:rFonts w:ascii="宋体" w:eastAsia="宋体" w:hAnsi="宋体" w:cs="宋体" w:hint="eastAsia"/>
          <w:kern w:val="0"/>
          <w:sz w:val="24"/>
          <w:szCs w:val="24"/>
        </w:rPr>
        <w:lastRenderedPageBreak/>
        <w:t>③</w:t>
      </w:r>
      <w:r>
        <w:rPr>
          <w:rFonts w:ascii="Times New Roman" w:eastAsia="宋体" w:hAnsi="Times New Roman" w:cs="Times New Roman"/>
          <w:spacing w:val="-6"/>
          <w:kern w:val="0"/>
          <w:sz w:val="24"/>
          <w:szCs w:val="24"/>
        </w:rPr>
        <w:t>地下水环境保护目标的确定，采取的紧急处置措施和潜在污染可能性评估；</w:t>
      </w:r>
    </w:p>
    <w:p w14:paraId="16CA5B92"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宋体" w:eastAsia="宋体" w:hAnsi="宋体" w:cs="宋体" w:hint="eastAsia"/>
          <w:kern w:val="0"/>
          <w:sz w:val="24"/>
          <w:szCs w:val="24"/>
        </w:rPr>
        <w:t>④</w:t>
      </w:r>
      <w:r>
        <w:rPr>
          <w:rFonts w:ascii="Times New Roman" w:eastAsia="宋体" w:hAnsi="Times New Roman" w:cs="Times New Roman"/>
          <w:kern w:val="0"/>
          <w:sz w:val="24"/>
          <w:szCs w:val="24"/>
        </w:rPr>
        <w:t>特大事故应急救援组织状况和人员、装备情况，平常的训练和演习；</w:t>
      </w:r>
    </w:p>
    <w:p w14:paraId="6C27BEB6"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szCs w:val="24"/>
        </w:rPr>
      </w:pPr>
      <w:bookmarkStart w:id="617" w:name="_Toc41501074"/>
      <w:bookmarkStart w:id="618" w:name="_Toc41467549"/>
      <w:bookmarkEnd w:id="617"/>
      <w:r>
        <w:rPr>
          <w:rFonts w:ascii="宋体" w:eastAsia="宋体" w:hAnsi="宋体" w:cs="宋体" w:hint="eastAsia"/>
          <w:kern w:val="0"/>
          <w:sz w:val="24"/>
          <w:szCs w:val="24"/>
        </w:rPr>
        <w:t>⑤</w:t>
      </w:r>
      <w:bookmarkEnd w:id="618"/>
      <w:r>
        <w:rPr>
          <w:rFonts w:ascii="Times New Roman" w:eastAsia="宋体" w:hAnsi="Times New Roman" w:cs="Times New Roman"/>
          <w:kern w:val="0"/>
          <w:sz w:val="24"/>
          <w:szCs w:val="24"/>
        </w:rPr>
        <w:t>特大事故的社会支持和援助，应急救援的经费保障。</w:t>
      </w:r>
    </w:p>
    <w:p w14:paraId="4BCC41AE" w14:textId="77777777" w:rsidR="00D12939" w:rsidRDefault="004F47F5">
      <w:pPr>
        <w:widowControl/>
        <w:adjustRightInd w:val="0"/>
        <w:snapToGrid w:val="0"/>
        <w:spacing w:line="360" w:lineRule="auto"/>
        <w:ind w:firstLineChars="200" w:firstLine="456"/>
        <w:jc w:val="left"/>
        <w:rPr>
          <w:rFonts w:ascii="Times New Roman" w:eastAsia="宋体" w:hAnsi="Times New Roman" w:cs="Times New Roman"/>
          <w:spacing w:val="-6"/>
          <w:kern w:val="0"/>
          <w:sz w:val="24"/>
          <w:szCs w:val="24"/>
        </w:rPr>
      </w:pPr>
      <w:r>
        <w:rPr>
          <w:rFonts w:ascii="Times New Roman" w:eastAsia="宋体" w:hAnsi="Times New Roman" w:cs="Times New Roman"/>
          <w:spacing w:val="-6"/>
          <w:kern w:val="0"/>
          <w:sz w:val="24"/>
          <w:szCs w:val="24"/>
        </w:rPr>
        <w:t>地下水应急预案详内容见表</w:t>
      </w:r>
      <w:r>
        <w:rPr>
          <w:rFonts w:ascii="Times New Roman" w:eastAsia="宋体" w:hAnsi="Times New Roman" w:cs="Times New Roman" w:hint="eastAsia"/>
          <w:spacing w:val="-6"/>
          <w:kern w:val="0"/>
          <w:sz w:val="24"/>
          <w:szCs w:val="24"/>
        </w:rPr>
        <w:t>9</w:t>
      </w:r>
      <w:r>
        <w:rPr>
          <w:rFonts w:ascii="Times New Roman" w:eastAsia="宋体" w:hAnsi="Times New Roman" w:cs="Times New Roman"/>
          <w:spacing w:val="-6"/>
          <w:kern w:val="0"/>
          <w:sz w:val="24"/>
          <w:szCs w:val="24"/>
        </w:rPr>
        <w:t>.</w:t>
      </w:r>
      <w:r>
        <w:rPr>
          <w:rFonts w:ascii="Times New Roman" w:eastAsia="宋体" w:hAnsi="Times New Roman" w:cs="Times New Roman" w:hint="eastAsia"/>
          <w:spacing w:val="-6"/>
          <w:kern w:val="0"/>
          <w:sz w:val="24"/>
          <w:szCs w:val="24"/>
        </w:rPr>
        <w:t>2</w:t>
      </w:r>
      <w:r>
        <w:rPr>
          <w:rFonts w:ascii="Times New Roman" w:eastAsia="宋体" w:hAnsi="Times New Roman" w:cs="Times New Roman"/>
          <w:spacing w:val="-6"/>
          <w:kern w:val="0"/>
          <w:sz w:val="24"/>
          <w:szCs w:val="24"/>
        </w:rPr>
        <w:t>-</w:t>
      </w:r>
      <w:r>
        <w:rPr>
          <w:rFonts w:ascii="Times New Roman" w:eastAsia="宋体" w:hAnsi="Times New Roman" w:cs="Times New Roman" w:hint="eastAsia"/>
          <w:spacing w:val="-6"/>
          <w:kern w:val="0"/>
          <w:sz w:val="24"/>
          <w:szCs w:val="24"/>
        </w:rPr>
        <w:t>4</w:t>
      </w:r>
      <w:r>
        <w:rPr>
          <w:rFonts w:ascii="Times New Roman" w:eastAsia="宋体" w:hAnsi="Times New Roman" w:cs="Times New Roman"/>
          <w:spacing w:val="-6"/>
          <w:kern w:val="0"/>
          <w:sz w:val="24"/>
          <w:szCs w:val="24"/>
        </w:rPr>
        <w:t>，并制定地下水污染应急治理程序，见图</w:t>
      </w:r>
      <w:r>
        <w:rPr>
          <w:rFonts w:ascii="Times New Roman" w:eastAsia="宋体" w:hAnsi="Times New Roman" w:cs="Times New Roman" w:hint="eastAsia"/>
          <w:spacing w:val="-6"/>
          <w:kern w:val="0"/>
          <w:sz w:val="24"/>
          <w:szCs w:val="24"/>
        </w:rPr>
        <w:t>9</w:t>
      </w:r>
      <w:r>
        <w:rPr>
          <w:rFonts w:ascii="Times New Roman" w:eastAsia="宋体" w:hAnsi="Times New Roman" w:cs="Times New Roman"/>
          <w:spacing w:val="-6"/>
          <w:kern w:val="0"/>
          <w:sz w:val="24"/>
          <w:szCs w:val="24"/>
        </w:rPr>
        <w:t>.</w:t>
      </w:r>
      <w:r>
        <w:rPr>
          <w:rFonts w:ascii="Times New Roman" w:eastAsia="宋体" w:hAnsi="Times New Roman" w:cs="Times New Roman" w:hint="eastAsia"/>
          <w:spacing w:val="-6"/>
          <w:kern w:val="0"/>
          <w:sz w:val="24"/>
          <w:szCs w:val="24"/>
        </w:rPr>
        <w:t>2</w:t>
      </w:r>
      <w:r>
        <w:rPr>
          <w:rFonts w:ascii="Times New Roman" w:eastAsia="宋体" w:hAnsi="Times New Roman" w:cs="Times New Roman"/>
          <w:spacing w:val="-6"/>
          <w:kern w:val="0"/>
          <w:sz w:val="24"/>
          <w:szCs w:val="24"/>
        </w:rPr>
        <w:t>-4</w:t>
      </w:r>
      <w:r>
        <w:rPr>
          <w:rFonts w:ascii="Times New Roman" w:eastAsia="宋体" w:hAnsi="Times New Roman" w:cs="Times New Roman"/>
          <w:spacing w:val="-6"/>
          <w:kern w:val="0"/>
          <w:sz w:val="24"/>
          <w:szCs w:val="24"/>
        </w:rPr>
        <w:t>。</w:t>
      </w:r>
    </w:p>
    <w:p w14:paraId="760089E6" w14:textId="77777777" w:rsidR="00D12939" w:rsidRDefault="004F47F5">
      <w:pPr>
        <w:jc w:val="center"/>
        <w:rPr>
          <w:rFonts w:ascii="黑体" w:eastAsia="黑体" w:hAnsi="黑体" w:cs="Times New Roman"/>
          <w:kern w:val="0"/>
          <w:sz w:val="24"/>
          <w:szCs w:val="21"/>
        </w:rPr>
      </w:pPr>
      <w:r>
        <w:rPr>
          <w:rFonts w:ascii="黑体" w:eastAsia="黑体" w:hAnsi="黑体" w:cs="Times New Roman"/>
          <w:kern w:val="0"/>
          <w:sz w:val="24"/>
          <w:szCs w:val="21"/>
        </w:rPr>
        <w:t>表</w:t>
      </w:r>
      <w:r>
        <w:rPr>
          <w:rFonts w:ascii="黑体" w:eastAsia="黑体" w:hAnsi="黑体" w:cs="Times New Roman" w:hint="eastAsia"/>
          <w:kern w:val="0"/>
          <w:sz w:val="24"/>
          <w:szCs w:val="21"/>
        </w:rPr>
        <w:t>9</w:t>
      </w:r>
      <w:r>
        <w:rPr>
          <w:rFonts w:ascii="黑体" w:eastAsia="黑体" w:hAnsi="黑体" w:cs="Times New Roman"/>
          <w:kern w:val="0"/>
          <w:sz w:val="24"/>
          <w:szCs w:val="21"/>
        </w:rPr>
        <w:t>.</w:t>
      </w:r>
      <w:r>
        <w:rPr>
          <w:rFonts w:ascii="黑体" w:eastAsia="黑体" w:hAnsi="黑体" w:cs="Times New Roman" w:hint="eastAsia"/>
          <w:kern w:val="0"/>
          <w:sz w:val="24"/>
          <w:szCs w:val="21"/>
        </w:rPr>
        <w:t>2</w:t>
      </w:r>
      <w:r>
        <w:rPr>
          <w:rFonts w:ascii="黑体" w:eastAsia="黑体" w:hAnsi="黑体" w:cs="Times New Roman"/>
          <w:kern w:val="0"/>
          <w:sz w:val="24"/>
          <w:szCs w:val="21"/>
        </w:rPr>
        <w:t>-</w:t>
      </w:r>
      <w:r>
        <w:rPr>
          <w:rFonts w:ascii="黑体" w:eastAsia="黑体" w:hAnsi="黑体" w:cs="Times New Roman" w:hint="eastAsia"/>
          <w:kern w:val="0"/>
          <w:sz w:val="24"/>
          <w:szCs w:val="21"/>
        </w:rPr>
        <w:t>4</w:t>
      </w:r>
      <w:r>
        <w:rPr>
          <w:rFonts w:ascii="黑体" w:eastAsia="黑体" w:hAnsi="黑体" w:cs="Times New Roman"/>
          <w:kern w:val="0"/>
          <w:sz w:val="24"/>
          <w:szCs w:val="21"/>
        </w:rPr>
        <w:t xml:space="preserve">    地下水污染应急预案内容</w:t>
      </w:r>
    </w:p>
    <w:tbl>
      <w:tblPr>
        <w:tblW w:w="1001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679"/>
        <w:gridCol w:w="1940"/>
        <w:gridCol w:w="7395"/>
      </w:tblGrid>
      <w:tr w:rsidR="00D12939" w14:paraId="212E8F93" w14:textId="77777777">
        <w:trPr>
          <w:trHeight w:val="309"/>
          <w:jc w:val="center"/>
        </w:trPr>
        <w:tc>
          <w:tcPr>
            <w:tcW w:w="679" w:type="dxa"/>
            <w:tcBorders>
              <w:top w:val="single" w:sz="12" w:space="0" w:color="000000"/>
              <w:left w:val="single" w:sz="12" w:space="0" w:color="000000"/>
              <w:bottom w:val="single" w:sz="4" w:space="0" w:color="000000"/>
              <w:right w:val="single" w:sz="4" w:space="0" w:color="000000"/>
            </w:tcBorders>
            <w:vAlign w:val="center"/>
          </w:tcPr>
          <w:p w14:paraId="0DB726A8"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序号</w:t>
            </w:r>
          </w:p>
        </w:tc>
        <w:tc>
          <w:tcPr>
            <w:tcW w:w="1940" w:type="dxa"/>
            <w:tcBorders>
              <w:top w:val="single" w:sz="12" w:space="0" w:color="000000"/>
              <w:left w:val="single" w:sz="4" w:space="0" w:color="000000"/>
              <w:bottom w:val="single" w:sz="4" w:space="0" w:color="000000"/>
              <w:right w:val="single" w:sz="4" w:space="0" w:color="000000"/>
            </w:tcBorders>
            <w:vAlign w:val="center"/>
          </w:tcPr>
          <w:p w14:paraId="4652B64D"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项目</w:t>
            </w:r>
          </w:p>
        </w:tc>
        <w:tc>
          <w:tcPr>
            <w:tcW w:w="7395" w:type="dxa"/>
            <w:tcBorders>
              <w:top w:val="single" w:sz="12" w:space="0" w:color="000000"/>
              <w:left w:val="single" w:sz="4" w:space="0" w:color="000000"/>
              <w:bottom w:val="single" w:sz="4" w:space="0" w:color="000000"/>
              <w:right w:val="single" w:sz="12" w:space="0" w:color="000000"/>
            </w:tcBorders>
            <w:vAlign w:val="center"/>
          </w:tcPr>
          <w:p w14:paraId="6E28757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内容及要求</w:t>
            </w:r>
          </w:p>
        </w:tc>
      </w:tr>
      <w:tr w:rsidR="00D12939" w14:paraId="7CF41334"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1246C94E"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w:t>
            </w:r>
          </w:p>
        </w:tc>
        <w:tc>
          <w:tcPr>
            <w:tcW w:w="1940" w:type="dxa"/>
            <w:tcBorders>
              <w:top w:val="single" w:sz="4" w:space="0" w:color="000000"/>
              <w:left w:val="single" w:sz="4" w:space="0" w:color="000000"/>
              <w:bottom w:val="single" w:sz="4" w:space="0" w:color="000000"/>
              <w:right w:val="single" w:sz="4" w:space="0" w:color="000000"/>
            </w:tcBorders>
            <w:vAlign w:val="center"/>
          </w:tcPr>
          <w:p w14:paraId="40A5731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总则</w:t>
            </w:r>
          </w:p>
        </w:tc>
        <w:tc>
          <w:tcPr>
            <w:tcW w:w="7395" w:type="dxa"/>
            <w:tcBorders>
              <w:top w:val="single" w:sz="4" w:space="0" w:color="000000"/>
              <w:left w:val="single" w:sz="4" w:space="0" w:color="000000"/>
              <w:bottom w:val="single" w:sz="4" w:space="0" w:color="000000"/>
              <w:right w:val="single" w:sz="12" w:space="0" w:color="000000"/>
            </w:tcBorders>
            <w:vAlign w:val="center"/>
          </w:tcPr>
          <w:p w14:paraId="263C9385"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项目背景、法律依据</w:t>
            </w:r>
          </w:p>
        </w:tc>
      </w:tr>
      <w:tr w:rsidR="00D12939" w14:paraId="6194839C"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3A91B371"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2</w:t>
            </w:r>
          </w:p>
        </w:tc>
        <w:tc>
          <w:tcPr>
            <w:tcW w:w="1940" w:type="dxa"/>
            <w:tcBorders>
              <w:top w:val="single" w:sz="4" w:space="0" w:color="000000"/>
              <w:left w:val="single" w:sz="4" w:space="0" w:color="000000"/>
              <w:bottom w:val="single" w:sz="4" w:space="0" w:color="000000"/>
              <w:right w:val="single" w:sz="4" w:space="0" w:color="000000"/>
            </w:tcBorders>
            <w:vAlign w:val="center"/>
          </w:tcPr>
          <w:p w14:paraId="029DD22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污染源概况</w:t>
            </w:r>
          </w:p>
        </w:tc>
        <w:tc>
          <w:tcPr>
            <w:tcW w:w="7395" w:type="dxa"/>
            <w:tcBorders>
              <w:top w:val="single" w:sz="4" w:space="0" w:color="000000"/>
              <w:left w:val="single" w:sz="4" w:space="0" w:color="000000"/>
              <w:bottom w:val="single" w:sz="4" w:space="0" w:color="000000"/>
              <w:right w:val="single" w:sz="12" w:space="0" w:color="000000"/>
            </w:tcBorders>
            <w:vAlign w:val="center"/>
          </w:tcPr>
          <w:p w14:paraId="7B936B9E"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详述污染源类型、数量、浓度、危害特征和分布情况</w:t>
            </w:r>
          </w:p>
        </w:tc>
      </w:tr>
      <w:tr w:rsidR="00D12939" w14:paraId="388C4865"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1989E82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3</w:t>
            </w:r>
          </w:p>
        </w:tc>
        <w:tc>
          <w:tcPr>
            <w:tcW w:w="1940" w:type="dxa"/>
            <w:tcBorders>
              <w:top w:val="single" w:sz="4" w:space="0" w:color="000000"/>
              <w:left w:val="single" w:sz="4" w:space="0" w:color="000000"/>
              <w:bottom w:val="single" w:sz="4" w:space="0" w:color="000000"/>
              <w:right w:val="single" w:sz="4" w:space="0" w:color="000000"/>
            </w:tcBorders>
            <w:vAlign w:val="center"/>
          </w:tcPr>
          <w:p w14:paraId="5A9B793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应急计划区</w:t>
            </w:r>
          </w:p>
        </w:tc>
        <w:tc>
          <w:tcPr>
            <w:tcW w:w="7395" w:type="dxa"/>
            <w:tcBorders>
              <w:top w:val="single" w:sz="4" w:space="0" w:color="000000"/>
              <w:left w:val="single" w:sz="4" w:space="0" w:color="000000"/>
              <w:bottom w:val="single" w:sz="4" w:space="0" w:color="000000"/>
              <w:right w:val="single" w:sz="12" w:space="0" w:color="000000"/>
            </w:tcBorders>
            <w:vAlign w:val="center"/>
          </w:tcPr>
          <w:p w14:paraId="1985AEB6"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列出保护目标</w:t>
            </w:r>
          </w:p>
        </w:tc>
      </w:tr>
      <w:tr w:rsidR="00D12939" w14:paraId="42E3C8EE"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78C22115"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4</w:t>
            </w:r>
          </w:p>
        </w:tc>
        <w:tc>
          <w:tcPr>
            <w:tcW w:w="1940" w:type="dxa"/>
            <w:tcBorders>
              <w:top w:val="single" w:sz="4" w:space="0" w:color="000000"/>
              <w:left w:val="single" w:sz="4" w:space="0" w:color="000000"/>
              <w:bottom w:val="single" w:sz="4" w:space="0" w:color="000000"/>
              <w:right w:val="single" w:sz="4" w:space="0" w:color="000000"/>
            </w:tcBorders>
            <w:vAlign w:val="center"/>
          </w:tcPr>
          <w:p w14:paraId="4A7C0D07"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应急组织</w:t>
            </w:r>
          </w:p>
        </w:tc>
        <w:tc>
          <w:tcPr>
            <w:tcW w:w="7395" w:type="dxa"/>
            <w:tcBorders>
              <w:top w:val="single" w:sz="4" w:space="0" w:color="000000"/>
              <w:left w:val="single" w:sz="4" w:space="0" w:color="000000"/>
              <w:bottom w:val="single" w:sz="4" w:space="0" w:color="000000"/>
              <w:right w:val="single" w:sz="12" w:space="0" w:color="000000"/>
            </w:tcBorders>
            <w:vAlign w:val="center"/>
          </w:tcPr>
          <w:p w14:paraId="140C9CB0"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应急指挥部</w:t>
            </w:r>
            <w:r>
              <w:rPr>
                <w:rFonts w:ascii="Times New Roman" w:eastAsia="宋体" w:hAnsi="Times New Roman" w:cs="Times New Roman"/>
                <w:kern w:val="0"/>
                <w:szCs w:val="21"/>
              </w:rPr>
              <w:t>—</w:t>
            </w:r>
            <w:r>
              <w:rPr>
                <w:rFonts w:ascii="Times New Roman" w:eastAsia="宋体" w:hAnsi="Times New Roman" w:cs="Times New Roman"/>
                <w:kern w:val="0"/>
                <w:szCs w:val="21"/>
              </w:rPr>
              <w:t>负责现场全面指挥；专业救援队伍</w:t>
            </w:r>
            <w:r>
              <w:rPr>
                <w:rFonts w:ascii="Times New Roman" w:eastAsia="宋体" w:hAnsi="Times New Roman" w:cs="Times New Roman"/>
                <w:kern w:val="0"/>
                <w:szCs w:val="21"/>
              </w:rPr>
              <w:t>—</w:t>
            </w:r>
            <w:r>
              <w:rPr>
                <w:rFonts w:ascii="Times New Roman" w:eastAsia="宋体" w:hAnsi="Times New Roman" w:cs="Times New Roman"/>
                <w:kern w:val="0"/>
                <w:szCs w:val="21"/>
              </w:rPr>
              <w:t>负责事故控制、救援、善后处理；专业监测队伍负责对监测站的支援；地方医院负责收治受伤、中毒人员；</w:t>
            </w:r>
          </w:p>
        </w:tc>
      </w:tr>
      <w:tr w:rsidR="00D12939" w14:paraId="3A52121A"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37A026C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5</w:t>
            </w:r>
          </w:p>
        </w:tc>
        <w:tc>
          <w:tcPr>
            <w:tcW w:w="1940" w:type="dxa"/>
            <w:tcBorders>
              <w:top w:val="single" w:sz="4" w:space="0" w:color="000000"/>
              <w:left w:val="single" w:sz="4" w:space="0" w:color="000000"/>
              <w:bottom w:val="single" w:sz="4" w:space="0" w:color="000000"/>
              <w:right w:val="single" w:sz="4" w:space="0" w:color="000000"/>
            </w:tcBorders>
            <w:vAlign w:val="center"/>
          </w:tcPr>
          <w:p w14:paraId="15FBA138"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应急状态分类及应急响应程序</w:t>
            </w:r>
          </w:p>
        </w:tc>
        <w:tc>
          <w:tcPr>
            <w:tcW w:w="7395" w:type="dxa"/>
            <w:tcBorders>
              <w:top w:val="single" w:sz="4" w:space="0" w:color="000000"/>
              <w:left w:val="single" w:sz="4" w:space="0" w:color="000000"/>
              <w:bottom w:val="single" w:sz="4" w:space="0" w:color="000000"/>
              <w:right w:val="single" w:sz="12" w:space="0" w:color="000000"/>
            </w:tcBorders>
            <w:vAlign w:val="center"/>
          </w:tcPr>
          <w:p w14:paraId="7164926B"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规定地下水污染事故的级别及相应的应急分类响应程序。按照突发环境事件严重性和紧急程度，该预案将突发环境事件分为特别重大环境事件（</w:t>
            </w:r>
            <w:r>
              <w:rPr>
                <w:rFonts w:ascii="Times New Roman" w:eastAsia="宋体" w:hAnsi="Times New Roman" w:cs="Times New Roman"/>
                <w:kern w:val="0"/>
                <w:szCs w:val="21"/>
              </w:rPr>
              <w:t>Ⅰ</w:t>
            </w:r>
            <w:r>
              <w:rPr>
                <w:rFonts w:ascii="Times New Roman" w:eastAsia="宋体" w:hAnsi="Times New Roman" w:cs="Times New Roman"/>
                <w:kern w:val="0"/>
                <w:szCs w:val="21"/>
              </w:rPr>
              <w:t>级）、重大环境事件（</w:t>
            </w:r>
            <w:r>
              <w:rPr>
                <w:rFonts w:ascii="Times New Roman" w:eastAsia="宋体" w:hAnsi="Times New Roman" w:cs="Times New Roman"/>
                <w:kern w:val="0"/>
                <w:szCs w:val="21"/>
              </w:rPr>
              <w:t>Ⅱ</w:t>
            </w:r>
            <w:r>
              <w:rPr>
                <w:rFonts w:ascii="Times New Roman" w:eastAsia="宋体" w:hAnsi="Times New Roman" w:cs="Times New Roman"/>
                <w:kern w:val="0"/>
                <w:szCs w:val="21"/>
              </w:rPr>
              <w:t>级）、较大环境事件（</w:t>
            </w:r>
            <w:r>
              <w:rPr>
                <w:rFonts w:ascii="Times New Roman" w:eastAsia="宋体" w:hAnsi="Times New Roman" w:cs="Times New Roman"/>
                <w:kern w:val="0"/>
                <w:szCs w:val="21"/>
              </w:rPr>
              <w:t>Ⅲ</w:t>
            </w:r>
            <w:r>
              <w:rPr>
                <w:rFonts w:ascii="Times New Roman" w:eastAsia="宋体" w:hAnsi="Times New Roman" w:cs="Times New Roman"/>
                <w:kern w:val="0"/>
                <w:szCs w:val="21"/>
              </w:rPr>
              <w:t>级）和一般环境事件（</w:t>
            </w:r>
            <w:r>
              <w:rPr>
                <w:rFonts w:ascii="Times New Roman" w:eastAsia="宋体" w:hAnsi="Times New Roman" w:cs="Times New Roman"/>
                <w:kern w:val="0"/>
                <w:szCs w:val="21"/>
              </w:rPr>
              <w:t>Ⅳ</w:t>
            </w:r>
            <w:r>
              <w:rPr>
                <w:rFonts w:ascii="Times New Roman" w:eastAsia="宋体" w:hAnsi="Times New Roman" w:cs="Times New Roman"/>
                <w:kern w:val="0"/>
                <w:szCs w:val="21"/>
              </w:rPr>
              <w:t>级）四级。</w:t>
            </w:r>
          </w:p>
        </w:tc>
      </w:tr>
      <w:tr w:rsidR="00D12939" w14:paraId="2755F690"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798D3367"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6</w:t>
            </w:r>
          </w:p>
        </w:tc>
        <w:tc>
          <w:tcPr>
            <w:tcW w:w="1940" w:type="dxa"/>
            <w:tcBorders>
              <w:top w:val="single" w:sz="4" w:space="0" w:color="000000"/>
              <w:left w:val="single" w:sz="4" w:space="0" w:color="000000"/>
              <w:bottom w:val="single" w:sz="4" w:space="0" w:color="000000"/>
              <w:right w:val="single" w:sz="4" w:space="0" w:color="000000"/>
            </w:tcBorders>
            <w:vAlign w:val="center"/>
          </w:tcPr>
          <w:p w14:paraId="38F9ECF5"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应急设施、设备与材料</w:t>
            </w:r>
          </w:p>
        </w:tc>
        <w:tc>
          <w:tcPr>
            <w:tcW w:w="7395" w:type="dxa"/>
            <w:tcBorders>
              <w:top w:val="single" w:sz="4" w:space="0" w:color="000000"/>
              <w:left w:val="single" w:sz="4" w:space="0" w:color="000000"/>
              <w:bottom w:val="single" w:sz="4" w:space="0" w:color="000000"/>
              <w:right w:val="single" w:sz="12" w:space="0" w:color="000000"/>
            </w:tcBorders>
            <w:vAlign w:val="center"/>
          </w:tcPr>
          <w:p w14:paraId="67043444"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防有毒有害物质外溢、扩散的应急设施、设备与材料。</w:t>
            </w:r>
          </w:p>
        </w:tc>
      </w:tr>
      <w:tr w:rsidR="00D12939" w14:paraId="348FFFBD"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27E0AE55"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7</w:t>
            </w:r>
          </w:p>
        </w:tc>
        <w:tc>
          <w:tcPr>
            <w:tcW w:w="1940" w:type="dxa"/>
            <w:tcBorders>
              <w:top w:val="single" w:sz="4" w:space="0" w:color="000000"/>
              <w:left w:val="single" w:sz="4" w:space="0" w:color="000000"/>
              <w:bottom w:val="single" w:sz="4" w:space="0" w:color="000000"/>
              <w:right w:val="single" w:sz="4" w:space="0" w:color="000000"/>
            </w:tcBorders>
            <w:vAlign w:val="center"/>
          </w:tcPr>
          <w:p w14:paraId="718CB94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应急通讯和交通</w:t>
            </w:r>
          </w:p>
        </w:tc>
        <w:tc>
          <w:tcPr>
            <w:tcW w:w="7395" w:type="dxa"/>
            <w:tcBorders>
              <w:top w:val="single" w:sz="4" w:space="0" w:color="000000"/>
              <w:left w:val="single" w:sz="4" w:space="0" w:color="000000"/>
              <w:bottom w:val="single" w:sz="4" w:space="0" w:color="000000"/>
              <w:right w:val="single" w:sz="12" w:space="0" w:color="000000"/>
            </w:tcBorders>
            <w:vAlign w:val="center"/>
          </w:tcPr>
          <w:p w14:paraId="3EAE0203"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规定应急状态下的通讯方式、通知方式和交通保障、管制。</w:t>
            </w:r>
          </w:p>
        </w:tc>
      </w:tr>
      <w:tr w:rsidR="00D12939" w14:paraId="2522F595"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1352B68D"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8</w:t>
            </w:r>
          </w:p>
        </w:tc>
        <w:tc>
          <w:tcPr>
            <w:tcW w:w="1940" w:type="dxa"/>
            <w:tcBorders>
              <w:top w:val="single" w:sz="4" w:space="0" w:color="000000"/>
              <w:left w:val="single" w:sz="4" w:space="0" w:color="000000"/>
              <w:bottom w:val="single" w:sz="4" w:space="0" w:color="000000"/>
              <w:right w:val="single" w:sz="4" w:space="0" w:color="000000"/>
            </w:tcBorders>
            <w:vAlign w:val="center"/>
          </w:tcPr>
          <w:p w14:paraId="6731FE3C"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应急环境监测及事故后评估</w:t>
            </w:r>
          </w:p>
        </w:tc>
        <w:tc>
          <w:tcPr>
            <w:tcW w:w="7395" w:type="dxa"/>
            <w:tcBorders>
              <w:top w:val="single" w:sz="4" w:space="0" w:color="000000"/>
              <w:left w:val="single" w:sz="4" w:space="0" w:color="000000"/>
              <w:bottom w:val="single" w:sz="4" w:space="0" w:color="000000"/>
              <w:right w:val="single" w:sz="12" w:space="0" w:color="000000"/>
            </w:tcBorders>
            <w:vAlign w:val="center"/>
          </w:tcPr>
          <w:p w14:paraId="03F33AC9"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由环境监测站进行现场地下水环境进行监测。对事故性质与后果进行评估，为指挥部门提供决策依据。</w:t>
            </w:r>
          </w:p>
        </w:tc>
      </w:tr>
      <w:tr w:rsidR="00D12939" w14:paraId="1A5FC384"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4934105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9</w:t>
            </w:r>
          </w:p>
        </w:tc>
        <w:tc>
          <w:tcPr>
            <w:tcW w:w="1940" w:type="dxa"/>
            <w:tcBorders>
              <w:top w:val="single" w:sz="4" w:space="0" w:color="000000"/>
              <w:left w:val="single" w:sz="4" w:space="0" w:color="000000"/>
              <w:bottom w:val="single" w:sz="4" w:space="0" w:color="000000"/>
              <w:right w:val="single" w:sz="4" w:space="0" w:color="000000"/>
            </w:tcBorders>
            <w:vAlign w:val="center"/>
          </w:tcPr>
          <w:p w14:paraId="6D6306A8"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应急防护措施、清除泄漏措施方法和器材</w:t>
            </w:r>
          </w:p>
        </w:tc>
        <w:tc>
          <w:tcPr>
            <w:tcW w:w="7395" w:type="dxa"/>
            <w:tcBorders>
              <w:top w:val="single" w:sz="4" w:space="0" w:color="000000"/>
              <w:left w:val="single" w:sz="4" w:space="0" w:color="000000"/>
              <w:bottom w:val="single" w:sz="4" w:space="0" w:color="000000"/>
              <w:right w:val="single" w:sz="12" w:space="0" w:color="000000"/>
            </w:tcBorders>
            <w:vAlign w:val="center"/>
          </w:tcPr>
          <w:p w14:paraId="0B035851"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事故现场：控制事故、防止扩大、蔓延及链锁反应。清除现场泄漏物，降低危害，相应的设施器材配备。邻近区域：控制污染区域，控制和清除污染措施及相应设备配备。</w:t>
            </w:r>
          </w:p>
        </w:tc>
      </w:tr>
      <w:tr w:rsidR="00D12939" w14:paraId="3DAB4A33"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66DC593F"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10</w:t>
            </w:r>
          </w:p>
        </w:tc>
        <w:tc>
          <w:tcPr>
            <w:tcW w:w="1940" w:type="dxa"/>
            <w:tcBorders>
              <w:top w:val="single" w:sz="4" w:space="0" w:color="000000"/>
              <w:left w:val="single" w:sz="4" w:space="0" w:color="000000"/>
              <w:bottom w:val="single" w:sz="4" w:space="0" w:color="000000"/>
              <w:right w:val="single" w:sz="4" w:space="0" w:color="000000"/>
            </w:tcBorders>
            <w:vAlign w:val="center"/>
          </w:tcPr>
          <w:p w14:paraId="2E58ABDE"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应急浓度、排放量控制、撤离组织计划、医疗救护与公众健康</w:t>
            </w:r>
          </w:p>
        </w:tc>
        <w:tc>
          <w:tcPr>
            <w:tcW w:w="7395" w:type="dxa"/>
            <w:tcBorders>
              <w:top w:val="single" w:sz="4" w:space="0" w:color="000000"/>
              <w:left w:val="single" w:sz="4" w:space="0" w:color="000000"/>
              <w:bottom w:val="single" w:sz="4" w:space="0" w:color="000000"/>
              <w:right w:val="single" w:sz="12" w:space="0" w:color="000000"/>
            </w:tcBorders>
            <w:vAlign w:val="center"/>
          </w:tcPr>
          <w:p w14:paraId="1AC61F4B"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事故现场：事故处理人员制定污染物的应急控制浓度、排放量，现场及邻近装置人员撤离组织计划及救护。环境敏感目标：受事故影响的邻近区域人员及公众对污染物应急控制浓度、排放量规定，撤离组织计划及救护。</w:t>
            </w:r>
          </w:p>
        </w:tc>
      </w:tr>
      <w:tr w:rsidR="00D12939" w14:paraId="3870FEE2"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6F4A6B1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11</w:t>
            </w:r>
          </w:p>
        </w:tc>
        <w:tc>
          <w:tcPr>
            <w:tcW w:w="1940" w:type="dxa"/>
            <w:tcBorders>
              <w:top w:val="single" w:sz="4" w:space="0" w:color="000000"/>
              <w:left w:val="single" w:sz="4" w:space="0" w:color="000000"/>
              <w:bottom w:val="single" w:sz="4" w:space="0" w:color="000000"/>
              <w:right w:val="single" w:sz="4" w:space="0" w:color="000000"/>
            </w:tcBorders>
            <w:vAlign w:val="center"/>
          </w:tcPr>
          <w:p w14:paraId="14FAD554"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应急状态终止与恢复措施</w:t>
            </w:r>
          </w:p>
        </w:tc>
        <w:tc>
          <w:tcPr>
            <w:tcW w:w="7395" w:type="dxa"/>
            <w:tcBorders>
              <w:top w:val="single" w:sz="4" w:space="0" w:color="000000"/>
              <w:left w:val="single" w:sz="4" w:space="0" w:color="000000"/>
              <w:bottom w:val="single" w:sz="4" w:space="0" w:color="000000"/>
              <w:right w:val="single" w:sz="12" w:space="0" w:color="000000"/>
            </w:tcBorders>
            <w:vAlign w:val="center"/>
          </w:tcPr>
          <w:p w14:paraId="75D6C31E"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规定应急状态终止程序。</w:t>
            </w:r>
          </w:p>
          <w:p w14:paraId="4B083A4D"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事故现场善后处理，恢复措施。</w:t>
            </w:r>
          </w:p>
          <w:p w14:paraId="15B1851A"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邻近区域解除事故警戒及善后恢复措施。</w:t>
            </w:r>
          </w:p>
          <w:p w14:paraId="564BE3DA"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建立重大环境事故责任追究、奖惩制度。</w:t>
            </w:r>
          </w:p>
        </w:tc>
      </w:tr>
      <w:tr w:rsidR="00D12939" w14:paraId="0379A912"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61EEF206"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12</w:t>
            </w:r>
          </w:p>
        </w:tc>
        <w:tc>
          <w:tcPr>
            <w:tcW w:w="1940" w:type="dxa"/>
            <w:tcBorders>
              <w:top w:val="single" w:sz="4" w:space="0" w:color="000000"/>
              <w:left w:val="single" w:sz="4" w:space="0" w:color="000000"/>
              <w:bottom w:val="single" w:sz="4" w:space="0" w:color="000000"/>
              <w:right w:val="single" w:sz="4" w:space="0" w:color="000000"/>
            </w:tcBorders>
            <w:vAlign w:val="center"/>
          </w:tcPr>
          <w:p w14:paraId="26C7CCCA"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人员培训与演练</w:t>
            </w:r>
          </w:p>
        </w:tc>
        <w:tc>
          <w:tcPr>
            <w:tcW w:w="7395" w:type="dxa"/>
            <w:tcBorders>
              <w:top w:val="single" w:sz="4" w:space="0" w:color="000000"/>
              <w:left w:val="single" w:sz="4" w:space="0" w:color="000000"/>
              <w:bottom w:val="single" w:sz="4" w:space="0" w:color="000000"/>
              <w:right w:val="single" w:sz="12" w:space="0" w:color="000000"/>
            </w:tcBorders>
            <w:vAlign w:val="center"/>
          </w:tcPr>
          <w:p w14:paraId="5A08177B"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应急计划制定后，平时安排人员培训与演练。</w:t>
            </w:r>
          </w:p>
        </w:tc>
      </w:tr>
      <w:tr w:rsidR="00D12939" w14:paraId="15AEDA47"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6D57D3C7"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13</w:t>
            </w:r>
          </w:p>
        </w:tc>
        <w:tc>
          <w:tcPr>
            <w:tcW w:w="1940" w:type="dxa"/>
            <w:tcBorders>
              <w:top w:val="single" w:sz="4" w:space="0" w:color="000000"/>
              <w:left w:val="single" w:sz="4" w:space="0" w:color="000000"/>
              <w:bottom w:val="single" w:sz="4" w:space="0" w:color="000000"/>
              <w:right w:val="single" w:sz="4" w:space="0" w:color="000000"/>
            </w:tcBorders>
            <w:vAlign w:val="center"/>
          </w:tcPr>
          <w:p w14:paraId="5D647AFE"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公众教育和信息</w:t>
            </w:r>
          </w:p>
        </w:tc>
        <w:tc>
          <w:tcPr>
            <w:tcW w:w="7395" w:type="dxa"/>
            <w:tcBorders>
              <w:top w:val="single" w:sz="4" w:space="0" w:color="000000"/>
              <w:left w:val="single" w:sz="4" w:space="0" w:color="000000"/>
              <w:bottom w:val="single" w:sz="4" w:space="0" w:color="000000"/>
              <w:right w:val="single" w:sz="12" w:space="0" w:color="000000"/>
            </w:tcBorders>
            <w:vAlign w:val="center"/>
          </w:tcPr>
          <w:p w14:paraId="72CF4C4B"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对邻近地区开展公众教育、培训和发布有关信息。</w:t>
            </w:r>
          </w:p>
        </w:tc>
      </w:tr>
      <w:tr w:rsidR="00D12939" w14:paraId="2CF8BBCB" w14:textId="77777777">
        <w:trPr>
          <w:trHeight w:val="309"/>
          <w:jc w:val="center"/>
        </w:trPr>
        <w:tc>
          <w:tcPr>
            <w:tcW w:w="679" w:type="dxa"/>
            <w:tcBorders>
              <w:top w:val="single" w:sz="4" w:space="0" w:color="000000"/>
              <w:left w:val="single" w:sz="12" w:space="0" w:color="000000"/>
              <w:bottom w:val="single" w:sz="4" w:space="0" w:color="000000"/>
              <w:right w:val="single" w:sz="4" w:space="0" w:color="000000"/>
            </w:tcBorders>
            <w:vAlign w:val="center"/>
          </w:tcPr>
          <w:p w14:paraId="6FF8812D"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14</w:t>
            </w:r>
          </w:p>
        </w:tc>
        <w:tc>
          <w:tcPr>
            <w:tcW w:w="1940" w:type="dxa"/>
            <w:tcBorders>
              <w:top w:val="single" w:sz="4" w:space="0" w:color="000000"/>
              <w:left w:val="single" w:sz="4" w:space="0" w:color="000000"/>
              <w:bottom w:val="single" w:sz="4" w:space="0" w:color="000000"/>
              <w:right w:val="single" w:sz="4" w:space="0" w:color="000000"/>
            </w:tcBorders>
            <w:vAlign w:val="center"/>
          </w:tcPr>
          <w:p w14:paraId="2B807BB5"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记录和报告</w:t>
            </w:r>
          </w:p>
        </w:tc>
        <w:tc>
          <w:tcPr>
            <w:tcW w:w="7395" w:type="dxa"/>
            <w:tcBorders>
              <w:top w:val="single" w:sz="4" w:space="0" w:color="000000"/>
              <w:left w:val="single" w:sz="4" w:space="0" w:color="000000"/>
              <w:bottom w:val="single" w:sz="4" w:space="0" w:color="000000"/>
              <w:right w:val="single" w:sz="12" w:space="0" w:color="000000"/>
            </w:tcBorders>
            <w:vAlign w:val="center"/>
          </w:tcPr>
          <w:p w14:paraId="7B169901"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设置应急事故专门记录，建档案和专门报告制度，设专门部门和负责管理。</w:t>
            </w:r>
          </w:p>
        </w:tc>
      </w:tr>
      <w:tr w:rsidR="00D12939" w14:paraId="57F7ED97" w14:textId="77777777">
        <w:trPr>
          <w:trHeight w:val="309"/>
          <w:jc w:val="center"/>
        </w:trPr>
        <w:tc>
          <w:tcPr>
            <w:tcW w:w="679" w:type="dxa"/>
            <w:tcBorders>
              <w:top w:val="single" w:sz="4" w:space="0" w:color="000000"/>
              <w:left w:val="single" w:sz="12" w:space="0" w:color="000000"/>
              <w:bottom w:val="single" w:sz="12" w:space="0" w:color="000000"/>
              <w:right w:val="single" w:sz="4" w:space="0" w:color="000000"/>
            </w:tcBorders>
            <w:vAlign w:val="center"/>
          </w:tcPr>
          <w:p w14:paraId="5D491B1C"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15</w:t>
            </w:r>
          </w:p>
        </w:tc>
        <w:tc>
          <w:tcPr>
            <w:tcW w:w="1940" w:type="dxa"/>
            <w:tcBorders>
              <w:top w:val="single" w:sz="4" w:space="0" w:color="000000"/>
              <w:left w:val="single" w:sz="4" w:space="0" w:color="000000"/>
              <w:bottom w:val="single" w:sz="12" w:space="0" w:color="000000"/>
              <w:right w:val="single" w:sz="4" w:space="0" w:color="000000"/>
            </w:tcBorders>
            <w:vAlign w:val="center"/>
          </w:tcPr>
          <w:p w14:paraId="58A1DC22" w14:textId="77777777" w:rsidR="00D12939" w:rsidRDefault="004F47F5">
            <w:pPr>
              <w:widowControl/>
              <w:adjustRightInd w:val="0"/>
              <w:snapToGrid w:val="0"/>
              <w:jc w:val="center"/>
              <w:rPr>
                <w:rFonts w:ascii="Times New Roman" w:eastAsia="宋体" w:hAnsi="Times New Roman" w:cs="Times New Roman"/>
                <w:kern w:val="0"/>
                <w:szCs w:val="21"/>
              </w:rPr>
            </w:pPr>
            <w:r>
              <w:rPr>
                <w:rFonts w:ascii="Times New Roman" w:eastAsia="宋体" w:hAnsi="Times New Roman" w:cs="Times New Roman"/>
                <w:kern w:val="0"/>
                <w:szCs w:val="21"/>
              </w:rPr>
              <w:t>附件</w:t>
            </w:r>
          </w:p>
        </w:tc>
        <w:tc>
          <w:tcPr>
            <w:tcW w:w="7395" w:type="dxa"/>
            <w:tcBorders>
              <w:top w:val="single" w:sz="4" w:space="0" w:color="000000"/>
              <w:left w:val="single" w:sz="4" w:space="0" w:color="000000"/>
              <w:bottom w:val="single" w:sz="12" w:space="0" w:color="000000"/>
              <w:right w:val="single" w:sz="12" w:space="0" w:color="000000"/>
            </w:tcBorders>
            <w:vAlign w:val="center"/>
          </w:tcPr>
          <w:p w14:paraId="5486F1D2" w14:textId="77777777" w:rsidR="00D12939" w:rsidRDefault="004F47F5">
            <w:pPr>
              <w:widowControl/>
              <w:adjustRightInd w:val="0"/>
              <w:snapToGrid w:val="0"/>
              <w:jc w:val="left"/>
              <w:rPr>
                <w:rFonts w:ascii="Times New Roman" w:eastAsia="宋体" w:hAnsi="Times New Roman" w:cs="Times New Roman"/>
                <w:kern w:val="0"/>
                <w:szCs w:val="21"/>
              </w:rPr>
            </w:pPr>
            <w:r>
              <w:rPr>
                <w:rFonts w:ascii="Times New Roman" w:eastAsia="宋体" w:hAnsi="Times New Roman" w:cs="Times New Roman"/>
                <w:kern w:val="0"/>
                <w:szCs w:val="21"/>
              </w:rPr>
              <w:t>与应急事故有关的多种附件材料的准备和形成。</w:t>
            </w:r>
          </w:p>
        </w:tc>
      </w:tr>
    </w:tbl>
    <w:p w14:paraId="5D628DB3" w14:textId="77777777" w:rsidR="00D12939" w:rsidRDefault="004F47F5">
      <w:pPr>
        <w:widowControl/>
        <w:adjustRightInd w:val="0"/>
        <w:snapToGrid w:val="0"/>
        <w:jc w:val="left"/>
        <w:rPr>
          <w:rFonts w:ascii="Times New Roman" w:eastAsia="宋体" w:hAnsi="Times New Roman" w:cs="Times New Roman"/>
          <w:kern w:val="0"/>
          <w:sz w:val="18"/>
          <w:szCs w:val="18"/>
        </w:rPr>
      </w:pPr>
      <w:r>
        <w:rPr>
          <w:rFonts w:ascii="Times New Roman" w:eastAsia="宋体" w:hAnsi="Times New Roman" w:cs="Times New Roman"/>
          <w:kern w:val="0"/>
          <w:sz w:val="18"/>
          <w:szCs w:val="18"/>
        </w:rPr>
        <w:t xml:space="preserve"> </w:t>
      </w:r>
    </w:p>
    <w:p w14:paraId="28E2EFAF" w14:textId="77777777" w:rsidR="00D12939" w:rsidRDefault="004F47F5">
      <w:pPr>
        <w:widowControl/>
        <w:autoSpaceDE w:val="0"/>
        <w:adjustRightInd w:val="0"/>
        <w:snapToGrid w:val="0"/>
        <w:jc w:val="left"/>
        <w:rPr>
          <w:rFonts w:ascii="Times New Roman" w:eastAsia="宋体" w:hAnsi="Times New Roman" w:cs="Times New Roman"/>
          <w:kern w:val="0"/>
          <w:sz w:val="22"/>
        </w:rPr>
      </w:pPr>
      <w:r>
        <w:rPr>
          <w:rFonts w:ascii="Times New Roman" w:eastAsia="宋体" w:hAnsi="Times New Roman" w:cs="Times New Roman"/>
          <w:noProof/>
          <w:kern w:val="0"/>
          <w:sz w:val="24"/>
          <w:szCs w:val="24"/>
        </w:rPr>
        <w:lastRenderedPageBreak/>
        <w:drawing>
          <wp:inline distT="0" distB="0" distL="0" distR="0">
            <wp:extent cx="5204460" cy="4889500"/>
            <wp:effectExtent l="0" t="0" r="0" b="0"/>
            <wp:docPr id="35" name="图片 2" descr="C:\Users\HpBlues\AppData\Local\Temp\ksohtml1076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C:\Users\HpBlues\AppData\Local\Temp\ksohtml10760\wps1.png"/>
                    <pic:cNvPicPr>
                      <a:picLocks noChangeAspect="1" noChangeArrowheads="1"/>
                    </pic:cNvPicPr>
                  </pic:nvPicPr>
                  <pic:blipFill>
                    <a:blip r:embed="rId77"/>
                    <a:srcRect/>
                    <a:stretch>
                      <a:fillRect/>
                    </a:stretch>
                  </pic:blipFill>
                  <pic:spPr>
                    <a:xfrm>
                      <a:off x="0" y="0"/>
                      <a:ext cx="5204952" cy="4889500"/>
                    </a:xfrm>
                    <a:prstGeom prst="rect">
                      <a:avLst/>
                    </a:prstGeom>
                    <a:noFill/>
                    <a:ln w="9525">
                      <a:noFill/>
                      <a:miter lim="800000"/>
                      <a:headEnd/>
                      <a:tailEnd/>
                    </a:ln>
                  </pic:spPr>
                </pic:pic>
              </a:graphicData>
            </a:graphic>
          </wp:inline>
        </w:drawing>
      </w:r>
    </w:p>
    <w:p w14:paraId="2511D661" w14:textId="77777777" w:rsidR="00D12939" w:rsidRDefault="004F47F5">
      <w:pPr>
        <w:jc w:val="center"/>
        <w:rPr>
          <w:rFonts w:ascii="黑体" w:eastAsia="黑体" w:hAnsi="黑体" w:cs="Times New Roman"/>
          <w:kern w:val="0"/>
          <w:sz w:val="24"/>
          <w:szCs w:val="21"/>
        </w:rPr>
      </w:pPr>
      <w:r>
        <w:rPr>
          <w:rFonts w:ascii="黑体" w:eastAsia="黑体" w:hAnsi="黑体" w:cs="Times New Roman"/>
          <w:kern w:val="0"/>
          <w:sz w:val="24"/>
          <w:szCs w:val="21"/>
        </w:rPr>
        <w:t>图</w:t>
      </w:r>
      <w:r>
        <w:rPr>
          <w:rFonts w:ascii="黑体" w:eastAsia="黑体" w:hAnsi="黑体" w:cs="Times New Roman" w:hint="eastAsia"/>
          <w:kern w:val="0"/>
          <w:sz w:val="24"/>
          <w:szCs w:val="21"/>
        </w:rPr>
        <w:t>9</w:t>
      </w:r>
      <w:r>
        <w:rPr>
          <w:rFonts w:ascii="黑体" w:eastAsia="黑体" w:hAnsi="黑体" w:cs="Times New Roman"/>
          <w:kern w:val="0"/>
          <w:sz w:val="24"/>
          <w:szCs w:val="21"/>
        </w:rPr>
        <w:t>.</w:t>
      </w:r>
      <w:r>
        <w:rPr>
          <w:rFonts w:ascii="黑体" w:eastAsia="黑体" w:hAnsi="黑体" w:cs="Times New Roman" w:hint="eastAsia"/>
          <w:kern w:val="0"/>
          <w:sz w:val="24"/>
          <w:szCs w:val="21"/>
        </w:rPr>
        <w:t>2</w:t>
      </w:r>
      <w:r>
        <w:rPr>
          <w:rFonts w:ascii="黑体" w:eastAsia="黑体" w:hAnsi="黑体" w:cs="Times New Roman"/>
          <w:kern w:val="0"/>
          <w:sz w:val="24"/>
          <w:szCs w:val="21"/>
        </w:rPr>
        <w:t>-4    地下水污染应急治理程序框图</w:t>
      </w:r>
    </w:p>
    <w:p w14:paraId="385A1DDB" w14:textId="77777777" w:rsidR="00D12939" w:rsidRDefault="004F47F5">
      <w:pPr>
        <w:pStyle w:val="4"/>
        <w:spacing w:before="0" w:after="0" w:line="360" w:lineRule="auto"/>
        <w:ind w:firstLineChars="200" w:firstLine="482"/>
        <w:rPr>
          <w:rFonts w:ascii="宋体" w:eastAsia="宋体" w:hAnsi="宋体"/>
          <w:sz w:val="24"/>
        </w:rPr>
      </w:pPr>
      <w:bookmarkStart w:id="619" w:name="_Toc41467550"/>
      <w:bookmarkStart w:id="620" w:name="_Toc41501075"/>
      <w:bookmarkEnd w:id="619"/>
      <w:r>
        <w:rPr>
          <w:rFonts w:ascii="宋体" w:eastAsia="宋体" w:hAnsi="宋体"/>
          <w:sz w:val="24"/>
        </w:rPr>
        <w:t>9.2.3.5应急处置</w:t>
      </w:r>
      <w:bookmarkEnd w:id="620"/>
    </w:p>
    <w:p w14:paraId="7438337F"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一旦发现地下水水质发生异常情况，必须按照应急预案马上采取紧急措施：</w:t>
      </w:r>
    </w:p>
    <w:p w14:paraId="2B1C8048"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）当确定发生地下水异常情况时，按照制订的地下水应急预案，在第一时间内尽快上报主管领导，通知当地环保局、附近居民等地下水用户，密切关注地下水水质变化情况。</w:t>
      </w:r>
    </w:p>
    <w:p w14:paraId="7F72086B"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）组织专业队伍对事故现场进行调查、监测，尽量将紧急事件局部化，如可能应采取包括切断交通与供水等措施，防止事故的扩散、蔓延及连锁反应，尽量缩小地下水污染事故对人和财产的影响。</w:t>
      </w:r>
    </w:p>
    <w:p w14:paraId="54B9EEE6"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）当通过监测发现周围地下水造成污染时，根据观测井的反馈信息，立即启动应急预案，采取措施，抑制污染物向下游扩散量，控制污染范围，使地下水质量得到尽快恢复。</w:t>
      </w:r>
    </w:p>
    <w:p w14:paraId="7C0EDB79"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）对事故后果进行评估，并制定防止类似事件发生的措施。</w:t>
      </w:r>
    </w:p>
    <w:p w14:paraId="61069CB4"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w:t>
      </w:r>
      <w:r>
        <w:rPr>
          <w:rFonts w:ascii="Times New Roman" w:eastAsia="宋体" w:hAnsi="Times New Roman" w:cs="Times New Roman"/>
          <w:kern w:val="0"/>
          <w:sz w:val="24"/>
          <w:szCs w:val="24"/>
        </w:rPr>
        <w:t>）如果自身力量无法应对污染事故，应立即请求社会应急力量协助处理。</w:t>
      </w:r>
    </w:p>
    <w:p w14:paraId="55B68705" w14:textId="77777777" w:rsidR="00D12939" w:rsidRDefault="004F47F5">
      <w:pPr>
        <w:pStyle w:val="4"/>
        <w:spacing w:before="0" w:after="0" w:line="360" w:lineRule="auto"/>
        <w:ind w:firstLineChars="200" w:firstLine="482"/>
        <w:rPr>
          <w:rFonts w:ascii="宋体" w:eastAsia="宋体" w:hAnsi="宋体"/>
          <w:sz w:val="24"/>
        </w:rPr>
      </w:pPr>
      <w:bookmarkStart w:id="621" w:name="_Toc435019903"/>
      <w:bookmarkStart w:id="622" w:name="_Toc41467551"/>
      <w:bookmarkStart w:id="623" w:name="_Toc41501076"/>
      <w:bookmarkEnd w:id="621"/>
      <w:bookmarkEnd w:id="622"/>
      <w:r>
        <w:rPr>
          <w:rFonts w:ascii="宋体" w:eastAsia="宋体" w:hAnsi="宋体"/>
          <w:sz w:val="24"/>
        </w:rPr>
        <w:t>9.2.3.6建议措施</w:t>
      </w:r>
      <w:bookmarkEnd w:id="623"/>
    </w:p>
    <w:p w14:paraId="5666BEA8"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建议采取如下污染治理措施：</w:t>
      </w:r>
    </w:p>
    <w:p w14:paraId="3EAD05D4"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）一旦发生地下水污染事故，应立即启动应急预案；</w:t>
      </w:r>
    </w:p>
    <w:p w14:paraId="0EC564D8"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）查明并切断污染源；</w:t>
      </w:r>
    </w:p>
    <w:p w14:paraId="45BA693E"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）探明地下水污染深度、范围和污染程度；</w:t>
      </w:r>
    </w:p>
    <w:p w14:paraId="1B6440E6"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）依据探明的地下水污染情况和污染场地的岩性特征，合理布置轻型井点的深度及间距，并进行轻型井点试抽工作；</w:t>
      </w:r>
    </w:p>
    <w:p w14:paraId="701A7511"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w:t>
      </w:r>
      <w:r>
        <w:rPr>
          <w:rFonts w:ascii="Times New Roman" w:eastAsia="宋体" w:hAnsi="Times New Roman" w:cs="Times New Roman"/>
          <w:kern w:val="0"/>
          <w:sz w:val="24"/>
          <w:szCs w:val="24"/>
        </w:rPr>
        <w:t>）依据轻型井点抽水设计方案进行施工，抽取被污染的地下水体，并依据各井点出水情况进行调整；</w:t>
      </w:r>
    </w:p>
    <w:p w14:paraId="420A1240"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6</w:t>
      </w:r>
      <w:r>
        <w:rPr>
          <w:rFonts w:ascii="Times New Roman" w:eastAsia="宋体" w:hAnsi="Times New Roman" w:cs="Times New Roman"/>
          <w:kern w:val="0"/>
          <w:sz w:val="24"/>
          <w:szCs w:val="24"/>
        </w:rPr>
        <w:t>）将抽取的地下水进行集中收集处理，并送实验室进行化验分析；</w:t>
      </w:r>
    </w:p>
    <w:p w14:paraId="176AEB82" w14:textId="77777777" w:rsidR="00D12939" w:rsidRDefault="004F47F5">
      <w:pPr>
        <w:widowControl/>
        <w:adjustRightInd w:val="0"/>
        <w:snapToGri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7</w:t>
      </w:r>
      <w:r>
        <w:rPr>
          <w:rFonts w:ascii="Times New Roman" w:eastAsia="宋体" w:hAnsi="Times New Roman" w:cs="Times New Roman"/>
          <w:kern w:val="0"/>
          <w:sz w:val="24"/>
          <w:szCs w:val="24"/>
        </w:rPr>
        <w:t>）当地下水中的特征污染物浓度满足地下水功能区划的标准后，逐步停止井点抽水，并进行土壤修复治理工作。</w:t>
      </w:r>
    </w:p>
    <w:p w14:paraId="7BD98DEC"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24" w:name="_Toc30089316"/>
      <w:bookmarkStart w:id="625" w:name="_Toc121411816"/>
      <w:bookmarkStart w:id="626" w:name="_Toc113952333"/>
      <w:r>
        <w:rPr>
          <w:rFonts w:ascii="Times New Roman" w:eastAsia="黑体" w:hAnsi="Times New Roman" w:cs="Times New Roman"/>
          <w:b w:val="0"/>
          <w:sz w:val="24"/>
        </w:rPr>
        <w:t>9.2.4</w:t>
      </w:r>
      <w:r>
        <w:rPr>
          <w:rFonts w:ascii="Times New Roman" w:eastAsia="黑体" w:hAnsi="Times New Roman" w:cs="Times New Roman"/>
          <w:b w:val="0"/>
          <w:sz w:val="24"/>
        </w:rPr>
        <w:t>土壤污染防治措施</w:t>
      </w:r>
      <w:bookmarkEnd w:id="624"/>
      <w:bookmarkEnd w:id="625"/>
      <w:bookmarkEnd w:id="626"/>
    </w:p>
    <w:p w14:paraId="6426A3AC"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9.2.4</w:t>
      </w:r>
      <w:r>
        <w:rPr>
          <w:rFonts w:ascii="宋体" w:eastAsia="宋体" w:hAnsi="宋体" w:hint="eastAsia"/>
          <w:sz w:val="24"/>
        </w:rPr>
        <w:t>.1</w:t>
      </w:r>
      <w:r>
        <w:rPr>
          <w:rFonts w:ascii="宋体" w:eastAsia="宋体" w:hAnsi="宋体"/>
          <w:sz w:val="24"/>
        </w:rPr>
        <w:t>源头控制措施</w:t>
      </w:r>
    </w:p>
    <w:p w14:paraId="3961F0F3" w14:textId="77777777" w:rsidR="00D12939" w:rsidRDefault="004F47F5">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1</w:t>
      </w:r>
      <w:r>
        <w:rPr>
          <w:rFonts w:ascii="Times New Roman" w:eastAsia="宋体" w:hAnsi="Times New Roman" w:cs="Times New Roman"/>
          <w:sz w:val="24"/>
          <w:szCs w:val="24"/>
        </w:rPr>
        <w:t>）针对本项目大气沉降型的土壤污染影响，可采用以下源头控制措施：</w:t>
      </w:r>
    </w:p>
    <w:p w14:paraId="7D657097" w14:textId="77777777" w:rsidR="00D12939" w:rsidRDefault="004F47F5">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垃圾入场后须经压实机压实处理，并严格控制压实密度与碾压次数；每天填埋工作结束后，对垃圾压实表面进行临时覆盖，以减轻产生的扬尘和轻物质飞散；此外，在填埋场建设铁丝网、绿化隔离带等隔离设施，在生产管理区、进场道路区保证充足绿化；为防止垃圾特别是塑料袋等轻物质飘散。</w:t>
      </w:r>
    </w:p>
    <w:p w14:paraId="379D5AA6" w14:textId="77777777" w:rsidR="00D12939" w:rsidRDefault="004F47F5">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2</w:t>
      </w:r>
      <w:r>
        <w:rPr>
          <w:rFonts w:ascii="Times New Roman" w:eastAsia="宋体" w:hAnsi="Times New Roman" w:cs="Times New Roman"/>
          <w:sz w:val="24"/>
          <w:szCs w:val="24"/>
        </w:rPr>
        <w:t>）针对本项目地面漫流、垂直入渗型土壤污染影响，沿填埋库区终场锚固平台外侧设置截洪沟，可减少地表径流进入场内，到雨污水分流；对填埋库区进行垂直分区，实现雨污水分流，减少渗滤液产生量。</w:t>
      </w:r>
    </w:p>
    <w:p w14:paraId="2AAB6DA5" w14:textId="77777777" w:rsidR="00D12939" w:rsidRDefault="004F47F5">
      <w:pPr>
        <w:pStyle w:val="4"/>
        <w:spacing w:before="0" w:after="0" w:line="360" w:lineRule="auto"/>
        <w:ind w:firstLineChars="200" w:firstLine="482"/>
        <w:rPr>
          <w:rFonts w:ascii="宋体" w:eastAsia="宋体" w:hAnsi="宋体"/>
          <w:sz w:val="24"/>
        </w:rPr>
      </w:pPr>
      <w:r>
        <w:rPr>
          <w:rFonts w:ascii="宋体" w:eastAsia="宋体" w:hAnsi="宋体"/>
          <w:sz w:val="24"/>
        </w:rPr>
        <w:t>9.2</w:t>
      </w:r>
      <w:r>
        <w:rPr>
          <w:rFonts w:ascii="宋体" w:eastAsia="宋体" w:hAnsi="宋体" w:hint="eastAsia"/>
          <w:sz w:val="24"/>
        </w:rPr>
        <w:t>.4.2</w:t>
      </w:r>
      <w:r>
        <w:rPr>
          <w:rFonts w:ascii="宋体" w:eastAsia="宋体" w:hAnsi="宋体"/>
          <w:sz w:val="24"/>
        </w:rPr>
        <w:t>过程防控措施</w:t>
      </w:r>
    </w:p>
    <w:p w14:paraId="0D9A1688" w14:textId="77777777" w:rsidR="00D12939" w:rsidRDefault="004F47F5">
      <w:pPr>
        <w:widowControl/>
        <w:spacing w:line="360" w:lineRule="auto"/>
        <w:ind w:firstLineChars="200" w:firstLine="480"/>
        <w:rPr>
          <w:rFonts w:ascii="Times New Roman" w:eastAsia="宋体" w:hAnsi="Times New Roman" w:cs="Times New Roman"/>
          <w:sz w:val="24"/>
          <w:szCs w:val="24"/>
        </w:rPr>
      </w:pPr>
      <w:bookmarkStart w:id="627" w:name="_Toc113952334"/>
      <w:bookmarkStart w:id="628" w:name="_Toc30089317"/>
      <w:r>
        <w:rPr>
          <w:rFonts w:ascii="Times New Roman" w:eastAsia="宋体" w:hAnsi="Times New Roman" w:cs="Times New Roman"/>
          <w:sz w:val="24"/>
          <w:szCs w:val="24"/>
        </w:rPr>
        <w:t>本项目应严格按照《生活垃圾卫生填埋处理技术规范》（</w:t>
      </w:r>
      <w:r>
        <w:rPr>
          <w:rFonts w:ascii="Times New Roman" w:eastAsia="宋体" w:hAnsi="Times New Roman" w:cs="Times New Roman"/>
          <w:sz w:val="24"/>
          <w:szCs w:val="24"/>
        </w:rPr>
        <w:t>GB50869-2013</w:t>
      </w:r>
      <w:r>
        <w:rPr>
          <w:rFonts w:ascii="Times New Roman" w:eastAsia="宋体" w:hAnsi="Times New Roman" w:cs="Times New Roman"/>
          <w:sz w:val="24"/>
          <w:szCs w:val="24"/>
        </w:rPr>
        <w:t>）、《生活垃圾填埋场污染控制标准》（</w:t>
      </w:r>
      <w:r>
        <w:rPr>
          <w:rFonts w:ascii="Times New Roman" w:eastAsia="宋体" w:hAnsi="Times New Roman" w:cs="Times New Roman"/>
          <w:sz w:val="24"/>
          <w:szCs w:val="24"/>
        </w:rPr>
        <w:t>GB16889-2008</w:t>
      </w:r>
      <w:r>
        <w:rPr>
          <w:rFonts w:ascii="Times New Roman" w:eastAsia="宋体" w:hAnsi="Times New Roman" w:cs="Times New Roman"/>
          <w:sz w:val="24"/>
          <w:szCs w:val="24"/>
        </w:rPr>
        <w:t>）等标准要求，对填埋区的底部和边坡做好重点防渗，场地内其他区域地面做硬化处理，防治土壤环境污染。此外，应加强日常监管与维修维护工作，防止跑、冒、滴、漏现象与非正常工况情形的发生。</w:t>
      </w:r>
    </w:p>
    <w:p w14:paraId="6B5F0CBC" w14:textId="77777777" w:rsidR="00D12939" w:rsidRDefault="004F47F5">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上述措施均为现行垃圾填埋场常用的基本措施，采取上述措施后可有效控制不同影响途径对土壤环境的污染。</w:t>
      </w:r>
    </w:p>
    <w:p w14:paraId="38788461"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29" w:name="_Toc121411817"/>
      <w:r>
        <w:rPr>
          <w:rFonts w:ascii="Times New Roman" w:eastAsia="黑体" w:hAnsi="Times New Roman" w:cs="Times New Roman"/>
          <w:b w:val="0"/>
          <w:sz w:val="24"/>
        </w:rPr>
        <w:t>9.2.5</w:t>
      </w:r>
      <w:r>
        <w:rPr>
          <w:rFonts w:ascii="Times New Roman" w:eastAsia="黑体" w:hAnsi="Times New Roman" w:cs="Times New Roman"/>
          <w:b w:val="0"/>
          <w:sz w:val="24"/>
        </w:rPr>
        <w:t>固体废弃物处置措施</w:t>
      </w:r>
      <w:bookmarkEnd w:id="627"/>
      <w:bookmarkEnd w:id="628"/>
      <w:bookmarkEnd w:id="629"/>
    </w:p>
    <w:p w14:paraId="027B4F4A"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本项目产生的固体废物主要是生活垃圾、污水处理产生的污泥、废机油、渗滤液处理站废膜、污水处理药品和除臭剂废包装等。</w:t>
      </w:r>
    </w:p>
    <w:p w14:paraId="4F9D7963"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lastRenderedPageBreak/>
        <w:t>（</w:t>
      </w:r>
      <w:r>
        <w:rPr>
          <w:rFonts w:ascii="Times New Roman" w:eastAsia="宋体" w:hAnsi="Times New Roman" w:cs="Times New Roman"/>
          <w:kern w:val="0"/>
          <w:sz w:val="24"/>
          <w:szCs w:val="24"/>
        </w:rPr>
        <w:t>1</w:t>
      </w:r>
      <w:r>
        <w:rPr>
          <w:rFonts w:ascii="Times New Roman" w:eastAsia="宋体" w:hAnsi="Times New Roman" w:cs="Times New Roman"/>
          <w:kern w:val="0"/>
          <w:sz w:val="24"/>
          <w:szCs w:val="24"/>
        </w:rPr>
        <w:t>）生活垃圾</w:t>
      </w:r>
    </w:p>
    <w:p w14:paraId="6746AAF3"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本项目劳动定员</w:t>
      </w:r>
      <w:r>
        <w:rPr>
          <w:rFonts w:ascii="Times New Roman" w:eastAsia="宋体" w:hAnsi="Times New Roman" w:cs="Times New Roman"/>
          <w:kern w:val="0"/>
          <w:sz w:val="24"/>
          <w:szCs w:val="24"/>
        </w:rPr>
        <w:t>16</w:t>
      </w:r>
      <w:r>
        <w:rPr>
          <w:rFonts w:ascii="Times New Roman" w:eastAsia="宋体" w:hAnsi="Times New Roman" w:cs="Times New Roman"/>
          <w:kern w:val="0"/>
          <w:sz w:val="24"/>
          <w:szCs w:val="24"/>
        </w:rPr>
        <w:t>人，按每人每天产生生活垃圾</w:t>
      </w:r>
      <w:r>
        <w:rPr>
          <w:rFonts w:ascii="Times New Roman" w:eastAsia="宋体" w:hAnsi="Times New Roman" w:cs="Times New Roman"/>
          <w:kern w:val="0"/>
          <w:sz w:val="24"/>
          <w:szCs w:val="24"/>
        </w:rPr>
        <w:t xml:space="preserve">0.5kg </w:t>
      </w:r>
      <w:r>
        <w:rPr>
          <w:rFonts w:ascii="Times New Roman" w:eastAsia="宋体" w:hAnsi="Times New Roman" w:cs="Times New Roman"/>
          <w:kern w:val="0"/>
          <w:sz w:val="24"/>
          <w:szCs w:val="24"/>
        </w:rPr>
        <w:t>计，则垃圾产生量为</w:t>
      </w:r>
      <w:r>
        <w:rPr>
          <w:rFonts w:ascii="Times New Roman" w:eastAsia="宋体" w:hAnsi="Times New Roman" w:cs="Times New Roman"/>
          <w:kern w:val="0"/>
          <w:sz w:val="24"/>
          <w:szCs w:val="24"/>
        </w:rPr>
        <w:t>2.92t/a</w:t>
      </w:r>
      <w:r>
        <w:rPr>
          <w:rFonts w:ascii="Times New Roman" w:eastAsia="宋体" w:hAnsi="Times New Roman" w:cs="Times New Roman"/>
          <w:kern w:val="0"/>
          <w:sz w:val="24"/>
          <w:szCs w:val="24"/>
        </w:rPr>
        <w:t>，分类收集后直接运至本项目填埋区进行填埋。</w:t>
      </w:r>
    </w:p>
    <w:p w14:paraId="1D1910E9"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2</w:t>
      </w:r>
      <w:r>
        <w:rPr>
          <w:rFonts w:ascii="Times New Roman" w:eastAsia="宋体" w:hAnsi="Times New Roman" w:cs="Times New Roman"/>
          <w:kern w:val="0"/>
          <w:sz w:val="24"/>
          <w:szCs w:val="24"/>
        </w:rPr>
        <w:t>）污泥</w:t>
      </w:r>
    </w:p>
    <w:p w14:paraId="65AA6BF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渗滤液处理系统会产生污泥，污泥经厢式隔膜压滤脱水机进行脱水，脱水后为含水率约</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的泥饼，运至本项目填埋区卫生填埋，每年产生的脱水污泥约为</w:t>
      </w:r>
      <w:r>
        <w:rPr>
          <w:rFonts w:ascii="Times New Roman" w:eastAsia="宋体" w:hAnsi="Times New Roman" w:cs="Times New Roman"/>
          <w:kern w:val="0"/>
          <w:sz w:val="24"/>
          <w:szCs w:val="24"/>
        </w:rPr>
        <w:t>88.97t/a</w:t>
      </w:r>
      <w:r>
        <w:rPr>
          <w:rFonts w:ascii="Times New Roman" w:eastAsia="宋体" w:hAnsi="Times New Roman" w:cs="Times New Roman"/>
          <w:kern w:val="0"/>
          <w:sz w:val="24"/>
          <w:szCs w:val="24"/>
        </w:rPr>
        <w:t>（含水率约</w:t>
      </w:r>
      <w:r>
        <w:rPr>
          <w:rFonts w:ascii="Times New Roman" w:eastAsia="宋体" w:hAnsi="Times New Roman" w:cs="Times New Roman"/>
          <w:kern w:val="0"/>
          <w:sz w:val="24"/>
          <w:szCs w:val="24"/>
        </w:rPr>
        <w:t>60%</w:t>
      </w:r>
      <w:r>
        <w:rPr>
          <w:rFonts w:ascii="Times New Roman" w:eastAsia="宋体" w:hAnsi="Times New Roman" w:cs="Times New Roman"/>
          <w:kern w:val="0"/>
          <w:sz w:val="24"/>
          <w:szCs w:val="24"/>
        </w:rPr>
        <w:t>）。</w:t>
      </w:r>
    </w:p>
    <w:p w14:paraId="55FC10AF"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3</w:t>
      </w:r>
      <w:r>
        <w:rPr>
          <w:rFonts w:ascii="Times New Roman" w:eastAsia="宋体" w:hAnsi="Times New Roman" w:cs="Times New Roman"/>
          <w:kern w:val="0"/>
          <w:sz w:val="24"/>
          <w:szCs w:val="24"/>
        </w:rPr>
        <w:t>）废机油</w:t>
      </w:r>
    </w:p>
    <w:p w14:paraId="4218E762"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本项目运营期在垃圾填埋和污水处理等过程中使用较多的机械设备，需要定期进行维修和保养，保持设备较好的工作状态，降低噪声等污染，过程中会产生废机油等，属于危险废物（</w:t>
      </w:r>
      <w:r>
        <w:rPr>
          <w:rFonts w:ascii="Times New Roman" w:eastAsia="宋体" w:hAnsi="Times New Roman" w:cs="Times New Roman"/>
          <w:kern w:val="0"/>
          <w:sz w:val="24"/>
          <w:szCs w:val="24"/>
        </w:rPr>
        <w:t>HW08 900-214-08</w:t>
      </w:r>
      <w:r>
        <w:rPr>
          <w:rFonts w:ascii="Times New Roman" w:eastAsia="宋体" w:hAnsi="Times New Roman" w:cs="Times New Roman"/>
          <w:kern w:val="0"/>
          <w:sz w:val="24"/>
          <w:szCs w:val="24"/>
        </w:rPr>
        <w:t>），产生量约为</w:t>
      </w:r>
      <w:r>
        <w:rPr>
          <w:rFonts w:ascii="Times New Roman" w:eastAsia="宋体" w:hAnsi="Times New Roman" w:cs="Times New Roman"/>
          <w:kern w:val="0"/>
          <w:sz w:val="24"/>
          <w:szCs w:val="24"/>
        </w:rPr>
        <w:t>0.5t/a</w:t>
      </w:r>
      <w:r>
        <w:rPr>
          <w:rFonts w:ascii="Times New Roman" w:eastAsia="宋体" w:hAnsi="Times New Roman" w:cs="Times New Roman"/>
          <w:kern w:val="0"/>
          <w:sz w:val="24"/>
          <w:szCs w:val="24"/>
        </w:rPr>
        <w:t>，收集后暂存于危废暂存间，定期交由有资质单位处置。</w:t>
      </w:r>
    </w:p>
    <w:p w14:paraId="50718453"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4</w:t>
      </w:r>
      <w:r>
        <w:rPr>
          <w:rFonts w:ascii="Times New Roman" w:eastAsia="宋体" w:hAnsi="Times New Roman" w:cs="Times New Roman"/>
          <w:kern w:val="0"/>
          <w:sz w:val="24"/>
          <w:szCs w:val="24"/>
        </w:rPr>
        <w:t>）污水处理药品和除臭、杀虫剂等废包装瓶（袋）</w:t>
      </w:r>
    </w:p>
    <w:p w14:paraId="2DEE494F"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项目在污水处理时用到化学药剂和填埋区域除臭杀虫等用到相关药剂的包装属于危废，产生量为</w:t>
      </w:r>
      <w:r>
        <w:rPr>
          <w:rFonts w:ascii="Times New Roman" w:eastAsia="宋体" w:hAnsi="Times New Roman" w:cs="Times New Roman"/>
          <w:kern w:val="0"/>
          <w:sz w:val="24"/>
          <w:szCs w:val="24"/>
        </w:rPr>
        <w:t>2.5t/a</w:t>
      </w:r>
      <w:r>
        <w:rPr>
          <w:rFonts w:ascii="Times New Roman" w:eastAsia="宋体" w:hAnsi="Times New Roman" w:cs="Times New Roman"/>
          <w:kern w:val="0"/>
          <w:sz w:val="24"/>
          <w:szCs w:val="24"/>
        </w:rPr>
        <w:t>，属于危废（</w:t>
      </w:r>
      <w:r>
        <w:rPr>
          <w:rFonts w:ascii="Times New Roman" w:eastAsia="宋体" w:hAnsi="Times New Roman" w:cs="Times New Roman"/>
          <w:kern w:val="0"/>
          <w:sz w:val="24"/>
          <w:szCs w:val="24"/>
        </w:rPr>
        <w:t>HW49 900-041-49</w:t>
      </w:r>
      <w:r>
        <w:rPr>
          <w:rFonts w:ascii="Times New Roman" w:eastAsia="宋体" w:hAnsi="Times New Roman" w:cs="Times New Roman"/>
          <w:kern w:val="0"/>
          <w:sz w:val="24"/>
          <w:szCs w:val="24"/>
        </w:rPr>
        <w:t>），收集后暂存于危废暂存间，定期交由有资质单位处置。</w:t>
      </w:r>
    </w:p>
    <w:p w14:paraId="297F176B"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kern w:val="0"/>
          <w:sz w:val="24"/>
          <w:szCs w:val="24"/>
        </w:rPr>
      </w:pPr>
      <w:r>
        <w:rPr>
          <w:rFonts w:ascii="Times New Roman" w:eastAsia="宋体" w:hAnsi="Times New Roman" w:cs="Times New Roman"/>
          <w:kern w:val="0"/>
          <w:sz w:val="24"/>
          <w:szCs w:val="24"/>
        </w:rPr>
        <w:t>（</w:t>
      </w:r>
      <w:r>
        <w:rPr>
          <w:rFonts w:ascii="Times New Roman" w:eastAsia="宋体" w:hAnsi="Times New Roman" w:cs="Times New Roman"/>
          <w:kern w:val="0"/>
          <w:sz w:val="24"/>
          <w:szCs w:val="24"/>
        </w:rPr>
        <w:t>5</w:t>
      </w:r>
      <w:r>
        <w:rPr>
          <w:rFonts w:ascii="Times New Roman" w:eastAsia="宋体" w:hAnsi="Times New Roman" w:cs="Times New Roman"/>
          <w:kern w:val="0"/>
          <w:sz w:val="24"/>
          <w:szCs w:val="24"/>
        </w:rPr>
        <w:t>）渗滤液处理站废膜</w:t>
      </w:r>
    </w:p>
    <w:p w14:paraId="0BB234CC"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本项目渗滤液处理系统的处理工艺采用</w:t>
      </w:r>
      <w:r>
        <w:rPr>
          <w:rFonts w:ascii="Times New Roman" w:eastAsia="宋体" w:hAnsi="Times New Roman" w:cs="Times New Roman"/>
          <w:sz w:val="24"/>
          <w:szCs w:val="24"/>
        </w:rPr>
        <w:t>“</w:t>
      </w:r>
      <w:r>
        <w:rPr>
          <w:rFonts w:ascii="Times New Roman" w:eastAsia="宋体" w:hAnsi="Times New Roman" w:cs="Times New Roman"/>
          <w:sz w:val="24"/>
          <w:szCs w:val="24"/>
        </w:rPr>
        <w:t>预处理</w:t>
      </w:r>
      <w:r>
        <w:rPr>
          <w:rFonts w:ascii="Times New Roman" w:eastAsia="宋体" w:hAnsi="Times New Roman" w:cs="Times New Roman"/>
          <w:sz w:val="24"/>
          <w:szCs w:val="24"/>
        </w:rPr>
        <w:t>-</w:t>
      </w:r>
      <w:r>
        <w:rPr>
          <w:rFonts w:ascii="Times New Roman" w:eastAsia="宋体" w:hAnsi="Times New Roman" w:cs="Times New Roman"/>
          <w:sz w:val="24"/>
          <w:szCs w:val="24"/>
        </w:rPr>
        <w:t>一体化反应池</w:t>
      </w:r>
      <w:r>
        <w:rPr>
          <w:rFonts w:ascii="Times New Roman" w:eastAsia="宋体" w:hAnsi="Times New Roman" w:cs="Times New Roman"/>
          <w:sz w:val="24"/>
          <w:szCs w:val="24"/>
        </w:rPr>
        <w:t>-</w:t>
      </w:r>
      <w:r>
        <w:rPr>
          <w:rFonts w:ascii="Times New Roman" w:eastAsia="宋体" w:hAnsi="Times New Roman" w:cs="Times New Roman"/>
          <w:sz w:val="24"/>
          <w:szCs w:val="24"/>
        </w:rPr>
        <w:t>气浮</w:t>
      </w:r>
      <w:r>
        <w:rPr>
          <w:rFonts w:ascii="Times New Roman" w:eastAsia="宋体" w:hAnsi="Times New Roman" w:cs="Times New Roman"/>
          <w:sz w:val="24"/>
          <w:szCs w:val="24"/>
        </w:rPr>
        <w:t>-</w:t>
      </w:r>
      <w:r>
        <w:rPr>
          <w:rFonts w:ascii="Times New Roman" w:eastAsia="宋体" w:hAnsi="Times New Roman" w:cs="Times New Roman"/>
          <w:sz w:val="24"/>
          <w:szCs w:val="24"/>
        </w:rPr>
        <w:t>斜板沉淀</w:t>
      </w:r>
      <w:r>
        <w:rPr>
          <w:rFonts w:ascii="Times New Roman" w:eastAsia="宋体" w:hAnsi="Times New Roman" w:cs="Times New Roman"/>
          <w:sz w:val="24"/>
          <w:szCs w:val="24"/>
        </w:rPr>
        <w:t>-A</w:t>
      </w:r>
      <w:r>
        <w:rPr>
          <w:rFonts w:ascii="Times New Roman" w:eastAsia="宋体" w:hAnsi="Times New Roman" w:cs="Times New Roman"/>
          <w:sz w:val="24"/>
          <w:szCs w:val="24"/>
          <w:vertAlign w:val="superscript"/>
        </w:rPr>
        <w:t>2</w:t>
      </w:r>
      <w:r>
        <w:rPr>
          <w:rFonts w:ascii="Times New Roman" w:eastAsia="宋体" w:hAnsi="Times New Roman" w:cs="Times New Roman"/>
          <w:sz w:val="24"/>
          <w:szCs w:val="24"/>
        </w:rPr>
        <w:t>/O-MBR</w:t>
      </w:r>
      <w:r>
        <w:rPr>
          <w:rFonts w:ascii="Times New Roman" w:eastAsia="宋体" w:hAnsi="Times New Roman" w:cs="Times New Roman"/>
          <w:sz w:val="24"/>
          <w:szCs w:val="24"/>
        </w:rPr>
        <w:t>膜池</w:t>
      </w:r>
      <w:r>
        <w:rPr>
          <w:rFonts w:ascii="Times New Roman" w:eastAsia="宋体" w:hAnsi="Times New Roman" w:cs="Times New Roman"/>
          <w:sz w:val="24"/>
          <w:szCs w:val="24"/>
        </w:rPr>
        <w:t>-</w:t>
      </w:r>
      <w:r>
        <w:rPr>
          <w:rFonts w:ascii="Times New Roman" w:eastAsia="宋体" w:hAnsi="Times New Roman" w:cs="Times New Roman"/>
          <w:sz w:val="24"/>
          <w:szCs w:val="24"/>
        </w:rPr>
        <w:t>纳滤</w:t>
      </w:r>
      <w:r>
        <w:rPr>
          <w:rFonts w:ascii="Times New Roman" w:eastAsia="宋体" w:hAnsi="Times New Roman" w:cs="Times New Roman"/>
          <w:sz w:val="24"/>
          <w:szCs w:val="24"/>
        </w:rPr>
        <w:t>-</w:t>
      </w:r>
      <w:r>
        <w:rPr>
          <w:rFonts w:ascii="Times New Roman" w:eastAsia="宋体" w:hAnsi="Times New Roman" w:cs="Times New Roman"/>
          <w:sz w:val="24"/>
          <w:szCs w:val="24"/>
        </w:rPr>
        <w:t>反渗透</w:t>
      </w:r>
      <w:r>
        <w:rPr>
          <w:rFonts w:ascii="Times New Roman" w:eastAsia="宋体" w:hAnsi="Times New Roman" w:cs="Times New Roman"/>
          <w:sz w:val="24"/>
          <w:szCs w:val="24"/>
        </w:rPr>
        <w:t>”</w:t>
      </w:r>
      <w:r>
        <w:rPr>
          <w:rFonts w:ascii="Times New Roman" w:eastAsia="宋体" w:hAnsi="Times New Roman" w:cs="Times New Roman"/>
          <w:sz w:val="24"/>
          <w:szCs w:val="24"/>
        </w:rPr>
        <w:t>，虽定期进行膜的反冲洗以提高处理效率，但经一段时间污水处理后膜会失效，一般</w:t>
      </w:r>
      <w:r>
        <w:rPr>
          <w:rFonts w:ascii="Times New Roman" w:eastAsia="宋体" w:hAnsi="Times New Roman" w:cs="Times New Roman"/>
          <w:sz w:val="24"/>
          <w:szCs w:val="24"/>
        </w:rPr>
        <w:t xml:space="preserve">3~5 </w:t>
      </w:r>
      <w:r>
        <w:rPr>
          <w:rFonts w:ascii="Times New Roman" w:eastAsia="宋体" w:hAnsi="Times New Roman" w:cs="Times New Roman"/>
          <w:sz w:val="24"/>
          <w:szCs w:val="24"/>
        </w:rPr>
        <w:t>年更换一次，产生量为</w:t>
      </w:r>
      <w:r>
        <w:rPr>
          <w:rFonts w:ascii="Times New Roman" w:eastAsia="宋体" w:hAnsi="Times New Roman" w:cs="Times New Roman"/>
          <w:sz w:val="24"/>
          <w:szCs w:val="24"/>
        </w:rPr>
        <w:t>0.5t/</w:t>
      </w:r>
      <w:r>
        <w:rPr>
          <w:rFonts w:ascii="Times New Roman" w:eastAsia="宋体" w:hAnsi="Times New Roman" w:cs="Times New Roman"/>
          <w:sz w:val="24"/>
          <w:szCs w:val="24"/>
        </w:rPr>
        <w:t>次，属于危废，</w:t>
      </w:r>
      <w:r>
        <w:rPr>
          <w:rFonts w:ascii="Times New Roman" w:eastAsia="宋体" w:hAnsi="Times New Roman" w:cs="Times New Roman"/>
          <w:kern w:val="0"/>
          <w:sz w:val="24"/>
          <w:szCs w:val="24"/>
        </w:rPr>
        <w:t>收集后暂存于危废暂存间</w:t>
      </w:r>
      <w:r>
        <w:rPr>
          <w:rFonts w:ascii="Times New Roman" w:eastAsia="宋体" w:hAnsi="Times New Roman" w:cs="Times New Roman"/>
          <w:sz w:val="24"/>
          <w:szCs w:val="24"/>
        </w:rPr>
        <w:t>，定期交由有资质单位处置。</w:t>
      </w:r>
    </w:p>
    <w:p w14:paraId="4EA0302E" w14:textId="2787902A" w:rsidR="00D12939" w:rsidRDefault="004F47F5">
      <w:pPr>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上述措施在技术和经济上均合理可行，可最大限度减小对环境的影响。</w:t>
      </w:r>
    </w:p>
    <w:p w14:paraId="4A9A1722" w14:textId="77777777" w:rsidR="00C27509" w:rsidRDefault="00C27509" w:rsidP="00C27509">
      <w:pPr>
        <w:spacing w:line="360" w:lineRule="auto"/>
        <w:ind w:firstLineChars="200" w:firstLine="560"/>
        <w:outlineLvl w:val="1"/>
        <w:rPr>
          <w:rFonts w:ascii="Times New Roman" w:eastAsia="黑体" w:hAnsi="Times New Roman" w:cs="Times New Roman"/>
          <w:color w:val="FF0000"/>
          <w:kern w:val="0"/>
          <w:sz w:val="28"/>
          <w:szCs w:val="24"/>
        </w:rPr>
      </w:pPr>
      <w:bookmarkStart w:id="630" w:name="_Toc41343033"/>
      <w:r>
        <w:rPr>
          <w:rFonts w:ascii="Times New Roman" w:eastAsia="黑体" w:hAnsi="Times New Roman" w:cs="Times New Roman" w:hint="eastAsia"/>
          <w:color w:val="FF0000"/>
          <w:kern w:val="0"/>
          <w:sz w:val="28"/>
          <w:szCs w:val="24"/>
        </w:rPr>
        <w:t>9.3</w:t>
      </w:r>
      <w:r>
        <w:rPr>
          <w:rFonts w:ascii="Times New Roman" w:eastAsia="黑体" w:hAnsi="Times New Roman" w:cs="Times New Roman"/>
          <w:color w:val="FF0000"/>
          <w:kern w:val="0"/>
          <w:sz w:val="28"/>
          <w:szCs w:val="24"/>
        </w:rPr>
        <w:t>封场及后期污染防治措施分析</w:t>
      </w:r>
      <w:bookmarkEnd w:id="630"/>
    </w:p>
    <w:p w14:paraId="14765117"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本扩容项目</w:t>
      </w:r>
      <w:r>
        <w:rPr>
          <w:rFonts w:ascii="Times New Roman" w:eastAsia="宋体" w:hAnsi="Times New Roman" w:cs="Times New Roman"/>
          <w:color w:val="FF0000"/>
          <w:sz w:val="24"/>
          <w:szCs w:val="24"/>
        </w:rPr>
        <w:t>填埋作业完毕，</w:t>
      </w:r>
      <w:r>
        <w:rPr>
          <w:rFonts w:ascii="Times New Roman" w:eastAsia="宋体" w:hAnsi="Times New Roman" w:cs="Times New Roman" w:hint="eastAsia"/>
          <w:color w:val="FF0000"/>
          <w:sz w:val="24"/>
          <w:szCs w:val="24"/>
        </w:rPr>
        <w:t>进行封场处理，</w:t>
      </w:r>
      <w:r>
        <w:rPr>
          <w:rFonts w:ascii="Times New Roman" w:eastAsia="宋体" w:hAnsi="Times New Roman" w:cs="Times New Roman"/>
          <w:color w:val="FF0000"/>
          <w:sz w:val="24"/>
          <w:szCs w:val="24"/>
        </w:rPr>
        <w:t>以确保该填埋场安全可靠，并可植树造林，恢复生态平衡，有效改变景观。</w:t>
      </w:r>
    </w:p>
    <w:p w14:paraId="1A119BC0"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1</w:t>
      </w: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rPr>
        <w:t>封场结构推荐采用如下结构层：</w:t>
      </w:r>
    </w:p>
    <w:p w14:paraId="3090D7AA"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hint="eastAsia"/>
          <w:color w:val="FF0000"/>
          <w:sz w:val="24"/>
        </w:rPr>
        <w:t>顶部防渗结构（由上至下）：</w:t>
      </w:r>
    </w:p>
    <w:p w14:paraId="3FAE501A"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营养植被层</w:t>
      </w:r>
      <w:r>
        <w:rPr>
          <w:rFonts w:ascii="Times New Roman" w:eastAsia="宋体" w:hAnsi="Times New Roman" w:cs="Times New Roman"/>
          <w:color w:val="FF0000"/>
          <w:sz w:val="24"/>
        </w:rPr>
        <w:t xml:space="preserve">——500mm </w:t>
      </w:r>
      <w:r>
        <w:rPr>
          <w:rFonts w:ascii="Times New Roman" w:eastAsia="宋体" w:hAnsi="Times New Roman" w:cs="Times New Roman"/>
          <w:color w:val="FF0000"/>
          <w:sz w:val="24"/>
        </w:rPr>
        <w:t>厚营养土；</w:t>
      </w:r>
    </w:p>
    <w:p w14:paraId="1D43C9E4"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植被支持土层</w:t>
      </w:r>
      <w:r>
        <w:rPr>
          <w:rFonts w:ascii="Times New Roman" w:eastAsia="宋体" w:hAnsi="Times New Roman" w:cs="Times New Roman"/>
          <w:color w:val="FF0000"/>
          <w:sz w:val="24"/>
        </w:rPr>
        <w:t xml:space="preserve">——500mm </w:t>
      </w:r>
      <w:r>
        <w:rPr>
          <w:rFonts w:ascii="Times New Roman" w:eastAsia="宋体" w:hAnsi="Times New Roman" w:cs="Times New Roman"/>
          <w:color w:val="FF0000"/>
          <w:sz w:val="24"/>
        </w:rPr>
        <w:t>厚覆盖支持土；</w:t>
      </w:r>
    </w:p>
    <w:p w14:paraId="4CA4FE81"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排水层兼膜上保护层</w:t>
      </w:r>
      <w:r>
        <w:rPr>
          <w:rFonts w:ascii="Times New Roman" w:eastAsia="宋体" w:hAnsi="Times New Roman" w:cs="Times New Roman"/>
          <w:color w:val="FF0000"/>
          <w:sz w:val="24"/>
        </w:rPr>
        <w:t xml:space="preserve">——6.0mm </w:t>
      </w:r>
      <w:r>
        <w:rPr>
          <w:rFonts w:ascii="Times New Roman" w:eastAsia="宋体" w:hAnsi="Times New Roman" w:cs="Times New Roman"/>
          <w:color w:val="FF0000"/>
          <w:sz w:val="24"/>
        </w:rPr>
        <w:t>土工复合排水网；</w:t>
      </w:r>
    </w:p>
    <w:p w14:paraId="70C46A0F"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lastRenderedPageBreak/>
        <w:t>防渗层</w:t>
      </w:r>
      <w:r>
        <w:rPr>
          <w:rFonts w:ascii="Times New Roman" w:eastAsia="宋体" w:hAnsi="Times New Roman" w:cs="Times New Roman"/>
          <w:color w:val="FF0000"/>
          <w:sz w:val="24"/>
        </w:rPr>
        <w:t xml:space="preserve">——1.0mm </w:t>
      </w:r>
      <w:r>
        <w:rPr>
          <w:rFonts w:ascii="Times New Roman" w:eastAsia="宋体" w:hAnsi="Times New Roman" w:cs="Times New Roman"/>
          <w:color w:val="FF0000"/>
          <w:sz w:val="24"/>
        </w:rPr>
        <w:t>光面</w:t>
      </w:r>
      <w:r>
        <w:rPr>
          <w:rFonts w:ascii="Times New Roman" w:eastAsia="宋体" w:hAnsi="Times New Roman" w:cs="Times New Roman"/>
          <w:color w:val="FF0000"/>
          <w:sz w:val="24"/>
        </w:rPr>
        <w:t xml:space="preserve">HDPE </w:t>
      </w:r>
      <w:r>
        <w:rPr>
          <w:rFonts w:ascii="Times New Roman" w:eastAsia="宋体" w:hAnsi="Times New Roman" w:cs="Times New Roman"/>
          <w:color w:val="FF0000"/>
          <w:sz w:val="24"/>
        </w:rPr>
        <w:t>土工膜；</w:t>
      </w:r>
    </w:p>
    <w:p w14:paraId="3A25C16D"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膜下保护层兼辅助防渗层</w:t>
      </w:r>
      <w:r>
        <w:rPr>
          <w:rFonts w:ascii="Times New Roman" w:eastAsia="宋体" w:hAnsi="Times New Roman" w:cs="Times New Roman"/>
          <w:color w:val="FF0000"/>
          <w:sz w:val="24"/>
        </w:rPr>
        <w:t xml:space="preserve">——4800g/m2GCL </w:t>
      </w:r>
      <w:r>
        <w:rPr>
          <w:rFonts w:ascii="Times New Roman" w:eastAsia="宋体" w:hAnsi="Times New Roman" w:cs="Times New Roman"/>
          <w:color w:val="FF0000"/>
          <w:sz w:val="24"/>
        </w:rPr>
        <w:t>钠基膨润土垫；</w:t>
      </w:r>
    </w:p>
    <w:p w14:paraId="557A55BA"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排气层</w:t>
      </w:r>
      <w:r>
        <w:rPr>
          <w:rFonts w:ascii="Times New Roman" w:eastAsia="宋体" w:hAnsi="Times New Roman" w:cs="Times New Roman"/>
          <w:color w:val="FF0000"/>
          <w:sz w:val="24"/>
        </w:rPr>
        <w:t xml:space="preserve">——30cm </w:t>
      </w:r>
      <w:r>
        <w:rPr>
          <w:rFonts w:ascii="Times New Roman" w:eastAsia="宋体" w:hAnsi="Times New Roman" w:cs="Times New Roman"/>
          <w:color w:val="FF0000"/>
          <w:sz w:val="24"/>
        </w:rPr>
        <w:t>厚砾石（或碎石）；</w:t>
      </w:r>
    </w:p>
    <w:p w14:paraId="5137A652"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整形后垃圾堆体。</w:t>
      </w:r>
    </w:p>
    <w:p w14:paraId="5EF48B41"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hint="eastAsia"/>
          <w:color w:val="FF0000"/>
          <w:sz w:val="24"/>
        </w:rPr>
        <w:t>边坡防渗结构（由上至下）：</w:t>
      </w:r>
    </w:p>
    <w:p w14:paraId="668F12EE"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营养植被层</w:t>
      </w:r>
      <w:r>
        <w:rPr>
          <w:rFonts w:ascii="Times New Roman" w:eastAsia="宋体" w:hAnsi="Times New Roman" w:cs="Times New Roman"/>
          <w:color w:val="FF0000"/>
          <w:sz w:val="24"/>
        </w:rPr>
        <w:t xml:space="preserve">——500mm </w:t>
      </w:r>
      <w:r>
        <w:rPr>
          <w:rFonts w:ascii="Times New Roman" w:eastAsia="宋体" w:hAnsi="Times New Roman" w:cs="Times New Roman"/>
          <w:color w:val="FF0000"/>
          <w:sz w:val="24"/>
        </w:rPr>
        <w:t>厚营养土；</w:t>
      </w:r>
    </w:p>
    <w:p w14:paraId="19D617E5"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植被支持土层</w:t>
      </w:r>
      <w:r>
        <w:rPr>
          <w:rFonts w:ascii="Times New Roman" w:eastAsia="宋体" w:hAnsi="Times New Roman" w:cs="Times New Roman"/>
          <w:color w:val="FF0000"/>
          <w:sz w:val="24"/>
        </w:rPr>
        <w:t xml:space="preserve">——500mm </w:t>
      </w:r>
      <w:r>
        <w:rPr>
          <w:rFonts w:ascii="Times New Roman" w:eastAsia="宋体" w:hAnsi="Times New Roman" w:cs="Times New Roman"/>
          <w:color w:val="FF0000"/>
          <w:sz w:val="24"/>
        </w:rPr>
        <w:t>厚覆盖支持土；</w:t>
      </w:r>
    </w:p>
    <w:p w14:paraId="455F6117"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排水层兼膜上保护层</w:t>
      </w:r>
      <w:r>
        <w:rPr>
          <w:rFonts w:ascii="Times New Roman" w:eastAsia="宋体" w:hAnsi="Times New Roman" w:cs="Times New Roman"/>
          <w:color w:val="FF0000"/>
          <w:sz w:val="24"/>
        </w:rPr>
        <w:t xml:space="preserve">——6.0mm </w:t>
      </w:r>
      <w:r>
        <w:rPr>
          <w:rFonts w:ascii="Times New Roman" w:eastAsia="宋体" w:hAnsi="Times New Roman" w:cs="Times New Roman"/>
          <w:color w:val="FF0000"/>
          <w:sz w:val="24"/>
        </w:rPr>
        <w:t>土工复合排水网；</w:t>
      </w:r>
    </w:p>
    <w:p w14:paraId="771C9255"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防渗层</w:t>
      </w:r>
      <w:r>
        <w:rPr>
          <w:rFonts w:ascii="Times New Roman" w:eastAsia="宋体" w:hAnsi="Times New Roman" w:cs="Times New Roman"/>
          <w:color w:val="FF0000"/>
          <w:sz w:val="24"/>
        </w:rPr>
        <w:t xml:space="preserve">——1.0mm </w:t>
      </w:r>
      <w:r>
        <w:rPr>
          <w:rFonts w:ascii="Times New Roman" w:eastAsia="宋体" w:hAnsi="Times New Roman" w:cs="Times New Roman"/>
          <w:color w:val="FF0000"/>
          <w:sz w:val="24"/>
        </w:rPr>
        <w:t>双糙面</w:t>
      </w:r>
      <w:r>
        <w:rPr>
          <w:rFonts w:ascii="Times New Roman" w:eastAsia="宋体" w:hAnsi="Times New Roman" w:cs="Times New Roman"/>
          <w:color w:val="FF0000"/>
          <w:sz w:val="24"/>
        </w:rPr>
        <w:t xml:space="preserve">HDPE </w:t>
      </w:r>
      <w:r>
        <w:rPr>
          <w:rFonts w:ascii="Times New Roman" w:eastAsia="宋体" w:hAnsi="Times New Roman" w:cs="Times New Roman"/>
          <w:color w:val="FF0000"/>
          <w:sz w:val="24"/>
        </w:rPr>
        <w:t>土工膜；</w:t>
      </w:r>
    </w:p>
    <w:p w14:paraId="1E26C50F"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膜下保护层兼辅助防渗层</w:t>
      </w:r>
      <w:r>
        <w:rPr>
          <w:rFonts w:ascii="Times New Roman" w:eastAsia="宋体" w:hAnsi="Times New Roman" w:cs="Times New Roman"/>
          <w:color w:val="FF0000"/>
          <w:sz w:val="24"/>
        </w:rPr>
        <w:t xml:space="preserve">——4800g/m2GCL </w:t>
      </w:r>
      <w:r>
        <w:rPr>
          <w:rFonts w:ascii="Times New Roman" w:eastAsia="宋体" w:hAnsi="Times New Roman" w:cs="Times New Roman"/>
          <w:color w:val="FF0000"/>
          <w:sz w:val="24"/>
        </w:rPr>
        <w:t>钠基膨润土垫；</w:t>
      </w:r>
    </w:p>
    <w:p w14:paraId="5062A5CB" w14:textId="77777777" w:rsidR="00C27509" w:rsidRDefault="00C27509" w:rsidP="00C27509">
      <w:pPr>
        <w:spacing w:line="360" w:lineRule="auto"/>
        <w:ind w:firstLine="462"/>
        <w:rPr>
          <w:rFonts w:ascii="Times New Roman" w:eastAsia="宋体" w:hAnsi="Times New Roman" w:cs="Times New Roman"/>
          <w:color w:val="FF0000"/>
          <w:sz w:val="24"/>
        </w:rPr>
      </w:pPr>
      <w:r>
        <w:rPr>
          <w:rFonts w:ascii="Times New Roman" w:eastAsia="宋体" w:hAnsi="Times New Roman" w:cs="Times New Roman"/>
          <w:color w:val="FF0000"/>
          <w:sz w:val="24"/>
        </w:rPr>
        <w:t>排气层</w:t>
      </w:r>
      <w:r>
        <w:rPr>
          <w:rFonts w:ascii="Times New Roman" w:eastAsia="宋体" w:hAnsi="Times New Roman" w:cs="Times New Roman"/>
          <w:color w:val="FF0000"/>
          <w:sz w:val="24"/>
        </w:rPr>
        <w:t xml:space="preserve">——6.0mm </w:t>
      </w:r>
      <w:r>
        <w:rPr>
          <w:rFonts w:ascii="Times New Roman" w:eastAsia="宋体" w:hAnsi="Times New Roman" w:cs="Times New Roman"/>
          <w:color w:val="FF0000"/>
          <w:sz w:val="24"/>
        </w:rPr>
        <w:t>土工复合排气网；</w:t>
      </w:r>
    </w:p>
    <w:p w14:paraId="737F3250"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2</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对照填埋场现有土壤环境质量同邻近区域背景值，可为填埋场生态复垦提供一定科学依据，未受污染的表层土可以种植一些土地适应植物</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以利于土地环境质量的改善。</w:t>
      </w:r>
    </w:p>
    <w:p w14:paraId="71BA1188"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w:t>
      </w:r>
      <w:r>
        <w:rPr>
          <w:rFonts w:ascii="Times New Roman" w:eastAsia="宋体" w:hAnsi="Times New Roman" w:cs="Times New Roman" w:hint="eastAsia"/>
          <w:color w:val="FF0000"/>
          <w:sz w:val="24"/>
          <w:szCs w:val="24"/>
        </w:rPr>
        <w:t>3</w:t>
      </w:r>
      <w:r>
        <w:rPr>
          <w:rFonts w:ascii="Times New Roman" w:eastAsia="宋体" w:hAnsi="Times New Roman" w:cs="Times New Roman" w:hint="eastAsia"/>
          <w:color w:val="FF0000"/>
          <w:sz w:val="24"/>
          <w:szCs w:val="24"/>
        </w:rPr>
        <w:t>）</w:t>
      </w:r>
      <w:r>
        <w:rPr>
          <w:rFonts w:ascii="Times New Roman" w:eastAsia="宋体" w:hAnsi="Times New Roman" w:cs="Times New Roman"/>
          <w:color w:val="FF0000"/>
          <w:sz w:val="24"/>
          <w:szCs w:val="24"/>
        </w:rPr>
        <w:t>生态恢复方案原则</w:t>
      </w:r>
    </w:p>
    <w:p w14:paraId="0A3F92F5"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①</w:t>
      </w:r>
      <w:r>
        <w:rPr>
          <w:rFonts w:ascii="Times New Roman" w:eastAsia="宋体" w:hAnsi="Times New Roman" w:cs="Times New Roman"/>
          <w:color w:val="FF0000"/>
          <w:sz w:val="24"/>
          <w:szCs w:val="24"/>
        </w:rPr>
        <w:t>填埋单元周围先进行绿化。</w:t>
      </w:r>
    </w:p>
    <w:p w14:paraId="43F580EB"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②</w:t>
      </w:r>
      <w:r>
        <w:rPr>
          <w:rFonts w:ascii="Times New Roman" w:eastAsia="宋体" w:hAnsi="Times New Roman" w:cs="Times New Roman"/>
          <w:color w:val="FF0000"/>
          <w:sz w:val="24"/>
          <w:szCs w:val="24"/>
        </w:rPr>
        <w:t>建立植被复垦区及试验区。乔灌木结合，花草相间，形成绿化带，隔离区。</w:t>
      </w:r>
    </w:p>
    <w:p w14:paraId="3C5F8EE3"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③</w:t>
      </w:r>
      <w:r>
        <w:rPr>
          <w:rFonts w:ascii="Times New Roman" w:eastAsia="宋体" w:hAnsi="Times New Roman" w:cs="Times New Roman"/>
          <w:color w:val="FF0000"/>
          <w:sz w:val="24"/>
          <w:szCs w:val="24"/>
        </w:rPr>
        <w:t>全面规划、合理布局，突出重点，兼顾一般。作到近期利益与长期利益兼顾。</w:t>
      </w:r>
    </w:p>
    <w:p w14:paraId="38F97A4D"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④</w:t>
      </w:r>
      <w:r>
        <w:rPr>
          <w:rFonts w:ascii="Times New Roman" w:eastAsia="宋体" w:hAnsi="Times New Roman" w:cs="Times New Roman"/>
          <w:color w:val="FF0000"/>
          <w:sz w:val="24"/>
          <w:szCs w:val="24"/>
        </w:rPr>
        <w:t>以提高经济效益，社会效益，环境效益为核心原则，充分考虑经济和生态方面的利益，是有限的资源发挥更大的效益。</w:t>
      </w:r>
    </w:p>
    <w:p w14:paraId="55D59BA9"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⑤</w:t>
      </w:r>
      <w:r>
        <w:rPr>
          <w:rFonts w:ascii="Times New Roman" w:eastAsia="宋体" w:hAnsi="Times New Roman" w:cs="Times New Roman"/>
          <w:color w:val="FF0000"/>
          <w:sz w:val="24"/>
          <w:szCs w:val="24"/>
        </w:rPr>
        <w:t>填埋场的基本建设、技术改造要紧密与环境保护、环境综合整治相结合起来。</w:t>
      </w:r>
    </w:p>
    <w:p w14:paraId="7EC18B5E"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⑥</w:t>
      </w:r>
      <w:r>
        <w:rPr>
          <w:rFonts w:ascii="Times New Roman" w:eastAsia="宋体" w:hAnsi="Times New Roman" w:cs="Times New Roman"/>
          <w:color w:val="FF0000"/>
          <w:sz w:val="24"/>
          <w:szCs w:val="24"/>
        </w:rPr>
        <w:t>环境治理以集中治理为重点，点源治理与面源治理相结合。</w:t>
      </w:r>
    </w:p>
    <w:p w14:paraId="620C8158"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⑦</w:t>
      </w:r>
      <w:r>
        <w:rPr>
          <w:rFonts w:ascii="Times New Roman" w:eastAsia="宋体" w:hAnsi="Times New Roman" w:cs="Times New Roman"/>
          <w:color w:val="FF0000"/>
          <w:sz w:val="24"/>
          <w:szCs w:val="24"/>
        </w:rPr>
        <w:t>资源开发与资源保护并重。建立以保护资源为核心的原则，使被破坏的生态环境尽快恢复正常。</w:t>
      </w:r>
    </w:p>
    <w:p w14:paraId="49AF98CF"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color w:val="FF0000"/>
          <w:sz w:val="24"/>
          <w:szCs w:val="24"/>
        </w:rPr>
        <w:t>⑧</w:t>
      </w:r>
      <w:r>
        <w:rPr>
          <w:rFonts w:ascii="Times New Roman" w:eastAsia="宋体" w:hAnsi="Times New Roman" w:cs="Times New Roman"/>
          <w:color w:val="FF0000"/>
          <w:sz w:val="24"/>
          <w:szCs w:val="24"/>
        </w:rPr>
        <w:t>因地制宜，因陋就简，从实际出发，制定目标要切实可行，并与经济效益挂钩，规划措施要有可操作性。</w:t>
      </w:r>
    </w:p>
    <w:p w14:paraId="16B265BD" w14:textId="5519611E" w:rsidR="00C27509" w:rsidRPr="00C27509" w:rsidRDefault="00C27509" w:rsidP="00C27509">
      <w:pPr>
        <w:adjustRightInd w:val="0"/>
        <w:snapToGrid w:val="0"/>
        <w:spacing w:line="360" w:lineRule="auto"/>
        <w:ind w:firstLineChars="200" w:firstLine="480"/>
        <w:rPr>
          <w:rFonts w:hint="eastAsia"/>
        </w:rPr>
      </w:pPr>
      <w:r>
        <w:rPr>
          <w:rFonts w:ascii="Times New Roman" w:eastAsia="宋体" w:hAnsi="Times New Roman" w:cs="Times New Roman" w:hint="eastAsia"/>
          <w:color w:val="FF0000"/>
          <w:sz w:val="24"/>
          <w:szCs w:val="24"/>
        </w:rPr>
        <w:t>⑨</w:t>
      </w:r>
      <w:r>
        <w:rPr>
          <w:rFonts w:ascii="Times New Roman" w:eastAsia="宋体" w:hAnsi="Times New Roman" w:cs="Times New Roman"/>
          <w:color w:val="FF0000"/>
          <w:sz w:val="24"/>
          <w:szCs w:val="24"/>
        </w:rPr>
        <w:t>强化管理，以保证能确定的目标可以按照预定的方向顺利进行。</w:t>
      </w:r>
    </w:p>
    <w:p w14:paraId="3D302E40" w14:textId="77777777" w:rsidR="00C27509" w:rsidRDefault="00C27509">
      <w:pPr>
        <w:pStyle w:val="1"/>
        <w:jc w:val="center"/>
        <w:rPr>
          <w:sz w:val="30"/>
          <w:szCs w:val="30"/>
        </w:rPr>
        <w:sectPr w:rsidR="00C27509">
          <w:pgSz w:w="11906" w:h="16838"/>
          <w:pgMar w:top="1440" w:right="1080" w:bottom="1440" w:left="1080" w:header="851" w:footer="992" w:gutter="0"/>
          <w:cols w:space="720"/>
          <w:docGrid w:type="linesAndChars" w:linePitch="312"/>
        </w:sectPr>
      </w:pPr>
      <w:bookmarkStart w:id="631" w:name="_Toc121411818"/>
    </w:p>
    <w:p w14:paraId="340F5B29" w14:textId="24FA9B9A" w:rsidR="00D12939" w:rsidRDefault="004F47F5">
      <w:pPr>
        <w:pStyle w:val="1"/>
        <w:jc w:val="center"/>
      </w:pPr>
      <w:r>
        <w:rPr>
          <w:sz w:val="30"/>
          <w:szCs w:val="30"/>
        </w:rPr>
        <w:lastRenderedPageBreak/>
        <w:t xml:space="preserve">10 </w:t>
      </w:r>
      <w:r>
        <w:rPr>
          <w:sz w:val="30"/>
          <w:szCs w:val="30"/>
        </w:rPr>
        <w:t>环境影响经济损益分析</w:t>
      </w:r>
      <w:bookmarkEnd w:id="631"/>
    </w:p>
    <w:p w14:paraId="4C290A36" w14:textId="77777777" w:rsidR="00D12939" w:rsidRDefault="004F47F5">
      <w:pPr>
        <w:pStyle w:val="2"/>
        <w:spacing w:line="360" w:lineRule="auto"/>
        <w:ind w:firstLineChars="165" w:firstLine="462"/>
        <w:rPr>
          <w:sz w:val="28"/>
        </w:rPr>
      </w:pPr>
      <w:bookmarkStart w:id="632" w:name="_Toc121411819"/>
      <w:bookmarkStart w:id="633" w:name="_Toc113952344"/>
      <w:bookmarkStart w:id="634" w:name="_Toc30089324"/>
      <w:r>
        <w:rPr>
          <w:sz w:val="28"/>
        </w:rPr>
        <w:t>10</w:t>
      </w:r>
      <w:r>
        <w:rPr>
          <w:rFonts w:hint="eastAsia"/>
          <w:sz w:val="28"/>
        </w:rPr>
        <w:t>.1</w:t>
      </w:r>
      <w:r>
        <w:rPr>
          <w:sz w:val="28"/>
        </w:rPr>
        <w:t>环境效益分析</w:t>
      </w:r>
      <w:bookmarkEnd w:id="632"/>
      <w:bookmarkEnd w:id="633"/>
      <w:bookmarkEnd w:id="634"/>
    </w:p>
    <w:p w14:paraId="5D799D0C" w14:textId="7633415D"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建设单位和设计单位必须严格落实废气、污水、固废、噪声环保治理措施。根据设计提出的环保措施，结合评价提出的要求，本项目主要环境保护措施、设施清单详见表</w:t>
      </w:r>
      <w:r>
        <w:rPr>
          <w:rFonts w:ascii="Times New Roman" w:eastAsia="宋体" w:hAnsi="Times New Roman" w:cs="Times New Roman" w:hint="eastAsia"/>
          <w:sz w:val="24"/>
          <w:szCs w:val="24"/>
        </w:rPr>
        <w:t>10</w:t>
      </w:r>
      <w:r>
        <w:rPr>
          <w:rFonts w:ascii="Times New Roman" w:eastAsia="宋体" w:hAnsi="Times New Roman" w:cs="Times New Roman"/>
          <w:sz w:val="24"/>
          <w:szCs w:val="24"/>
        </w:rPr>
        <w:t>.2-1</w:t>
      </w:r>
      <w:r>
        <w:rPr>
          <w:rFonts w:ascii="Times New Roman" w:eastAsia="宋体" w:hAnsi="Times New Roman" w:cs="Times New Roman"/>
          <w:sz w:val="24"/>
          <w:szCs w:val="24"/>
        </w:rPr>
        <w:t>。本项目总投资为</w:t>
      </w:r>
      <w:r>
        <w:rPr>
          <w:rFonts w:ascii="Times New Roman" w:eastAsia="宋体" w:hAnsi="Times New Roman" w:cs="Times New Roman" w:hint="eastAsia"/>
          <w:sz w:val="24"/>
          <w:szCs w:val="24"/>
        </w:rPr>
        <w:t>6990</w:t>
      </w:r>
      <w:r>
        <w:rPr>
          <w:rFonts w:ascii="Times New Roman" w:eastAsia="宋体" w:hAnsi="Times New Roman" w:cs="Times New Roman"/>
          <w:sz w:val="24"/>
          <w:szCs w:val="24"/>
        </w:rPr>
        <w:t>.</w:t>
      </w:r>
      <w:r>
        <w:rPr>
          <w:rFonts w:ascii="Times New Roman" w:eastAsia="宋体" w:hAnsi="Times New Roman" w:cs="Times New Roman" w:hint="eastAsia"/>
          <w:sz w:val="24"/>
          <w:szCs w:val="24"/>
        </w:rPr>
        <w:t>66</w:t>
      </w:r>
      <w:r>
        <w:rPr>
          <w:rFonts w:ascii="Times New Roman" w:eastAsia="宋体" w:hAnsi="Times New Roman" w:cs="Times New Roman"/>
          <w:sz w:val="24"/>
          <w:szCs w:val="24"/>
        </w:rPr>
        <w:t>万元，</w:t>
      </w:r>
      <w:r w:rsidR="00C27509">
        <w:rPr>
          <w:rFonts w:ascii="Times New Roman" w:eastAsia="宋体" w:hAnsi="Times New Roman" w:cs="Times New Roman"/>
          <w:color w:val="FF0000"/>
          <w:sz w:val="24"/>
          <w:szCs w:val="24"/>
        </w:rPr>
        <w:t>其中环保投资约</w:t>
      </w:r>
      <w:r w:rsidR="00C27509">
        <w:rPr>
          <w:rFonts w:ascii="Times New Roman" w:eastAsia="宋体" w:hAnsi="Times New Roman" w:cs="Times New Roman" w:hint="eastAsia"/>
          <w:color w:val="FF0000"/>
          <w:sz w:val="24"/>
          <w:szCs w:val="24"/>
        </w:rPr>
        <w:t>262</w:t>
      </w:r>
      <w:r w:rsidR="00C27509">
        <w:rPr>
          <w:rFonts w:ascii="Times New Roman" w:eastAsia="宋体" w:hAnsi="Times New Roman" w:cs="Times New Roman"/>
          <w:color w:val="FF0000"/>
          <w:sz w:val="24"/>
          <w:szCs w:val="24"/>
        </w:rPr>
        <w:t>万元，约占总投资的</w:t>
      </w:r>
      <w:r w:rsidR="00C27509">
        <w:rPr>
          <w:rFonts w:ascii="Times New Roman" w:eastAsia="宋体" w:hAnsi="Times New Roman" w:cs="Times New Roman" w:hint="eastAsia"/>
          <w:color w:val="FF0000"/>
          <w:sz w:val="24"/>
          <w:szCs w:val="24"/>
        </w:rPr>
        <w:t>3.75</w:t>
      </w:r>
      <w:r w:rsidR="00C27509">
        <w:rPr>
          <w:rFonts w:ascii="Times New Roman" w:eastAsia="宋体" w:hAnsi="Times New Roman" w:cs="Times New Roman"/>
          <w:color w:val="FF0000"/>
          <w:sz w:val="24"/>
          <w:szCs w:val="24"/>
        </w:rPr>
        <w:t>%</w:t>
      </w:r>
      <w:r w:rsidR="00C27509">
        <w:rPr>
          <w:rFonts w:ascii="Times New Roman" w:eastAsia="宋体" w:hAnsi="Times New Roman" w:cs="Times New Roman"/>
          <w:color w:val="FF0000"/>
          <w:sz w:val="24"/>
          <w:szCs w:val="24"/>
        </w:rPr>
        <w:t>。</w:t>
      </w:r>
    </w:p>
    <w:p w14:paraId="1D8AB0A0" w14:textId="20C68926" w:rsidR="00D12939" w:rsidRDefault="004F47F5">
      <w:pPr>
        <w:adjustRightInd w:val="0"/>
        <w:snapToGrid w:val="0"/>
        <w:jc w:val="center"/>
        <w:rPr>
          <w:rFonts w:ascii="黑体" w:eastAsia="黑体" w:hAnsi="黑体" w:cs="Times New Roman"/>
          <w:bCs/>
          <w:kern w:val="0"/>
          <w:sz w:val="24"/>
          <w:szCs w:val="21"/>
        </w:rPr>
      </w:pPr>
      <w:r>
        <w:rPr>
          <w:rFonts w:ascii="黑体" w:eastAsia="黑体" w:hAnsi="黑体" w:cs="Times New Roman"/>
          <w:bCs/>
          <w:kern w:val="0"/>
          <w:sz w:val="24"/>
          <w:szCs w:val="21"/>
        </w:rPr>
        <w:t>表</w:t>
      </w:r>
      <w:r>
        <w:rPr>
          <w:rFonts w:ascii="黑体" w:eastAsia="黑体" w:hAnsi="黑体" w:cs="Times New Roman" w:hint="eastAsia"/>
          <w:bCs/>
          <w:kern w:val="0"/>
          <w:sz w:val="24"/>
          <w:szCs w:val="21"/>
        </w:rPr>
        <w:t>10</w:t>
      </w:r>
      <w:r>
        <w:rPr>
          <w:rFonts w:ascii="黑体" w:eastAsia="黑体" w:hAnsi="黑体" w:cs="Times New Roman"/>
          <w:bCs/>
          <w:kern w:val="0"/>
          <w:sz w:val="24"/>
          <w:szCs w:val="21"/>
        </w:rPr>
        <w:t>.2-1    环保投资估算表</w:t>
      </w:r>
    </w:p>
    <w:tbl>
      <w:tblPr>
        <w:tblW w:w="50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45"/>
        <w:gridCol w:w="1271"/>
        <w:gridCol w:w="3304"/>
        <w:gridCol w:w="1220"/>
        <w:gridCol w:w="1097"/>
        <w:gridCol w:w="1957"/>
      </w:tblGrid>
      <w:tr w:rsidR="00C27509" w14:paraId="58B2F91D" w14:textId="77777777" w:rsidTr="00747ECF">
        <w:trPr>
          <w:trHeight w:val="340"/>
          <w:jc w:val="center"/>
        </w:trPr>
        <w:tc>
          <w:tcPr>
            <w:tcW w:w="482" w:type="pct"/>
            <w:vAlign w:val="center"/>
          </w:tcPr>
          <w:p w14:paraId="17574CE9"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类别</w:t>
            </w:r>
          </w:p>
        </w:tc>
        <w:tc>
          <w:tcPr>
            <w:tcW w:w="649" w:type="pct"/>
            <w:vAlign w:val="center"/>
          </w:tcPr>
          <w:p w14:paraId="0B2E3B66"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环保措施</w:t>
            </w:r>
          </w:p>
        </w:tc>
        <w:tc>
          <w:tcPr>
            <w:tcW w:w="1687" w:type="pct"/>
            <w:vAlign w:val="center"/>
          </w:tcPr>
          <w:p w14:paraId="07A966BD"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环保设施</w:t>
            </w:r>
          </w:p>
        </w:tc>
        <w:tc>
          <w:tcPr>
            <w:tcW w:w="623" w:type="pct"/>
            <w:vAlign w:val="center"/>
          </w:tcPr>
          <w:p w14:paraId="08D71A5C"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数量</w:t>
            </w:r>
          </w:p>
        </w:tc>
        <w:tc>
          <w:tcPr>
            <w:tcW w:w="560" w:type="pct"/>
            <w:vAlign w:val="center"/>
          </w:tcPr>
          <w:p w14:paraId="3F1AE9A7"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单位</w:t>
            </w:r>
          </w:p>
        </w:tc>
        <w:tc>
          <w:tcPr>
            <w:tcW w:w="999" w:type="pct"/>
            <w:vAlign w:val="center"/>
          </w:tcPr>
          <w:p w14:paraId="06828848"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环保投资（万元）</w:t>
            </w:r>
          </w:p>
        </w:tc>
      </w:tr>
      <w:tr w:rsidR="00C27509" w14:paraId="546B6171" w14:textId="77777777" w:rsidTr="00747ECF">
        <w:trPr>
          <w:trHeight w:val="340"/>
          <w:jc w:val="center"/>
        </w:trPr>
        <w:tc>
          <w:tcPr>
            <w:tcW w:w="482" w:type="pct"/>
            <w:vMerge w:val="restart"/>
            <w:vAlign w:val="center"/>
          </w:tcPr>
          <w:p w14:paraId="650BA7E6"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大气</w:t>
            </w:r>
          </w:p>
        </w:tc>
        <w:tc>
          <w:tcPr>
            <w:tcW w:w="649" w:type="pct"/>
            <w:vMerge w:val="restart"/>
            <w:vAlign w:val="center"/>
          </w:tcPr>
          <w:p w14:paraId="0B34FEA5"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填埋气体</w:t>
            </w:r>
          </w:p>
        </w:tc>
        <w:tc>
          <w:tcPr>
            <w:tcW w:w="1687" w:type="pct"/>
            <w:vAlign w:val="center"/>
          </w:tcPr>
          <w:p w14:paraId="0B19BC7D"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kern w:val="0"/>
              </w:rPr>
              <w:t>分单元作业，当日压实覆膜；</w:t>
            </w:r>
            <w:r>
              <w:rPr>
                <w:rFonts w:ascii="Times New Roman" w:eastAsia="宋体" w:hAnsi="Times New Roman" w:cs="Times New Roman"/>
              </w:rPr>
              <w:t>填埋气通过导气井直接排放，填埋区定时喷洒除臭剂，采用便捷式甲烷测定仪定期对填埋区和填埋区气体进行监测。</w:t>
            </w:r>
          </w:p>
        </w:tc>
        <w:tc>
          <w:tcPr>
            <w:tcW w:w="623" w:type="pct"/>
            <w:vAlign w:val="center"/>
          </w:tcPr>
          <w:p w14:paraId="7560B1E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1</w:t>
            </w:r>
          </w:p>
        </w:tc>
        <w:tc>
          <w:tcPr>
            <w:tcW w:w="560" w:type="pct"/>
            <w:vAlign w:val="center"/>
          </w:tcPr>
          <w:p w14:paraId="199577A9"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套</w:t>
            </w:r>
          </w:p>
        </w:tc>
        <w:tc>
          <w:tcPr>
            <w:tcW w:w="999" w:type="pct"/>
            <w:vMerge w:val="restart"/>
            <w:vAlign w:val="center"/>
          </w:tcPr>
          <w:p w14:paraId="161C3D61"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40</w:t>
            </w:r>
          </w:p>
        </w:tc>
      </w:tr>
      <w:tr w:rsidR="00C27509" w14:paraId="5F2594CD" w14:textId="77777777" w:rsidTr="00747ECF">
        <w:trPr>
          <w:trHeight w:val="340"/>
          <w:jc w:val="center"/>
        </w:trPr>
        <w:tc>
          <w:tcPr>
            <w:tcW w:w="482" w:type="pct"/>
            <w:vMerge/>
            <w:vAlign w:val="center"/>
          </w:tcPr>
          <w:p w14:paraId="36861686" w14:textId="77777777" w:rsidR="00C27509" w:rsidRDefault="00C27509" w:rsidP="00747ECF">
            <w:pPr>
              <w:jc w:val="center"/>
              <w:rPr>
                <w:rFonts w:ascii="Times New Roman" w:eastAsia="宋体" w:hAnsi="Times New Roman" w:cs="Times New Roman"/>
                <w:sz w:val="24"/>
                <w:szCs w:val="24"/>
              </w:rPr>
            </w:pPr>
          </w:p>
        </w:tc>
        <w:tc>
          <w:tcPr>
            <w:tcW w:w="649" w:type="pct"/>
            <w:vMerge/>
            <w:vAlign w:val="center"/>
          </w:tcPr>
          <w:p w14:paraId="511AF0CA" w14:textId="77777777" w:rsidR="00C27509" w:rsidRDefault="00C27509" w:rsidP="00747ECF">
            <w:pPr>
              <w:jc w:val="center"/>
              <w:rPr>
                <w:rFonts w:ascii="Times New Roman" w:eastAsia="宋体" w:hAnsi="Times New Roman" w:cs="Times New Roman"/>
                <w:sz w:val="24"/>
                <w:szCs w:val="24"/>
              </w:rPr>
            </w:pPr>
          </w:p>
        </w:tc>
        <w:tc>
          <w:tcPr>
            <w:tcW w:w="1687" w:type="pct"/>
            <w:vAlign w:val="center"/>
          </w:tcPr>
          <w:p w14:paraId="1194549F"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若发现导气管排放口甲烷体积分数大于</w:t>
            </w:r>
            <w:r>
              <w:rPr>
                <w:rFonts w:ascii="Times New Roman" w:eastAsia="宋体" w:hAnsi="Times New Roman" w:cs="Times New Roman"/>
              </w:rPr>
              <w:t>5%</w:t>
            </w:r>
            <w:r>
              <w:rPr>
                <w:rFonts w:ascii="Times New Roman" w:eastAsia="宋体" w:hAnsi="Times New Roman" w:cs="Times New Roman"/>
              </w:rPr>
              <w:t>时，采用火炬燃烧方式进行处理。</w:t>
            </w:r>
          </w:p>
        </w:tc>
        <w:tc>
          <w:tcPr>
            <w:tcW w:w="623" w:type="pct"/>
            <w:vAlign w:val="center"/>
          </w:tcPr>
          <w:p w14:paraId="027F0612"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1</w:t>
            </w:r>
          </w:p>
        </w:tc>
        <w:tc>
          <w:tcPr>
            <w:tcW w:w="560" w:type="pct"/>
            <w:vAlign w:val="center"/>
          </w:tcPr>
          <w:p w14:paraId="5E189DC1"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套</w:t>
            </w:r>
          </w:p>
        </w:tc>
        <w:tc>
          <w:tcPr>
            <w:tcW w:w="999" w:type="pct"/>
            <w:vMerge/>
            <w:vAlign w:val="center"/>
          </w:tcPr>
          <w:p w14:paraId="7168DE50" w14:textId="77777777" w:rsidR="00C27509" w:rsidRDefault="00C27509" w:rsidP="00747ECF">
            <w:pPr>
              <w:jc w:val="center"/>
              <w:rPr>
                <w:rFonts w:ascii="Times New Roman" w:eastAsia="宋体" w:hAnsi="Times New Roman" w:cs="Times New Roman"/>
                <w:sz w:val="24"/>
                <w:szCs w:val="24"/>
              </w:rPr>
            </w:pPr>
          </w:p>
        </w:tc>
      </w:tr>
      <w:tr w:rsidR="00C27509" w14:paraId="2AC0B023" w14:textId="77777777" w:rsidTr="00747ECF">
        <w:trPr>
          <w:trHeight w:val="340"/>
          <w:jc w:val="center"/>
        </w:trPr>
        <w:tc>
          <w:tcPr>
            <w:tcW w:w="482" w:type="pct"/>
            <w:vMerge/>
            <w:vAlign w:val="center"/>
          </w:tcPr>
          <w:p w14:paraId="3FCA727C" w14:textId="77777777" w:rsidR="00C27509" w:rsidRDefault="00C27509" w:rsidP="00747ECF">
            <w:pPr>
              <w:jc w:val="center"/>
              <w:rPr>
                <w:rFonts w:ascii="Times New Roman" w:eastAsia="宋体" w:hAnsi="Times New Roman" w:cs="Times New Roman"/>
                <w:sz w:val="24"/>
                <w:szCs w:val="24"/>
              </w:rPr>
            </w:pPr>
          </w:p>
        </w:tc>
        <w:tc>
          <w:tcPr>
            <w:tcW w:w="649" w:type="pct"/>
            <w:vMerge w:val="restart"/>
            <w:vAlign w:val="center"/>
          </w:tcPr>
          <w:p w14:paraId="5496DC1B"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作业场尘防治措施</w:t>
            </w:r>
          </w:p>
        </w:tc>
        <w:tc>
          <w:tcPr>
            <w:tcW w:w="1687" w:type="pct"/>
            <w:vAlign w:val="center"/>
          </w:tcPr>
          <w:p w14:paraId="3A86E89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洒水抑尘（洒水车）</w:t>
            </w:r>
          </w:p>
        </w:tc>
        <w:tc>
          <w:tcPr>
            <w:tcW w:w="623" w:type="pct"/>
            <w:vAlign w:val="center"/>
          </w:tcPr>
          <w:p w14:paraId="64953767"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2</w:t>
            </w:r>
          </w:p>
        </w:tc>
        <w:tc>
          <w:tcPr>
            <w:tcW w:w="560" w:type="pct"/>
            <w:vAlign w:val="center"/>
          </w:tcPr>
          <w:p w14:paraId="4B7B48C1"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辆</w:t>
            </w:r>
          </w:p>
        </w:tc>
        <w:tc>
          <w:tcPr>
            <w:tcW w:w="999" w:type="pct"/>
            <w:vAlign w:val="center"/>
          </w:tcPr>
          <w:p w14:paraId="53A2E1E3"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5</w:t>
            </w:r>
            <w:r>
              <w:rPr>
                <w:rFonts w:ascii="Times New Roman" w:eastAsia="宋体" w:hAnsi="Times New Roman" w:cs="Times New Roman"/>
                <w:szCs w:val="21"/>
              </w:rPr>
              <w:t>（计入主体工程）</w:t>
            </w:r>
          </w:p>
        </w:tc>
      </w:tr>
      <w:tr w:rsidR="00C27509" w14:paraId="73AFC56D" w14:textId="77777777" w:rsidTr="00747ECF">
        <w:trPr>
          <w:trHeight w:val="340"/>
          <w:jc w:val="center"/>
        </w:trPr>
        <w:tc>
          <w:tcPr>
            <w:tcW w:w="482" w:type="pct"/>
            <w:vMerge/>
            <w:vAlign w:val="center"/>
          </w:tcPr>
          <w:p w14:paraId="3D31ED0E" w14:textId="77777777" w:rsidR="00C27509" w:rsidRDefault="00C27509" w:rsidP="00747ECF">
            <w:pPr>
              <w:jc w:val="center"/>
              <w:rPr>
                <w:rFonts w:ascii="Times New Roman" w:eastAsia="宋体" w:hAnsi="Times New Roman" w:cs="Times New Roman"/>
                <w:sz w:val="24"/>
                <w:szCs w:val="24"/>
              </w:rPr>
            </w:pPr>
          </w:p>
        </w:tc>
        <w:tc>
          <w:tcPr>
            <w:tcW w:w="649" w:type="pct"/>
            <w:vMerge/>
            <w:vAlign w:val="center"/>
          </w:tcPr>
          <w:p w14:paraId="3F6010B9" w14:textId="77777777" w:rsidR="00C27509" w:rsidRDefault="00C27509" w:rsidP="00747ECF">
            <w:pPr>
              <w:jc w:val="center"/>
              <w:rPr>
                <w:rFonts w:ascii="Times New Roman" w:eastAsia="宋体" w:hAnsi="Times New Roman" w:cs="Times New Roman"/>
                <w:sz w:val="24"/>
                <w:szCs w:val="24"/>
              </w:rPr>
            </w:pPr>
          </w:p>
        </w:tc>
        <w:tc>
          <w:tcPr>
            <w:tcW w:w="1687" w:type="pct"/>
            <w:vAlign w:val="center"/>
          </w:tcPr>
          <w:p w14:paraId="636E4C7E"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防护网</w:t>
            </w:r>
          </w:p>
        </w:tc>
        <w:tc>
          <w:tcPr>
            <w:tcW w:w="623" w:type="pct"/>
            <w:vAlign w:val="center"/>
          </w:tcPr>
          <w:p w14:paraId="19795BF6"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1</w:t>
            </w:r>
          </w:p>
        </w:tc>
        <w:tc>
          <w:tcPr>
            <w:tcW w:w="560" w:type="pct"/>
            <w:vAlign w:val="center"/>
          </w:tcPr>
          <w:p w14:paraId="5FC9AC3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套</w:t>
            </w:r>
          </w:p>
        </w:tc>
        <w:tc>
          <w:tcPr>
            <w:tcW w:w="999" w:type="pct"/>
            <w:vAlign w:val="center"/>
          </w:tcPr>
          <w:p w14:paraId="56E03DCD"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5</w:t>
            </w:r>
            <w:r>
              <w:rPr>
                <w:rFonts w:ascii="Times New Roman" w:eastAsia="宋体" w:hAnsi="Times New Roman" w:cs="Times New Roman"/>
                <w:szCs w:val="21"/>
              </w:rPr>
              <w:t>（计入主体工程）</w:t>
            </w:r>
          </w:p>
        </w:tc>
      </w:tr>
      <w:tr w:rsidR="00C27509" w14:paraId="67D2AE7E" w14:textId="77777777" w:rsidTr="00747ECF">
        <w:trPr>
          <w:trHeight w:val="340"/>
          <w:jc w:val="center"/>
        </w:trPr>
        <w:tc>
          <w:tcPr>
            <w:tcW w:w="482" w:type="pct"/>
            <w:vMerge/>
            <w:vAlign w:val="center"/>
          </w:tcPr>
          <w:p w14:paraId="3935CC47" w14:textId="77777777" w:rsidR="00C27509" w:rsidRDefault="00C27509" w:rsidP="00747ECF">
            <w:pPr>
              <w:jc w:val="center"/>
              <w:rPr>
                <w:rFonts w:ascii="Times New Roman" w:eastAsia="宋体" w:hAnsi="Times New Roman" w:cs="Times New Roman"/>
                <w:sz w:val="24"/>
                <w:szCs w:val="24"/>
              </w:rPr>
            </w:pPr>
          </w:p>
        </w:tc>
        <w:tc>
          <w:tcPr>
            <w:tcW w:w="649" w:type="pct"/>
            <w:vMerge/>
            <w:vAlign w:val="center"/>
          </w:tcPr>
          <w:p w14:paraId="5FEA8600" w14:textId="77777777" w:rsidR="00C27509" w:rsidRDefault="00C27509" w:rsidP="00747ECF">
            <w:pPr>
              <w:jc w:val="center"/>
              <w:rPr>
                <w:rFonts w:ascii="Times New Roman" w:eastAsia="宋体" w:hAnsi="Times New Roman" w:cs="Times New Roman"/>
                <w:sz w:val="24"/>
                <w:szCs w:val="24"/>
              </w:rPr>
            </w:pPr>
          </w:p>
        </w:tc>
        <w:tc>
          <w:tcPr>
            <w:tcW w:w="1687" w:type="pct"/>
            <w:vAlign w:val="center"/>
          </w:tcPr>
          <w:p w14:paraId="43238F68"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绿化</w:t>
            </w:r>
          </w:p>
        </w:tc>
        <w:tc>
          <w:tcPr>
            <w:tcW w:w="623" w:type="pct"/>
            <w:vAlign w:val="center"/>
          </w:tcPr>
          <w:p w14:paraId="464167B7"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w:t>
            </w:r>
          </w:p>
        </w:tc>
        <w:tc>
          <w:tcPr>
            <w:tcW w:w="560" w:type="pct"/>
            <w:vAlign w:val="center"/>
          </w:tcPr>
          <w:p w14:paraId="5634B6A3"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w:t>
            </w:r>
          </w:p>
        </w:tc>
        <w:tc>
          <w:tcPr>
            <w:tcW w:w="999" w:type="pct"/>
            <w:vAlign w:val="center"/>
          </w:tcPr>
          <w:p w14:paraId="3F4F7F47"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6</w:t>
            </w:r>
          </w:p>
        </w:tc>
      </w:tr>
      <w:tr w:rsidR="00C27509" w14:paraId="5F1D5AEE" w14:textId="77777777" w:rsidTr="00747ECF">
        <w:trPr>
          <w:trHeight w:val="340"/>
          <w:jc w:val="center"/>
        </w:trPr>
        <w:tc>
          <w:tcPr>
            <w:tcW w:w="482" w:type="pct"/>
            <w:vMerge/>
            <w:vAlign w:val="center"/>
          </w:tcPr>
          <w:p w14:paraId="187D009A" w14:textId="77777777" w:rsidR="00C27509" w:rsidRDefault="00C27509" w:rsidP="00747ECF">
            <w:pPr>
              <w:jc w:val="center"/>
              <w:rPr>
                <w:rFonts w:ascii="Times New Roman" w:eastAsia="宋体" w:hAnsi="Times New Roman" w:cs="Times New Roman"/>
                <w:sz w:val="24"/>
                <w:szCs w:val="24"/>
              </w:rPr>
            </w:pPr>
          </w:p>
        </w:tc>
        <w:tc>
          <w:tcPr>
            <w:tcW w:w="649" w:type="pct"/>
            <w:vAlign w:val="center"/>
          </w:tcPr>
          <w:p w14:paraId="0E8CCBD8"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渗滤液收集池恶臭</w:t>
            </w:r>
          </w:p>
        </w:tc>
        <w:tc>
          <w:tcPr>
            <w:tcW w:w="1687" w:type="pct"/>
            <w:vAlign w:val="center"/>
          </w:tcPr>
          <w:p w14:paraId="4A74E447"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收集池密闭加盖，定期喷洒除臭剂</w:t>
            </w:r>
          </w:p>
        </w:tc>
        <w:tc>
          <w:tcPr>
            <w:tcW w:w="623" w:type="pct"/>
            <w:vAlign w:val="center"/>
          </w:tcPr>
          <w:p w14:paraId="01664439"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1</w:t>
            </w:r>
          </w:p>
        </w:tc>
        <w:tc>
          <w:tcPr>
            <w:tcW w:w="560" w:type="pct"/>
            <w:vAlign w:val="center"/>
          </w:tcPr>
          <w:p w14:paraId="4B53FCAC"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套</w:t>
            </w:r>
          </w:p>
        </w:tc>
        <w:tc>
          <w:tcPr>
            <w:tcW w:w="999" w:type="pct"/>
            <w:vAlign w:val="center"/>
          </w:tcPr>
          <w:p w14:paraId="701134A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5</w:t>
            </w:r>
          </w:p>
        </w:tc>
      </w:tr>
      <w:tr w:rsidR="00C27509" w14:paraId="3EE829E0" w14:textId="77777777" w:rsidTr="00747ECF">
        <w:trPr>
          <w:trHeight w:val="340"/>
          <w:jc w:val="center"/>
        </w:trPr>
        <w:tc>
          <w:tcPr>
            <w:tcW w:w="482" w:type="pct"/>
            <w:vMerge w:val="restart"/>
            <w:vAlign w:val="center"/>
          </w:tcPr>
          <w:p w14:paraId="04365746"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废水</w:t>
            </w:r>
          </w:p>
        </w:tc>
        <w:tc>
          <w:tcPr>
            <w:tcW w:w="649" w:type="pct"/>
            <w:vAlign w:val="center"/>
          </w:tcPr>
          <w:p w14:paraId="33BEC0BE" w14:textId="77777777" w:rsidR="00C27509" w:rsidRDefault="00C27509" w:rsidP="00747ECF">
            <w:pPr>
              <w:pStyle w:val="affffd"/>
              <w:spacing w:line="240" w:lineRule="auto"/>
              <w:rPr>
                <w:rFonts w:hAnsi="Times New Roman"/>
              </w:rPr>
            </w:pPr>
            <w:r>
              <w:rPr>
                <w:rFonts w:ascii="Times New Roman" w:eastAsia="宋体" w:hAnsi="Times New Roman" w:cs="Times New Roman"/>
              </w:rPr>
              <w:t>渗滤液</w:t>
            </w:r>
          </w:p>
        </w:tc>
        <w:tc>
          <w:tcPr>
            <w:tcW w:w="1687" w:type="pct"/>
            <w:vAlign w:val="center"/>
          </w:tcPr>
          <w:p w14:paraId="37F50839"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新建一座渗滤液处理车间</w:t>
            </w:r>
            <w:r>
              <w:rPr>
                <w:rFonts w:ascii="Times New Roman" w:eastAsia="宋体" w:hAnsi="Times New Roman" w:cs="Times New Roman" w:hint="eastAsia"/>
              </w:rPr>
              <w:t>、渗滤液调节池，</w:t>
            </w:r>
            <w:r>
              <w:rPr>
                <w:rFonts w:ascii="Times New Roman" w:eastAsia="宋体" w:hAnsi="Times New Roman" w:cs="Times New Roman"/>
              </w:rPr>
              <w:t>处理后部分自用，剩余采用槽罐车运输至柞水县污水处理厂</w:t>
            </w:r>
          </w:p>
        </w:tc>
        <w:tc>
          <w:tcPr>
            <w:tcW w:w="623" w:type="pct"/>
            <w:vAlign w:val="center"/>
          </w:tcPr>
          <w:p w14:paraId="4E494C52"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1</w:t>
            </w:r>
          </w:p>
        </w:tc>
        <w:tc>
          <w:tcPr>
            <w:tcW w:w="560" w:type="pct"/>
            <w:vAlign w:val="center"/>
          </w:tcPr>
          <w:p w14:paraId="6D01C8EB"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套</w:t>
            </w:r>
          </w:p>
        </w:tc>
        <w:tc>
          <w:tcPr>
            <w:tcW w:w="999" w:type="pct"/>
            <w:vAlign w:val="center"/>
          </w:tcPr>
          <w:p w14:paraId="7885C51F"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150</w:t>
            </w:r>
          </w:p>
        </w:tc>
      </w:tr>
      <w:tr w:rsidR="00C27509" w14:paraId="3C5851FB" w14:textId="77777777" w:rsidTr="00747ECF">
        <w:trPr>
          <w:trHeight w:val="340"/>
          <w:jc w:val="center"/>
        </w:trPr>
        <w:tc>
          <w:tcPr>
            <w:tcW w:w="482" w:type="pct"/>
            <w:vMerge/>
            <w:vAlign w:val="center"/>
          </w:tcPr>
          <w:p w14:paraId="6B9B5AB4" w14:textId="77777777" w:rsidR="00C27509" w:rsidRDefault="00C27509" w:rsidP="00747ECF">
            <w:pPr>
              <w:jc w:val="center"/>
              <w:rPr>
                <w:rFonts w:ascii="Times New Roman" w:eastAsia="宋体" w:hAnsi="Times New Roman" w:cs="Times New Roman"/>
                <w:sz w:val="24"/>
                <w:szCs w:val="24"/>
              </w:rPr>
            </w:pPr>
          </w:p>
        </w:tc>
        <w:tc>
          <w:tcPr>
            <w:tcW w:w="649" w:type="pct"/>
            <w:vAlign w:val="center"/>
          </w:tcPr>
          <w:p w14:paraId="41F38D8C" w14:textId="77777777" w:rsidR="00C27509" w:rsidRDefault="00C27509" w:rsidP="00747ECF">
            <w:pPr>
              <w:pStyle w:val="affffd"/>
              <w:spacing w:line="240" w:lineRule="auto"/>
              <w:rPr>
                <w:rFonts w:hAnsi="Times New Roman"/>
              </w:rPr>
            </w:pPr>
            <w:r>
              <w:rPr>
                <w:rFonts w:ascii="Times New Roman" w:eastAsia="宋体" w:hAnsi="Times New Roman" w:cs="Times New Roman"/>
              </w:rPr>
              <w:t>生活污水</w:t>
            </w:r>
          </w:p>
        </w:tc>
        <w:tc>
          <w:tcPr>
            <w:tcW w:w="1687" w:type="pct"/>
            <w:vAlign w:val="center"/>
          </w:tcPr>
          <w:p w14:paraId="378A0BE7"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生活污水经化粪池处理后排至填埋场调节池内，进入渗沥液处理站处理</w:t>
            </w:r>
          </w:p>
        </w:tc>
        <w:tc>
          <w:tcPr>
            <w:tcW w:w="623" w:type="pct"/>
            <w:vAlign w:val="center"/>
          </w:tcPr>
          <w:p w14:paraId="45F760CE"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c>
          <w:tcPr>
            <w:tcW w:w="560" w:type="pct"/>
            <w:vAlign w:val="center"/>
          </w:tcPr>
          <w:p w14:paraId="3E49880B"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w:t>
            </w:r>
          </w:p>
        </w:tc>
        <w:tc>
          <w:tcPr>
            <w:tcW w:w="999" w:type="pct"/>
            <w:vAlign w:val="center"/>
          </w:tcPr>
          <w:p w14:paraId="25F4D33B"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r>
      <w:tr w:rsidR="00C27509" w14:paraId="3691915F" w14:textId="77777777" w:rsidTr="00747ECF">
        <w:trPr>
          <w:trHeight w:val="340"/>
          <w:jc w:val="center"/>
        </w:trPr>
        <w:tc>
          <w:tcPr>
            <w:tcW w:w="482" w:type="pct"/>
            <w:vMerge/>
            <w:vAlign w:val="center"/>
          </w:tcPr>
          <w:p w14:paraId="234DD1F8" w14:textId="77777777" w:rsidR="00C27509" w:rsidRDefault="00C27509" w:rsidP="00747ECF">
            <w:pPr>
              <w:jc w:val="center"/>
              <w:rPr>
                <w:rFonts w:ascii="Times New Roman" w:eastAsia="宋体" w:hAnsi="Times New Roman" w:cs="Times New Roman"/>
                <w:sz w:val="24"/>
                <w:szCs w:val="24"/>
              </w:rPr>
            </w:pPr>
          </w:p>
        </w:tc>
        <w:tc>
          <w:tcPr>
            <w:tcW w:w="649" w:type="pct"/>
            <w:vAlign w:val="center"/>
          </w:tcPr>
          <w:p w14:paraId="7B7CCB04" w14:textId="77777777" w:rsidR="00C27509" w:rsidRDefault="00C27509" w:rsidP="00747ECF">
            <w:pPr>
              <w:pStyle w:val="affffd"/>
              <w:spacing w:line="240" w:lineRule="auto"/>
              <w:rPr>
                <w:rFonts w:hAnsi="Times New Roman"/>
              </w:rPr>
            </w:pPr>
            <w:r>
              <w:rPr>
                <w:rFonts w:ascii="Times New Roman" w:eastAsia="宋体" w:hAnsi="Times New Roman" w:cs="Times New Roman"/>
              </w:rPr>
              <w:t>反冲洗废水</w:t>
            </w:r>
          </w:p>
        </w:tc>
        <w:tc>
          <w:tcPr>
            <w:tcW w:w="1687" w:type="pct"/>
            <w:vAlign w:val="center"/>
          </w:tcPr>
          <w:p w14:paraId="7D8553EE"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进入渗沥液处理站处理</w:t>
            </w:r>
          </w:p>
        </w:tc>
        <w:tc>
          <w:tcPr>
            <w:tcW w:w="623" w:type="pct"/>
            <w:vAlign w:val="center"/>
          </w:tcPr>
          <w:p w14:paraId="7EF1DED9"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c>
          <w:tcPr>
            <w:tcW w:w="560" w:type="pct"/>
            <w:vAlign w:val="center"/>
          </w:tcPr>
          <w:p w14:paraId="1FFF21BF"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c>
          <w:tcPr>
            <w:tcW w:w="999" w:type="pct"/>
            <w:vAlign w:val="center"/>
          </w:tcPr>
          <w:p w14:paraId="19BE5A0E"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w:t>
            </w:r>
          </w:p>
        </w:tc>
      </w:tr>
      <w:tr w:rsidR="00C27509" w14:paraId="2D98DB1F" w14:textId="77777777" w:rsidTr="00747ECF">
        <w:trPr>
          <w:trHeight w:val="420"/>
          <w:jc w:val="center"/>
        </w:trPr>
        <w:tc>
          <w:tcPr>
            <w:tcW w:w="482" w:type="pct"/>
            <w:vMerge/>
            <w:vAlign w:val="center"/>
          </w:tcPr>
          <w:p w14:paraId="0982AB87" w14:textId="77777777" w:rsidR="00C27509" w:rsidRDefault="00C27509" w:rsidP="00747ECF">
            <w:pPr>
              <w:jc w:val="center"/>
              <w:rPr>
                <w:rFonts w:ascii="Times New Roman" w:eastAsia="宋体" w:hAnsi="Times New Roman" w:cs="Times New Roman"/>
                <w:sz w:val="24"/>
                <w:szCs w:val="24"/>
              </w:rPr>
            </w:pPr>
          </w:p>
        </w:tc>
        <w:tc>
          <w:tcPr>
            <w:tcW w:w="649" w:type="pct"/>
            <w:vAlign w:val="center"/>
          </w:tcPr>
          <w:p w14:paraId="74FB0E7D" w14:textId="77777777" w:rsidR="00C27509" w:rsidRDefault="00C27509" w:rsidP="00747ECF">
            <w:pPr>
              <w:pStyle w:val="affffd"/>
              <w:spacing w:line="240" w:lineRule="auto"/>
              <w:rPr>
                <w:rFonts w:hAnsi="Times New Roman"/>
              </w:rPr>
            </w:pPr>
            <w:r>
              <w:rPr>
                <w:rFonts w:ascii="Times New Roman" w:eastAsia="宋体" w:hAnsi="Times New Roman" w:cs="Times New Roman"/>
              </w:rPr>
              <w:t>渗滤液处理车间地面冲洗废水</w:t>
            </w:r>
          </w:p>
        </w:tc>
        <w:tc>
          <w:tcPr>
            <w:tcW w:w="1687" w:type="pct"/>
            <w:vAlign w:val="center"/>
          </w:tcPr>
          <w:p w14:paraId="5E67D74E"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进入渗沥液处理站处理</w:t>
            </w:r>
          </w:p>
        </w:tc>
        <w:tc>
          <w:tcPr>
            <w:tcW w:w="623" w:type="pct"/>
            <w:vAlign w:val="center"/>
          </w:tcPr>
          <w:p w14:paraId="50BBBBF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c>
          <w:tcPr>
            <w:tcW w:w="560" w:type="pct"/>
            <w:vAlign w:val="center"/>
          </w:tcPr>
          <w:p w14:paraId="4D2659B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c>
          <w:tcPr>
            <w:tcW w:w="999" w:type="pct"/>
            <w:vAlign w:val="center"/>
          </w:tcPr>
          <w:p w14:paraId="534C34F7"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w:t>
            </w:r>
          </w:p>
        </w:tc>
      </w:tr>
      <w:tr w:rsidR="00C27509" w14:paraId="62157329" w14:textId="77777777" w:rsidTr="00747ECF">
        <w:trPr>
          <w:trHeight w:val="340"/>
          <w:jc w:val="center"/>
        </w:trPr>
        <w:tc>
          <w:tcPr>
            <w:tcW w:w="482" w:type="pct"/>
            <w:vMerge/>
            <w:vAlign w:val="center"/>
          </w:tcPr>
          <w:p w14:paraId="5C1B039C" w14:textId="77777777" w:rsidR="00C27509" w:rsidRDefault="00C27509" w:rsidP="00747ECF">
            <w:pPr>
              <w:jc w:val="center"/>
              <w:rPr>
                <w:rFonts w:ascii="Times New Roman" w:eastAsia="宋体" w:hAnsi="Times New Roman" w:cs="Times New Roman"/>
                <w:sz w:val="24"/>
                <w:szCs w:val="24"/>
              </w:rPr>
            </w:pPr>
          </w:p>
        </w:tc>
        <w:tc>
          <w:tcPr>
            <w:tcW w:w="649" w:type="pct"/>
            <w:vAlign w:val="center"/>
          </w:tcPr>
          <w:p w14:paraId="13665F3A" w14:textId="77777777" w:rsidR="00C27509" w:rsidRDefault="00C27509" w:rsidP="00747ECF">
            <w:pPr>
              <w:pStyle w:val="affffd"/>
              <w:spacing w:line="240" w:lineRule="auto"/>
              <w:rPr>
                <w:rFonts w:hAnsi="Times New Roman"/>
              </w:rPr>
            </w:pPr>
            <w:r>
              <w:rPr>
                <w:rFonts w:ascii="Times New Roman" w:eastAsia="宋体" w:hAnsi="Times New Roman" w:cs="Times New Roman"/>
              </w:rPr>
              <w:t>洗车废水</w:t>
            </w:r>
          </w:p>
        </w:tc>
        <w:tc>
          <w:tcPr>
            <w:tcW w:w="1687" w:type="pct"/>
            <w:vAlign w:val="center"/>
          </w:tcPr>
          <w:p w14:paraId="595FE898"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经自然沉淀处理后全部回用于填埋场洒水降尘</w:t>
            </w:r>
          </w:p>
        </w:tc>
        <w:tc>
          <w:tcPr>
            <w:tcW w:w="623" w:type="pct"/>
            <w:vAlign w:val="center"/>
          </w:tcPr>
          <w:p w14:paraId="4F6AF5B8"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c>
          <w:tcPr>
            <w:tcW w:w="560" w:type="pct"/>
            <w:vAlign w:val="center"/>
          </w:tcPr>
          <w:p w14:paraId="5561804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c>
          <w:tcPr>
            <w:tcW w:w="999" w:type="pct"/>
            <w:vAlign w:val="center"/>
          </w:tcPr>
          <w:p w14:paraId="1882842D"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w:t>
            </w:r>
          </w:p>
        </w:tc>
      </w:tr>
      <w:tr w:rsidR="00C27509" w14:paraId="6C24B865" w14:textId="77777777" w:rsidTr="00747ECF">
        <w:trPr>
          <w:trHeight w:val="340"/>
          <w:jc w:val="center"/>
        </w:trPr>
        <w:tc>
          <w:tcPr>
            <w:tcW w:w="482" w:type="pct"/>
            <w:vAlign w:val="center"/>
          </w:tcPr>
          <w:p w14:paraId="6BEFCA4D"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噪声</w:t>
            </w:r>
          </w:p>
        </w:tc>
        <w:tc>
          <w:tcPr>
            <w:tcW w:w="649" w:type="pct"/>
            <w:vAlign w:val="center"/>
          </w:tcPr>
          <w:p w14:paraId="6930E71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机械设备</w:t>
            </w:r>
          </w:p>
        </w:tc>
        <w:tc>
          <w:tcPr>
            <w:tcW w:w="1687" w:type="pct"/>
            <w:vAlign w:val="center"/>
          </w:tcPr>
          <w:p w14:paraId="141DD4E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rPr>
              <w:t>选用低噪声设备，加强管理。</w:t>
            </w:r>
          </w:p>
        </w:tc>
        <w:tc>
          <w:tcPr>
            <w:tcW w:w="623" w:type="pct"/>
            <w:vAlign w:val="center"/>
          </w:tcPr>
          <w:p w14:paraId="577CF483"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w:t>
            </w:r>
          </w:p>
        </w:tc>
        <w:tc>
          <w:tcPr>
            <w:tcW w:w="560" w:type="pct"/>
            <w:vAlign w:val="center"/>
          </w:tcPr>
          <w:p w14:paraId="6FBD1C94"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w:t>
            </w:r>
          </w:p>
        </w:tc>
        <w:tc>
          <w:tcPr>
            <w:tcW w:w="999" w:type="pct"/>
            <w:vAlign w:val="center"/>
          </w:tcPr>
          <w:p w14:paraId="44FE558C"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3</w:t>
            </w:r>
          </w:p>
        </w:tc>
      </w:tr>
      <w:tr w:rsidR="00C27509" w14:paraId="30862923" w14:textId="77777777" w:rsidTr="00747ECF">
        <w:trPr>
          <w:trHeight w:val="340"/>
          <w:jc w:val="center"/>
        </w:trPr>
        <w:tc>
          <w:tcPr>
            <w:tcW w:w="482" w:type="pct"/>
            <w:vAlign w:val="center"/>
          </w:tcPr>
          <w:p w14:paraId="57C2E10B"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固废</w:t>
            </w:r>
          </w:p>
        </w:tc>
        <w:tc>
          <w:tcPr>
            <w:tcW w:w="649" w:type="pct"/>
            <w:vAlign w:val="center"/>
          </w:tcPr>
          <w:p w14:paraId="6A4041A1"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收集与处置</w:t>
            </w:r>
          </w:p>
        </w:tc>
        <w:tc>
          <w:tcPr>
            <w:tcW w:w="1687" w:type="pct"/>
            <w:vAlign w:val="center"/>
          </w:tcPr>
          <w:p w14:paraId="3E22A723"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危废暂存间</w:t>
            </w:r>
          </w:p>
        </w:tc>
        <w:tc>
          <w:tcPr>
            <w:tcW w:w="623" w:type="pct"/>
            <w:vAlign w:val="center"/>
          </w:tcPr>
          <w:p w14:paraId="5272C7E6"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 w:val="24"/>
                <w:szCs w:val="24"/>
              </w:rPr>
              <w:t>1</w:t>
            </w:r>
          </w:p>
        </w:tc>
        <w:tc>
          <w:tcPr>
            <w:tcW w:w="560" w:type="pct"/>
            <w:vAlign w:val="center"/>
          </w:tcPr>
          <w:p w14:paraId="186BA8C2"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 w:val="24"/>
                <w:szCs w:val="24"/>
              </w:rPr>
              <w:t>间</w:t>
            </w:r>
          </w:p>
        </w:tc>
        <w:tc>
          <w:tcPr>
            <w:tcW w:w="999" w:type="pct"/>
            <w:vAlign w:val="center"/>
          </w:tcPr>
          <w:p w14:paraId="7535EB06"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2</w:t>
            </w:r>
          </w:p>
        </w:tc>
      </w:tr>
      <w:tr w:rsidR="00C27509" w14:paraId="7476FA65" w14:textId="77777777" w:rsidTr="00747ECF">
        <w:trPr>
          <w:trHeight w:val="340"/>
          <w:jc w:val="center"/>
        </w:trPr>
        <w:tc>
          <w:tcPr>
            <w:tcW w:w="482" w:type="pct"/>
            <w:vAlign w:val="center"/>
          </w:tcPr>
          <w:p w14:paraId="25E4E32E"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环境管理与监测</w:t>
            </w:r>
          </w:p>
        </w:tc>
        <w:tc>
          <w:tcPr>
            <w:tcW w:w="2336" w:type="pct"/>
            <w:gridSpan w:val="2"/>
            <w:vAlign w:val="center"/>
          </w:tcPr>
          <w:p w14:paraId="58EC2FC7"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地下水跟踪监测</w:t>
            </w:r>
          </w:p>
        </w:tc>
        <w:tc>
          <w:tcPr>
            <w:tcW w:w="623" w:type="pct"/>
            <w:vAlign w:val="center"/>
          </w:tcPr>
          <w:p w14:paraId="77F1DDD9"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w:t>
            </w:r>
          </w:p>
        </w:tc>
        <w:tc>
          <w:tcPr>
            <w:tcW w:w="560" w:type="pct"/>
            <w:vAlign w:val="center"/>
          </w:tcPr>
          <w:p w14:paraId="14D8D801"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w:t>
            </w:r>
          </w:p>
        </w:tc>
        <w:tc>
          <w:tcPr>
            <w:tcW w:w="999" w:type="pct"/>
            <w:vAlign w:val="center"/>
          </w:tcPr>
          <w:p w14:paraId="5DE34FBD"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hint="eastAsia"/>
                <w:szCs w:val="21"/>
              </w:rPr>
              <w:t>15</w:t>
            </w:r>
          </w:p>
        </w:tc>
      </w:tr>
      <w:tr w:rsidR="00C27509" w14:paraId="5F412AB7" w14:textId="77777777" w:rsidTr="00747ECF">
        <w:trPr>
          <w:trHeight w:val="340"/>
          <w:jc w:val="center"/>
        </w:trPr>
        <w:tc>
          <w:tcPr>
            <w:tcW w:w="482" w:type="pct"/>
            <w:vAlign w:val="center"/>
          </w:tcPr>
          <w:p w14:paraId="1370F4BF"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应急预案</w:t>
            </w:r>
          </w:p>
        </w:tc>
        <w:tc>
          <w:tcPr>
            <w:tcW w:w="2336" w:type="pct"/>
            <w:gridSpan w:val="2"/>
            <w:vAlign w:val="center"/>
          </w:tcPr>
          <w:p w14:paraId="6F6A0732"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编制突发环境事件应急预案</w:t>
            </w:r>
          </w:p>
        </w:tc>
        <w:tc>
          <w:tcPr>
            <w:tcW w:w="623" w:type="pct"/>
            <w:vAlign w:val="center"/>
          </w:tcPr>
          <w:p w14:paraId="51A2F1C3"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w:t>
            </w:r>
          </w:p>
        </w:tc>
        <w:tc>
          <w:tcPr>
            <w:tcW w:w="560" w:type="pct"/>
            <w:vAlign w:val="center"/>
          </w:tcPr>
          <w:p w14:paraId="7321B58E"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w:t>
            </w:r>
          </w:p>
        </w:tc>
        <w:tc>
          <w:tcPr>
            <w:tcW w:w="999" w:type="pct"/>
            <w:vAlign w:val="center"/>
          </w:tcPr>
          <w:p w14:paraId="6F3F021E" w14:textId="77777777" w:rsidR="00C27509" w:rsidRDefault="00C27509" w:rsidP="00747ECF">
            <w:pPr>
              <w:jc w:val="center"/>
              <w:rPr>
                <w:rFonts w:ascii="Times New Roman" w:eastAsia="宋体" w:hAnsi="Times New Roman" w:cs="Times New Roman"/>
                <w:sz w:val="24"/>
                <w:szCs w:val="24"/>
              </w:rPr>
            </w:pPr>
            <w:r>
              <w:rPr>
                <w:rFonts w:ascii="Times New Roman" w:eastAsia="宋体" w:hAnsi="Times New Roman" w:cs="Times New Roman"/>
                <w:szCs w:val="21"/>
              </w:rPr>
              <w:t>6</w:t>
            </w:r>
          </w:p>
        </w:tc>
      </w:tr>
      <w:tr w:rsidR="00C27509" w14:paraId="52EEE109" w14:textId="77777777" w:rsidTr="00747ECF">
        <w:trPr>
          <w:trHeight w:val="340"/>
          <w:jc w:val="center"/>
        </w:trPr>
        <w:tc>
          <w:tcPr>
            <w:tcW w:w="482" w:type="pct"/>
            <w:vAlign w:val="center"/>
          </w:tcPr>
          <w:p w14:paraId="62108505" w14:textId="77777777" w:rsidR="00C27509" w:rsidRDefault="00C27509" w:rsidP="00747ECF">
            <w:pPr>
              <w:jc w:val="center"/>
              <w:rPr>
                <w:rFonts w:ascii="Times New Roman" w:eastAsia="宋体" w:hAnsi="Times New Roman" w:cs="Times New Roman"/>
                <w:color w:val="FF0000"/>
                <w:szCs w:val="21"/>
              </w:rPr>
            </w:pPr>
            <w:r>
              <w:rPr>
                <w:rFonts w:ascii="Times New Roman" w:eastAsia="宋体" w:hAnsi="Times New Roman" w:cs="Times New Roman" w:hint="eastAsia"/>
                <w:color w:val="FF0000"/>
                <w:szCs w:val="21"/>
              </w:rPr>
              <w:t>生态恢复</w:t>
            </w:r>
          </w:p>
        </w:tc>
        <w:tc>
          <w:tcPr>
            <w:tcW w:w="2336" w:type="pct"/>
            <w:gridSpan w:val="2"/>
            <w:vAlign w:val="center"/>
          </w:tcPr>
          <w:p w14:paraId="2ECC0927" w14:textId="77777777" w:rsidR="00C27509" w:rsidRDefault="00C27509" w:rsidP="00747ECF">
            <w:pPr>
              <w:jc w:val="center"/>
              <w:rPr>
                <w:rFonts w:ascii="Times New Roman" w:eastAsia="宋体" w:hAnsi="Times New Roman" w:cs="Times New Roman"/>
                <w:color w:val="FF0000"/>
                <w:szCs w:val="21"/>
              </w:rPr>
            </w:pPr>
            <w:r>
              <w:rPr>
                <w:rFonts w:ascii="Times New Roman" w:eastAsia="宋体" w:hAnsi="Times New Roman" w:cs="Times New Roman" w:hint="eastAsia"/>
                <w:color w:val="FF0000"/>
                <w:szCs w:val="21"/>
              </w:rPr>
              <w:t>封场后</w:t>
            </w:r>
          </w:p>
        </w:tc>
        <w:tc>
          <w:tcPr>
            <w:tcW w:w="623" w:type="pct"/>
            <w:vAlign w:val="center"/>
          </w:tcPr>
          <w:p w14:paraId="6487EC11" w14:textId="77777777" w:rsidR="00C27509" w:rsidRDefault="00C27509" w:rsidP="00747ECF">
            <w:pPr>
              <w:jc w:val="center"/>
              <w:rPr>
                <w:rFonts w:ascii="Times New Roman" w:eastAsia="宋体" w:hAnsi="Times New Roman" w:cs="Times New Roman"/>
                <w:color w:val="FF0000"/>
                <w:szCs w:val="21"/>
              </w:rPr>
            </w:pPr>
            <w:r>
              <w:rPr>
                <w:rFonts w:ascii="Times New Roman" w:eastAsia="宋体" w:hAnsi="Times New Roman" w:cs="Times New Roman" w:hint="eastAsia"/>
                <w:color w:val="FF0000"/>
                <w:szCs w:val="21"/>
              </w:rPr>
              <w:t>130046</w:t>
            </w:r>
          </w:p>
        </w:tc>
        <w:tc>
          <w:tcPr>
            <w:tcW w:w="560" w:type="pct"/>
            <w:vAlign w:val="center"/>
          </w:tcPr>
          <w:p w14:paraId="4D782C48" w14:textId="77777777" w:rsidR="00C27509" w:rsidRDefault="00C27509" w:rsidP="00747ECF">
            <w:pPr>
              <w:jc w:val="center"/>
              <w:rPr>
                <w:rFonts w:ascii="Times New Roman" w:eastAsia="宋体" w:hAnsi="Times New Roman" w:cs="Times New Roman"/>
                <w:color w:val="FF0000"/>
                <w:szCs w:val="21"/>
              </w:rPr>
            </w:pPr>
            <w:r>
              <w:rPr>
                <w:rFonts w:ascii="Times New Roman" w:eastAsia="宋体" w:hAnsi="Times New Roman" w:cs="Times New Roman" w:hint="eastAsia"/>
                <w:color w:val="FF0000"/>
                <w:szCs w:val="21"/>
              </w:rPr>
              <w:t>m</w:t>
            </w:r>
            <w:r>
              <w:rPr>
                <w:rFonts w:ascii="Times New Roman" w:eastAsia="宋体" w:hAnsi="Times New Roman" w:cs="Times New Roman" w:hint="eastAsia"/>
                <w:color w:val="FF0000"/>
                <w:szCs w:val="21"/>
                <w:vertAlign w:val="superscript"/>
              </w:rPr>
              <w:t>2</w:t>
            </w:r>
          </w:p>
        </w:tc>
        <w:tc>
          <w:tcPr>
            <w:tcW w:w="999" w:type="pct"/>
            <w:vAlign w:val="center"/>
          </w:tcPr>
          <w:p w14:paraId="16479369" w14:textId="77777777" w:rsidR="00C27509" w:rsidRDefault="00C27509" w:rsidP="00747ECF">
            <w:pPr>
              <w:jc w:val="center"/>
              <w:rPr>
                <w:rFonts w:ascii="Times New Roman" w:eastAsia="宋体" w:hAnsi="Times New Roman" w:cs="Times New Roman"/>
                <w:color w:val="FF0000"/>
                <w:szCs w:val="21"/>
              </w:rPr>
            </w:pPr>
            <w:r>
              <w:rPr>
                <w:rFonts w:ascii="Times New Roman" w:eastAsia="宋体" w:hAnsi="Times New Roman" w:cs="Times New Roman" w:hint="eastAsia"/>
                <w:color w:val="FF0000"/>
                <w:szCs w:val="21"/>
              </w:rPr>
              <w:t>35</w:t>
            </w:r>
          </w:p>
        </w:tc>
      </w:tr>
      <w:tr w:rsidR="00C27509" w14:paraId="300030E4" w14:textId="77777777" w:rsidTr="00747ECF">
        <w:trPr>
          <w:trHeight w:val="340"/>
          <w:jc w:val="center"/>
        </w:trPr>
        <w:tc>
          <w:tcPr>
            <w:tcW w:w="2818" w:type="pct"/>
            <w:gridSpan w:val="3"/>
            <w:vAlign w:val="center"/>
          </w:tcPr>
          <w:p w14:paraId="313BF175" w14:textId="77777777" w:rsidR="00C27509" w:rsidRDefault="00C27509" w:rsidP="00747ECF">
            <w:pPr>
              <w:jc w:val="center"/>
              <w:rPr>
                <w:rFonts w:ascii="Times New Roman" w:eastAsia="宋体" w:hAnsi="Times New Roman" w:cs="Times New Roman"/>
                <w:color w:val="FF0000"/>
                <w:sz w:val="24"/>
                <w:szCs w:val="24"/>
              </w:rPr>
            </w:pPr>
            <w:r>
              <w:rPr>
                <w:rFonts w:ascii="Times New Roman" w:eastAsia="宋体" w:hAnsi="Times New Roman" w:cs="Times New Roman"/>
                <w:color w:val="FF0000"/>
                <w:szCs w:val="21"/>
              </w:rPr>
              <w:t>合计</w:t>
            </w:r>
          </w:p>
        </w:tc>
        <w:tc>
          <w:tcPr>
            <w:tcW w:w="2182" w:type="pct"/>
            <w:gridSpan w:val="3"/>
            <w:vAlign w:val="center"/>
          </w:tcPr>
          <w:p w14:paraId="63AAF184" w14:textId="77777777" w:rsidR="00C27509" w:rsidRDefault="00C27509" w:rsidP="00747ECF">
            <w:pPr>
              <w:jc w:val="center"/>
              <w:rPr>
                <w:rFonts w:ascii="Times New Roman" w:eastAsia="宋体" w:hAnsi="Times New Roman" w:cs="Times New Roman"/>
                <w:color w:val="FF0000"/>
                <w:sz w:val="24"/>
                <w:szCs w:val="24"/>
              </w:rPr>
            </w:pPr>
            <w:r>
              <w:rPr>
                <w:rFonts w:ascii="Times New Roman" w:eastAsia="宋体" w:hAnsi="Times New Roman" w:cs="Times New Roman" w:hint="eastAsia"/>
                <w:color w:val="FF0000"/>
                <w:szCs w:val="21"/>
              </w:rPr>
              <w:t>262</w:t>
            </w:r>
          </w:p>
        </w:tc>
      </w:tr>
      <w:tr w:rsidR="00C27509" w14:paraId="18ADBE34" w14:textId="77777777" w:rsidTr="00747ECF">
        <w:trPr>
          <w:trHeight w:val="340"/>
          <w:jc w:val="center"/>
        </w:trPr>
        <w:tc>
          <w:tcPr>
            <w:tcW w:w="5000" w:type="pct"/>
            <w:gridSpan w:val="6"/>
            <w:vAlign w:val="center"/>
          </w:tcPr>
          <w:p w14:paraId="12606FCD" w14:textId="77777777" w:rsidR="00C27509" w:rsidRDefault="00C27509" w:rsidP="00747ECF">
            <w:pPr>
              <w:rPr>
                <w:rFonts w:ascii="Times New Roman" w:eastAsia="宋体" w:hAnsi="Times New Roman" w:cs="Times New Roman"/>
                <w:sz w:val="24"/>
                <w:szCs w:val="24"/>
              </w:rPr>
            </w:pPr>
            <w:r>
              <w:rPr>
                <w:rFonts w:ascii="Times New Roman" w:eastAsia="宋体" w:hAnsi="Times New Roman" w:cs="Times New Roman"/>
                <w:szCs w:val="21"/>
              </w:rPr>
              <w:lastRenderedPageBreak/>
              <w:t>注：填埋场防渗设施工程、渗滤液收集系统、雨水导排系统计入主体工程，填埋区（封场后）、临时堆土场的生态恢复不计入本项目投资。</w:t>
            </w:r>
          </w:p>
        </w:tc>
      </w:tr>
    </w:tbl>
    <w:p w14:paraId="5B7929BF" w14:textId="77777777" w:rsidR="00D12939" w:rsidRDefault="004F47F5">
      <w:pPr>
        <w:pStyle w:val="2"/>
        <w:spacing w:line="360" w:lineRule="auto"/>
        <w:ind w:firstLineChars="165" w:firstLine="462"/>
        <w:rPr>
          <w:sz w:val="28"/>
        </w:rPr>
      </w:pPr>
      <w:bookmarkStart w:id="635" w:name="_Toc121411820"/>
      <w:bookmarkStart w:id="636" w:name="_Toc30089325"/>
      <w:bookmarkStart w:id="637" w:name="_Toc113952345"/>
      <w:r>
        <w:rPr>
          <w:sz w:val="28"/>
        </w:rPr>
        <w:t xml:space="preserve">10.2 </w:t>
      </w:r>
      <w:r>
        <w:rPr>
          <w:sz w:val="28"/>
        </w:rPr>
        <w:t>环保投入分析</w:t>
      </w:r>
      <w:bookmarkEnd w:id="635"/>
    </w:p>
    <w:p w14:paraId="524377B3"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w:t>
      </w:r>
      <w:r>
        <w:rPr>
          <w:rFonts w:ascii="Times New Roman" w:eastAsia="宋体" w:hAnsi="Times New Roman" w:cs="Times New Roman"/>
          <w:kern w:val="0"/>
          <w:sz w:val="24"/>
        </w:rPr>
        <w:t>1</w:t>
      </w:r>
      <w:r>
        <w:rPr>
          <w:rFonts w:ascii="Times New Roman" w:eastAsia="宋体" w:hAnsi="Times New Roman" w:cs="Times New Roman"/>
          <w:kern w:val="0"/>
          <w:sz w:val="24"/>
        </w:rPr>
        <w:t>）环保投资与基本建设投资的比例（</w:t>
      </w:r>
      <w:r>
        <w:rPr>
          <w:rFonts w:ascii="Times New Roman" w:eastAsia="宋体" w:hAnsi="Times New Roman" w:cs="Times New Roman"/>
          <w:kern w:val="0"/>
          <w:sz w:val="24"/>
        </w:rPr>
        <w:t>HJ</w:t>
      </w:r>
      <w:r>
        <w:rPr>
          <w:rFonts w:ascii="Times New Roman" w:eastAsia="宋体" w:hAnsi="Times New Roman" w:cs="Times New Roman"/>
          <w:kern w:val="0"/>
          <w:sz w:val="24"/>
        </w:rPr>
        <w:t>）</w:t>
      </w:r>
    </w:p>
    <w:p w14:paraId="0153FCC7" w14:textId="77777777" w:rsidR="00D12939" w:rsidRDefault="004F47F5">
      <w:pPr>
        <w:adjustRightInd w:val="0"/>
        <w:snapToGrid w:val="0"/>
        <w:spacing w:line="360" w:lineRule="auto"/>
        <w:jc w:val="center"/>
        <w:rPr>
          <w:rFonts w:ascii="Times New Roman" w:eastAsia="宋体" w:hAnsi="Times New Roman" w:cs="Times New Roman"/>
          <w:kern w:val="0"/>
          <w:sz w:val="24"/>
        </w:rPr>
      </w:pPr>
      <w:r>
        <w:rPr>
          <w:rFonts w:ascii="Times New Roman" w:eastAsia="宋体" w:hAnsi="Times New Roman" w:cs="Times New Roman"/>
          <w:noProof/>
          <w:szCs w:val="21"/>
        </w:rPr>
        <w:drawing>
          <wp:anchor distT="0" distB="0" distL="0" distR="0" simplePos="0" relativeHeight="251661312" behindDoc="0" locked="0" layoutInCell="1" allowOverlap="1">
            <wp:simplePos x="0" y="0"/>
            <wp:positionH relativeFrom="column">
              <wp:posOffset>2798445</wp:posOffset>
            </wp:positionH>
            <wp:positionV relativeFrom="paragraph">
              <wp:posOffset>92710</wp:posOffset>
            </wp:positionV>
            <wp:extent cx="384175" cy="498475"/>
            <wp:effectExtent l="0" t="0" r="0" b="16510"/>
            <wp:wrapNone/>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384175" cy="498475"/>
                    </a:xfrm>
                    <a:prstGeom prst="rect">
                      <a:avLst/>
                    </a:prstGeom>
                    <a:noFill/>
                    <a:ln>
                      <a:noFill/>
                    </a:ln>
                  </pic:spPr>
                </pic:pic>
              </a:graphicData>
            </a:graphic>
          </wp:anchor>
        </w:drawing>
      </w:r>
    </w:p>
    <w:p w14:paraId="0E14FD3E" w14:textId="77777777" w:rsidR="00D12939" w:rsidRDefault="004F47F5">
      <w:pPr>
        <w:adjustRightInd w:val="0"/>
        <w:snapToGrid w:val="0"/>
        <w:spacing w:line="360" w:lineRule="auto"/>
        <w:jc w:val="center"/>
        <w:rPr>
          <w:rFonts w:ascii="Times New Roman" w:eastAsia="宋体" w:hAnsi="Times New Roman" w:cs="Times New Roman"/>
          <w:kern w:val="0"/>
          <w:sz w:val="24"/>
        </w:rPr>
      </w:pPr>
      <w:r>
        <w:rPr>
          <w:rFonts w:ascii="Times New Roman" w:eastAsia="宋体" w:hAnsi="Times New Roman" w:cs="Times New Roman"/>
          <w:kern w:val="0"/>
          <w:sz w:val="24"/>
        </w:rPr>
        <w:t>HJ=     ×100%</w:t>
      </w:r>
    </w:p>
    <w:p w14:paraId="5643E7AC" w14:textId="77777777" w:rsidR="00D12939" w:rsidRDefault="00D12939">
      <w:pPr>
        <w:adjustRightInd w:val="0"/>
        <w:snapToGrid w:val="0"/>
        <w:spacing w:line="360" w:lineRule="auto"/>
        <w:ind w:firstLineChars="200" w:firstLine="480"/>
        <w:rPr>
          <w:rFonts w:ascii="Times New Roman" w:eastAsia="宋体" w:hAnsi="Times New Roman" w:cs="Times New Roman"/>
          <w:kern w:val="0"/>
          <w:sz w:val="24"/>
        </w:rPr>
      </w:pPr>
    </w:p>
    <w:p w14:paraId="061BA703"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式中：</w:t>
      </w:r>
      <w:r>
        <w:rPr>
          <w:rFonts w:ascii="Times New Roman" w:eastAsia="宋体" w:hAnsi="Times New Roman" w:cs="Times New Roman"/>
          <w:kern w:val="0"/>
          <w:sz w:val="24"/>
        </w:rPr>
        <w:t>HJ—</w:t>
      </w:r>
      <w:r>
        <w:rPr>
          <w:rFonts w:ascii="Times New Roman" w:eastAsia="宋体" w:hAnsi="Times New Roman" w:cs="Times New Roman"/>
          <w:kern w:val="0"/>
          <w:sz w:val="24"/>
        </w:rPr>
        <w:t>环保投资比例，</w:t>
      </w:r>
      <w:r>
        <w:rPr>
          <w:rFonts w:ascii="Times New Roman" w:eastAsia="宋体" w:hAnsi="Times New Roman" w:cs="Times New Roman"/>
          <w:kern w:val="0"/>
          <w:sz w:val="24"/>
        </w:rPr>
        <w:t>%</w:t>
      </w:r>
      <w:r>
        <w:rPr>
          <w:rFonts w:ascii="Times New Roman" w:eastAsia="宋体" w:hAnsi="Times New Roman" w:cs="Times New Roman"/>
          <w:kern w:val="0"/>
          <w:sz w:val="24"/>
        </w:rPr>
        <w:t>；</w:t>
      </w:r>
    </w:p>
    <w:p w14:paraId="6DE2E113"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HT—</w:t>
      </w:r>
      <w:r>
        <w:rPr>
          <w:rFonts w:ascii="Times New Roman" w:eastAsia="宋体" w:hAnsi="Times New Roman" w:cs="Times New Roman"/>
          <w:kern w:val="0"/>
          <w:sz w:val="24"/>
        </w:rPr>
        <w:t>环保建设投资，万元；</w:t>
      </w:r>
    </w:p>
    <w:p w14:paraId="33E17E94" w14:textId="77777777" w:rsidR="00D12939" w:rsidRDefault="004F47F5">
      <w:pPr>
        <w:adjustRightInd w:val="0"/>
        <w:snapToGrid w:val="0"/>
        <w:spacing w:line="360" w:lineRule="auto"/>
        <w:rPr>
          <w:rFonts w:ascii="Times New Roman" w:eastAsia="宋体" w:hAnsi="Times New Roman" w:cs="Times New Roman"/>
          <w:kern w:val="0"/>
          <w:sz w:val="24"/>
        </w:rPr>
      </w:pPr>
      <w:r>
        <w:rPr>
          <w:rFonts w:ascii="Times New Roman" w:eastAsia="宋体" w:hAnsi="Times New Roman" w:cs="Times New Roman"/>
          <w:kern w:val="0"/>
          <w:sz w:val="24"/>
        </w:rPr>
        <w:t xml:space="preserve">    JT—</w:t>
      </w:r>
      <w:r>
        <w:rPr>
          <w:rFonts w:ascii="Times New Roman" w:eastAsia="宋体" w:hAnsi="Times New Roman" w:cs="Times New Roman"/>
          <w:kern w:val="0"/>
          <w:sz w:val="24"/>
        </w:rPr>
        <w:t>基本建设投资，万元。</w:t>
      </w:r>
    </w:p>
    <w:p w14:paraId="6CC1C429" w14:textId="29722413" w:rsidR="00D12939" w:rsidRPr="00C27509" w:rsidRDefault="004F47F5" w:rsidP="00C27509">
      <w:pPr>
        <w:adjustRightInd w:val="0"/>
        <w:snapToGrid w:val="0"/>
        <w:spacing w:line="360" w:lineRule="auto"/>
        <w:ind w:firstLineChars="200" w:firstLine="480"/>
        <w:rPr>
          <w:rFonts w:ascii="Times New Roman" w:eastAsia="宋体" w:hAnsi="Times New Roman" w:cs="Times New Roman"/>
          <w:color w:val="FF0000"/>
          <w:kern w:val="0"/>
          <w:sz w:val="24"/>
        </w:rPr>
      </w:pPr>
      <w:r>
        <w:rPr>
          <w:rFonts w:ascii="Times New Roman" w:eastAsia="宋体" w:hAnsi="Times New Roman" w:cs="Times New Roman"/>
          <w:kern w:val="0"/>
          <w:sz w:val="24"/>
        </w:rPr>
        <w:t>项目基本建设投资为</w:t>
      </w:r>
      <w:r>
        <w:rPr>
          <w:rFonts w:ascii="Times New Roman" w:eastAsia="宋体" w:hAnsi="Times New Roman" w:cs="Times New Roman" w:hint="eastAsia"/>
          <w:kern w:val="0"/>
          <w:sz w:val="24"/>
        </w:rPr>
        <w:t>6990.66</w:t>
      </w:r>
      <w:r w:rsidR="00C27509">
        <w:rPr>
          <w:rFonts w:ascii="Times New Roman" w:eastAsia="宋体" w:hAnsi="Times New Roman" w:cs="Times New Roman"/>
          <w:kern w:val="0"/>
          <w:sz w:val="24"/>
        </w:rPr>
        <w:t>万元，</w:t>
      </w:r>
      <w:r w:rsidR="00C27509">
        <w:rPr>
          <w:rFonts w:ascii="Times New Roman" w:eastAsia="宋体" w:hAnsi="Times New Roman" w:cs="Times New Roman"/>
          <w:color w:val="FF0000"/>
          <w:kern w:val="0"/>
          <w:sz w:val="24"/>
        </w:rPr>
        <w:t>环保建设投资约为</w:t>
      </w:r>
      <w:r w:rsidR="00C27509">
        <w:rPr>
          <w:rFonts w:ascii="Times New Roman" w:eastAsia="宋体" w:hAnsi="Times New Roman" w:cs="Times New Roman" w:hint="eastAsia"/>
          <w:color w:val="FF0000"/>
          <w:kern w:val="0"/>
          <w:sz w:val="24"/>
        </w:rPr>
        <w:t>262</w:t>
      </w:r>
      <w:r w:rsidR="00C27509">
        <w:rPr>
          <w:rFonts w:ascii="Times New Roman" w:eastAsia="宋体" w:hAnsi="Times New Roman" w:cs="Times New Roman"/>
          <w:color w:val="FF0000"/>
          <w:kern w:val="0"/>
          <w:sz w:val="24"/>
        </w:rPr>
        <w:t>万元，由此可得</w:t>
      </w:r>
      <w:r w:rsidR="00C27509">
        <w:rPr>
          <w:rFonts w:ascii="Times New Roman" w:eastAsia="宋体" w:hAnsi="Times New Roman" w:cs="Times New Roman"/>
          <w:color w:val="FF0000"/>
          <w:kern w:val="0"/>
          <w:sz w:val="24"/>
        </w:rPr>
        <w:t>HJ=</w:t>
      </w:r>
      <w:r w:rsidR="00C27509">
        <w:rPr>
          <w:rFonts w:ascii="Times New Roman" w:eastAsia="宋体" w:hAnsi="Times New Roman" w:cs="Times New Roman" w:hint="eastAsia"/>
          <w:color w:val="FF0000"/>
          <w:kern w:val="0"/>
          <w:sz w:val="24"/>
        </w:rPr>
        <w:t>3.75</w:t>
      </w:r>
      <w:r w:rsidR="00C27509">
        <w:rPr>
          <w:rFonts w:ascii="Times New Roman" w:eastAsia="宋体" w:hAnsi="Times New Roman" w:cs="Times New Roman"/>
          <w:color w:val="FF0000"/>
          <w:kern w:val="0"/>
          <w:sz w:val="24"/>
        </w:rPr>
        <w:t>%</w:t>
      </w:r>
      <w:r>
        <w:rPr>
          <w:rFonts w:ascii="Times New Roman" w:eastAsia="宋体" w:hAnsi="Times New Roman" w:cs="Times New Roman"/>
          <w:kern w:val="0"/>
          <w:sz w:val="24"/>
        </w:rPr>
        <w:t>。</w:t>
      </w:r>
    </w:p>
    <w:p w14:paraId="608F5546" w14:textId="77777777" w:rsidR="00D12939" w:rsidRDefault="004F47F5">
      <w:pPr>
        <w:adjustRightInd w:val="0"/>
        <w:snapToGrid w:val="0"/>
        <w:spacing w:line="360" w:lineRule="auto"/>
        <w:ind w:firstLineChars="150" w:firstLine="360"/>
        <w:rPr>
          <w:rFonts w:ascii="Times New Roman" w:eastAsia="宋体" w:hAnsi="Times New Roman" w:cs="Times New Roman"/>
          <w:kern w:val="0"/>
          <w:sz w:val="24"/>
        </w:rPr>
      </w:pPr>
      <w:r>
        <w:rPr>
          <w:rFonts w:ascii="Times New Roman" w:eastAsia="宋体" w:hAnsi="Times New Roman" w:cs="Times New Roman"/>
          <w:kern w:val="0"/>
          <w:sz w:val="24"/>
        </w:rPr>
        <w:t>（</w:t>
      </w:r>
      <w:r>
        <w:rPr>
          <w:rFonts w:ascii="Times New Roman" w:eastAsia="宋体" w:hAnsi="Times New Roman" w:cs="Times New Roman"/>
          <w:kern w:val="0"/>
          <w:sz w:val="24"/>
        </w:rPr>
        <w:t>2</w:t>
      </w:r>
      <w:r>
        <w:rPr>
          <w:rFonts w:ascii="Times New Roman" w:eastAsia="宋体" w:hAnsi="Times New Roman" w:cs="Times New Roman"/>
          <w:kern w:val="0"/>
          <w:sz w:val="24"/>
        </w:rPr>
        <w:t>）投产后环保费用</w:t>
      </w:r>
    </w:p>
    <w:p w14:paraId="75C74C59"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项目投产后的环保费用采用下面公式来估算：</w:t>
      </w:r>
    </w:p>
    <w:p w14:paraId="79C8DE13" w14:textId="77777777" w:rsidR="00D12939" w:rsidRDefault="004F47F5">
      <w:pPr>
        <w:adjustRightInd w:val="0"/>
        <w:snapToGrid w:val="0"/>
        <w:spacing w:line="360" w:lineRule="auto"/>
        <w:jc w:val="center"/>
        <w:rPr>
          <w:rFonts w:ascii="Times New Roman" w:eastAsia="宋体" w:hAnsi="Times New Roman" w:cs="Times New Roman"/>
          <w:kern w:val="0"/>
          <w:sz w:val="24"/>
        </w:rPr>
      </w:pPr>
      <w:r>
        <w:rPr>
          <w:rFonts w:ascii="Times New Roman" w:eastAsia="宋体" w:hAnsi="Times New Roman" w:cs="Times New Roman"/>
          <w:kern w:val="0"/>
          <w:sz w:val="24"/>
        </w:rPr>
        <w:t>HF=</w:t>
      </w:r>
      <w:r>
        <w:rPr>
          <w:rFonts w:ascii="Times New Roman" w:eastAsia="宋体" w:hAnsi="Times New Roman" w:cs="Times New Roman"/>
          <w:noProof/>
          <w:szCs w:val="21"/>
        </w:rPr>
        <w:drawing>
          <wp:inline distT="0" distB="0" distL="0" distR="0">
            <wp:extent cx="592455" cy="540385"/>
            <wp:effectExtent l="0" t="0" r="0" b="12700"/>
            <wp:docPr id="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92455" cy="540385"/>
                    </a:xfrm>
                    <a:prstGeom prst="rect">
                      <a:avLst/>
                    </a:prstGeom>
                    <a:noFill/>
                    <a:ln>
                      <a:noFill/>
                    </a:ln>
                  </pic:spPr>
                </pic:pic>
              </a:graphicData>
            </a:graphic>
          </wp:inline>
        </w:drawing>
      </w:r>
      <w:r>
        <w:rPr>
          <w:rFonts w:ascii="Times New Roman" w:eastAsia="宋体" w:hAnsi="Times New Roman" w:cs="Times New Roman"/>
          <w:kern w:val="0"/>
          <w:sz w:val="24"/>
        </w:rPr>
        <w:t>+</w:t>
      </w:r>
      <w:r>
        <w:rPr>
          <w:rFonts w:ascii="Times New Roman" w:eastAsia="宋体" w:hAnsi="Times New Roman" w:cs="Times New Roman"/>
          <w:noProof/>
          <w:szCs w:val="21"/>
        </w:rPr>
        <w:drawing>
          <wp:inline distT="0" distB="0" distL="0" distR="0">
            <wp:extent cx="415925" cy="540385"/>
            <wp:effectExtent l="0" t="0" r="0" b="12700"/>
            <wp:docPr id="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415925" cy="540385"/>
                    </a:xfrm>
                    <a:prstGeom prst="rect">
                      <a:avLst/>
                    </a:prstGeom>
                    <a:noFill/>
                    <a:ln>
                      <a:noFill/>
                    </a:ln>
                  </pic:spPr>
                </pic:pic>
              </a:graphicData>
            </a:graphic>
          </wp:inline>
        </w:drawing>
      </w:r>
    </w:p>
    <w:p w14:paraId="29FC86E6"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式中：</w:t>
      </w:r>
      <w:r>
        <w:rPr>
          <w:rFonts w:ascii="Times New Roman" w:eastAsia="宋体" w:hAnsi="Times New Roman" w:cs="Times New Roman"/>
          <w:kern w:val="0"/>
          <w:sz w:val="24"/>
        </w:rPr>
        <w:t>CH—“</w:t>
      </w:r>
      <w:r>
        <w:rPr>
          <w:rFonts w:ascii="Times New Roman" w:eastAsia="宋体" w:hAnsi="Times New Roman" w:cs="Times New Roman"/>
          <w:kern w:val="0"/>
          <w:sz w:val="24"/>
        </w:rPr>
        <w:t>三废</w:t>
      </w:r>
      <w:r>
        <w:rPr>
          <w:rFonts w:ascii="Times New Roman" w:eastAsia="宋体" w:hAnsi="Times New Roman" w:cs="Times New Roman"/>
          <w:kern w:val="0"/>
          <w:sz w:val="24"/>
        </w:rPr>
        <w:t>”</w:t>
      </w:r>
      <w:r>
        <w:rPr>
          <w:rFonts w:ascii="Times New Roman" w:eastAsia="宋体" w:hAnsi="Times New Roman" w:cs="Times New Roman"/>
          <w:kern w:val="0"/>
          <w:sz w:val="24"/>
        </w:rPr>
        <w:t>处理成本费，包括</w:t>
      </w:r>
      <w:r>
        <w:rPr>
          <w:rFonts w:ascii="Times New Roman" w:eastAsia="宋体" w:hAnsi="Times New Roman" w:cs="Times New Roman"/>
          <w:kern w:val="0"/>
          <w:sz w:val="24"/>
        </w:rPr>
        <w:t>“</w:t>
      </w:r>
      <w:r>
        <w:rPr>
          <w:rFonts w:ascii="Times New Roman" w:eastAsia="宋体" w:hAnsi="Times New Roman" w:cs="Times New Roman"/>
          <w:kern w:val="0"/>
          <w:sz w:val="24"/>
        </w:rPr>
        <w:t>三废</w:t>
      </w:r>
      <w:r>
        <w:rPr>
          <w:rFonts w:ascii="Times New Roman" w:eastAsia="宋体" w:hAnsi="Times New Roman" w:cs="Times New Roman"/>
          <w:kern w:val="0"/>
          <w:sz w:val="24"/>
        </w:rPr>
        <w:t>”</w:t>
      </w:r>
      <w:r>
        <w:rPr>
          <w:rFonts w:ascii="Times New Roman" w:eastAsia="宋体" w:hAnsi="Times New Roman" w:cs="Times New Roman"/>
          <w:kern w:val="0"/>
          <w:sz w:val="24"/>
        </w:rPr>
        <w:t>处理的材料费、运行费等，万元</w:t>
      </w:r>
      <w:r>
        <w:rPr>
          <w:rFonts w:ascii="Times New Roman" w:eastAsia="宋体" w:hAnsi="Times New Roman" w:cs="Times New Roman"/>
          <w:kern w:val="0"/>
          <w:sz w:val="24"/>
        </w:rPr>
        <w:t>/</w:t>
      </w:r>
      <w:r>
        <w:rPr>
          <w:rFonts w:ascii="Times New Roman" w:eastAsia="宋体" w:hAnsi="Times New Roman" w:cs="Times New Roman"/>
          <w:kern w:val="0"/>
          <w:sz w:val="24"/>
        </w:rPr>
        <w:t>年；</w:t>
      </w:r>
    </w:p>
    <w:p w14:paraId="57CFF31B" w14:textId="77777777" w:rsidR="00D12939" w:rsidRDefault="004F47F5">
      <w:pPr>
        <w:adjustRightInd w:val="0"/>
        <w:snapToGrid w:val="0"/>
        <w:spacing w:line="360" w:lineRule="auto"/>
        <w:rPr>
          <w:rFonts w:ascii="Times New Roman" w:eastAsia="宋体" w:hAnsi="Times New Roman" w:cs="Times New Roman"/>
          <w:kern w:val="0"/>
          <w:sz w:val="24"/>
        </w:rPr>
      </w:pPr>
      <w:r>
        <w:rPr>
          <w:rFonts w:ascii="Times New Roman" w:eastAsia="宋体" w:hAnsi="Times New Roman" w:cs="Times New Roman"/>
          <w:kern w:val="0"/>
          <w:sz w:val="24"/>
        </w:rPr>
        <w:t xml:space="preserve">          J—“</w:t>
      </w:r>
      <w:r>
        <w:rPr>
          <w:rFonts w:ascii="Times New Roman" w:eastAsia="宋体" w:hAnsi="Times New Roman" w:cs="Times New Roman"/>
          <w:kern w:val="0"/>
          <w:sz w:val="24"/>
        </w:rPr>
        <w:t>三废</w:t>
      </w:r>
      <w:r>
        <w:rPr>
          <w:rFonts w:ascii="Times New Roman" w:eastAsia="宋体" w:hAnsi="Times New Roman" w:cs="Times New Roman"/>
          <w:kern w:val="0"/>
          <w:sz w:val="24"/>
        </w:rPr>
        <w:t>”</w:t>
      </w:r>
      <w:r>
        <w:rPr>
          <w:rFonts w:ascii="Times New Roman" w:eastAsia="宋体" w:hAnsi="Times New Roman" w:cs="Times New Roman"/>
          <w:kern w:val="0"/>
          <w:sz w:val="24"/>
        </w:rPr>
        <w:t>处理的车间经费，包括每年环保设备维修、管理、折旧费，技术措施及其它不可预见费，万元</w:t>
      </w:r>
      <w:r>
        <w:rPr>
          <w:rFonts w:ascii="Times New Roman" w:eastAsia="宋体" w:hAnsi="Times New Roman" w:cs="Times New Roman"/>
          <w:kern w:val="0"/>
          <w:sz w:val="24"/>
        </w:rPr>
        <w:t>/</w:t>
      </w:r>
      <w:r>
        <w:rPr>
          <w:rFonts w:ascii="Times New Roman" w:eastAsia="宋体" w:hAnsi="Times New Roman" w:cs="Times New Roman"/>
          <w:kern w:val="0"/>
          <w:sz w:val="24"/>
        </w:rPr>
        <w:t>年；</w:t>
      </w:r>
    </w:p>
    <w:p w14:paraId="5FAE2C92" w14:textId="77777777" w:rsidR="00D12939" w:rsidRDefault="004F47F5">
      <w:pPr>
        <w:adjustRightInd w:val="0"/>
        <w:snapToGrid w:val="0"/>
        <w:spacing w:line="360" w:lineRule="auto"/>
        <w:rPr>
          <w:rFonts w:ascii="Times New Roman" w:eastAsia="宋体" w:hAnsi="Times New Roman" w:cs="Times New Roman"/>
          <w:kern w:val="0"/>
          <w:sz w:val="24"/>
        </w:rPr>
      </w:pPr>
      <w:r>
        <w:rPr>
          <w:rFonts w:ascii="Times New Roman" w:eastAsia="宋体" w:hAnsi="Times New Roman" w:cs="Times New Roman"/>
          <w:kern w:val="0"/>
          <w:sz w:val="24"/>
        </w:rPr>
        <w:t xml:space="preserve">          i—</w:t>
      </w:r>
      <w:r>
        <w:rPr>
          <w:rFonts w:ascii="Times New Roman" w:eastAsia="宋体" w:hAnsi="Times New Roman" w:cs="Times New Roman"/>
          <w:kern w:val="0"/>
          <w:sz w:val="24"/>
        </w:rPr>
        <w:t>成本费用的项目数；</w:t>
      </w:r>
    </w:p>
    <w:p w14:paraId="37F0CE1B" w14:textId="77777777" w:rsidR="00D12939" w:rsidRDefault="004F47F5">
      <w:pPr>
        <w:adjustRightInd w:val="0"/>
        <w:snapToGrid w:val="0"/>
        <w:spacing w:line="360" w:lineRule="auto"/>
        <w:rPr>
          <w:rFonts w:ascii="Times New Roman" w:eastAsia="宋体" w:hAnsi="Times New Roman" w:cs="Times New Roman"/>
          <w:kern w:val="0"/>
          <w:sz w:val="24"/>
        </w:rPr>
      </w:pPr>
      <w:r>
        <w:rPr>
          <w:rFonts w:ascii="Times New Roman" w:eastAsia="宋体" w:hAnsi="Times New Roman" w:cs="Times New Roman"/>
          <w:kern w:val="0"/>
          <w:sz w:val="24"/>
        </w:rPr>
        <w:t xml:space="preserve">          k—</w:t>
      </w:r>
      <w:r>
        <w:rPr>
          <w:rFonts w:ascii="Times New Roman" w:eastAsia="宋体" w:hAnsi="Times New Roman" w:cs="Times New Roman"/>
          <w:kern w:val="0"/>
          <w:sz w:val="24"/>
        </w:rPr>
        <w:t>车间经费的项目数。</w:t>
      </w:r>
    </w:p>
    <w:p w14:paraId="2C1FBF52"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根据计算：</w:t>
      </w:r>
    </w:p>
    <w:p w14:paraId="1DB9BCF2" w14:textId="1D294FB4" w:rsidR="00C27509" w:rsidRDefault="004F47F5" w:rsidP="00C27509">
      <w:pPr>
        <w:adjustRightInd w:val="0"/>
        <w:snapToGrid w:val="0"/>
        <w:spacing w:line="360" w:lineRule="auto"/>
        <w:ind w:firstLineChars="200" w:firstLine="480"/>
        <w:rPr>
          <w:rFonts w:ascii="Times New Roman" w:eastAsia="宋体" w:hAnsi="Times New Roman" w:cs="Times New Roman"/>
          <w:color w:val="FF0000"/>
          <w:kern w:val="0"/>
          <w:sz w:val="24"/>
        </w:rPr>
      </w:pPr>
      <w:r>
        <w:rPr>
          <w:rFonts w:ascii="宋体" w:eastAsia="宋体" w:hAnsi="宋体" w:cs="宋体" w:hint="eastAsia"/>
          <w:kern w:val="0"/>
          <w:sz w:val="24"/>
        </w:rPr>
        <w:t>①</w:t>
      </w:r>
      <w:r>
        <w:rPr>
          <w:rFonts w:ascii="Times New Roman" w:eastAsia="宋体" w:hAnsi="Times New Roman" w:cs="Times New Roman"/>
          <w:kern w:val="0"/>
          <w:sz w:val="24"/>
        </w:rPr>
        <w:t>拟建项目每年用于</w:t>
      </w:r>
      <w:r>
        <w:rPr>
          <w:rFonts w:ascii="宋体" w:eastAsia="宋体" w:hAnsi="宋体" w:cs="Times New Roman"/>
          <w:kern w:val="0"/>
          <w:sz w:val="24"/>
        </w:rPr>
        <w:t>“三废”</w:t>
      </w:r>
      <w:r>
        <w:rPr>
          <w:rFonts w:ascii="Times New Roman" w:eastAsia="宋体" w:hAnsi="Times New Roman" w:cs="Times New Roman"/>
          <w:kern w:val="0"/>
          <w:sz w:val="24"/>
        </w:rPr>
        <w:t>治理的费用按环保投资费用的</w:t>
      </w:r>
      <w:r>
        <w:rPr>
          <w:rFonts w:ascii="Times New Roman" w:eastAsia="宋体" w:hAnsi="Times New Roman" w:cs="Times New Roman"/>
          <w:kern w:val="0"/>
          <w:sz w:val="24"/>
        </w:rPr>
        <w:t>8%</w:t>
      </w:r>
      <w:r>
        <w:rPr>
          <w:rFonts w:ascii="Times New Roman" w:eastAsia="宋体" w:hAnsi="Times New Roman" w:cs="Times New Roman"/>
          <w:kern w:val="0"/>
          <w:sz w:val="24"/>
        </w:rPr>
        <w:t>计，</w:t>
      </w:r>
      <w:r w:rsidR="00C27509">
        <w:rPr>
          <w:rFonts w:ascii="Times New Roman" w:eastAsia="宋体" w:hAnsi="Times New Roman" w:cs="Times New Roman"/>
          <w:color w:val="FF0000"/>
          <w:kern w:val="0"/>
          <w:sz w:val="24"/>
        </w:rPr>
        <w:t>则总的</w:t>
      </w:r>
      <w:r w:rsidR="00C27509">
        <w:rPr>
          <w:rFonts w:ascii="Times New Roman" w:eastAsia="宋体" w:hAnsi="Times New Roman" w:cs="Times New Roman"/>
          <w:color w:val="FF0000"/>
          <w:kern w:val="0"/>
          <w:sz w:val="24"/>
        </w:rPr>
        <w:t>CH</w:t>
      </w:r>
      <w:r w:rsidR="00C27509">
        <w:rPr>
          <w:rFonts w:ascii="Times New Roman" w:eastAsia="宋体" w:hAnsi="Times New Roman" w:cs="Times New Roman"/>
          <w:color w:val="FF0000"/>
          <w:kern w:val="0"/>
          <w:sz w:val="24"/>
        </w:rPr>
        <w:t>为</w:t>
      </w:r>
      <w:bookmarkStart w:id="638" w:name="_Toc499557665"/>
      <w:bookmarkStart w:id="639" w:name="_Toc505184317"/>
      <w:bookmarkStart w:id="640" w:name="_Toc526693181"/>
      <w:bookmarkStart w:id="641" w:name="_Toc528770235"/>
      <w:bookmarkEnd w:id="638"/>
      <w:bookmarkEnd w:id="639"/>
      <w:bookmarkEnd w:id="640"/>
      <w:r w:rsidR="00C27509">
        <w:rPr>
          <w:rFonts w:ascii="Times New Roman" w:eastAsia="宋体" w:hAnsi="Times New Roman" w:cs="Times New Roman" w:hint="eastAsia"/>
          <w:color w:val="FF0000"/>
          <w:kern w:val="0"/>
          <w:sz w:val="24"/>
        </w:rPr>
        <w:t>20.96</w:t>
      </w:r>
      <w:r w:rsidR="00C27509">
        <w:rPr>
          <w:rFonts w:ascii="Times New Roman" w:eastAsia="宋体" w:hAnsi="Times New Roman" w:cs="Times New Roman"/>
          <w:color w:val="FF0000"/>
          <w:kern w:val="0"/>
          <w:sz w:val="24"/>
        </w:rPr>
        <w:t>万元</w:t>
      </w:r>
      <w:r w:rsidR="00C27509">
        <w:rPr>
          <w:rFonts w:ascii="Times New Roman" w:eastAsia="宋体" w:hAnsi="Times New Roman" w:cs="Times New Roman"/>
          <w:color w:val="FF0000"/>
          <w:kern w:val="0"/>
          <w:sz w:val="24"/>
        </w:rPr>
        <w:t>/</w:t>
      </w:r>
      <w:r w:rsidR="00C27509">
        <w:rPr>
          <w:rFonts w:ascii="Times New Roman" w:eastAsia="宋体" w:hAnsi="Times New Roman" w:cs="Times New Roman"/>
          <w:color w:val="FF0000"/>
          <w:kern w:val="0"/>
          <w:sz w:val="24"/>
        </w:rPr>
        <w:t>年；</w:t>
      </w:r>
      <w:bookmarkEnd w:id="641"/>
    </w:p>
    <w:p w14:paraId="7992615C" w14:textId="77777777" w:rsidR="00C27509" w:rsidRDefault="00C27509" w:rsidP="00C27509">
      <w:pPr>
        <w:adjustRightInd w:val="0"/>
        <w:snapToGrid w:val="0"/>
        <w:spacing w:line="360" w:lineRule="auto"/>
        <w:ind w:firstLineChars="200" w:firstLine="480"/>
        <w:rPr>
          <w:rFonts w:ascii="Times New Roman" w:eastAsia="宋体" w:hAnsi="Times New Roman" w:cs="Times New Roman"/>
          <w:color w:val="FF0000"/>
          <w:kern w:val="0"/>
          <w:sz w:val="24"/>
        </w:rPr>
      </w:pPr>
      <w:r>
        <w:rPr>
          <w:rFonts w:ascii="宋体" w:eastAsia="宋体" w:hAnsi="宋体" w:cs="宋体" w:hint="eastAsia"/>
          <w:color w:val="FF0000"/>
          <w:kern w:val="0"/>
          <w:sz w:val="24"/>
        </w:rPr>
        <w:t>②</w:t>
      </w:r>
      <w:r>
        <w:rPr>
          <w:rFonts w:ascii="Times New Roman" w:eastAsia="宋体" w:hAnsi="Times New Roman" w:cs="Times New Roman"/>
          <w:color w:val="FF0000"/>
          <w:kern w:val="0"/>
          <w:sz w:val="24"/>
        </w:rPr>
        <w:t>车间经费中，环保设备维修、管理费用按</w:t>
      </w:r>
      <w:r>
        <w:rPr>
          <w:rFonts w:ascii="Times New Roman" w:eastAsia="宋体" w:hAnsi="Times New Roman" w:cs="Times New Roman"/>
          <w:color w:val="FF0000"/>
          <w:kern w:val="0"/>
          <w:sz w:val="24"/>
        </w:rPr>
        <w:t>5</w:t>
      </w:r>
      <w:r>
        <w:rPr>
          <w:rFonts w:ascii="Times New Roman" w:eastAsia="宋体" w:hAnsi="Times New Roman" w:cs="Times New Roman"/>
          <w:color w:val="FF0000"/>
          <w:kern w:val="0"/>
          <w:sz w:val="24"/>
        </w:rPr>
        <w:t>万元</w:t>
      </w:r>
      <w:r>
        <w:rPr>
          <w:rFonts w:ascii="Times New Roman" w:eastAsia="宋体" w:hAnsi="Times New Roman" w:cs="Times New Roman"/>
          <w:color w:val="FF0000"/>
          <w:kern w:val="0"/>
          <w:sz w:val="24"/>
        </w:rPr>
        <w:t>/</w:t>
      </w:r>
      <w:r>
        <w:rPr>
          <w:rFonts w:ascii="Times New Roman" w:eastAsia="宋体" w:hAnsi="Times New Roman" w:cs="Times New Roman"/>
          <w:color w:val="FF0000"/>
          <w:kern w:val="0"/>
          <w:sz w:val="24"/>
        </w:rPr>
        <w:t>年计；环保设备折旧年限取</w:t>
      </w:r>
      <w:r>
        <w:rPr>
          <w:rFonts w:ascii="Times New Roman" w:eastAsia="宋体" w:hAnsi="Times New Roman" w:cs="Times New Roman"/>
          <w:color w:val="FF0000"/>
          <w:kern w:val="0"/>
          <w:sz w:val="24"/>
        </w:rPr>
        <w:t>10</w:t>
      </w:r>
      <w:r>
        <w:rPr>
          <w:rFonts w:ascii="Times New Roman" w:eastAsia="宋体" w:hAnsi="Times New Roman" w:cs="Times New Roman"/>
          <w:color w:val="FF0000"/>
          <w:kern w:val="0"/>
          <w:sz w:val="24"/>
        </w:rPr>
        <w:t>年，则折旧费用为</w:t>
      </w:r>
      <w:r>
        <w:rPr>
          <w:rFonts w:ascii="Times New Roman" w:eastAsia="宋体" w:hAnsi="Times New Roman" w:cs="Times New Roman" w:hint="eastAsia"/>
          <w:color w:val="FF0000"/>
          <w:kern w:val="0"/>
          <w:sz w:val="24"/>
        </w:rPr>
        <w:t>7.7</w:t>
      </w:r>
      <w:r>
        <w:rPr>
          <w:rFonts w:ascii="Times New Roman" w:eastAsia="宋体" w:hAnsi="Times New Roman" w:cs="Times New Roman"/>
          <w:color w:val="FF0000"/>
          <w:kern w:val="0"/>
          <w:sz w:val="24"/>
        </w:rPr>
        <w:t>万元</w:t>
      </w:r>
      <w:r>
        <w:rPr>
          <w:rFonts w:ascii="Times New Roman" w:eastAsia="宋体" w:hAnsi="Times New Roman" w:cs="Times New Roman"/>
          <w:color w:val="FF0000"/>
          <w:kern w:val="0"/>
          <w:sz w:val="24"/>
        </w:rPr>
        <w:t>/</w:t>
      </w:r>
      <w:r>
        <w:rPr>
          <w:rFonts w:ascii="Times New Roman" w:eastAsia="宋体" w:hAnsi="Times New Roman" w:cs="Times New Roman"/>
          <w:color w:val="FF0000"/>
          <w:kern w:val="0"/>
          <w:sz w:val="24"/>
        </w:rPr>
        <w:t>年；技术措施及其它不可预见费用取</w:t>
      </w:r>
      <w:r>
        <w:rPr>
          <w:rFonts w:ascii="Times New Roman" w:eastAsia="宋体" w:hAnsi="Times New Roman" w:cs="Times New Roman"/>
          <w:color w:val="FF0000"/>
          <w:kern w:val="0"/>
          <w:sz w:val="24"/>
        </w:rPr>
        <w:t>5</w:t>
      </w:r>
      <w:r>
        <w:rPr>
          <w:rFonts w:ascii="Times New Roman" w:eastAsia="宋体" w:hAnsi="Times New Roman" w:cs="Times New Roman"/>
          <w:color w:val="FF0000"/>
          <w:kern w:val="0"/>
          <w:sz w:val="24"/>
        </w:rPr>
        <w:t>万元</w:t>
      </w:r>
      <w:r>
        <w:rPr>
          <w:rFonts w:ascii="Times New Roman" w:eastAsia="宋体" w:hAnsi="Times New Roman" w:cs="Times New Roman"/>
          <w:color w:val="FF0000"/>
          <w:kern w:val="0"/>
          <w:sz w:val="24"/>
        </w:rPr>
        <w:t>/</w:t>
      </w:r>
      <w:r>
        <w:rPr>
          <w:rFonts w:ascii="Times New Roman" w:eastAsia="宋体" w:hAnsi="Times New Roman" w:cs="Times New Roman"/>
          <w:color w:val="FF0000"/>
          <w:kern w:val="0"/>
          <w:sz w:val="24"/>
        </w:rPr>
        <w:t>年，故</w:t>
      </w:r>
      <w:r>
        <w:rPr>
          <w:rFonts w:ascii="Times New Roman" w:eastAsia="宋体" w:hAnsi="Times New Roman" w:cs="Times New Roman"/>
          <w:color w:val="FF0000"/>
          <w:kern w:val="0"/>
          <w:sz w:val="24"/>
        </w:rPr>
        <w:t>J=</w:t>
      </w:r>
      <w:r>
        <w:rPr>
          <w:rFonts w:ascii="Times New Roman" w:eastAsia="宋体" w:hAnsi="Times New Roman" w:cs="Times New Roman" w:hint="eastAsia"/>
          <w:color w:val="FF0000"/>
          <w:kern w:val="0"/>
          <w:sz w:val="24"/>
        </w:rPr>
        <w:t>17.7</w:t>
      </w:r>
      <w:r>
        <w:rPr>
          <w:rFonts w:ascii="Times New Roman" w:eastAsia="宋体" w:hAnsi="Times New Roman" w:cs="Times New Roman"/>
          <w:color w:val="FF0000"/>
          <w:kern w:val="0"/>
          <w:sz w:val="24"/>
        </w:rPr>
        <w:t>万元</w:t>
      </w:r>
      <w:r>
        <w:rPr>
          <w:rFonts w:ascii="Times New Roman" w:eastAsia="宋体" w:hAnsi="Times New Roman" w:cs="Times New Roman"/>
          <w:color w:val="FF0000"/>
          <w:kern w:val="0"/>
          <w:sz w:val="24"/>
        </w:rPr>
        <w:t>/</w:t>
      </w:r>
      <w:r>
        <w:rPr>
          <w:rFonts w:ascii="Times New Roman" w:eastAsia="宋体" w:hAnsi="Times New Roman" w:cs="Times New Roman"/>
          <w:color w:val="FF0000"/>
          <w:kern w:val="0"/>
          <w:sz w:val="24"/>
        </w:rPr>
        <w:t>年。</w:t>
      </w:r>
    </w:p>
    <w:p w14:paraId="10D2EFC8" w14:textId="7CF5D9A8" w:rsidR="00D12939" w:rsidRDefault="00C27509" w:rsidP="00C27509">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color w:val="FF0000"/>
          <w:kern w:val="0"/>
          <w:sz w:val="24"/>
        </w:rPr>
        <w:t>因此，投产后的年环保费用总计为</w:t>
      </w:r>
      <w:r>
        <w:rPr>
          <w:rFonts w:ascii="Times New Roman" w:eastAsia="宋体" w:hAnsi="Times New Roman" w:cs="Times New Roman"/>
          <w:color w:val="FF0000"/>
          <w:kern w:val="0"/>
          <w:sz w:val="24"/>
        </w:rPr>
        <w:t>HF=</w:t>
      </w:r>
      <w:r>
        <w:rPr>
          <w:rFonts w:ascii="Times New Roman" w:eastAsia="宋体" w:hAnsi="Times New Roman" w:cs="Times New Roman" w:hint="eastAsia"/>
          <w:color w:val="FF0000"/>
          <w:kern w:val="0"/>
          <w:sz w:val="24"/>
        </w:rPr>
        <w:t>38.66</w:t>
      </w:r>
      <w:r>
        <w:rPr>
          <w:rFonts w:ascii="Times New Roman" w:eastAsia="宋体" w:hAnsi="Times New Roman" w:cs="Times New Roman"/>
          <w:color w:val="FF0000"/>
          <w:kern w:val="0"/>
          <w:sz w:val="24"/>
        </w:rPr>
        <w:t>万元</w:t>
      </w:r>
      <w:r>
        <w:rPr>
          <w:rFonts w:ascii="Times New Roman" w:eastAsia="宋体" w:hAnsi="Times New Roman" w:cs="Times New Roman"/>
          <w:color w:val="FF0000"/>
          <w:kern w:val="0"/>
          <w:sz w:val="24"/>
        </w:rPr>
        <w:t>/</w:t>
      </w:r>
      <w:r>
        <w:rPr>
          <w:rFonts w:ascii="Times New Roman" w:eastAsia="宋体" w:hAnsi="Times New Roman" w:cs="Times New Roman"/>
          <w:color w:val="FF0000"/>
          <w:kern w:val="0"/>
          <w:sz w:val="24"/>
        </w:rPr>
        <w:t>年</w:t>
      </w:r>
      <w:r w:rsidR="004F47F5">
        <w:rPr>
          <w:rFonts w:ascii="Times New Roman" w:eastAsia="宋体" w:hAnsi="Times New Roman" w:cs="Times New Roman"/>
          <w:kern w:val="0"/>
          <w:sz w:val="24"/>
        </w:rPr>
        <w:t>。</w:t>
      </w:r>
    </w:p>
    <w:p w14:paraId="0745844E" w14:textId="77777777" w:rsidR="00D12939" w:rsidRDefault="004F47F5">
      <w:pPr>
        <w:pStyle w:val="2"/>
        <w:spacing w:line="360" w:lineRule="auto"/>
        <w:ind w:firstLineChars="165" w:firstLine="462"/>
        <w:rPr>
          <w:sz w:val="28"/>
        </w:rPr>
      </w:pPr>
      <w:bookmarkStart w:id="642" w:name="_Toc121411821"/>
      <w:r>
        <w:rPr>
          <w:sz w:val="28"/>
        </w:rPr>
        <w:t xml:space="preserve">10.3 </w:t>
      </w:r>
      <w:r>
        <w:rPr>
          <w:sz w:val="28"/>
        </w:rPr>
        <w:t>环境成本和环境系数的确定与分析</w:t>
      </w:r>
      <w:bookmarkEnd w:id="642"/>
    </w:p>
    <w:p w14:paraId="10F1641A"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w:t>
      </w:r>
      <w:r>
        <w:rPr>
          <w:rFonts w:ascii="Times New Roman" w:eastAsia="宋体" w:hAnsi="Times New Roman" w:cs="Times New Roman"/>
          <w:kern w:val="0"/>
          <w:sz w:val="24"/>
        </w:rPr>
        <w:t>1</w:t>
      </w:r>
      <w:r>
        <w:rPr>
          <w:rFonts w:ascii="Times New Roman" w:eastAsia="宋体" w:hAnsi="Times New Roman" w:cs="Times New Roman"/>
          <w:kern w:val="0"/>
          <w:sz w:val="24"/>
        </w:rPr>
        <w:t>）环境代价（</w:t>
      </w:r>
      <w:r>
        <w:rPr>
          <w:rFonts w:ascii="Times New Roman" w:eastAsia="宋体" w:hAnsi="Times New Roman" w:cs="Times New Roman"/>
          <w:kern w:val="0"/>
          <w:sz w:val="24"/>
        </w:rPr>
        <w:t>Hd</w:t>
      </w:r>
      <w:r>
        <w:rPr>
          <w:rFonts w:ascii="Times New Roman" w:eastAsia="宋体" w:hAnsi="Times New Roman" w:cs="Times New Roman"/>
          <w:kern w:val="0"/>
          <w:sz w:val="24"/>
        </w:rPr>
        <w:t>）</w:t>
      </w:r>
    </w:p>
    <w:p w14:paraId="179A0307"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环境代价是为了减少或消除因从环境中获取生产、生活所必须的物质资料，而改变环境的状况所付出的经济代价。</w:t>
      </w:r>
    </w:p>
    <w:p w14:paraId="0A72E542" w14:textId="77777777" w:rsidR="00D12939" w:rsidRDefault="004F47F5">
      <w:pPr>
        <w:adjustRightInd w:val="0"/>
        <w:snapToGrid w:val="0"/>
        <w:spacing w:line="360" w:lineRule="auto"/>
        <w:rPr>
          <w:rFonts w:ascii="Times New Roman" w:eastAsia="宋体" w:hAnsi="Times New Roman" w:cs="Times New Roman"/>
          <w:kern w:val="0"/>
          <w:sz w:val="24"/>
        </w:rPr>
      </w:pPr>
      <w:r>
        <w:rPr>
          <w:rFonts w:ascii="Times New Roman" w:eastAsia="宋体" w:hAnsi="Times New Roman" w:cs="Times New Roman"/>
          <w:kern w:val="0"/>
          <w:sz w:val="24"/>
        </w:rPr>
        <w:lastRenderedPageBreak/>
        <w:t>环境代价由两部分组成</w:t>
      </w:r>
      <w:r>
        <w:rPr>
          <w:rFonts w:ascii="Times New Roman" w:eastAsia="宋体" w:hAnsi="Times New Roman" w:cs="Times New Roman"/>
          <w:kern w:val="0"/>
          <w:sz w:val="24"/>
        </w:rPr>
        <w:t>-</w:t>
      </w:r>
      <w:r>
        <w:rPr>
          <w:rFonts w:ascii="Times New Roman" w:eastAsia="宋体" w:hAnsi="Times New Roman" w:cs="Times New Roman"/>
          <w:kern w:val="0"/>
          <w:sz w:val="24"/>
        </w:rPr>
        <w:t>直接代价和间接代价，前者指开发项目本身应付出的代价，包括为消除项目建设所造成的环境危害必须付出的代价，后者指项目建设对所在地造成的损失和为消除这些不良影响所付出的代价。即：</w:t>
      </w:r>
    </w:p>
    <w:p w14:paraId="74D1D3EA" w14:textId="77777777" w:rsidR="00D12939" w:rsidRDefault="004F47F5">
      <w:pPr>
        <w:adjustRightInd w:val="0"/>
        <w:snapToGrid w:val="0"/>
        <w:spacing w:line="360" w:lineRule="auto"/>
        <w:ind w:firstLineChars="200" w:firstLine="480"/>
        <w:jc w:val="center"/>
        <w:rPr>
          <w:rFonts w:ascii="Times New Roman" w:eastAsia="宋体" w:hAnsi="Times New Roman" w:cs="Times New Roman"/>
          <w:kern w:val="0"/>
          <w:sz w:val="24"/>
        </w:rPr>
      </w:pPr>
      <w:r>
        <w:rPr>
          <w:rFonts w:ascii="Times New Roman" w:eastAsia="宋体" w:hAnsi="Times New Roman" w:cs="Times New Roman"/>
          <w:kern w:val="0"/>
          <w:sz w:val="24"/>
        </w:rPr>
        <w:t>Hd=Pd+Pid</w:t>
      </w:r>
    </w:p>
    <w:p w14:paraId="30BBA807"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式中：</w:t>
      </w:r>
      <w:r>
        <w:rPr>
          <w:rFonts w:ascii="Times New Roman" w:eastAsia="宋体" w:hAnsi="Times New Roman" w:cs="Times New Roman"/>
          <w:kern w:val="0"/>
          <w:sz w:val="24"/>
        </w:rPr>
        <w:t>Hd—</w:t>
      </w:r>
      <w:r>
        <w:rPr>
          <w:rFonts w:ascii="Times New Roman" w:eastAsia="宋体" w:hAnsi="Times New Roman" w:cs="Times New Roman"/>
          <w:kern w:val="0"/>
          <w:sz w:val="24"/>
        </w:rPr>
        <w:t>环境代价，万元；</w:t>
      </w:r>
    </w:p>
    <w:p w14:paraId="2A29DD4D" w14:textId="77777777" w:rsidR="00D12939" w:rsidRDefault="004F47F5">
      <w:pPr>
        <w:adjustRightInd w:val="0"/>
        <w:snapToGrid w:val="0"/>
        <w:spacing w:line="360" w:lineRule="auto"/>
        <w:rPr>
          <w:rFonts w:ascii="Times New Roman" w:eastAsia="宋体" w:hAnsi="Times New Roman" w:cs="Times New Roman"/>
          <w:kern w:val="0"/>
          <w:sz w:val="24"/>
        </w:rPr>
      </w:pPr>
      <w:r>
        <w:rPr>
          <w:rFonts w:ascii="Times New Roman" w:eastAsia="宋体" w:hAnsi="Times New Roman" w:cs="Times New Roman"/>
          <w:kern w:val="0"/>
          <w:sz w:val="24"/>
        </w:rPr>
        <w:t xml:space="preserve">          Pd—</w:t>
      </w:r>
      <w:r>
        <w:rPr>
          <w:rFonts w:ascii="Times New Roman" w:eastAsia="宋体" w:hAnsi="Times New Roman" w:cs="Times New Roman"/>
          <w:kern w:val="0"/>
          <w:sz w:val="24"/>
        </w:rPr>
        <w:t>开发项目的直接代价，万元；</w:t>
      </w:r>
    </w:p>
    <w:p w14:paraId="231B94C3" w14:textId="77777777" w:rsidR="00D12939" w:rsidRDefault="004F47F5">
      <w:pPr>
        <w:adjustRightInd w:val="0"/>
        <w:snapToGrid w:val="0"/>
        <w:spacing w:line="360" w:lineRule="auto"/>
        <w:rPr>
          <w:rFonts w:ascii="Times New Roman" w:eastAsia="宋体" w:hAnsi="Times New Roman" w:cs="Times New Roman"/>
          <w:kern w:val="0"/>
          <w:sz w:val="24"/>
        </w:rPr>
      </w:pPr>
      <w:r>
        <w:rPr>
          <w:rFonts w:ascii="Times New Roman" w:eastAsia="宋体" w:hAnsi="Times New Roman" w:cs="Times New Roman"/>
          <w:kern w:val="0"/>
          <w:sz w:val="24"/>
        </w:rPr>
        <w:t xml:space="preserve">          Pid—</w:t>
      </w:r>
      <w:r>
        <w:rPr>
          <w:rFonts w:ascii="Times New Roman" w:eastAsia="宋体" w:hAnsi="Times New Roman" w:cs="Times New Roman"/>
          <w:kern w:val="0"/>
          <w:sz w:val="24"/>
        </w:rPr>
        <w:t>开发项目的间接代价，万元。</w:t>
      </w:r>
    </w:p>
    <w:p w14:paraId="7426C2BF" w14:textId="21DC2A2F" w:rsidR="00D12939" w:rsidRDefault="00C27509">
      <w:pPr>
        <w:adjustRightInd w:val="0"/>
        <w:snapToGrid w:val="0"/>
        <w:spacing w:line="360" w:lineRule="auto"/>
        <w:ind w:firstLineChars="200" w:firstLine="480"/>
        <w:rPr>
          <w:rFonts w:ascii="Times New Roman" w:eastAsia="宋体" w:hAnsi="Times New Roman" w:cs="Times New Roman"/>
          <w:kern w:val="0"/>
          <w:sz w:val="24"/>
        </w:rPr>
      </w:pPr>
      <w:bookmarkStart w:id="643" w:name="_Toc499557666"/>
      <w:bookmarkStart w:id="644" w:name="_Toc505184318"/>
      <w:bookmarkEnd w:id="643"/>
      <w:r>
        <w:rPr>
          <w:rFonts w:ascii="Times New Roman" w:eastAsia="宋体" w:hAnsi="Times New Roman" w:cs="Times New Roman"/>
          <w:color w:val="FF0000"/>
          <w:kern w:val="0"/>
          <w:sz w:val="24"/>
        </w:rPr>
        <w:t>本项目的直接代价是指为防治因生产过程中所造成的污染而投入的年环境保护费用，为</w:t>
      </w:r>
      <w:r>
        <w:rPr>
          <w:rFonts w:ascii="Times New Roman" w:eastAsia="宋体" w:hAnsi="Times New Roman" w:cs="Times New Roman" w:hint="eastAsia"/>
          <w:color w:val="FF0000"/>
          <w:kern w:val="0"/>
          <w:sz w:val="24"/>
        </w:rPr>
        <w:t>38.66</w:t>
      </w:r>
      <w:r>
        <w:rPr>
          <w:rFonts w:ascii="Times New Roman" w:eastAsia="宋体" w:hAnsi="Times New Roman" w:cs="Times New Roman"/>
          <w:color w:val="FF0000"/>
          <w:kern w:val="0"/>
          <w:sz w:val="24"/>
        </w:rPr>
        <w:t>万元；项目在采取环境污染防治措施后，对所在地环境造成的损失可忽略不计，即间接代价为</w:t>
      </w:r>
      <w:r>
        <w:rPr>
          <w:rFonts w:ascii="Times New Roman" w:eastAsia="宋体" w:hAnsi="Times New Roman" w:cs="Times New Roman"/>
          <w:color w:val="FF0000"/>
          <w:kern w:val="0"/>
          <w:sz w:val="24"/>
        </w:rPr>
        <w:t>0</w:t>
      </w:r>
      <w:r>
        <w:rPr>
          <w:rFonts w:ascii="Times New Roman" w:eastAsia="宋体" w:hAnsi="Times New Roman" w:cs="Times New Roman"/>
          <w:color w:val="FF0000"/>
          <w:kern w:val="0"/>
          <w:sz w:val="24"/>
        </w:rPr>
        <w:t>元。故本工程的环境代价为</w:t>
      </w:r>
      <w:r>
        <w:rPr>
          <w:rFonts w:ascii="Times New Roman" w:eastAsia="宋体" w:hAnsi="Times New Roman" w:cs="Times New Roman" w:hint="eastAsia"/>
          <w:color w:val="FF0000"/>
          <w:kern w:val="0"/>
          <w:sz w:val="24"/>
        </w:rPr>
        <w:t>38.66</w:t>
      </w:r>
      <w:r>
        <w:rPr>
          <w:rFonts w:ascii="Times New Roman" w:eastAsia="宋体" w:hAnsi="Times New Roman" w:cs="Times New Roman"/>
          <w:color w:val="FF0000"/>
          <w:kern w:val="0"/>
          <w:sz w:val="24"/>
        </w:rPr>
        <w:t>万元</w:t>
      </w:r>
      <w:r w:rsidR="004F47F5">
        <w:rPr>
          <w:rFonts w:ascii="Times New Roman" w:eastAsia="宋体" w:hAnsi="Times New Roman" w:cs="Times New Roman"/>
          <w:kern w:val="0"/>
          <w:sz w:val="24"/>
        </w:rPr>
        <w:t>。</w:t>
      </w:r>
      <w:bookmarkEnd w:id="644"/>
    </w:p>
    <w:p w14:paraId="0E0A0549"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w:t>
      </w:r>
      <w:r>
        <w:rPr>
          <w:rFonts w:ascii="Times New Roman" w:eastAsia="宋体" w:hAnsi="Times New Roman" w:cs="Times New Roman"/>
          <w:kern w:val="0"/>
          <w:sz w:val="24"/>
        </w:rPr>
        <w:t>2</w:t>
      </w:r>
      <w:r>
        <w:rPr>
          <w:rFonts w:ascii="Times New Roman" w:eastAsia="宋体" w:hAnsi="Times New Roman" w:cs="Times New Roman"/>
          <w:kern w:val="0"/>
          <w:sz w:val="24"/>
        </w:rPr>
        <w:t>）环境系数（</w:t>
      </w:r>
      <w:r>
        <w:rPr>
          <w:rFonts w:ascii="Times New Roman" w:eastAsia="宋体" w:hAnsi="Times New Roman" w:cs="Times New Roman"/>
          <w:kern w:val="0"/>
          <w:sz w:val="24"/>
        </w:rPr>
        <w:t>Hx</w:t>
      </w:r>
      <w:r>
        <w:rPr>
          <w:rFonts w:ascii="Times New Roman" w:eastAsia="宋体" w:hAnsi="Times New Roman" w:cs="Times New Roman"/>
          <w:kern w:val="0"/>
          <w:sz w:val="24"/>
        </w:rPr>
        <w:t>）</w:t>
      </w:r>
    </w:p>
    <w:p w14:paraId="31798A93"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本项目</w:t>
      </w:r>
      <w:r>
        <w:rPr>
          <w:rFonts w:ascii="Times New Roman" w:eastAsia="宋体" w:hAnsi="Times New Roman" w:cs="Times New Roman"/>
          <w:sz w:val="24"/>
        </w:rPr>
        <w:t>的投资效益主要是减少了生活垃圾对环境的污染损失，污染损失包括对土壤、农作物、地下水环境、地表水环境、环境空气所造成的污染损失，同时还包括因污染影响人体健康、牲畜饲养所造成的损失。根据中国社会科学院环境与发展研究中心的研究报告（</w:t>
      </w:r>
      <w:r>
        <w:rPr>
          <w:rFonts w:ascii="Times New Roman" w:eastAsia="宋体" w:hAnsi="Times New Roman" w:cs="Times New Roman"/>
          <w:sz w:val="24"/>
        </w:rPr>
        <w:t>1993</w:t>
      </w:r>
      <w:r>
        <w:rPr>
          <w:rFonts w:ascii="Times New Roman" w:eastAsia="宋体" w:hAnsi="Times New Roman" w:cs="Times New Roman"/>
          <w:sz w:val="24"/>
        </w:rPr>
        <w:t>），全国固体废弃物造成的经济损失为</w:t>
      </w:r>
      <w:r>
        <w:rPr>
          <w:rFonts w:ascii="Times New Roman" w:eastAsia="宋体" w:hAnsi="Times New Roman" w:cs="Times New Roman"/>
          <w:sz w:val="24"/>
        </w:rPr>
        <w:t>33.2</w:t>
      </w:r>
      <w:r>
        <w:rPr>
          <w:rFonts w:ascii="Times New Roman" w:eastAsia="宋体" w:hAnsi="Times New Roman" w:cs="Times New Roman"/>
          <w:sz w:val="24"/>
        </w:rPr>
        <w:t>亿元，占当年</w:t>
      </w:r>
      <w:r>
        <w:rPr>
          <w:rFonts w:ascii="Times New Roman" w:eastAsia="宋体" w:hAnsi="Times New Roman" w:cs="Times New Roman"/>
          <w:sz w:val="24"/>
        </w:rPr>
        <w:t>GDP</w:t>
      </w:r>
      <w:r>
        <w:rPr>
          <w:rFonts w:ascii="Times New Roman" w:eastAsia="宋体" w:hAnsi="Times New Roman" w:cs="Times New Roman"/>
          <w:sz w:val="24"/>
        </w:rPr>
        <w:t>的</w:t>
      </w:r>
      <w:r>
        <w:rPr>
          <w:rFonts w:ascii="Times New Roman" w:eastAsia="宋体" w:hAnsi="Times New Roman" w:cs="Times New Roman"/>
          <w:sz w:val="24"/>
        </w:rPr>
        <w:t>0.1%</w:t>
      </w:r>
      <w:r>
        <w:rPr>
          <w:rFonts w:ascii="Times New Roman" w:eastAsia="宋体" w:hAnsi="Times New Roman" w:cs="Times New Roman"/>
          <w:sz w:val="24"/>
        </w:rPr>
        <w:t>。据此推算并结合近</w:t>
      </w:r>
      <w:r>
        <w:rPr>
          <w:rFonts w:ascii="Times New Roman" w:eastAsia="宋体" w:hAnsi="Times New Roman" w:cs="Times New Roman"/>
          <w:sz w:val="24"/>
        </w:rPr>
        <w:t>30</w:t>
      </w:r>
      <w:r>
        <w:rPr>
          <w:rFonts w:ascii="Times New Roman" w:eastAsia="宋体" w:hAnsi="Times New Roman" w:cs="Times New Roman"/>
          <w:sz w:val="24"/>
        </w:rPr>
        <w:t>年通胀水平，每吨垃圾污染环境造成的损失按</w:t>
      </w:r>
      <w:r>
        <w:rPr>
          <w:rFonts w:ascii="Times New Roman" w:eastAsia="宋体" w:hAnsi="Times New Roman" w:cs="Times New Roman"/>
          <w:sz w:val="24"/>
        </w:rPr>
        <w:t>500</w:t>
      </w:r>
      <w:r>
        <w:rPr>
          <w:rFonts w:ascii="Times New Roman" w:eastAsia="宋体" w:hAnsi="Times New Roman" w:cs="Times New Roman"/>
          <w:sz w:val="24"/>
        </w:rPr>
        <w:t>元计，揭柞水县固体废物综合处置场建设工程每日处理垃圾量最大为</w:t>
      </w:r>
      <w:r>
        <w:rPr>
          <w:rFonts w:ascii="Times New Roman" w:eastAsia="宋体" w:hAnsi="Times New Roman" w:cs="Times New Roman"/>
          <w:sz w:val="24"/>
        </w:rPr>
        <w:t>110t</w:t>
      </w:r>
      <w:r>
        <w:rPr>
          <w:rFonts w:ascii="Times New Roman" w:eastAsia="宋体" w:hAnsi="Times New Roman" w:cs="Times New Roman"/>
          <w:sz w:val="24"/>
        </w:rPr>
        <w:t>，每年可减少污染损失</w:t>
      </w:r>
      <w:r>
        <w:rPr>
          <w:rFonts w:ascii="Times New Roman" w:eastAsia="宋体" w:hAnsi="Times New Roman" w:cs="Times New Roman"/>
          <w:sz w:val="24"/>
        </w:rPr>
        <w:t>2000</w:t>
      </w:r>
      <w:r>
        <w:rPr>
          <w:rFonts w:ascii="Times New Roman" w:eastAsia="宋体" w:hAnsi="Times New Roman" w:cs="Times New Roman"/>
          <w:sz w:val="24"/>
        </w:rPr>
        <w:t>万元。</w:t>
      </w:r>
    </w:p>
    <w:p w14:paraId="1EC60711" w14:textId="3A4610BB" w:rsidR="00D12939" w:rsidRDefault="00C27509">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color w:val="FF0000"/>
          <w:kern w:val="0"/>
          <w:sz w:val="24"/>
        </w:rPr>
        <w:t>环境系数指年环境代价与年工业产值之比值，即单位产值的环境代价，项目投产后，每年付出的环境代价为</w:t>
      </w:r>
      <w:r>
        <w:rPr>
          <w:rFonts w:ascii="Times New Roman" w:eastAsia="宋体" w:hAnsi="Times New Roman" w:cs="Times New Roman" w:hint="eastAsia"/>
          <w:color w:val="FF0000"/>
          <w:kern w:val="0"/>
          <w:sz w:val="24"/>
        </w:rPr>
        <w:t>38.66</w:t>
      </w:r>
      <w:r>
        <w:rPr>
          <w:rFonts w:ascii="Times New Roman" w:eastAsia="宋体" w:hAnsi="Times New Roman" w:cs="Times New Roman"/>
          <w:color w:val="FF0000"/>
          <w:kern w:val="0"/>
          <w:sz w:val="24"/>
        </w:rPr>
        <w:t>万元，而项目</w:t>
      </w:r>
      <w:r>
        <w:rPr>
          <w:rFonts w:ascii="Times New Roman" w:eastAsia="宋体" w:hAnsi="Times New Roman" w:cs="Times New Roman" w:hint="eastAsia"/>
          <w:color w:val="FF0000"/>
          <w:kern w:val="0"/>
          <w:sz w:val="24"/>
        </w:rPr>
        <w:t>年减少污染损失</w:t>
      </w:r>
      <w:r>
        <w:rPr>
          <w:rFonts w:ascii="Times New Roman" w:eastAsia="宋体" w:hAnsi="Times New Roman" w:cs="Times New Roman"/>
          <w:color w:val="FF0000"/>
          <w:kern w:val="0"/>
          <w:sz w:val="24"/>
        </w:rPr>
        <w:t>为</w:t>
      </w:r>
      <w:r>
        <w:rPr>
          <w:rFonts w:ascii="Times New Roman" w:eastAsia="宋体" w:hAnsi="Times New Roman" w:cs="Times New Roman" w:hint="eastAsia"/>
          <w:color w:val="FF0000"/>
          <w:kern w:val="0"/>
          <w:sz w:val="24"/>
        </w:rPr>
        <w:t>2</w:t>
      </w:r>
      <w:r>
        <w:rPr>
          <w:rFonts w:ascii="Times New Roman" w:eastAsia="宋体" w:hAnsi="Times New Roman" w:cs="Times New Roman"/>
          <w:color w:val="FF0000"/>
          <w:kern w:val="0"/>
          <w:sz w:val="24"/>
        </w:rPr>
        <w:t>000</w:t>
      </w:r>
      <w:r>
        <w:rPr>
          <w:rFonts w:ascii="Times New Roman" w:eastAsia="宋体" w:hAnsi="Times New Roman" w:cs="Times New Roman"/>
          <w:color w:val="FF0000"/>
          <w:kern w:val="0"/>
          <w:sz w:val="24"/>
        </w:rPr>
        <w:t>万元，即环境代价为</w:t>
      </w:r>
      <w:r>
        <w:rPr>
          <w:rFonts w:ascii="Times New Roman" w:eastAsia="宋体" w:hAnsi="Times New Roman" w:cs="Times New Roman"/>
          <w:color w:val="FF0000"/>
          <w:kern w:val="0"/>
          <w:sz w:val="24"/>
        </w:rPr>
        <w:t>0.0</w:t>
      </w:r>
      <w:r>
        <w:rPr>
          <w:rFonts w:ascii="Times New Roman" w:eastAsia="宋体" w:hAnsi="Times New Roman" w:cs="Times New Roman" w:hint="eastAsia"/>
          <w:color w:val="FF0000"/>
          <w:kern w:val="0"/>
          <w:sz w:val="24"/>
        </w:rPr>
        <w:t>193</w:t>
      </w:r>
      <w:r>
        <w:rPr>
          <w:rFonts w:ascii="Times New Roman" w:eastAsia="宋体" w:hAnsi="Times New Roman" w:cs="Times New Roman"/>
          <w:color w:val="FF0000"/>
          <w:kern w:val="0"/>
          <w:sz w:val="24"/>
        </w:rPr>
        <w:t>，环境系数相对较小，说明项目生产采取的环境治理措施比较合理</w:t>
      </w:r>
      <w:r w:rsidR="004F47F5">
        <w:rPr>
          <w:rFonts w:ascii="Times New Roman" w:eastAsia="宋体" w:hAnsi="Times New Roman" w:cs="Times New Roman"/>
          <w:kern w:val="0"/>
          <w:sz w:val="24"/>
        </w:rPr>
        <w:t>。</w:t>
      </w:r>
    </w:p>
    <w:p w14:paraId="2E09CC9A" w14:textId="77777777" w:rsidR="00D12939" w:rsidRDefault="004F47F5">
      <w:pPr>
        <w:pStyle w:val="2"/>
        <w:spacing w:line="360" w:lineRule="auto"/>
        <w:ind w:firstLineChars="165" w:firstLine="462"/>
        <w:rPr>
          <w:sz w:val="28"/>
        </w:rPr>
      </w:pPr>
      <w:bookmarkStart w:id="645" w:name="_Toc18653055"/>
      <w:bookmarkStart w:id="646" w:name="_Toc34040302"/>
      <w:bookmarkStart w:id="647" w:name="_Toc24442763"/>
      <w:bookmarkStart w:id="648" w:name="_Toc28188652"/>
      <w:bookmarkStart w:id="649" w:name="_Toc121411822"/>
      <w:r>
        <w:rPr>
          <w:sz w:val="28"/>
        </w:rPr>
        <w:t xml:space="preserve">10.4 </w:t>
      </w:r>
      <w:r>
        <w:rPr>
          <w:sz w:val="28"/>
        </w:rPr>
        <w:t>环境经济损益分析结论</w:t>
      </w:r>
      <w:bookmarkEnd w:id="645"/>
      <w:bookmarkEnd w:id="646"/>
      <w:bookmarkEnd w:id="647"/>
      <w:bookmarkEnd w:id="648"/>
      <w:bookmarkEnd w:id="649"/>
    </w:p>
    <w:p w14:paraId="48FAF6FA" w14:textId="77727925" w:rsidR="00D12939" w:rsidRDefault="00C27509">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color w:val="FF0000"/>
          <w:kern w:val="0"/>
          <w:sz w:val="24"/>
        </w:rPr>
        <w:t>综上分析，本项目新增环保投资</w:t>
      </w:r>
      <w:r>
        <w:rPr>
          <w:rFonts w:ascii="Times New Roman" w:eastAsia="宋体" w:hAnsi="Times New Roman" w:cs="Times New Roman" w:hint="eastAsia"/>
          <w:color w:val="FF0000"/>
          <w:kern w:val="0"/>
          <w:sz w:val="24"/>
        </w:rPr>
        <w:t>262</w:t>
      </w:r>
      <w:r>
        <w:rPr>
          <w:rFonts w:ascii="Times New Roman" w:eastAsia="宋体" w:hAnsi="Times New Roman" w:cs="Times New Roman"/>
          <w:color w:val="FF0000"/>
          <w:kern w:val="0"/>
          <w:sz w:val="24"/>
        </w:rPr>
        <w:t>万元，占总投资的</w:t>
      </w:r>
      <w:r>
        <w:rPr>
          <w:rFonts w:ascii="Times New Roman" w:eastAsia="宋体" w:hAnsi="Times New Roman" w:cs="Times New Roman" w:hint="eastAsia"/>
          <w:color w:val="FF0000"/>
          <w:kern w:val="0"/>
          <w:sz w:val="24"/>
        </w:rPr>
        <w:t>3.75</w:t>
      </w:r>
      <w:r>
        <w:rPr>
          <w:rFonts w:ascii="Times New Roman" w:eastAsia="宋体" w:hAnsi="Times New Roman" w:cs="Times New Roman"/>
          <w:color w:val="FF0000"/>
          <w:kern w:val="0"/>
          <w:sz w:val="24"/>
        </w:rPr>
        <w:t>%</w:t>
      </w:r>
      <w:r>
        <w:rPr>
          <w:rFonts w:ascii="Times New Roman" w:eastAsia="宋体" w:hAnsi="Times New Roman" w:cs="Times New Roman"/>
          <w:color w:val="FF0000"/>
          <w:kern w:val="0"/>
          <w:sz w:val="24"/>
        </w:rPr>
        <w:t>；项目环境代价为</w:t>
      </w:r>
      <w:r>
        <w:rPr>
          <w:rFonts w:ascii="Times New Roman" w:eastAsia="宋体" w:hAnsi="Times New Roman" w:cs="Times New Roman" w:hint="eastAsia"/>
          <w:color w:val="FF0000"/>
          <w:kern w:val="0"/>
          <w:sz w:val="24"/>
        </w:rPr>
        <w:t>38.66</w:t>
      </w:r>
      <w:r>
        <w:rPr>
          <w:rFonts w:ascii="Times New Roman" w:eastAsia="宋体" w:hAnsi="Times New Roman" w:cs="Times New Roman"/>
          <w:color w:val="FF0000"/>
          <w:kern w:val="0"/>
          <w:sz w:val="24"/>
        </w:rPr>
        <w:t>万元，环境系数</w:t>
      </w:r>
      <w:r>
        <w:rPr>
          <w:rFonts w:ascii="Times New Roman" w:eastAsia="宋体" w:hAnsi="Times New Roman" w:cs="Times New Roman"/>
          <w:color w:val="FF0000"/>
          <w:kern w:val="0"/>
          <w:sz w:val="24"/>
        </w:rPr>
        <w:t>0.0</w:t>
      </w:r>
      <w:r>
        <w:rPr>
          <w:rFonts w:ascii="Times New Roman" w:eastAsia="宋体" w:hAnsi="Times New Roman" w:cs="Times New Roman" w:hint="eastAsia"/>
          <w:color w:val="FF0000"/>
          <w:kern w:val="0"/>
          <w:sz w:val="24"/>
        </w:rPr>
        <w:t>193</w:t>
      </w:r>
      <w:r>
        <w:rPr>
          <w:rFonts w:ascii="Times New Roman" w:eastAsia="宋体" w:hAnsi="Times New Roman" w:cs="Times New Roman"/>
          <w:color w:val="FF0000"/>
          <w:kern w:val="0"/>
          <w:sz w:val="24"/>
        </w:rPr>
        <w:t>，本项目的环境代价和环境系数相对较低。随着人们环保意识的增强，环保设施越来越齐全，运行管理也相应提高，与此同时，不可避免的环境损失也随之减少，环境代价和环境系数的统计参数会相应的降低</w:t>
      </w:r>
      <w:r w:rsidR="004F47F5">
        <w:rPr>
          <w:rFonts w:ascii="Times New Roman" w:eastAsia="宋体" w:hAnsi="Times New Roman" w:cs="Times New Roman"/>
          <w:kern w:val="0"/>
          <w:sz w:val="24"/>
        </w:rPr>
        <w:t>。</w:t>
      </w:r>
    </w:p>
    <w:p w14:paraId="5EE1B627" w14:textId="77777777" w:rsidR="00D12939" w:rsidRDefault="004F47F5">
      <w:pPr>
        <w:adjustRightInd w:val="0"/>
        <w:snapToGrid w:val="0"/>
        <w:spacing w:line="360" w:lineRule="auto"/>
        <w:ind w:firstLineChars="200" w:firstLine="480"/>
        <w:rPr>
          <w:rFonts w:ascii="Times New Roman" w:eastAsia="宋体" w:hAnsi="Times New Roman" w:cs="Times New Roman"/>
          <w:kern w:val="0"/>
          <w:sz w:val="24"/>
        </w:rPr>
      </w:pPr>
      <w:r>
        <w:rPr>
          <w:rFonts w:ascii="Times New Roman" w:eastAsia="宋体" w:hAnsi="Times New Roman" w:cs="Times New Roman"/>
          <w:kern w:val="0"/>
          <w:sz w:val="24"/>
        </w:rPr>
        <w:t>本项目建设具有良好的综合效益，通过实施环保措施以后，环境效益和社会效益显著。综上所述，本项目综合收益大于损失，能够实现经济效益、社会效益和环境效益的统一，环境损益分析结果可行。</w:t>
      </w:r>
    </w:p>
    <w:p w14:paraId="1415CE23" w14:textId="77777777" w:rsidR="00D12939" w:rsidRDefault="00D12939">
      <w:pPr>
        <w:adjustRightInd w:val="0"/>
        <w:snapToGrid w:val="0"/>
        <w:spacing w:line="360" w:lineRule="auto"/>
        <w:ind w:firstLineChars="200" w:firstLine="480"/>
        <w:rPr>
          <w:rFonts w:ascii="Times New Roman" w:eastAsia="宋体" w:hAnsi="Times New Roman" w:cs="Times New Roman"/>
          <w:kern w:val="0"/>
          <w:sz w:val="24"/>
        </w:rPr>
      </w:pPr>
    </w:p>
    <w:p w14:paraId="2391D1A2" w14:textId="77777777" w:rsidR="00D12939" w:rsidRDefault="004F47F5">
      <w:pPr>
        <w:pStyle w:val="1"/>
        <w:jc w:val="center"/>
        <w:rPr>
          <w:sz w:val="30"/>
          <w:szCs w:val="30"/>
        </w:rPr>
      </w:pPr>
      <w:bookmarkStart w:id="650" w:name="_Toc113952348"/>
      <w:bookmarkStart w:id="651" w:name="_Toc30089328"/>
      <w:bookmarkStart w:id="652" w:name="_Toc121411823"/>
      <w:bookmarkEnd w:id="636"/>
      <w:bookmarkEnd w:id="637"/>
      <w:r>
        <w:rPr>
          <w:sz w:val="30"/>
          <w:szCs w:val="30"/>
        </w:rPr>
        <w:lastRenderedPageBreak/>
        <w:t xml:space="preserve">11 </w:t>
      </w:r>
      <w:r>
        <w:rPr>
          <w:sz w:val="30"/>
          <w:szCs w:val="30"/>
        </w:rPr>
        <w:t>环境管理和环境监测计划</w:t>
      </w:r>
      <w:bookmarkEnd w:id="650"/>
      <w:bookmarkEnd w:id="651"/>
      <w:bookmarkEnd w:id="652"/>
    </w:p>
    <w:p w14:paraId="2C24012E" w14:textId="77777777" w:rsidR="00D12939" w:rsidRDefault="004F47F5">
      <w:pPr>
        <w:pStyle w:val="2"/>
        <w:spacing w:line="360" w:lineRule="auto"/>
        <w:ind w:firstLineChars="165" w:firstLine="462"/>
        <w:rPr>
          <w:sz w:val="28"/>
        </w:rPr>
      </w:pPr>
      <w:bookmarkStart w:id="653" w:name="_Toc113952349"/>
      <w:bookmarkStart w:id="654" w:name="_Toc30089329"/>
      <w:bookmarkStart w:id="655" w:name="_Toc121411824"/>
      <w:r>
        <w:rPr>
          <w:sz w:val="28"/>
        </w:rPr>
        <w:t>11</w:t>
      </w:r>
      <w:r>
        <w:rPr>
          <w:rFonts w:hint="eastAsia"/>
          <w:sz w:val="28"/>
        </w:rPr>
        <w:t>.1</w:t>
      </w:r>
      <w:r>
        <w:rPr>
          <w:sz w:val="28"/>
        </w:rPr>
        <w:t>环境管理</w:t>
      </w:r>
      <w:bookmarkEnd w:id="653"/>
      <w:bookmarkEnd w:id="654"/>
      <w:bookmarkEnd w:id="655"/>
    </w:p>
    <w:p w14:paraId="7C4E0691"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56" w:name="_Toc121411825"/>
      <w:bookmarkStart w:id="657" w:name="_Toc113952350"/>
      <w:bookmarkStart w:id="658" w:name="_Toc30089330"/>
      <w:r>
        <w:rPr>
          <w:rFonts w:ascii="Times New Roman" w:eastAsia="黑体" w:hAnsi="Times New Roman" w:cs="Times New Roman"/>
          <w:b w:val="0"/>
          <w:sz w:val="24"/>
        </w:rPr>
        <w:t>11</w:t>
      </w:r>
      <w:r>
        <w:rPr>
          <w:rFonts w:ascii="Times New Roman" w:eastAsia="黑体" w:hAnsi="Times New Roman" w:cs="Times New Roman" w:hint="eastAsia"/>
          <w:b w:val="0"/>
          <w:sz w:val="24"/>
        </w:rPr>
        <w:t>.1.1</w:t>
      </w:r>
      <w:r>
        <w:rPr>
          <w:rFonts w:ascii="Times New Roman" w:eastAsia="黑体" w:hAnsi="Times New Roman" w:cs="Times New Roman" w:hint="eastAsia"/>
          <w:b w:val="0"/>
          <w:sz w:val="24"/>
        </w:rPr>
        <w:t>环境管理的意义</w:t>
      </w:r>
      <w:bookmarkEnd w:id="656"/>
    </w:p>
    <w:p w14:paraId="585EE61B"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环境管理是企业管理的一项重要内容。加强环境监督管理力度，是实现环境、生产、经济协调发展和走可持续发展道路的重要保证。其目的是在发展生产的同时，对污染物的排放实行必要的控制，保护环境质量，以实现环境效益、社会效益、经济效益的统一。</w:t>
      </w:r>
    </w:p>
    <w:p w14:paraId="24BBFA88" w14:textId="77777777" w:rsidR="00C27509" w:rsidRDefault="00C27509" w:rsidP="00C27509">
      <w:pPr>
        <w:pStyle w:val="30"/>
        <w:spacing w:before="0" w:after="0" w:line="360" w:lineRule="auto"/>
        <w:ind w:firstLineChars="200" w:firstLine="480"/>
        <w:rPr>
          <w:rFonts w:ascii="Times New Roman" w:eastAsia="黑体" w:hAnsi="Times New Roman" w:cs="Times New Roman"/>
          <w:b w:val="0"/>
          <w:sz w:val="24"/>
        </w:rPr>
      </w:pPr>
      <w:bookmarkStart w:id="659" w:name="_Toc113952351"/>
      <w:bookmarkStart w:id="660" w:name="_Toc30089331"/>
      <w:bookmarkStart w:id="661" w:name="_Toc121411827"/>
      <w:bookmarkStart w:id="662" w:name="_Toc121411826"/>
      <w:bookmarkEnd w:id="657"/>
      <w:bookmarkEnd w:id="658"/>
      <w:r>
        <w:rPr>
          <w:rFonts w:ascii="Times New Roman" w:eastAsia="黑体" w:hAnsi="Times New Roman" w:cs="Times New Roman"/>
          <w:b w:val="0"/>
          <w:sz w:val="24"/>
        </w:rPr>
        <w:t>11</w:t>
      </w:r>
      <w:r>
        <w:rPr>
          <w:rFonts w:ascii="Times New Roman" w:eastAsia="黑体" w:hAnsi="Times New Roman" w:cs="Times New Roman" w:hint="eastAsia"/>
          <w:b w:val="0"/>
          <w:sz w:val="24"/>
        </w:rPr>
        <w:t>.1.</w:t>
      </w:r>
      <w:r>
        <w:rPr>
          <w:rFonts w:ascii="Times New Roman" w:eastAsia="黑体" w:hAnsi="Times New Roman" w:cs="Times New Roman"/>
          <w:b w:val="0"/>
          <w:sz w:val="24"/>
        </w:rPr>
        <w:t>2</w:t>
      </w:r>
      <w:r>
        <w:rPr>
          <w:rFonts w:ascii="Times New Roman" w:eastAsia="黑体" w:hAnsi="Times New Roman" w:cs="Times New Roman"/>
          <w:b w:val="0"/>
          <w:sz w:val="24"/>
        </w:rPr>
        <w:t>环境管理机构</w:t>
      </w:r>
      <w:bookmarkEnd w:id="662"/>
    </w:p>
    <w:p w14:paraId="5A86FD82" w14:textId="77777777" w:rsidR="00C27509" w:rsidRDefault="00C27509" w:rsidP="00C27509">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本项目建设及后续营运、维护与管理期工作由项目投资运营单位负责。本评价要求建设期和运营期、后期维护与管理期均应内设专门的环境管理（监测）机构，配备</w:t>
      </w:r>
      <w:r>
        <w:rPr>
          <w:rFonts w:ascii="Times New Roman" w:eastAsia="宋体" w:hAnsi="Times New Roman" w:cs="Times New Roman"/>
          <w:sz w:val="24"/>
        </w:rPr>
        <w:t>2~3</w:t>
      </w:r>
      <w:r>
        <w:rPr>
          <w:rFonts w:ascii="Times New Roman" w:eastAsia="宋体" w:hAnsi="Times New Roman" w:cs="Times New Roman"/>
          <w:sz w:val="24"/>
        </w:rPr>
        <w:t>名专职环境管理人员，负责项目建设、运营和封场各阶段的环境管理工作。环境管理（监测）机构的主要职责如下表</w:t>
      </w:r>
      <w:r>
        <w:rPr>
          <w:rFonts w:ascii="Times New Roman" w:eastAsia="宋体" w:hAnsi="Times New Roman" w:cs="Times New Roman"/>
          <w:sz w:val="24"/>
        </w:rPr>
        <w:t>11.1-1</w:t>
      </w:r>
      <w:r>
        <w:rPr>
          <w:rFonts w:ascii="Times New Roman" w:eastAsia="宋体" w:hAnsi="Times New Roman" w:cs="Times New Roman" w:hint="eastAsia"/>
          <w:sz w:val="24"/>
        </w:rPr>
        <w:t>。</w:t>
      </w:r>
    </w:p>
    <w:p w14:paraId="07B856B9" w14:textId="77777777" w:rsidR="00C27509" w:rsidRDefault="00C27509" w:rsidP="00C27509">
      <w:pPr>
        <w:jc w:val="center"/>
        <w:rPr>
          <w:rFonts w:ascii="黑体" w:eastAsia="黑体" w:hAnsi="黑体" w:cs="Times New Roman"/>
          <w:sz w:val="24"/>
          <w:szCs w:val="20"/>
          <w:lang w:val="zh-CN"/>
        </w:rPr>
      </w:pPr>
      <w:r>
        <w:rPr>
          <w:rFonts w:ascii="黑体" w:eastAsia="黑体" w:hAnsi="黑体" w:cs="Times New Roman"/>
          <w:sz w:val="24"/>
          <w:szCs w:val="20"/>
          <w:lang w:val="zh-CN"/>
        </w:rPr>
        <w:t>表</w:t>
      </w:r>
      <w:r>
        <w:rPr>
          <w:rFonts w:ascii="黑体" w:eastAsia="黑体" w:hAnsi="黑体" w:cs="Times New Roman"/>
          <w:sz w:val="24"/>
          <w:szCs w:val="20"/>
        </w:rPr>
        <w:t>11</w:t>
      </w:r>
      <w:r>
        <w:rPr>
          <w:rFonts w:ascii="黑体" w:eastAsia="黑体" w:hAnsi="黑体" w:cs="Times New Roman"/>
          <w:sz w:val="24"/>
          <w:szCs w:val="20"/>
          <w:lang w:val="zh-CN"/>
        </w:rPr>
        <w:t>.1-1    企业环境管理机构主要职责一览表</w:t>
      </w:r>
    </w:p>
    <w:tbl>
      <w:tblPr>
        <w:tblStyle w:val="afff8"/>
        <w:tblW w:w="5000" w:type="pct"/>
        <w:jc w:val="center"/>
        <w:tblLayout w:type="fixed"/>
        <w:tblLook w:val="04A0" w:firstRow="1" w:lastRow="0" w:firstColumn="1" w:lastColumn="0" w:noHBand="0" w:noVBand="1"/>
      </w:tblPr>
      <w:tblGrid>
        <w:gridCol w:w="826"/>
        <w:gridCol w:w="8910"/>
      </w:tblGrid>
      <w:tr w:rsidR="00C27509" w14:paraId="1E59CCA5" w14:textId="77777777" w:rsidTr="00747ECF">
        <w:trPr>
          <w:trHeight w:val="340"/>
          <w:jc w:val="center"/>
        </w:trPr>
        <w:tc>
          <w:tcPr>
            <w:tcW w:w="723" w:type="dxa"/>
            <w:vAlign w:val="center"/>
          </w:tcPr>
          <w:p w14:paraId="45E3994D"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序号</w:t>
            </w:r>
          </w:p>
        </w:tc>
        <w:tc>
          <w:tcPr>
            <w:tcW w:w="7799" w:type="dxa"/>
            <w:vAlign w:val="center"/>
          </w:tcPr>
          <w:p w14:paraId="477CEB40"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主要工作职责内容</w:t>
            </w:r>
          </w:p>
        </w:tc>
      </w:tr>
      <w:tr w:rsidR="00C27509" w14:paraId="17BEDACD" w14:textId="77777777" w:rsidTr="00747ECF">
        <w:trPr>
          <w:trHeight w:val="340"/>
          <w:jc w:val="center"/>
        </w:trPr>
        <w:tc>
          <w:tcPr>
            <w:tcW w:w="723" w:type="dxa"/>
            <w:vAlign w:val="center"/>
          </w:tcPr>
          <w:p w14:paraId="760C99F9"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1</w:t>
            </w:r>
          </w:p>
        </w:tc>
        <w:tc>
          <w:tcPr>
            <w:tcW w:w="7799" w:type="dxa"/>
            <w:vAlign w:val="center"/>
          </w:tcPr>
          <w:p w14:paraId="5C7BE2F6"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按照国家有关环保法规及标准要求，制定环境管理制度，明确环保管理职责，监督、检查填埋场区防止污染措施的落实与环保设施运行情况。</w:t>
            </w:r>
          </w:p>
        </w:tc>
      </w:tr>
      <w:tr w:rsidR="00C27509" w14:paraId="712FD396" w14:textId="77777777" w:rsidTr="00747ECF">
        <w:trPr>
          <w:trHeight w:val="340"/>
          <w:jc w:val="center"/>
        </w:trPr>
        <w:tc>
          <w:tcPr>
            <w:tcW w:w="723" w:type="dxa"/>
            <w:vAlign w:val="center"/>
          </w:tcPr>
          <w:p w14:paraId="0FDC9F60"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2</w:t>
            </w:r>
          </w:p>
        </w:tc>
        <w:tc>
          <w:tcPr>
            <w:tcW w:w="7799" w:type="dxa"/>
            <w:vAlign w:val="center"/>
          </w:tcPr>
          <w:p w14:paraId="1DDAE27F"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编制内部环保年度计划，并将环境保护原则和填埋方法全面纳入填埋场运行计划之中，组织实施，确保填埋场正常、有序运营。</w:t>
            </w:r>
          </w:p>
        </w:tc>
      </w:tr>
      <w:tr w:rsidR="00C27509" w14:paraId="7E5C7A0F" w14:textId="77777777" w:rsidTr="00747ECF">
        <w:trPr>
          <w:trHeight w:val="340"/>
          <w:jc w:val="center"/>
        </w:trPr>
        <w:tc>
          <w:tcPr>
            <w:tcW w:w="723" w:type="dxa"/>
            <w:vAlign w:val="center"/>
          </w:tcPr>
          <w:p w14:paraId="52D51D33"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3</w:t>
            </w:r>
          </w:p>
        </w:tc>
        <w:tc>
          <w:tcPr>
            <w:tcW w:w="7799" w:type="dxa"/>
            <w:vAlign w:val="center"/>
          </w:tcPr>
          <w:p w14:paraId="54CE032B"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组织、配合有资质环境监测部门开展环境监测与污染监控，落实环保工程方案。</w:t>
            </w:r>
          </w:p>
        </w:tc>
      </w:tr>
      <w:tr w:rsidR="00C27509" w14:paraId="3912E7A6" w14:textId="77777777" w:rsidTr="00747ECF">
        <w:trPr>
          <w:trHeight w:val="340"/>
          <w:jc w:val="center"/>
        </w:trPr>
        <w:tc>
          <w:tcPr>
            <w:tcW w:w="723" w:type="dxa"/>
            <w:vAlign w:val="center"/>
          </w:tcPr>
          <w:p w14:paraId="3CC391CD"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4</w:t>
            </w:r>
          </w:p>
        </w:tc>
        <w:tc>
          <w:tcPr>
            <w:tcW w:w="7799" w:type="dxa"/>
            <w:vAlign w:val="center"/>
          </w:tcPr>
          <w:p w14:paraId="35BD4528"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强化资源能源管理，实现垃圾分类收集、废物减量化和资源化、无害化处置，坚持污染预防、节能降耗与减污增效，对工程实施有效的环境管理。</w:t>
            </w:r>
          </w:p>
        </w:tc>
      </w:tr>
      <w:tr w:rsidR="00C27509" w14:paraId="3B4FCDCB" w14:textId="77777777" w:rsidTr="00747ECF">
        <w:trPr>
          <w:trHeight w:val="340"/>
          <w:jc w:val="center"/>
        </w:trPr>
        <w:tc>
          <w:tcPr>
            <w:tcW w:w="723" w:type="dxa"/>
            <w:vAlign w:val="center"/>
          </w:tcPr>
          <w:p w14:paraId="254D9629"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5</w:t>
            </w:r>
          </w:p>
        </w:tc>
        <w:tc>
          <w:tcPr>
            <w:tcW w:w="7799" w:type="dxa"/>
            <w:vAlign w:val="center"/>
          </w:tcPr>
          <w:p w14:paraId="2C8667FB"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配合有关管理部门对工程进行环保竣工验收，完成责任目标，做到达标排放。</w:t>
            </w:r>
          </w:p>
        </w:tc>
      </w:tr>
      <w:tr w:rsidR="00C27509" w14:paraId="7FC6BF0B" w14:textId="77777777" w:rsidTr="00747ECF">
        <w:trPr>
          <w:trHeight w:val="340"/>
          <w:jc w:val="center"/>
        </w:trPr>
        <w:tc>
          <w:tcPr>
            <w:tcW w:w="723" w:type="dxa"/>
            <w:vAlign w:val="center"/>
          </w:tcPr>
          <w:p w14:paraId="7F96B4C4"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6</w:t>
            </w:r>
          </w:p>
        </w:tc>
        <w:tc>
          <w:tcPr>
            <w:tcW w:w="7799" w:type="dxa"/>
            <w:vAlign w:val="center"/>
          </w:tcPr>
          <w:p w14:paraId="53A1C31B"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建立环保档案，按照国家有关规定及时上报施工期阶段报告和环境质量报告书。</w:t>
            </w:r>
          </w:p>
        </w:tc>
      </w:tr>
      <w:tr w:rsidR="00C27509" w14:paraId="46D26112" w14:textId="77777777" w:rsidTr="00747ECF">
        <w:trPr>
          <w:trHeight w:val="340"/>
          <w:jc w:val="center"/>
        </w:trPr>
        <w:tc>
          <w:tcPr>
            <w:tcW w:w="723" w:type="dxa"/>
            <w:vAlign w:val="center"/>
          </w:tcPr>
          <w:p w14:paraId="069BF9D8"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7</w:t>
            </w:r>
          </w:p>
        </w:tc>
        <w:tc>
          <w:tcPr>
            <w:tcW w:w="7799" w:type="dxa"/>
            <w:vAlign w:val="center"/>
          </w:tcPr>
          <w:p w14:paraId="28CC75DD"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处理与群众环境纠纷，组织对突发性环境事故善后处理，追查原因并及时上报。</w:t>
            </w:r>
          </w:p>
        </w:tc>
      </w:tr>
      <w:tr w:rsidR="00C27509" w14:paraId="599A0823" w14:textId="77777777" w:rsidTr="00747ECF">
        <w:trPr>
          <w:trHeight w:val="340"/>
          <w:jc w:val="center"/>
        </w:trPr>
        <w:tc>
          <w:tcPr>
            <w:tcW w:w="723" w:type="dxa"/>
            <w:vAlign w:val="center"/>
          </w:tcPr>
          <w:p w14:paraId="0FE2DBD0"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8</w:t>
            </w:r>
          </w:p>
        </w:tc>
        <w:tc>
          <w:tcPr>
            <w:tcW w:w="7799" w:type="dxa"/>
            <w:vAlign w:val="center"/>
          </w:tcPr>
          <w:p w14:paraId="0D178019"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负责宣传与员工培训，提高环保意识教育，确保实现清洁生产、持续改进。</w:t>
            </w:r>
          </w:p>
        </w:tc>
      </w:tr>
      <w:tr w:rsidR="00C27509" w14:paraId="3165EACB" w14:textId="77777777" w:rsidTr="00747ECF">
        <w:trPr>
          <w:trHeight w:val="340"/>
          <w:jc w:val="center"/>
        </w:trPr>
        <w:tc>
          <w:tcPr>
            <w:tcW w:w="723" w:type="dxa"/>
            <w:vAlign w:val="center"/>
          </w:tcPr>
          <w:p w14:paraId="05370461" w14:textId="77777777" w:rsidR="00C27509" w:rsidRDefault="00C27509" w:rsidP="00747ECF">
            <w:pPr>
              <w:jc w:val="cente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9</w:t>
            </w:r>
          </w:p>
        </w:tc>
        <w:tc>
          <w:tcPr>
            <w:tcW w:w="7799" w:type="dxa"/>
            <w:vAlign w:val="center"/>
          </w:tcPr>
          <w:p w14:paraId="2AAFB2AA" w14:textId="77777777" w:rsidR="00C27509" w:rsidRDefault="00C27509" w:rsidP="00747ECF">
            <w:pPr>
              <w:rPr>
                <w:rFonts w:ascii="Times New Roman" w:eastAsia="宋体" w:hAnsi="Times New Roman" w:cs="Times New Roman"/>
                <w:kern w:val="0"/>
                <w:sz w:val="20"/>
                <w:szCs w:val="20"/>
                <w:lang w:val="zh-CN"/>
              </w:rPr>
            </w:pPr>
            <w:r>
              <w:rPr>
                <w:rFonts w:ascii="Times New Roman" w:eastAsia="宋体" w:hAnsi="Times New Roman" w:cs="Times New Roman"/>
                <w:szCs w:val="20"/>
                <w:lang w:val="zh-CN"/>
              </w:rPr>
              <w:t>负责填埋场环境管理工作，主动接受上级环保行政主管部门的工作指导和检查。</w:t>
            </w:r>
          </w:p>
        </w:tc>
      </w:tr>
    </w:tbl>
    <w:p w14:paraId="4BAE7658" w14:textId="2DED28B7" w:rsidR="00D12939" w:rsidRDefault="00C27509">
      <w:pPr>
        <w:pStyle w:val="30"/>
        <w:spacing w:before="0" w:after="0" w:line="360" w:lineRule="auto"/>
        <w:ind w:firstLineChars="200" w:firstLine="640"/>
        <w:rPr>
          <w:rFonts w:ascii="Times New Roman" w:eastAsia="黑体" w:hAnsi="Times New Roman" w:cs="Times New Roman"/>
          <w:b w:val="0"/>
          <w:sz w:val="24"/>
        </w:rPr>
      </w:pPr>
      <w:r>
        <w:rPr>
          <w:rFonts w:hint="eastAsia"/>
        </w:rPr>
        <w:br w:type="page"/>
      </w:r>
      <w:r w:rsidR="004F47F5">
        <w:rPr>
          <w:rFonts w:ascii="Times New Roman" w:eastAsia="黑体" w:hAnsi="Times New Roman" w:cs="Times New Roman"/>
          <w:b w:val="0"/>
          <w:sz w:val="24"/>
        </w:rPr>
        <w:lastRenderedPageBreak/>
        <w:t>11</w:t>
      </w:r>
      <w:r w:rsidR="004F47F5">
        <w:rPr>
          <w:rFonts w:ascii="Times New Roman" w:eastAsia="黑体" w:hAnsi="Times New Roman" w:cs="Times New Roman" w:hint="eastAsia"/>
          <w:b w:val="0"/>
          <w:sz w:val="24"/>
        </w:rPr>
        <w:t>.1.</w:t>
      </w:r>
      <w:r w:rsidR="004F47F5">
        <w:rPr>
          <w:rFonts w:ascii="Times New Roman" w:eastAsia="黑体" w:hAnsi="Times New Roman" w:cs="Times New Roman"/>
          <w:b w:val="0"/>
          <w:sz w:val="24"/>
        </w:rPr>
        <w:t>3</w:t>
      </w:r>
      <w:r w:rsidR="004F47F5">
        <w:rPr>
          <w:rFonts w:ascii="Times New Roman" w:eastAsia="黑体" w:hAnsi="Times New Roman" w:cs="Times New Roman"/>
          <w:b w:val="0"/>
          <w:sz w:val="24"/>
        </w:rPr>
        <w:t>环境管理制度</w:t>
      </w:r>
      <w:bookmarkEnd w:id="659"/>
      <w:bookmarkEnd w:id="660"/>
      <w:bookmarkEnd w:id="661"/>
    </w:p>
    <w:p w14:paraId="7EFEF451"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sz w:val="24"/>
        </w:rPr>
        <w:t>环境管理机构应建立健全各项环境管理制度，制定相应环境保护设施的运行管理及操作规程，企业环境保护管理制度见表</w:t>
      </w:r>
      <w:r>
        <w:rPr>
          <w:rFonts w:ascii="Times New Roman" w:eastAsia="宋体" w:hAnsi="Times New Roman" w:cs="Times New Roman"/>
          <w:sz w:val="24"/>
        </w:rPr>
        <w:t>11.1-2</w:t>
      </w:r>
      <w:r>
        <w:rPr>
          <w:rFonts w:ascii="Times New Roman" w:eastAsia="宋体" w:hAnsi="Times New Roman" w:cs="Times New Roman"/>
          <w:sz w:val="24"/>
        </w:rPr>
        <w:t>。</w:t>
      </w:r>
    </w:p>
    <w:p w14:paraId="15EFCC47" w14:textId="77777777" w:rsidR="00D12939" w:rsidRDefault="004F47F5">
      <w:pPr>
        <w:jc w:val="center"/>
        <w:rPr>
          <w:rFonts w:ascii="黑体" w:eastAsia="黑体" w:hAnsi="黑体" w:cs="Times New Roman"/>
          <w:sz w:val="24"/>
          <w:szCs w:val="20"/>
          <w:lang w:val="zh-CN"/>
        </w:rPr>
      </w:pPr>
      <w:r>
        <w:rPr>
          <w:rFonts w:ascii="黑体" w:eastAsia="黑体" w:hAnsi="黑体" w:cs="Times New Roman"/>
          <w:sz w:val="24"/>
          <w:szCs w:val="20"/>
          <w:lang w:val="zh-CN"/>
        </w:rPr>
        <w:t>表11.1-2    企业环境保护管理制度一览表</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99"/>
        <w:gridCol w:w="8235"/>
      </w:tblGrid>
      <w:tr w:rsidR="00D12939" w14:paraId="6846C034" w14:textId="77777777">
        <w:trPr>
          <w:trHeight w:val="340"/>
          <w:jc w:val="center"/>
        </w:trPr>
        <w:tc>
          <w:tcPr>
            <w:tcW w:w="770" w:type="pct"/>
            <w:vAlign w:val="center"/>
          </w:tcPr>
          <w:p w14:paraId="2B7C7538"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实施部门</w:t>
            </w:r>
          </w:p>
        </w:tc>
        <w:tc>
          <w:tcPr>
            <w:tcW w:w="4229" w:type="pct"/>
            <w:vAlign w:val="center"/>
          </w:tcPr>
          <w:p w14:paraId="60A9AC60"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主要内容</w:t>
            </w:r>
          </w:p>
        </w:tc>
      </w:tr>
      <w:tr w:rsidR="00D12939" w14:paraId="3C822387" w14:textId="77777777">
        <w:trPr>
          <w:trHeight w:val="340"/>
          <w:jc w:val="center"/>
        </w:trPr>
        <w:tc>
          <w:tcPr>
            <w:tcW w:w="770" w:type="pct"/>
            <w:vMerge w:val="restart"/>
            <w:vAlign w:val="center"/>
          </w:tcPr>
          <w:p w14:paraId="7D488937" w14:textId="77777777" w:rsidR="00D12939" w:rsidRDefault="004F47F5">
            <w:pPr>
              <w:jc w:val="center"/>
              <w:rPr>
                <w:rFonts w:ascii="Times New Roman" w:eastAsia="宋体" w:hAnsi="Times New Roman" w:cs="Times New Roman"/>
                <w:szCs w:val="20"/>
              </w:rPr>
            </w:pPr>
            <w:r>
              <w:rPr>
                <w:rFonts w:ascii="Times New Roman" w:eastAsia="宋体" w:hAnsi="Times New Roman" w:cs="Times New Roman"/>
                <w:szCs w:val="20"/>
                <w:lang w:val="zh-CN"/>
              </w:rPr>
              <w:t>生活垃圾填埋场环保</w:t>
            </w:r>
            <w:r>
              <w:rPr>
                <w:rFonts w:ascii="Times New Roman" w:eastAsia="宋体" w:hAnsi="Times New Roman" w:cs="Times New Roman"/>
                <w:szCs w:val="20"/>
              </w:rPr>
              <w:t>部门</w:t>
            </w:r>
          </w:p>
        </w:tc>
        <w:tc>
          <w:tcPr>
            <w:tcW w:w="4229" w:type="pct"/>
            <w:vAlign w:val="center"/>
          </w:tcPr>
          <w:p w14:paraId="62C50C9F"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制定环境保护总则、内部环境管理监督与检查、审核、例会制度；</w:t>
            </w:r>
          </w:p>
        </w:tc>
      </w:tr>
      <w:tr w:rsidR="00D12939" w14:paraId="334A21C4" w14:textId="77777777">
        <w:trPr>
          <w:trHeight w:val="340"/>
          <w:jc w:val="center"/>
        </w:trPr>
        <w:tc>
          <w:tcPr>
            <w:tcW w:w="770" w:type="pct"/>
            <w:vMerge/>
            <w:vAlign w:val="center"/>
          </w:tcPr>
          <w:p w14:paraId="6799BDDE" w14:textId="77777777" w:rsidR="00D12939" w:rsidRDefault="00D12939">
            <w:pPr>
              <w:jc w:val="center"/>
              <w:rPr>
                <w:rFonts w:ascii="Times New Roman" w:eastAsia="宋体" w:hAnsi="Times New Roman" w:cs="Times New Roman"/>
                <w:szCs w:val="20"/>
                <w:lang w:val="zh-CN"/>
              </w:rPr>
            </w:pPr>
          </w:p>
        </w:tc>
        <w:tc>
          <w:tcPr>
            <w:tcW w:w="4229" w:type="pct"/>
            <w:vAlign w:val="center"/>
          </w:tcPr>
          <w:p w14:paraId="1015E6F6"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严格执行项目环保</w:t>
            </w:r>
            <w:r>
              <w:rPr>
                <w:rFonts w:ascii="Times New Roman" w:eastAsia="宋体" w:hAnsi="Times New Roman" w:cs="Times New Roman"/>
                <w:szCs w:val="20"/>
                <w:lang w:val="zh-CN"/>
              </w:rPr>
              <w:t>“</w:t>
            </w:r>
            <w:r>
              <w:rPr>
                <w:rFonts w:ascii="Times New Roman" w:eastAsia="宋体" w:hAnsi="Times New Roman" w:cs="Times New Roman"/>
                <w:szCs w:val="20"/>
                <w:lang w:val="zh-CN"/>
              </w:rPr>
              <w:t>三同时</w:t>
            </w:r>
            <w:r>
              <w:rPr>
                <w:rFonts w:ascii="Times New Roman" w:eastAsia="宋体" w:hAnsi="Times New Roman" w:cs="Times New Roman"/>
                <w:szCs w:val="20"/>
                <w:lang w:val="zh-CN"/>
              </w:rPr>
              <w:t>”</w:t>
            </w:r>
            <w:r>
              <w:rPr>
                <w:rFonts w:ascii="Times New Roman" w:eastAsia="宋体" w:hAnsi="Times New Roman" w:cs="Times New Roman"/>
                <w:szCs w:val="20"/>
                <w:lang w:val="zh-CN"/>
              </w:rPr>
              <w:t>、环境质量管理目标与污染防治指标考核制度；</w:t>
            </w:r>
          </w:p>
        </w:tc>
      </w:tr>
      <w:tr w:rsidR="00D12939" w14:paraId="4B60CDBA" w14:textId="77777777">
        <w:trPr>
          <w:trHeight w:val="340"/>
          <w:jc w:val="center"/>
        </w:trPr>
        <w:tc>
          <w:tcPr>
            <w:tcW w:w="770" w:type="pct"/>
            <w:vMerge/>
            <w:vAlign w:val="center"/>
          </w:tcPr>
          <w:p w14:paraId="3DFE3119" w14:textId="77777777" w:rsidR="00D12939" w:rsidRDefault="00D12939">
            <w:pPr>
              <w:jc w:val="center"/>
              <w:rPr>
                <w:rFonts w:ascii="Times New Roman" w:eastAsia="宋体" w:hAnsi="Times New Roman" w:cs="Times New Roman"/>
                <w:szCs w:val="20"/>
                <w:lang w:val="zh-CN"/>
              </w:rPr>
            </w:pPr>
          </w:p>
        </w:tc>
        <w:tc>
          <w:tcPr>
            <w:tcW w:w="4229" w:type="pct"/>
            <w:vAlign w:val="center"/>
          </w:tcPr>
          <w:p w14:paraId="5BAE5E34"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清洁生产管理、环保宣传、员工教育与环保岗位职责奖惩制度；</w:t>
            </w:r>
          </w:p>
        </w:tc>
      </w:tr>
      <w:tr w:rsidR="00D12939" w14:paraId="4D80D15D" w14:textId="77777777">
        <w:trPr>
          <w:trHeight w:val="340"/>
          <w:jc w:val="center"/>
        </w:trPr>
        <w:tc>
          <w:tcPr>
            <w:tcW w:w="770" w:type="pct"/>
            <w:vMerge/>
            <w:vAlign w:val="center"/>
          </w:tcPr>
          <w:p w14:paraId="5BC1346E" w14:textId="77777777" w:rsidR="00D12939" w:rsidRDefault="00D12939">
            <w:pPr>
              <w:jc w:val="center"/>
              <w:rPr>
                <w:rFonts w:ascii="Times New Roman" w:eastAsia="宋体" w:hAnsi="Times New Roman" w:cs="Times New Roman"/>
                <w:szCs w:val="20"/>
                <w:lang w:val="zh-CN"/>
              </w:rPr>
            </w:pPr>
          </w:p>
        </w:tc>
        <w:tc>
          <w:tcPr>
            <w:tcW w:w="4229" w:type="pct"/>
            <w:vAlign w:val="center"/>
          </w:tcPr>
          <w:p w14:paraId="1E055454"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环境保护定期监测、监控制度与检查制度；</w:t>
            </w:r>
          </w:p>
        </w:tc>
      </w:tr>
      <w:tr w:rsidR="00D12939" w14:paraId="3F63CAB0" w14:textId="77777777">
        <w:trPr>
          <w:trHeight w:val="340"/>
          <w:jc w:val="center"/>
        </w:trPr>
        <w:tc>
          <w:tcPr>
            <w:tcW w:w="770" w:type="pct"/>
            <w:vMerge/>
            <w:vAlign w:val="center"/>
          </w:tcPr>
          <w:p w14:paraId="61ECB520" w14:textId="77777777" w:rsidR="00D12939" w:rsidRDefault="00D12939">
            <w:pPr>
              <w:jc w:val="center"/>
              <w:rPr>
                <w:rFonts w:ascii="Times New Roman" w:eastAsia="宋体" w:hAnsi="Times New Roman" w:cs="Times New Roman"/>
                <w:szCs w:val="20"/>
                <w:lang w:val="zh-CN"/>
              </w:rPr>
            </w:pPr>
          </w:p>
        </w:tc>
        <w:tc>
          <w:tcPr>
            <w:tcW w:w="4229" w:type="pct"/>
            <w:vAlign w:val="center"/>
          </w:tcPr>
          <w:p w14:paraId="50ED6C62"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环保设施与设备定期检查、保养和维护管理制度；</w:t>
            </w:r>
          </w:p>
        </w:tc>
      </w:tr>
      <w:tr w:rsidR="00D12939" w14:paraId="74614D13" w14:textId="77777777">
        <w:trPr>
          <w:trHeight w:val="340"/>
          <w:jc w:val="center"/>
        </w:trPr>
        <w:tc>
          <w:tcPr>
            <w:tcW w:w="770" w:type="pct"/>
            <w:vMerge/>
            <w:vAlign w:val="center"/>
          </w:tcPr>
          <w:p w14:paraId="726388AB" w14:textId="77777777" w:rsidR="00D12939" w:rsidRDefault="00D12939">
            <w:pPr>
              <w:jc w:val="center"/>
              <w:rPr>
                <w:rFonts w:ascii="Times New Roman" w:eastAsia="宋体" w:hAnsi="Times New Roman" w:cs="Times New Roman"/>
                <w:szCs w:val="20"/>
                <w:lang w:val="zh-CN"/>
              </w:rPr>
            </w:pPr>
          </w:p>
        </w:tc>
        <w:tc>
          <w:tcPr>
            <w:tcW w:w="4229" w:type="pct"/>
            <w:vAlign w:val="center"/>
          </w:tcPr>
          <w:p w14:paraId="6F7EF3F1"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环境保护档案管理与环境污染事故处理制度；</w:t>
            </w:r>
          </w:p>
        </w:tc>
      </w:tr>
      <w:tr w:rsidR="00D12939" w14:paraId="25F4450F" w14:textId="77777777">
        <w:trPr>
          <w:trHeight w:val="340"/>
          <w:jc w:val="center"/>
        </w:trPr>
        <w:tc>
          <w:tcPr>
            <w:tcW w:w="770" w:type="pct"/>
            <w:vMerge/>
            <w:vAlign w:val="center"/>
          </w:tcPr>
          <w:p w14:paraId="53D6BABA" w14:textId="77777777" w:rsidR="00D12939" w:rsidRDefault="00D12939">
            <w:pPr>
              <w:jc w:val="center"/>
              <w:rPr>
                <w:rFonts w:ascii="Times New Roman" w:eastAsia="宋体" w:hAnsi="Times New Roman" w:cs="Times New Roman"/>
                <w:szCs w:val="20"/>
                <w:lang w:val="zh-CN"/>
              </w:rPr>
            </w:pPr>
          </w:p>
        </w:tc>
        <w:tc>
          <w:tcPr>
            <w:tcW w:w="4229" w:type="pct"/>
            <w:vAlign w:val="center"/>
          </w:tcPr>
          <w:p w14:paraId="6FC64FE7"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建立填埋场环境风险事故应急预案与报告制度；</w:t>
            </w:r>
          </w:p>
        </w:tc>
      </w:tr>
      <w:tr w:rsidR="00D12939" w14:paraId="0D6E6C58" w14:textId="77777777">
        <w:trPr>
          <w:trHeight w:val="340"/>
          <w:jc w:val="center"/>
        </w:trPr>
        <w:tc>
          <w:tcPr>
            <w:tcW w:w="770" w:type="pct"/>
            <w:vMerge/>
            <w:vAlign w:val="center"/>
          </w:tcPr>
          <w:p w14:paraId="270A18E8" w14:textId="77777777" w:rsidR="00D12939" w:rsidRDefault="00D12939">
            <w:pPr>
              <w:jc w:val="center"/>
              <w:rPr>
                <w:rFonts w:ascii="Times New Roman" w:eastAsia="宋体" w:hAnsi="Times New Roman" w:cs="Times New Roman"/>
                <w:szCs w:val="20"/>
                <w:lang w:val="zh-CN"/>
              </w:rPr>
            </w:pPr>
          </w:p>
        </w:tc>
        <w:tc>
          <w:tcPr>
            <w:tcW w:w="4229" w:type="pct"/>
            <w:vAlign w:val="center"/>
          </w:tcPr>
          <w:p w14:paraId="496A488F" w14:textId="77777777" w:rsidR="00D12939" w:rsidRDefault="004F47F5">
            <w:pPr>
              <w:jc w:val="center"/>
              <w:rPr>
                <w:rFonts w:ascii="Times New Roman" w:eastAsia="宋体" w:hAnsi="Times New Roman" w:cs="Times New Roman"/>
                <w:szCs w:val="20"/>
                <w:lang w:val="zh-CN"/>
              </w:rPr>
            </w:pPr>
            <w:r>
              <w:rPr>
                <w:rFonts w:ascii="Times New Roman" w:eastAsia="宋体" w:hAnsi="Times New Roman" w:cs="Times New Roman"/>
                <w:szCs w:val="20"/>
                <w:lang w:val="zh-CN"/>
              </w:rPr>
              <w:t>工程设计、施工记录、竣工报告和施工监理报告全过程管理制度。</w:t>
            </w:r>
          </w:p>
        </w:tc>
      </w:tr>
    </w:tbl>
    <w:p w14:paraId="603F3001"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63" w:name="_Toc121411828"/>
      <w:r>
        <w:rPr>
          <w:rFonts w:ascii="Times New Roman" w:eastAsia="黑体" w:hAnsi="Times New Roman" w:cs="Times New Roman"/>
          <w:b w:val="0"/>
          <w:sz w:val="24"/>
        </w:rPr>
        <w:t>11.1.4</w:t>
      </w:r>
      <w:r>
        <w:rPr>
          <w:rFonts w:ascii="Times New Roman" w:eastAsia="黑体" w:hAnsi="Times New Roman" w:cs="Times New Roman"/>
          <w:b w:val="0"/>
          <w:sz w:val="24"/>
        </w:rPr>
        <w:t>环境管理内容</w:t>
      </w:r>
      <w:bookmarkEnd w:id="663"/>
    </w:p>
    <w:p w14:paraId="73216D81"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拟建项目施工期环境管理内容见表</w:t>
      </w:r>
      <w:r>
        <w:rPr>
          <w:rFonts w:ascii="Times New Roman" w:eastAsia="宋体" w:hAnsi="Times New Roman" w:cs="Times New Roman"/>
          <w:sz w:val="24"/>
          <w:szCs w:val="24"/>
        </w:rPr>
        <w:t>11.1-3</w:t>
      </w:r>
      <w:r>
        <w:rPr>
          <w:rFonts w:ascii="Times New Roman" w:eastAsia="宋体" w:hAnsi="Times New Roman" w:cs="Times New Roman"/>
          <w:sz w:val="24"/>
          <w:szCs w:val="24"/>
        </w:rPr>
        <w:t>。</w:t>
      </w:r>
    </w:p>
    <w:p w14:paraId="6472D137" w14:textId="77777777" w:rsidR="00D12939" w:rsidRDefault="004F47F5">
      <w:pPr>
        <w:jc w:val="center"/>
        <w:rPr>
          <w:rFonts w:ascii="黑体" w:eastAsia="黑体" w:hAnsi="黑体" w:cs="Times New Roman"/>
          <w:sz w:val="24"/>
          <w:szCs w:val="20"/>
          <w:lang w:val="zh-CN"/>
        </w:rPr>
      </w:pPr>
      <w:r>
        <w:rPr>
          <w:rFonts w:ascii="黑体" w:eastAsia="黑体" w:hAnsi="黑体" w:cs="Times New Roman"/>
          <w:sz w:val="24"/>
          <w:szCs w:val="20"/>
          <w:lang w:val="zh-CN"/>
        </w:rPr>
        <w:t>表11.1-3    环境管理内容一览表</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5"/>
        <w:gridCol w:w="8729"/>
      </w:tblGrid>
      <w:tr w:rsidR="00D12939" w14:paraId="01345FA7" w14:textId="77777777">
        <w:trPr>
          <w:trHeight w:val="340"/>
          <w:jc w:val="center"/>
        </w:trPr>
        <w:tc>
          <w:tcPr>
            <w:tcW w:w="516" w:type="pct"/>
            <w:vAlign w:val="center"/>
          </w:tcPr>
          <w:p w14:paraId="23D125CA" w14:textId="77777777" w:rsidR="00D12939" w:rsidRDefault="004F47F5">
            <w:pPr>
              <w:pStyle w:val="affffd"/>
              <w:rPr>
                <w:rFonts w:hAnsi="Times New Roman"/>
              </w:rPr>
            </w:pPr>
            <w:r>
              <w:rPr>
                <w:rFonts w:ascii="Times New Roman" w:eastAsia="宋体" w:hAnsi="Times New Roman" w:cs="Times New Roman"/>
              </w:rPr>
              <w:t>阶段</w:t>
            </w:r>
          </w:p>
        </w:tc>
        <w:tc>
          <w:tcPr>
            <w:tcW w:w="4484" w:type="pct"/>
            <w:vAlign w:val="center"/>
          </w:tcPr>
          <w:p w14:paraId="29A3850F" w14:textId="77777777" w:rsidR="00D12939" w:rsidRDefault="004F47F5">
            <w:pPr>
              <w:pStyle w:val="affffd"/>
              <w:rPr>
                <w:rFonts w:hAnsi="Times New Roman"/>
              </w:rPr>
            </w:pPr>
            <w:r>
              <w:rPr>
                <w:rFonts w:ascii="Times New Roman" w:eastAsia="宋体" w:hAnsi="Times New Roman" w:cs="Times New Roman"/>
              </w:rPr>
              <w:t>环境管理主要任务内容</w:t>
            </w:r>
          </w:p>
        </w:tc>
      </w:tr>
      <w:tr w:rsidR="00D12939" w14:paraId="727887D9" w14:textId="77777777">
        <w:trPr>
          <w:trHeight w:val="340"/>
          <w:jc w:val="center"/>
        </w:trPr>
        <w:tc>
          <w:tcPr>
            <w:tcW w:w="516" w:type="pct"/>
            <w:vAlign w:val="center"/>
          </w:tcPr>
          <w:p w14:paraId="51463CEB" w14:textId="77777777" w:rsidR="00D12939" w:rsidRDefault="004F47F5">
            <w:pPr>
              <w:pStyle w:val="affffd"/>
              <w:rPr>
                <w:rFonts w:hAnsi="Times New Roman"/>
              </w:rPr>
            </w:pPr>
            <w:r>
              <w:rPr>
                <w:rFonts w:ascii="Times New Roman" w:eastAsia="宋体" w:hAnsi="Times New Roman" w:cs="Times New Roman"/>
              </w:rPr>
              <w:t>建设前期</w:t>
            </w:r>
          </w:p>
        </w:tc>
        <w:tc>
          <w:tcPr>
            <w:tcW w:w="4484" w:type="pct"/>
            <w:vAlign w:val="center"/>
          </w:tcPr>
          <w:p w14:paraId="0E9BE681" w14:textId="77777777" w:rsidR="00D12939" w:rsidRDefault="004F47F5">
            <w:pPr>
              <w:pStyle w:val="affffd"/>
              <w:jc w:val="both"/>
              <w:rPr>
                <w:rFonts w:hAnsi="Times New Roman"/>
              </w:rPr>
            </w:pPr>
            <w:r>
              <w:rPr>
                <w:rFonts w:ascii="Times New Roman" w:eastAsia="宋体" w:hAnsi="Times New Roman" w:cs="Times New Roman"/>
              </w:rPr>
              <w:t>1</w:t>
            </w:r>
            <w:r>
              <w:rPr>
                <w:rFonts w:ascii="Times New Roman" w:eastAsia="宋体" w:hAnsi="Times New Roman" w:cs="Times New Roman"/>
              </w:rPr>
              <w:t>、参与工程建设前期各阶段环境保护和环境工程设计方案工作；</w:t>
            </w:r>
          </w:p>
          <w:p w14:paraId="0DE6ADB8" w14:textId="77777777" w:rsidR="00D12939" w:rsidRDefault="004F47F5">
            <w:pPr>
              <w:pStyle w:val="affffd"/>
              <w:jc w:val="both"/>
              <w:rPr>
                <w:rFonts w:hAnsi="Times New Roman"/>
              </w:rPr>
            </w:pPr>
            <w:r>
              <w:rPr>
                <w:rFonts w:ascii="Times New Roman" w:eastAsia="宋体" w:hAnsi="Times New Roman" w:cs="Times New Roman"/>
              </w:rPr>
              <w:t>2</w:t>
            </w:r>
            <w:r>
              <w:rPr>
                <w:rFonts w:ascii="Times New Roman" w:eastAsia="宋体" w:hAnsi="Times New Roman" w:cs="Times New Roman"/>
              </w:rPr>
              <w:t>、编制企业环境保护计划，委托有资质环评单位开展项目环境影响评价；</w:t>
            </w:r>
          </w:p>
          <w:p w14:paraId="65A330ED" w14:textId="77777777" w:rsidR="00D12939" w:rsidRDefault="004F47F5">
            <w:pPr>
              <w:pStyle w:val="affffd"/>
              <w:jc w:val="both"/>
              <w:rPr>
                <w:rFonts w:hAnsi="Times New Roman"/>
              </w:rPr>
            </w:pPr>
            <w:r>
              <w:rPr>
                <w:rFonts w:ascii="Times New Roman" w:eastAsia="宋体" w:hAnsi="Times New Roman" w:cs="Times New Roman"/>
              </w:rPr>
              <w:t>3</w:t>
            </w:r>
            <w:r>
              <w:rPr>
                <w:rFonts w:ascii="Times New Roman" w:eastAsia="宋体" w:hAnsi="Times New Roman" w:cs="Times New Roman"/>
              </w:rPr>
              <w:t>、积极配合</w:t>
            </w:r>
            <w:r>
              <w:rPr>
                <w:rFonts w:ascii="Times New Roman" w:eastAsia="宋体" w:hAnsi="Times New Roman" w:cs="Times New Roman"/>
              </w:rPr>
              <w:t>“</w:t>
            </w:r>
            <w:r>
              <w:rPr>
                <w:rFonts w:ascii="Times New Roman" w:eastAsia="宋体" w:hAnsi="Times New Roman" w:cs="Times New Roman"/>
              </w:rPr>
              <w:t>建议书</w:t>
            </w:r>
            <w:r>
              <w:rPr>
                <w:rFonts w:ascii="Times New Roman" w:eastAsia="宋体" w:hAnsi="Times New Roman" w:cs="Times New Roman"/>
              </w:rPr>
              <w:t>”</w:t>
            </w:r>
            <w:r>
              <w:rPr>
                <w:rFonts w:ascii="Times New Roman" w:eastAsia="宋体" w:hAnsi="Times New Roman" w:cs="Times New Roman"/>
              </w:rPr>
              <w:t>及环评单位开展项目区现场踏勘与调研工作；</w:t>
            </w:r>
          </w:p>
          <w:p w14:paraId="4098E012" w14:textId="77777777" w:rsidR="00D12939" w:rsidRDefault="004F47F5">
            <w:pPr>
              <w:pStyle w:val="affffd"/>
              <w:jc w:val="both"/>
              <w:rPr>
                <w:rFonts w:hAnsi="Times New Roman"/>
              </w:rPr>
            </w:pPr>
            <w:r>
              <w:rPr>
                <w:rFonts w:ascii="Times New Roman" w:eastAsia="宋体" w:hAnsi="Times New Roman" w:cs="Times New Roman"/>
              </w:rPr>
              <w:t>4</w:t>
            </w:r>
            <w:r>
              <w:rPr>
                <w:rFonts w:ascii="Times New Roman" w:eastAsia="宋体" w:hAnsi="Times New Roman" w:cs="Times New Roman"/>
              </w:rPr>
              <w:t>、针对工程生产特点，建立健全内部环境管理体系与监测制度；</w:t>
            </w:r>
          </w:p>
          <w:p w14:paraId="43D8E290" w14:textId="77777777" w:rsidR="00D12939" w:rsidRDefault="004F47F5">
            <w:pPr>
              <w:pStyle w:val="affffd"/>
              <w:jc w:val="both"/>
              <w:rPr>
                <w:rFonts w:hAnsi="Times New Roman"/>
              </w:rPr>
            </w:pPr>
            <w:r>
              <w:rPr>
                <w:rFonts w:ascii="Times New Roman" w:eastAsia="宋体" w:hAnsi="Times New Roman" w:cs="Times New Roman"/>
              </w:rPr>
              <w:t>5</w:t>
            </w:r>
            <w:r>
              <w:rPr>
                <w:rFonts w:ascii="Times New Roman" w:eastAsia="宋体" w:hAnsi="Times New Roman" w:cs="Times New Roman"/>
              </w:rPr>
              <w:t>、委托设计部门依据环评文件及批复文件要求，落实工程环保设计，编制环保专篇。</w:t>
            </w:r>
          </w:p>
        </w:tc>
      </w:tr>
      <w:tr w:rsidR="00D12939" w14:paraId="3969B22D" w14:textId="77777777">
        <w:trPr>
          <w:trHeight w:val="340"/>
          <w:jc w:val="center"/>
        </w:trPr>
        <w:tc>
          <w:tcPr>
            <w:tcW w:w="516" w:type="pct"/>
            <w:vAlign w:val="center"/>
          </w:tcPr>
          <w:p w14:paraId="1500925C" w14:textId="77777777" w:rsidR="00D12939" w:rsidRDefault="004F47F5">
            <w:pPr>
              <w:pStyle w:val="affffd"/>
              <w:rPr>
                <w:rFonts w:hAnsi="Times New Roman"/>
              </w:rPr>
            </w:pPr>
            <w:r>
              <w:rPr>
                <w:rFonts w:ascii="Times New Roman" w:eastAsia="宋体" w:hAnsi="Times New Roman" w:cs="Times New Roman"/>
              </w:rPr>
              <w:t>建设期</w:t>
            </w:r>
          </w:p>
        </w:tc>
        <w:tc>
          <w:tcPr>
            <w:tcW w:w="4484" w:type="pct"/>
            <w:vAlign w:val="center"/>
          </w:tcPr>
          <w:p w14:paraId="51FB9715" w14:textId="77777777" w:rsidR="00D12939" w:rsidRDefault="004F47F5">
            <w:pPr>
              <w:pStyle w:val="affffd"/>
              <w:jc w:val="both"/>
              <w:rPr>
                <w:rFonts w:hAnsi="Times New Roman"/>
              </w:rPr>
            </w:pPr>
            <w:r>
              <w:rPr>
                <w:rFonts w:ascii="Times New Roman" w:eastAsia="宋体" w:hAnsi="Times New Roman" w:cs="Times New Roman"/>
              </w:rPr>
              <w:t>1</w:t>
            </w:r>
            <w:r>
              <w:rPr>
                <w:rFonts w:ascii="Times New Roman" w:eastAsia="宋体" w:hAnsi="Times New Roman" w:cs="Times New Roman"/>
              </w:rPr>
              <w:t>、按照工程环保设计，与主体工程同步建设，严格执行</w:t>
            </w:r>
            <w:r>
              <w:rPr>
                <w:rFonts w:ascii="Times New Roman" w:eastAsia="宋体" w:hAnsi="Times New Roman" w:cs="Times New Roman"/>
              </w:rPr>
              <w:t>“</w:t>
            </w:r>
            <w:r>
              <w:rPr>
                <w:rFonts w:ascii="Times New Roman" w:eastAsia="宋体" w:hAnsi="Times New Roman" w:cs="Times New Roman"/>
              </w:rPr>
              <w:t>三同时</w:t>
            </w:r>
            <w:r>
              <w:rPr>
                <w:rFonts w:ascii="Times New Roman" w:eastAsia="宋体" w:hAnsi="Times New Roman" w:cs="Times New Roman"/>
              </w:rPr>
              <w:t>”</w:t>
            </w:r>
            <w:r>
              <w:rPr>
                <w:rFonts w:ascii="Times New Roman" w:eastAsia="宋体" w:hAnsi="Times New Roman" w:cs="Times New Roman"/>
              </w:rPr>
              <w:t>制度；</w:t>
            </w:r>
          </w:p>
          <w:p w14:paraId="3BDFDB4B" w14:textId="77777777" w:rsidR="00D12939" w:rsidRDefault="004F47F5">
            <w:pPr>
              <w:pStyle w:val="affffd"/>
              <w:jc w:val="both"/>
              <w:rPr>
                <w:rFonts w:hAnsi="Times New Roman"/>
              </w:rPr>
            </w:pPr>
            <w:r>
              <w:rPr>
                <w:rFonts w:ascii="Times New Roman" w:eastAsia="宋体" w:hAnsi="Times New Roman" w:cs="Times New Roman"/>
              </w:rPr>
              <w:t>2</w:t>
            </w:r>
            <w:r>
              <w:rPr>
                <w:rFonts w:ascii="Times New Roman" w:eastAsia="宋体" w:hAnsi="Times New Roman" w:cs="Times New Roman"/>
              </w:rPr>
              <w:t>、制定建设期环境保护与年度环境管理工作计划、环境监理档案；</w:t>
            </w:r>
          </w:p>
          <w:p w14:paraId="15EC9DD9" w14:textId="77777777" w:rsidR="00D12939" w:rsidRDefault="004F47F5">
            <w:pPr>
              <w:pStyle w:val="affffd"/>
              <w:jc w:val="both"/>
              <w:rPr>
                <w:rFonts w:hAnsi="Times New Roman"/>
              </w:rPr>
            </w:pPr>
            <w:r>
              <w:rPr>
                <w:rFonts w:ascii="Times New Roman" w:eastAsia="宋体" w:hAnsi="Times New Roman" w:cs="Times New Roman"/>
              </w:rPr>
              <w:t>3</w:t>
            </w:r>
            <w:r>
              <w:rPr>
                <w:rFonts w:ascii="Times New Roman" w:eastAsia="宋体" w:hAnsi="Times New Roman" w:cs="Times New Roman"/>
              </w:rPr>
              <w:t>、监督和考核各施工单位责任书中任务完成情况；</w:t>
            </w:r>
          </w:p>
          <w:p w14:paraId="317039E4" w14:textId="77777777" w:rsidR="00D12939" w:rsidRDefault="004F47F5">
            <w:pPr>
              <w:pStyle w:val="affffd"/>
              <w:jc w:val="both"/>
              <w:rPr>
                <w:rFonts w:hAnsi="Times New Roman"/>
              </w:rPr>
            </w:pPr>
            <w:r>
              <w:rPr>
                <w:rFonts w:ascii="Times New Roman" w:eastAsia="宋体" w:hAnsi="Times New Roman" w:cs="Times New Roman"/>
              </w:rPr>
              <w:t>4</w:t>
            </w:r>
            <w:r>
              <w:rPr>
                <w:rFonts w:ascii="Times New Roman" w:eastAsia="宋体" w:hAnsi="Times New Roman" w:cs="Times New Roman"/>
              </w:rPr>
              <w:t>、认真做好各项环保设施施工监理与验收，及时与当地环保行政主管部门沟通。</w:t>
            </w:r>
          </w:p>
        </w:tc>
      </w:tr>
      <w:tr w:rsidR="00D12939" w14:paraId="7B5CED0D" w14:textId="77777777">
        <w:trPr>
          <w:trHeight w:val="340"/>
          <w:jc w:val="center"/>
        </w:trPr>
        <w:tc>
          <w:tcPr>
            <w:tcW w:w="516" w:type="pct"/>
            <w:vAlign w:val="center"/>
          </w:tcPr>
          <w:p w14:paraId="26E533BA" w14:textId="77777777" w:rsidR="00D12939" w:rsidRDefault="004F47F5">
            <w:pPr>
              <w:pStyle w:val="affffd"/>
              <w:rPr>
                <w:rFonts w:hAnsi="Times New Roman"/>
              </w:rPr>
            </w:pPr>
            <w:r>
              <w:rPr>
                <w:rFonts w:ascii="Times New Roman" w:eastAsia="宋体" w:hAnsi="Times New Roman" w:cs="Times New Roman"/>
              </w:rPr>
              <w:t>试运行期</w:t>
            </w:r>
          </w:p>
        </w:tc>
        <w:tc>
          <w:tcPr>
            <w:tcW w:w="4484" w:type="pct"/>
            <w:vAlign w:val="center"/>
          </w:tcPr>
          <w:p w14:paraId="41FE3612" w14:textId="77777777" w:rsidR="00D12939" w:rsidRDefault="004F47F5">
            <w:pPr>
              <w:pStyle w:val="affffd"/>
              <w:jc w:val="both"/>
              <w:rPr>
                <w:rFonts w:hAnsi="Times New Roman"/>
              </w:rPr>
            </w:pPr>
            <w:r>
              <w:rPr>
                <w:rFonts w:ascii="Times New Roman" w:eastAsia="宋体" w:hAnsi="Times New Roman" w:cs="Times New Roman"/>
              </w:rPr>
              <w:t>1</w:t>
            </w:r>
            <w:r>
              <w:rPr>
                <w:rFonts w:ascii="Times New Roman" w:eastAsia="宋体" w:hAnsi="Times New Roman" w:cs="Times New Roman"/>
              </w:rPr>
              <w:t>、对照环评文件、批复文件及设计报告核查环保设施落实情况；</w:t>
            </w:r>
          </w:p>
          <w:p w14:paraId="506D1FAA" w14:textId="77777777" w:rsidR="00D12939" w:rsidRDefault="004F47F5">
            <w:pPr>
              <w:pStyle w:val="affffd"/>
              <w:jc w:val="both"/>
              <w:rPr>
                <w:rFonts w:hAnsi="Times New Roman"/>
              </w:rPr>
            </w:pPr>
            <w:r>
              <w:rPr>
                <w:rFonts w:ascii="Times New Roman" w:eastAsia="宋体" w:hAnsi="Times New Roman" w:cs="Times New Roman"/>
              </w:rPr>
              <w:t>2</w:t>
            </w:r>
            <w:r>
              <w:rPr>
                <w:rFonts w:ascii="Times New Roman" w:eastAsia="宋体" w:hAnsi="Times New Roman" w:cs="Times New Roman"/>
              </w:rPr>
              <w:t>、检验环保工程效果和运营工况，建立记录档案，要求与主体工程同步进行；</w:t>
            </w:r>
          </w:p>
          <w:p w14:paraId="05648F68" w14:textId="77777777" w:rsidR="00D12939" w:rsidRDefault="004F47F5">
            <w:pPr>
              <w:pStyle w:val="affffd"/>
              <w:jc w:val="both"/>
              <w:rPr>
                <w:rFonts w:hAnsi="Times New Roman"/>
              </w:rPr>
            </w:pPr>
            <w:r>
              <w:rPr>
                <w:rFonts w:ascii="Times New Roman" w:eastAsia="宋体" w:hAnsi="Times New Roman" w:cs="Times New Roman"/>
              </w:rPr>
              <w:t>3</w:t>
            </w:r>
            <w:r>
              <w:rPr>
                <w:rFonts w:ascii="Times New Roman" w:eastAsia="宋体" w:hAnsi="Times New Roman" w:cs="Times New Roman"/>
              </w:rPr>
              <w:t>、检查环保机构设置及人员配备、环境管理制度、环境监理资料档案等是否健全；</w:t>
            </w:r>
          </w:p>
          <w:p w14:paraId="7DDE49AA" w14:textId="77777777" w:rsidR="00D12939" w:rsidRDefault="004F47F5">
            <w:pPr>
              <w:pStyle w:val="affffd"/>
              <w:jc w:val="both"/>
              <w:rPr>
                <w:rFonts w:hAnsi="Times New Roman"/>
              </w:rPr>
            </w:pPr>
            <w:r>
              <w:rPr>
                <w:rFonts w:ascii="Times New Roman" w:eastAsia="宋体" w:hAnsi="Times New Roman" w:cs="Times New Roman"/>
              </w:rPr>
              <w:t>4</w:t>
            </w:r>
            <w:r>
              <w:rPr>
                <w:rFonts w:ascii="Times New Roman" w:eastAsia="宋体" w:hAnsi="Times New Roman" w:cs="Times New Roman"/>
              </w:rPr>
              <w:t>、试生产前向环保行政主管部门提交试运营申请报告，配合竣工验收和检查；</w:t>
            </w:r>
          </w:p>
          <w:p w14:paraId="53BD0A80" w14:textId="77777777" w:rsidR="00D12939" w:rsidRDefault="004F47F5">
            <w:pPr>
              <w:pStyle w:val="affffd"/>
              <w:jc w:val="both"/>
              <w:rPr>
                <w:rFonts w:hAnsi="Times New Roman"/>
              </w:rPr>
            </w:pPr>
            <w:r>
              <w:rPr>
                <w:rFonts w:ascii="Times New Roman" w:eastAsia="宋体" w:hAnsi="Times New Roman" w:cs="Times New Roman"/>
              </w:rPr>
              <w:t>5</w:t>
            </w:r>
            <w:r>
              <w:rPr>
                <w:rFonts w:ascii="Times New Roman" w:eastAsia="宋体" w:hAnsi="Times New Roman" w:cs="Times New Roman"/>
              </w:rPr>
              <w:t>、总结试运营经验，针对存在问题进行整改，提出补救措施方案；</w:t>
            </w:r>
          </w:p>
          <w:p w14:paraId="1648A133" w14:textId="77777777" w:rsidR="00D12939" w:rsidRDefault="004F47F5">
            <w:pPr>
              <w:pStyle w:val="affffd"/>
              <w:jc w:val="both"/>
              <w:rPr>
                <w:rFonts w:hAnsi="Times New Roman"/>
              </w:rPr>
            </w:pPr>
            <w:r>
              <w:rPr>
                <w:rFonts w:ascii="Times New Roman" w:eastAsia="宋体" w:hAnsi="Times New Roman" w:cs="Times New Roman"/>
              </w:rPr>
              <w:t>6</w:t>
            </w:r>
            <w:r>
              <w:rPr>
                <w:rFonts w:ascii="Times New Roman" w:eastAsia="宋体" w:hAnsi="Times New Roman" w:cs="Times New Roman"/>
              </w:rPr>
              <w:t>、委托有资质单位编制工程</w:t>
            </w:r>
            <w:r>
              <w:rPr>
                <w:rFonts w:ascii="Times New Roman" w:eastAsia="宋体" w:hAnsi="Times New Roman" w:cs="Times New Roman"/>
              </w:rPr>
              <w:t>“</w:t>
            </w:r>
            <w:r>
              <w:rPr>
                <w:rFonts w:ascii="Times New Roman" w:eastAsia="宋体" w:hAnsi="Times New Roman" w:cs="Times New Roman"/>
              </w:rPr>
              <w:t>三同时</w:t>
            </w:r>
            <w:r>
              <w:rPr>
                <w:rFonts w:ascii="Times New Roman" w:eastAsia="宋体" w:hAnsi="Times New Roman" w:cs="Times New Roman"/>
              </w:rPr>
              <w:t>”</w:t>
            </w:r>
            <w:r>
              <w:rPr>
                <w:rFonts w:ascii="Times New Roman" w:eastAsia="宋体" w:hAnsi="Times New Roman" w:cs="Times New Roman"/>
              </w:rPr>
              <w:t>竣工验收监测报告。</w:t>
            </w:r>
          </w:p>
        </w:tc>
      </w:tr>
      <w:tr w:rsidR="00D12939" w14:paraId="1851260D" w14:textId="77777777">
        <w:trPr>
          <w:trHeight w:val="340"/>
          <w:jc w:val="center"/>
        </w:trPr>
        <w:tc>
          <w:tcPr>
            <w:tcW w:w="516" w:type="pct"/>
            <w:vAlign w:val="center"/>
          </w:tcPr>
          <w:p w14:paraId="36FF0F86" w14:textId="77777777" w:rsidR="00D12939" w:rsidRDefault="004F47F5">
            <w:pPr>
              <w:pStyle w:val="affffd"/>
              <w:rPr>
                <w:rFonts w:hAnsi="Times New Roman"/>
              </w:rPr>
            </w:pPr>
            <w:r>
              <w:rPr>
                <w:rFonts w:ascii="Times New Roman" w:eastAsia="宋体" w:hAnsi="Times New Roman" w:cs="Times New Roman"/>
              </w:rPr>
              <w:t>服务期</w:t>
            </w:r>
          </w:p>
        </w:tc>
        <w:tc>
          <w:tcPr>
            <w:tcW w:w="4484" w:type="pct"/>
            <w:vAlign w:val="center"/>
          </w:tcPr>
          <w:p w14:paraId="72034EA2" w14:textId="77777777" w:rsidR="00D12939" w:rsidRDefault="004F47F5">
            <w:pPr>
              <w:pStyle w:val="affffd"/>
              <w:jc w:val="both"/>
              <w:rPr>
                <w:rFonts w:hAnsi="Times New Roman"/>
              </w:rPr>
            </w:pPr>
            <w:r>
              <w:rPr>
                <w:rFonts w:ascii="Times New Roman" w:eastAsia="宋体" w:hAnsi="Times New Roman" w:cs="Times New Roman"/>
              </w:rPr>
              <w:t>1</w:t>
            </w:r>
            <w:r>
              <w:rPr>
                <w:rFonts w:ascii="Times New Roman" w:eastAsia="宋体" w:hAnsi="Times New Roman" w:cs="Times New Roman"/>
              </w:rPr>
              <w:t>、认真贯彻、执行国家和地方环境保护法律法规和标准，保证生产正常运营；</w:t>
            </w:r>
          </w:p>
          <w:p w14:paraId="03EC9D95" w14:textId="77777777" w:rsidR="00D12939" w:rsidRDefault="004F47F5">
            <w:pPr>
              <w:pStyle w:val="affffd"/>
              <w:jc w:val="both"/>
              <w:rPr>
                <w:rFonts w:hAnsi="Times New Roman"/>
              </w:rPr>
            </w:pPr>
            <w:r>
              <w:rPr>
                <w:rFonts w:ascii="Times New Roman" w:eastAsia="宋体" w:hAnsi="Times New Roman" w:cs="Times New Roman"/>
              </w:rPr>
              <w:t>2</w:t>
            </w:r>
            <w:r>
              <w:rPr>
                <w:rFonts w:ascii="Times New Roman" w:eastAsia="宋体" w:hAnsi="Times New Roman" w:cs="Times New Roman"/>
              </w:rPr>
              <w:t>、申报排污许可证，建立环保设施运营卡，对环保设施定期进行检查和维护；</w:t>
            </w:r>
          </w:p>
          <w:p w14:paraId="27661301" w14:textId="77777777" w:rsidR="00D12939" w:rsidRDefault="004F47F5">
            <w:pPr>
              <w:pStyle w:val="affffd"/>
              <w:jc w:val="both"/>
              <w:rPr>
                <w:rFonts w:hAnsi="Times New Roman"/>
              </w:rPr>
            </w:pPr>
            <w:r>
              <w:rPr>
                <w:rFonts w:ascii="Times New Roman" w:eastAsia="宋体" w:hAnsi="Times New Roman" w:cs="Times New Roman"/>
              </w:rPr>
              <w:t>3</w:t>
            </w:r>
            <w:r>
              <w:rPr>
                <w:rFonts w:ascii="Times New Roman" w:eastAsia="宋体" w:hAnsi="Times New Roman" w:cs="Times New Roman"/>
              </w:rPr>
              <w:t>、按照环境监控计划开展定期、不定期环境与污染源监测，发现问题及时处理；</w:t>
            </w:r>
          </w:p>
          <w:p w14:paraId="11F3D7D8" w14:textId="77777777" w:rsidR="00D12939" w:rsidRDefault="004F47F5">
            <w:pPr>
              <w:pStyle w:val="affffd"/>
              <w:jc w:val="both"/>
              <w:rPr>
                <w:rFonts w:hAnsi="Times New Roman"/>
              </w:rPr>
            </w:pPr>
            <w:r>
              <w:rPr>
                <w:rFonts w:ascii="Times New Roman" w:eastAsia="宋体" w:hAnsi="Times New Roman" w:cs="Times New Roman"/>
              </w:rPr>
              <w:t>4</w:t>
            </w:r>
            <w:r>
              <w:rPr>
                <w:rFonts w:ascii="Times New Roman" w:eastAsia="宋体" w:hAnsi="Times New Roman" w:cs="Times New Roman"/>
              </w:rPr>
              <w:t>、完善环境管理与污染防治目标，配合地方环保部门制定区域环境综合整治规划；</w:t>
            </w:r>
          </w:p>
          <w:p w14:paraId="52AC4213" w14:textId="77777777" w:rsidR="00D12939" w:rsidRDefault="004F47F5">
            <w:pPr>
              <w:pStyle w:val="affffd"/>
              <w:jc w:val="both"/>
              <w:rPr>
                <w:rFonts w:hAnsi="Times New Roman"/>
              </w:rPr>
            </w:pPr>
            <w:r>
              <w:rPr>
                <w:rFonts w:ascii="Times New Roman" w:eastAsia="宋体" w:hAnsi="Times New Roman" w:cs="Times New Roman"/>
              </w:rPr>
              <w:t>5</w:t>
            </w:r>
            <w:r>
              <w:rPr>
                <w:rFonts w:ascii="Times New Roman" w:eastAsia="宋体" w:hAnsi="Times New Roman" w:cs="Times New Roman"/>
              </w:rPr>
              <w:t>、推行清洁生产，循环经济和减污增效，实现污染预防；</w:t>
            </w:r>
          </w:p>
          <w:p w14:paraId="356FAD1E" w14:textId="77777777" w:rsidR="00D12939" w:rsidRDefault="004F47F5">
            <w:pPr>
              <w:pStyle w:val="affffd"/>
              <w:jc w:val="both"/>
              <w:rPr>
                <w:rFonts w:hAnsi="Times New Roman"/>
              </w:rPr>
            </w:pPr>
            <w:r>
              <w:rPr>
                <w:rFonts w:ascii="Times New Roman" w:eastAsia="宋体" w:hAnsi="Times New Roman" w:cs="Times New Roman"/>
              </w:rPr>
              <w:t>6</w:t>
            </w:r>
            <w:r>
              <w:rPr>
                <w:rFonts w:ascii="Times New Roman" w:eastAsia="宋体" w:hAnsi="Times New Roman" w:cs="Times New Roman"/>
              </w:rPr>
              <w:t>、参与编制工厂环境风险事故应急预案，建立企业环境管理体系。</w:t>
            </w:r>
          </w:p>
        </w:tc>
      </w:tr>
      <w:tr w:rsidR="00D12939" w14:paraId="69C09761" w14:textId="77777777">
        <w:trPr>
          <w:trHeight w:val="340"/>
          <w:jc w:val="center"/>
        </w:trPr>
        <w:tc>
          <w:tcPr>
            <w:tcW w:w="516" w:type="pct"/>
            <w:vAlign w:val="center"/>
          </w:tcPr>
          <w:p w14:paraId="7C2D8581" w14:textId="77777777" w:rsidR="00D12939" w:rsidRDefault="004F47F5">
            <w:pPr>
              <w:pStyle w:val="affffd"/>
              <w:rPr>
                <w:rFonts w:hAnsi="Times New Roman"/>
              </w:rPr>
            </w:pPr>
            <w:r>
              <w:rPr>
                <w:rFonts w:ascii="Times New Roman" w:eastAsia="宋体" w:hAnsi="Times New Roman" w:cs="Times New Roman"/>
              </w:rPr>
              <w:t>服务期满后</w:t>
            </w:r>
          </w:p>
        </w:tc>
        <w:tc>
          <w:tcPr>
            <w:tcW w:w="4484" w:type="pct"/>
            <w:vAlign w:val="center"/>
          </w:tcPr>
          <w:p w14:paraId="79679C52" w14:textId="77777777" w:rsidR="00D12939" w:rsidRDefault="004F47F5">
            <w:pPr>
              <w:pStyle w:val="affffd"/>
              <w:jc w:val="both"/>
              <w:rPr>
                <w:rFonts w:hAnsi="Times New Roman"/>
              </w:rPr>
            </w:pPr>
            <w:r>
              <w:rPr>
                <w:rFonts w:ascii="Times New Roman" w:eastAsia="宋体" w:hAnsi="Times New Roman" w:cs="Times New Roman"/>
              </w:rPr>
              <w:t>1</w:t>
            </w:r>
            <w:r>
              <w:rPr>
                <w:rFonts w:ascii="Times New Roman" w:eastAsia="宋体" w:hAnsi="Times New Roman" w:cs="Times New Roman"/>
              </w:rPr>
              <w:t>、应建立运营情况记录制度，如实记载封场后及后期维护与管理情况及环境监测数据等；</w:t>
            </w:r>
          </w:p>
          <w:p w14:paraId="16E4FCBD" w14:textId="77777777" w:rsidR="00D12939" w:rsidRDefault="004F47F5">
            <w:pPr>
              <w:pStyle w:val="affffd"/>
              <w:jc w:val="both"/>
              <w:rPr>
                <w:rFonts w:hAnsi="Times New Roman"/>
              </w:rPr>
            </w:pPr>
            <w:r>
              <w:rPr>
                <w:rFonts w:ascii="Times New Roman" w:eastAsia="宋体" w:hAnsi="Times New Roman" w:cs="Times New Roman"/>
              </w:rPr>
              <w:t>2</w:t>
            </w:r>
            <w:r>
              <w:rPr>
                <w:rFonts w:ascii="Times New Roman" w:eastAsia="宋体" w:hAnsi="Times New Roman" w:cs="Times New Roman"/>
              </w:rPr>
              <w:t>、进行封场生态恢复治理。</w:t>
            </w:r>
          </w:p>
        </w:tc>
      </w:tr>
      <w:tr w:rsidR="00D12939" w14:paraId="5F32961A" w14:textId="77777777">
        <w:trPr>
          <w:trHeight w:val="340"/>
          <w:jc w:val="center"/>
        </w:trPr>
        <w:tc>
          <w:tcPr>
            <w:tcW w:w="516" w:type="pct"/>
            <w:vAlign w:val="center"/>
          </w:tcPr>
          <w:p w14:paraId="1C7C5156" w14:textId="77777777" w:rsidR="00D12939" w:rsidRDefault="004F47F5">
            <w:pPr>
              <w:pStyle w:val="affffd"/>
              <w:rPr>
                <w:rFonts w:hAnsi="Times New Roman"/>
              </w:rPr>
            </w:pPr>
            <w:r>
              <w:rPr>
                <w:rFonts w:ascii="Times New Roman" w:eastAsia="宋体" w:hAnsi="Times New Roman" w:cs="Times New Roman"/>
              </w:rPr>
              <w:t>环境管理工作重点</w:t>
            </w:r>
          </w:p>
        </w:tc>
        <w:tc>
          <w:tcPr>
            <w:tcW w:w="4484" w:type="pct"/>
            <w:vAlign w:val="center"/>
          </w:tcPr>
          <w:p w14:paraId="684915B3" w14:textId="77777777" w:rsidR="00D12939" w:rsidRDefault="004F47F5">
            <w:pPr>
              <w:pStyle w:val="affffd"/>
              <w:jc w:val="both"/>
              <w:rPr>
                <w:rFonts w:hAnsi="Times New Roman"/>
              </w:rPr>
            </w:pPr>
            <w:r>
              <w:rPr>
                <w:rFonts w:ascii="Times New Roman" w:eastAsia="宋体" w:hAnsi="Times New Roman" w:cs="Times New Roman"/>
              </w:rPr>
              <w:t>1</w:t>
            </w:r>
            <w:r>
              <w:rPr>
                <w:rFonts w:ascii="Times New Roman" w:eastAsia="宋体" w:hAnsi="Times New Roman" w:cs="Times New Roman"/>
              </w:rPr>
              <w:t>、加强污染源监控与管理，提高水资源、能源和工业固废的综合利用率；</w:t>
            </w:r>
          </w:p>
          <w:p w14:paraId="56D25C7A" w14:textId="77777777" w:rsidR="00D12939" w:rsidRDefault="004F47F5">
            <w:pPr>
              <w:pStyle w:val="affffd"/>
              <w:jc w:val="both"/>
              <w:rPr>
                <w:rFonts w:hAnsi="Times New Roman"/>
              </w:rPr>
            </w:pPr>
            <w:r>
              <w:rPr>
                <w:rFonts w:ascii="Times New Roman" w:eastAsia="宋体" w:hAnsi="Times New Roman" w:cs="Times New Roman"/>
              </w:rPr>
              <w:t>2</w:t>
            </w:r>
            <w:r>
              <w:rPr>
                <w:rFonts w:ascii="Times New Roman" w:eastAsia="宋体" w:hAnsi="Times New Roman" w:cs="Times New Roman"/>
              </w:rPr>
              <w:t>、坚持</w:t>
            </w:r>
            <w:r>
              <w:rPr>
                <w:rFonts w:ascii="Times New Roman" w:eastAsia="宋体" w:hAnsi="Times New Roman" w:cs="Times New Roman"/>
              </w:rPr>
              <w:t>“</w:t>
            </w:r>
            <w:r>
              <w:rPr>
                <w:rFonts w:ascii="Times New Roman" w:eastAsia="宋体" w:hAnsi="Times New Roman" w:cs="Times New Roman"/>
              </w:rPr>
              <w:t>预防为主、防治结合、综合治理</w:t>
            </w:r>
            <w:r>
              <w:rPr>
                <w:rFonts w:ascii="Times New Roman" w:eastAsia="宋体" w:hAnsi="Times New Roman" w:cs="Times New Roman"/>
              </w:rPr>
              <w:t>”</w:t>
            </w:r>
            <w:r>
              <w:rPr>
                <w:rFonts w:ascii="Times New Roman" w:eastAsia="宋体" w:hAnsi="Times New Roman" w:cs="Times New Roman"/>
              </w:rPr>
              <w:t>原则，强化企业污染防治设施管理力度。</w:t>
            </w:r>
          </w:p>
        </w:tc>
      </w:tr>
    </w:tbl>
    <w:p w14:paraId="32B53EDC" w14:textId="77777777" w:rsidR="00D12939" w:rsidRDefault="004F47F5">
      <w:pPr>
        <w:pStyle w:val="2"/>
        <w:spacing w:line="360" w:lineRule="auto"/>
        <w:ind w:firstLineChars="165" w:firstLine="462"/>
        <w:rPr>
          <w:sz w:val="28"/>
        </w:rPr>
      </w:pPr>
      <w:bookmarkStart w:id="664" w:name="_Toc120561870"/>
      <w:bookmarkStart w:id="665" w:name="_Toc28857121"/>
      <w:bookmarkStart w:id="666" w:name="_Toc121411829"/>
      <w:r>
        <w:rPr>
          <w:sz w:val="28"/>
        </w:rPr>
        <w:lastRenderedPageBreak/>
        <w:t xml:space="preserve">11.2 </w:t>
      </w:r>
      <w:r>
        <w:rPr>
          <w:sz w:val="28"/>
        </w:rPr>
        <w:t>环境监测计划</w:t>
      </w:r>
      <w:bookmarkEnd w:id="664"/>
      <w:bookmarkEnd w:id="665"/>
      <w:bookmarkEnd w:id="666"/>
    </w:p>
    <w:p w14:paraId="6E394879"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为了掌握项目污染排放状况和实际环境影响程度，必须对营运期污染源和环境质量状况进行监测，其目的是提供可靠的监测数据，便于了解污染源实际排放状况、环保设施运行状况，同时掌握项目环境质量变化情况，并对于项目营运期出现的环境污染问题及时采取补救措施。环境监控计划也是建立企业环境保护规定、制度、操作规程，以及防治污染，完善环境保护目标的重要组成部分。</w:t>
      </w:r>
    </w:p>
    <w:p w14:paraId="269E3FE5"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环评要求项目建设单位应建立覆盖常规污染物、特征污染物的环境监测体系以及按照《企业事业单位环境信息公开办法》相关规定向社会公开监测结果。</w:t>
      </w:r>
    </w:p>
    <w:p w14:paraId="20060A70"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67" w:name="_Toc121411830"/>
      <w:r>
        <w:rPr>
          <w:rFonts w:ascii="Times New Roman" w:eastAsia="黑体" w:hAnsi="Times New Roman" w:cs="Times New Roman"/>
          <w:b w:val="0"/>
          <w:sz w:val="24"/>
        </w:rPr>
        <w:t>11.2.1</w:t>
      </w:r>
      <w:r>
        <w:rPr>
          <w:rFonts w:ascii="Times New Roman" w:eastAsia="黑体" w:hAnsi="Times New Roman" w:cs="Times New Roman"/>
          <w:b w:val="0"/>
          <w:sz w:val="24"/>
        </w:rPr>
        <w:t>一般要求</w:t>
      </w:r>
      <w:bookmarkEnd w:id="667"/>
    </w:p>
    <w:p w14:paraId="22CB20CA"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排污单位可自行或委托第三方监测机构开展监测工作，并安排专人专职对监测数据进行记录、整理、统计和分析。排污单位对监测结果的真实性、准确性、完整性负责。手工监测时生产负荷应不低于本次监测与上一次监测周期内的平均生产负荷。</w:t>
      </w:r>
    </w:p>
    <w:p w14:paraId="65B59E67"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68" w:name="_Toc121411831"/>
      <w:r>
        <w:rPr>
          <w:rFonts w:ascii="Times New Roman" w:eastAsia="黑体" w:hAnsi="Times New Roman" w:cs="Times New Roman"/>
          <w:b w:val="0"/>
          <w:sz w:val="24"/>
        </w:rPr>
        <w:t>11.2.2</w:t>
      </w:r>
      <w:r>
        <w:rPr>
          <w:rFonts w:ascii="Times New Roman" w:eastAsia="黑体" w:hAnsi="Times New Roman" w:cs="Times New Roman" w:hint="eastAsia"/>
          <w:b w:val="0"/>
          <w:sz w:val="24"/>
        </w:rPr>
        <w:t>监测计划</w:t>
      </w:r>
      <w:bookmarkEnd w:id="668"/>
    </w:p>
    <w:p w14:paraId="038AB807" w14:textId="77777777" w:rsidR="00D12939" w:rsidRDefault="004F47F5">
      <w:pPr>
        <w:pStyle w:val="-ls"/>
        <w:ind w:firstLine="480"/>
        <w:rPr>
          <w:rFonts w:ascii="Times New Roman" w:eastAsia="宋体" w:hAnsi="Times New Roman" w:cs="Times New Roman"/>
        </w:rPr>
      </w:pPr>
      <w:r>
        <w:rPr>
          <w:rFonts w:ascii="Times New Roman" w:eastAsia="宋体" w:hAnsi="Times New Roman" w:cs="Times New Roman"/>
          <w:szCs w:val="24"/>
        </w:rPr>
        <w:t>根据《生活垃圾填埋场污染控制标准》（</w:t>
      </w:r>
      <w:r>
        <w:rPr>
          <w:rFonts w:ascii="Times New Roman" w:eastAsia="宋体" w:hAnsi="Times New Roman" w:cs="Times New Roman"/>
          <w:szCs w:val="24"/>
        </w:rPr>
        <w:t>GB16889-2008</w:t>
      </w:r>
      <w:r>
        <w:rPr>
          <w:rFonts w:ascii="Times New Roman" w:eastAsia="宋体" w:hAnsi="Times New Roman" w:cs="Times New Roman"/>
          <w:szCs w:val="24"/>
        </w:rPr>
        <w:t>）、《</w:t>
      </w:r>
      <w:r>
        <w:rPr>
          <w:rFonts w:ascii="Times New Roman" w:eastAsia="宋体" w:hAnsi="Times New Roman" w:cs="Times New Roman"/>
        </w:rPr>
        <w:t>环境影响评价技术导则</w:t>
      </w:r>
      <w:r>
        <w:rPr>
          <w:rFonts w:ascii="Times New Roman" w:eastAsia="宋体" w:hAnsi="Times New Roman" w:cs="Times New Roman"/>
        </w:rPr>
        <w:t>-</w:t>
      </w:r>
      <w:r>
        <w:rPr>
          <w:rFonts w:ascii="Times New Roman" w:eastAsia="宋体" w:hAnsi="Times New Roman" w:cs="Times New Roman"/>
        </w:rPr>
        <w:t>地下水环境</w:t>
      </w:r>
      <w:r>
        <w:rPr>
          <w:rFonts w:ascii="Times New Roman" w:eastAsia="宋体" w:hAnsi="Times New Roman" w:cs="Times New Roman"/>
          <w:szCs w:val="24"/>
        </w:rPr>
        <w:t>》</w:t>
      </w:r>
      <w:r>
        <w:rPr>
          <w:rFonts w:ascii="Times New Roman" w:eastAsia="宋体" w:hAnsi="Times New Roman" w:cs="Times New Roman"/>
        </w:rPr>
        <w:t>（</w:t>
      </w:r>
      <w:r>
        <w:rPr>
          <w:rFonts w:ascii="Times New Roman" w:eastAsia="宋体" w:hAnsi="Times New Roman" w:cs="Times New Roman"/>
        </w:rPr>
        <w:t>HJ 610-2016</w:t>
      </w:r>
      <w:r>
        <w:rPr>
          <w:rFonts w:ascii="Times New Roman" w:eastAsia="宋体" w:hAnsi="Times New Roman" w:cs="Times New Roman"/>
        </w:rPr>
        <w:t>）、《环境影响评价技术导则</w:t>
      </w:r>
      <w:r>
        <w:rPr>
          <w:rFonts w:ascii="Times New Roman" w:eastAsia="宋体" w:hAnsi="Times New Roman" w:cs="Times New Roman"/>
        </w:rPr>
        <w:t>-</w:t>
      </w:r>
      <w:r>
        <w:rPr>
          <w:rFonts w:ascii="Times New Roman" w:eastAsia="宋体" w:hAnsi="Times New Roman" w:cs="Times New Roman"/>
        </w:rPr>
        <w:t>土壤环境（试行）》（</w:t>
      </w:r>
      <w:r>
        <w:rPr>
          <w:rFonts w:ascii="Times New Roman" w:eastAsia="宋体" w:hAnsi="Times New Roman" w:cs="Times New Roman"/>
        </w:rPr>
        <w:t>HJ 964-2018</w:t>
      </w:r>
      <w:r>
        <w:rPr>
          <w:rFonts w:ascii="Times New Roman" w:eastAsia="宋体" w:hAnsi="Times New Roman" w:cs="Times New Roman"/>
        </w:rPr>
        <w:t>）制定项目监测计划。</w:t>
      </w:r>
    </w:p>
    <w:p w14:paraId="7BC29984" w14:textId="77777777" w:rsidR="00D12939" w:rsidRDefault="004F47F5">
      <w:pPr>
        <w:pStyle w:val="-ls"/>
        <w:ind w:firstLine="480"/>
        <w:rPr>
          <w:rFonts w:ascii="Times New Roman" w:eastAsia="宋体" w:hAnsi="Times New Roman" w:cs="Times New Roman"/>
        </w:rPr>
      </w:pPr>
      <w:r>
        <w:rPr>
          <w:rFonts w:ascii="Times New Roman" w:eastAsia="宋体" w:hAnsi="Times New Roman" w:cs="Times New Roman"/>
          <w:snapToGrid w:val="0"/>
          <w:szCs w:val="24"/>
        </w:rPr>
        <w:t>本项目环境质量监测计划见表</w:t>
      </w:r>
      <w:r>
        <w:rPr>
          <w:rFonts w:ascii="Times New Roman" w:eastAsia="宋体" w:hAnsi="Times New Roman" w:cs="Times New Roman"/>
          <w:snapToGrid w:val="0"/>
          <w:szCs w:val="24"/>
        </w:rPr>
        <w:t>11.2-1</w:t>
      </w:r>
      <w:r>
        <w:rPr>
          <w:rFonts w:ascii="Times New Roman" w:eastAsia="宋体" w:hAnsi="Times New Roman" w:cs="Times New Roman"/>
          <w:snapToGrid w:val="0"/>
          <w:szCs w:val="24"/>
        </w:rPr>
        <w:t>。</w:t>
      </w:r>
    </w:p>
    <w:p w14:paraId="696DAC7E" w14:textId="0DBAAC56" w:rsidR="00585287" w:rsidRDefault="004F47F5" w:rsidP="00585287">
      <w:pPr>
        <w:jc w:val="center"/>
        <w:rPr>
          <w:rFonts w:ascii="黑体" w:eastAsia="黑体" w:hAnsi="黑体" w:cs="Times New Roman"/>
          <w:sz w:val="24"/>
          <w:szCs w:val="20"/>
          <w:lang w:val="zh-CN"/>
        </w:rPr>
      </w:pPr>
      <w:r>
        <w:rPr>
          <w:rFonts w:ascii="黑体" w:eastAsia="黑体" w:hAnsi="黑体" w:cs="Times New Roman"/>
          <w:sz w:val="24"/>
          <w:szCs w:val="20"/>
          <w:lang w:val="zh-CN"/>
        </w:rPr>
        <w:t>表11.2-1    环境质量监测计划表</w:t>
      </w:r>
    </w:p>
    <w:tbl>
      <w:tblPr>
        <w:tblStyle w:val="afff8"/>
        <w:tblW w:w="9735" w:type="dxa"/>
        <w:tblLook w:val="04A0" w:firstRow="1" w:lastRow="0" w:firstColumn="1" w:lastColumn="0" w:noHBand="0" w:noVBand="1"/>
      </w:tblPr>
      <w:tblGrid>
        <w:gridCol w:w="1129"/>
        <w:gridCol w:w="1985"/>
        <w:gridCol w:w="2727"/>
        <w:gridCol w:w="1947"/>
        <w:gridCol w:w="1947"/>
      </w:tblGrid>
      <w:tr w:rsidR="00C27509" w14:paraId="04C05E56" w14:textId="77777777" w:rsidTr="00747ECF">
        <w:tc>
          <w:tcPr>
            <w:tcW w:w="1129" w:type="dxa"/>
            <w:vAlign w:val="center"/>
          </w:tcPr>
          <w:p w14:paraId="70B405FE" w14:textId="77777777" w:rsidR="00C27509" w:rsidRDefault="00C27509" w:rsidP="00747ECF">
            <w:pPr>
              <w:pStyle w:val="2"/>
              <w:ind w:firstLineChars="0" w:firstLine="0"/>
              <w:jc w:val="center"/>
              <w:outlineLvl w:val="1"/>
              <w:rPr>
                <w:sz w:val="21"/>
                <w:szCs w:val="21"/>
                <w:lang w:val="zh-CN"/>
              </w:rPr>
            </w:pPr>
            <w:r>
              <w:rPr>
                <w:rFonts w:eastAsia="宋体"/>
                <w:b/>
                <w:bCs/>
                <w:sz w:val="21"/>
                <w:szCs w:val="21"/>
                <w:lang w:val="zh-CN"/>
              </w:rPr>
              <w:lastRenderedPageBreak/>
              <w:t>监测对象</w:t>
            </w:r>
          </w:p>
        </w:tc>
        <w:tc>
          <w:tcPr>
            <w:tcW w:w="1985" w:type="dxa"/>
            <w:vAlign w:val="center"/>
          </w:tcPr>
          <w:p w14:paraId="4556C467" w14:textId="77777777" w:rsidR="00C27509" w:rsidRDefault="00C27509" w:rsidP="00747ECF">
            <w:pPr>
              <w:pStyle w:val="2"/>
              <w:ind w:firstLineChars="0" w:firstLine="0"/>
              <w:jc w:val="center"/>
              <w:outlineLvl w:val="1"/>
              <w:rPr>
                <w:sz w:val="21"/>
                <w:szCs w:val="21"/>
                <w:lang w:val="zh-CN"/>
              </w:rPr>
            </w:pPr>
            <w:r>
              <w:rPr>
                <w:rFonts w:eastAsia="宋体"/>
                <w:b/>
                <w:bCs/>
                <w:sz w:val="21"/>
                <w:szCs w:val="21"/>
                <w:lang w:val="zh-CN"/>
              </w:rPr>
              <w:t>监测点位</w:t>
            </w:r>
          </w:p>
        </w:tc>
        <w:tc>
          <w:tcPr>
            <w:tcW w:w="2727" w:type="dxa"/>
            <w:vAlign w:val="center"/>
          </w:tcPr>
          <w:p w14:paraId="2CB9893F" w14:textId="77777777" w:rsidR="00C27509" w:rsidRDefault="00C27509" w:rsidP="00747ECF">
            <w:pPr>
              <w:pStyle w:val="2"/>
              <w:ind w:firstLineChars="0" w:firstLine="0"/>
              <w:jc w:val="center"/>
              <w:outlineLvl w:val="1"/>
              <w:rPr>
                <w:sz w:val="21"/>
                <w:szCs w:val="21"/>
                <w:lang w:val="zh-CN"/>
              </w:rPr>
            </w:pPr>
            <w:r>
              <w:rPr>
                <w:rFonts w:eastAsia="宋体"/>
                <w:b/>
                <w:bCs/>
                <w:sz w:val="21"/>
                <w:szCs w:val="21"/>
                <w:lang w:val="zh-CN"/>
              </w:rPr>
              <w:t>监测项目</w:t>
            </w:r>
          </w:p>
        </w:tc>
        <w:tc>
          <w:tcPr>
            <w:tcW w:w="1947" w:type="dxa"/>
            <w:vAlign w:val="center"/>
          </w:tcPr>
          <w:p w14:paraId="64D309F4" w14:textId="77777777" w:rsidR="00C27509" w:rsidRDefault="00C27509" w:rsidP="00747ECF">
            <w:pPr>
              <w:pStyle w:val="2"/>
              <w:ind w:firstLineChars="0" w:firstLine="0"/>
              <w:jc w:val="center"/>
              <w:outlineLvl w:val="1"/>
              <w:rPr>
                <w:sz w:val="21"/>
                <w:szCs w:val="21"/>
                <w:lang w:val="zh-CN"/>
              </w:rPr>
            </w:pPr>
            <w:r>
              <w:rPr>
                <w:rFonts w:eastAsia="宋体"/>
                <w:b/>
                <w:bCs/>
                <w:sz w:val="21"/>
                <w:szCs w:val="21"/>
                <w:lang w:val="zh-CN"/>
              </w:rPr>
              <w:t>监测频率</w:t>
            </w:r>
          </w:p>
        </w:tc>
        <w:tc>
          <w:tcPr>
            <w:tcW w:w="1947" w:type="dxa"/>
            <w:vAlign w:val="center"/>
          </w:tcPr>
          <w:p w14:paraId="0F31CE34" w14:textId="77777777" w:rsidR="00C27509" w:rsidRDefault="00C27509" w:rsidP="00747ECF">
            <w:pPr>
              <w:pStyle w:val="2"/>
              <w:ind w:firstLineChars="0" w:firstLine="0"/>
              <w:jc w:val="center"/>
              <w:outlineLvl w:val="1"/>
              <w:rPr>
                <w:sz w:val="21"/>
                <w:szCs w:val="21"/>
                <w:lang w:val="zh-CN"/>
              </w:rPr>
            </w:pPr>
            <w:r>
              <w:rPr>
                <w:rFonts w:eastAsia="宋体"/>
                <w:b/>
                <w:bCs/>
                <w:sz w:val="21"/>
                <w:szCs w:val="21"/>
                <w:lang w:val="zh-CN"/>
              </w:rPr>
              <w:t>标准</w:t>
            </w:r>
            <w:r>
              <w:rPr>
                <w:rFonts w:eastAsia="宋体"/>
                <w:b/>
                <w:bCs/>
                <w:sz w:val="21"/>
                <w:szCs w:val="21"/>
                <w:lang w:val="zh-CN"/>
              </w:rPr>
              <w:t>/</w:t>
            </w:r>
            <w:r>
              <w:rPr>
                <w:rFonts w:eastAsia="宋体"/>
                <w:b/>
                <w:bCs/>
                <w:sz w:val="21"/>
                <w:szCs w:val="21"/>
                <w:lang w:val="zh-CN"/>
              </w:rPr>
              <w:t>要求</w:t>
            </w:r>
          </w:p>
        </w:tc>
      </w:tr>
      <w:tr w:rsidR="00C27509" w14:paraId="15C579F9" w14:textId="77777777" w:rsidTr="00747ECF">
        <w:tc>
          <w:tcPr>
            <w:tcW w:w="1129" w:type="dxa"/>
            <w:vAlign w:val="center"/>
          </w:tcPr>
          <w:p w14:paraId="62EFBA9E"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填埋气体</w:t>
            </w:r>
          </w:p>
        </w:tc>
        <w:tc>
          <w:tcPr>
            <w:tcW w:w="1985" w:type="dxa"/>
            <w:vAlign w:val="center"/>
          </w:tcPr>
          <w:p w14:paraId="21D73424"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填埋场场界上风向设</w:t>
            </w:r>
            <w:r>
              <w:rPr>
                <w:rFonts w:eastAsia="宋体"/>
                <w:sz w:val="21"/>
                <w:szCs w:val="21"/>
                <w:lang w:val="zh-CN"/>
              </w:rPr>
              <w:t>1</w:t>
            </w:r>
            <w:r>
              <w:rPr>
                <w:rFonts w:eastAsia="宋体"/>
                <w:sz w:val="21"/>
                <w:szCs w:val="21"/>
                <w:lang w:val="zh-CN"/>
              </w:rPr>
              <w:t>个点位，下风向设</w:t>
            </w:r>
            <w:r>
              <w:rPr>
                <w:rFonts w:eastAsia="宋体"/>
                <w:sz w:val="21"/>
                <w:szCs w:val="21"/>
                <w:lang w:val="zh-CN"/>
              </w:rPr>
              <w:t>3</w:t>
            </w:r>
            <w:r>
              <w:rPr>
                <w:rFonts w:eastAsia="宋体"/>
                <w:sz w:val="21"/>
                <w:szCs w:val="21"/>
                <w:lang w:val="zh-CN"/>
              </w:rPr>
              <w:t>个点位</w:t>
            </w:r>
          </w:p>
        </w:tc>
        <w:tc>
          <w:tcPr>
            <w:tcW w:w="2727" w:type="dxa"/>
            <w:vAlign w:val="center"/>
          </w:tcPr>
          <w:p w14:paraId="57F7FC67"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CH</w:t>
            </w:r>
            <w:r>
              <w:rPr>
                <w:rFonts w:eastAsia="宋体"/>
                <w:sz w:val="21"/>
                <w:szCs w:val="21"/>
                <w:vertAlign w:val="subscript"/>
                <w:lang w:val="zh-CN"/>
              </w:rPr>
              <w:t>4</w:t>
            </w:r>
            <w:r>
              <w:rPr>
                <w:rFonts w:eastAsia="宋体"/>
                <w:sz w:val="21"/>
                <w:szCs w:val="21"/>
                <w:lang w:val="zh-CN"/>
              </w:rPr>
              <w:t>、</w:t>
            </w:r>
            <w:r>
              <w:rPr>
                <w:rFonts w:eastAsia="宋体"/>
                <w:sz w:val="21"/>
                <w:szCs w:val="21"/>
                <w:lang w:val="zh-CN"/>
              </w:rPr>
              <w:t>H</w:t>
            </w:r>
            <w:r>
              <w:rPr>
                <w:rFonts w:eastAsia="宋体"/>
                <w:sz w:val="21"/>
                <w:szCs w:val="21"/>
                <w:vertAlign w:val="subscript"/>
                <w:lang w:val="zh-CN"/>
              </w:rPr>
              <w:t>2</w:t>
            </w:r>
            <w:r>
              <w:rPr>
                <w:rFonts w:eastAsia="宋体"/>
                <w:sz w:val="21"/>
                <w:szCs w:val="21"/>
                <w:lang w:val="zh-CN"/>
              </w:rPr>
              <w:t>S</w:t>
            </w:r>
            <w:r>
              <w:rPr>
                <w:rFonts w:eastAsia="宋体"/>
                <w:sz w:val="21"/>
                <w:szCs w:val="21"/>
                <w:lang w:val="zh-CN"/>
              </w:rPr>
              <w:t>、</w:t>
            </w:r>
            <w:r>
              <w:rPr>
                <w:rFonts w:eastAsia="宋体"/>
                <w:sz w:val="21"/>
                <w:szCs w:val="21"/>
                <w:lang w:val="zh-CN"/>
              </w:rPr>
              <w:t>NH</w:t>
            </w:r>
            <w:r>
              <w:rPr>
                <w:rFonts w:eastAsia="宋体"/>
                <w:sz w:val="21"/>
                <w:szCs w:val="21"/>
                <w:vertAlign w:val="subscript"/>
                <w:lang w:val="zh-CN"/>
              </w:rPr>
              <w:t>3</w:t>
            </w:r>
            <w:r>
              <w:rPr>
                <w:rFonts w:eastAsia="宋体"/>
                <w:sz w:val="21"/>
                <w:szCs w:val="21"/>
                <w:lang w:val="zh-CN"/>
              </w:rPr>
              <w:t>、</w:t>
            </w:r>
            <w:r>
              <w:rPr>
                <w:rFonts w:eastAsia="宋体"/>
                <w:sz w:val="21"/>
                <w:szCs w:val="21"/>
                <w:lang w:val="zh-CN"/>
              </w:rPr>
              <w:t>SO</w:t>
            </w:r>
            <w:r>
              <w:rPr>
                <w:rFonts w:eastAsia="宋体"/>
                <w:sz w:val="21"/>
                <w:szCs w:val="21"/>
                <w:vertAlign w:val="subscript"/>
                <w:lang w:val="zh-CN"/>
              </w:rPr>
              <w:t>2</w:t>
            </w:r>
            <w:r>
              <w:rPr>
                <w:rFonts w:eastAsia="宋体"/>
                <w:sz w:val="21"/>
                <w:szCs w:val="21"/>
                <w:lang w:val="zh-CN"/>
              </w:rPr>
              <w:t>和颗粒物</w:t>
            </w:r>
          </w:p>
        </w:tc>
        <w:tc>
          <w:tcPr>
            <w:tcW w:w="1947" w:type="dxa"/>
            <w:vAlign w:val="center"/>
          </w:tcPr>
          <w:p w14:paraId="5F9AE584"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一次</w:t>
            </w:r>
            <w:r>
              <w:rPr>
                <w:rFonts w:eastAsia="宋体"/>
                <w:sz w:val="21"/>
                <w:szCs w:val="21"/>
                <w:lang w:val="zh-CN"/>
              </w:rPr>
              <w:t>/</w:t>
            </w:r>
            <w:r>
              <w:rPr>
                <w:rFonts w:eastAsia="宋体"/>
                <w:sz w:val="21"/>
                <w:szCs w:val="21"/>
                <w:lang w:val="zh-CN"/>
              </w:rPr>
              <w:t>季度</w:t>
            </w:r>
          </w:p>
        </w:tc>
        <w:tc>
          <w:tcPr>
            <w:tcW w:w="1947" w:type="dxa"/>
            <w:vAlign w:val="center"/>
          </w:tcPr>
          <w:p w14:paraId="5463DA95"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《生活垃圾填埋场污染控制标准》（</w:t>
            </w:r>
            <w:r>
              <w:rPr>
                <w:rFonts w:eastAsia="宋体"/>
                <w:sz w:val="21"/>
                <w:szCs w:val="21"/>
                <w:lang w:val="zh-CN"/>
              </w:rPr>
              <w:t>GB16889-2008</w:t>
            </w:r>
            <w:r>
              <w:rPr>
                <w:rFonts w:eastAsia="宋体"/>
                <w:sz w:val="21"/>
                <w:szCs w:val="21"/>
                <w:lang w:val="zh-CN"/>
              </w:rPr>
              <w:t>）</w:t>
            </w:r>
          </w:p>
        </w:tc>
      </w:tr>
      <w:tr w:rsidR="00C27509" w14:paraId="7B0B5D0F" w14:textId="77777777" w:rsidTr="00747ECF">
        <w:tc>
          <w:tcPr>
            <w:tcW w:w="1129" w:type="dxa"/>
            <w:vAlign w:val="center"/>
          </w:tcPr>
          <w:p w14:paraId="53E4F1E3"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场界噪声</w:t>
            </w:r>
          </w:p>
        </w:tc>
        <w:tc>
          <w:tcPr>
            <w:tcW w:w="1985" w:type="dxa"/>
            <w:vAlign w:val="center"/>
          </w:tcPr>
          <w:p w14:paraId="112086A8"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填埋场场界设</w:t>
            </w:r>
            <w:r>
              <w:rPr>
                <w:rFonts w:eastAsia="宋体" w:hint="eastAsia"/>
                <w:sz w:val="21"/>
                <w:szCs w:val="21"/>
              </w:rPr>
              <w:t>9</w:t>
            </w:r>
            <w:r>
              <w:rPr>
                <w:rFonts w:eastAsia="宋体"/>
                <w:sz w:val="21"/>
                <w:szCs w:val="21"/>
                <w:lang w:val="zh-CN"/>
              </w:rPr>
              <w:t>个点位</w:t>
            </w:r>
            <w:r>
              <w:rPr>
                <w:rFonts w:eastAsia="宋体" w:hint="eastAsia"/>
                <w:sz w:val="21"/>
                <w:szCs w:val="21"/>
                <w:lang w:val="zh-CN"/>
              </w:rPr>
              <w:t>（</w:t>
            </w:r>
            <w:r>
              <w:rPr>
                <w:rFonts w:eastAsia="宋体" w:hint="eastAsia"/>
                <w:sz w:val="21"/>
                <w:szCs w:val="21"/>
              </w:rPr>
              <w:t>点位与现状监测点位相同</w:t>
            </w:r>
            <w:r>
              <w:rPr>
                <w:rFonts w:eastAsia="宋体" w:hint="eastAsia"/>
                <w:sz w:val="21"/>
                <w:szCs w:val="21"/>
                <w:lang w:val="zh-CN"/>
              </w:rPr>
              <w:t>）</w:t>
            </w:r>
          </w:p>
        </w:tc>
        <w:tc>
          <w:tcPr>
            <w:tcW w:w="2727" w:type="dxa"/>
            <w:vAlign w:val="center"/>
          </w:tcPr>
          <w:p w14:paraId="27DA91CE"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连续等效声级</w:t>
            </w:r>
          </w:p>
        </w:tc>
        <w:tc>
          <w:tcPr>
            <w:tcW w:w="1947" w:type="dxa"/>
            <w:vAlign w:val="center"/>
          </w:tcPr>
          <w:p w14:paraId="07185D36"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一次</w:t>
            </w:r>
            <w:r>
              <w:rPr>
                <w:rFonts w:eastAsia="宋体"/>
                <w:sz w:val="21"/>
                <w:szCs w:val="21"/>
                <w:lang w:val="zh-CN"/>
              </w:rPr>
              <w:t>/</w:t>
            </w:r>
            <w:r>
              <w:rPr>
                <w:rFonts w:eastAsia="宋体"/>
                <w:sz w:val="21"/>
                <w:szCs w:val="21"/>
                <w:lang w:val="zh-CN"/>
              </w:rPr>
              <w:t>季度</w:t>
            </w:r>
          </w:p>
        </w:tc>
        <w:tc>
          <w:tcPr>
            <w:tcW w:w="1947" w:type="dxa"/>
            <w:vAlign w:val="center"/>
          </w:tcPr>
          <w:p w14:paraId="4CBC9E22"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《工业企业厂界环境噪声排放标准》）（</w:t>
            </w:r>
            <w:r>
              <w:rPr>
                <w:rFonts w:eastAsia="宋体"/>
                <w:sz w:val="21"/>
                <w:szCs w:val="21"/>
                <w:lang w:val="zh-CN"/>
              </w:rPr>
              <w:t>GB12348-2008</w:t>
            </w:r>
            <w:r>
              <w:rPr>
                <w:rFonts w:eastAsia="宋体"/>
                <w:sz w:val="21"/>
                <w:szCs w:val="21"/>
                <w:lang w:val="zh-CN"/>
              </w:rPr>
              <w:t>）中的</w:t>
            </w:r>
            <w:r>
              <w:rPr>
                <w:rFonts w:eastAsia="宋体"/>
                <w:sz w:val="21"/>
                <w:szCs w:val="21"/>
                <w:lang w:val="zh-CN"/>
              </w:rPr>
              <w:t>2</w:t>
            </w:r>
            <w:r>
              <w:rPr>
                <w:rFonts w:eastAsia="宋体"/>
                <w:sz w:val="21"/>
                <w:szCs w:val="21"/>
                <w:lang w:val="zh-CN"/>
              </w:rPr>
              <w:t>类</w:t>
            </w:r>
          </w:p>
        </w:tc>
      </w:tr>
      <w:tr w:rsidR="00C27509" w14:paraId="0F432676" w14:textId="77777777" w:rsidTr="00747ECF">
        <w:tc>
          <w:tcPr>
            <w:tcW w:w="1129" w:type="dxa"/>
            <w:vMerge w:val="restart"/>
            <w:vAlign w:val="center"/>
          </w:tcPr>
          <w:p w14:paraId="7DFDF910"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废水</w:t>
            </w:r>
          </w:p>
        </w:tc>
        <w:tc>
          <w:tcPr>
            <w:tcW w:w="1985" w:type="dxa"/>
            <w:vMerge w:val="restart"/>
            <w:vAlign w:val="center"/>
          </w:tcPr>
          <w:p w14:paraId="1348DB51" w14:textId="77777777" w:rsidR="00C27509" w:rsidRDefault="00C27509" w:rsidP="00747ECF">
            <w:pPr>
              <w:pStyle w:val="2"/>
              <w:ind w:firstLineChars="0" w:firstLine="0"/>
              <w:jc w:val="center"/>
              <w:outlineLvl w:val="1"/>
              <w:rPr>
                <w:rFonts w:eastAsia="宋体"/>
                <w:color w:val="FF0000"/>
                <w:sz w:val="21"/>
                <w:szCs w:val="21"/>
                <w:lang w:val="zh-CN"/>
              </w:rPr>
            </w:pPr>
            <w:r>
              <w:rPr>
                <w:rFonts w:eastAsia="宋体" w:hint="eastAsia"/>
                <w:color w:val="FF0000"/>
                <w:sz w:val="21"/>
                <w:szCs w:val="21"/>
              </w:rPr>
              <w:t>废水总排口（封场前）</w:t>
            </w:r>
          </w:p>
        </w:tc>
        <w:tc>
          <w:tcPr>
            <w:tcW w:w="2727" w:type="dxa"/>
            <w:vAlign w:val="center"/>
          </w:tcPr>
          <w:p w14:paraId="6D1279AE"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pH</w:t>
            </w:r>
            <w:r>
              <w:rPr>
                <w:rFonts w:eastAsia="宋体" w:hint="eastAsia"/>
                <w:sz w:val="21"/>
                <w:szCs w:val="21"/>
              </w:rPr>
              <w:t>值、流量、化学需氧量</w:t>
            </w:r>
          </w:p>
        </w:tc>
        <w:tc>
          <w:tcPr>
            <w:tcW w:w="1947" w:type="dxa"/>
            <w:vAlign w:val="center"/>
          </w:tcPr>
          <w:p w14:paraId="78D2FE72"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自动监测</w:t>
            </w:r>
          </w:p>
        </w:tc>
        <w:tc>
          <w:tcPr>
            <w:tcW w:w="1947" w:type="dxa"/>
            <w:vMerge w:val="restart"/>
            <w:vAlign w:val="center"/>
          </w:tcPr>
          <w:p w14:paraId="51784D87"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《生活垃圾填埋场污染控制标准》（</w:t>
            </w:r>
            <w:r>
              <w:rPr>
                <w:rFonts w:eastAsia="宋体"/>
                <w:sz w:val="21"/>
                <w:szCs w:val="21"/>
                <w:lang w:val="zh-CN"/>
              </w:rPr>
              <w:t>GB16889-2008</w:t>
            </w:r>
            <w:r>
              <w:rPr>
                <w:rFonts w:eastAsia="宋体"/>
                <w:sz w:val="21"/>
                <w:szCs w:val="21"/>
                <w:lang w:val="zh-CN"/>
              </w:rPr>
              <w:t>）</w:t>
            </w:r>
          </w:p>
        </w:tc>
      </w:tr>
      <w:tr w:rsidR="00C27509" w14:paraId="25A73621" w14:textId="77777777" w:rsidTr="00747ECF">
        <w:tc>
          <w:tcPr>
            <w:tcW w:w="1129" w:type="dxa"/>
            <w:vMerge/>
            <w:vAlign w:val="center"/>
          </w:tcPr>
          <w:p w14:paraId="1E273E5B" w14:textId="77777777" w:rsidR="00C27509" w:rsidRDefault="00C27509" w:rsidP="00747ECF">
            <w:pPr>
              <w:pStyle w:val="2"/>
              <w:ind w:firstLineChars="0" w:firstLine="0"/>
              <w:jc w:val="center"/>
              <w:outlineLvl w:val="1"/>
              <w:rPr>
                <w:sz w:val="21"/>
                <w:szCs w:val="21"/>
                <w:lang w:val="zh-CN"/>
              </w:rPr>
            </w:pPr>
          </w:p>
        </w:tc>
        <w:tc>
          <w:tcPr>
            <w:tcW w:w="1985" w:type="dxa"/>
            <w:vMerge/>
            <w:vAlign w:val="center"/>
          </w:tcPr>
          <w:p w14:paraId="628FF974" w14:textId="77777777" w:rsidR="00C27509" w:rsidRDefault="00C27509" w:rsidP="00747ECF">
            <w:pPr>
              <w:pStyle w:val="2"/>
              <w:ind w:firstLineChars="0" w:firstLine="0"/>
              <w:jc w:val="center"/>
              <w:outlineLvl w:val="1"/>
              <w:rPr>
                <w:color w:val="FF0000"/>
                <w:sz w:val="21"/>
                <w:szCs w:val="21"/>
                <w:lang w:val="zh-CN"/>
              </w:rPr>
            </w:pPr>
          </w:p>
        </w:tc>
        <w:tc>
          <w:tcPr>
            <w:tcW w:w="2727" w:type="dxa"/>
            <w:vAlign w:val="center"/>
          </w:tcPr>
          <w:p w14:paraId="4861D385"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色度、悬浮物、五日生化需氧量、总氮、总磷、粪大肠菌群数、总汞、总锅、总铬六价铬、总确、总铅</w:t>
            </w:r>
          </w:p>
        </w:tc>
        <w:tc>
          <w:tcPr>
            <w:tcW w:w="1947" w:type="dxa"/>
            <w:vAlign w:val="center"/>
          </w:tcPr>
          <w:p w14:paraId="6BFC833C"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一次</w:t>
            </w:r>
            <w:r>
              <w:rPr>
                <w:rFonts w:eastAsia="宋体" w:hint="eastAsia"/>
                <w:sz w:val="21"/>
                <w:szCs w:val="21"/>
              </w:rPr>
              <w:t>/</w:t>
            </w:r>
            <w:r>
              <w:rPr>
                <w:rFonts w:eastAsia="宋体" w:hint="eastAsia"/>
                <w:sz w:val="21"/>
                <w:szCs w:val="21"/>
              </w:rPr>
              <w:t>季度</w:t>
            </w:r>
          </w:p>
        </w:tc>
        <w:tc>
          <w:tcPr>
            <w:tcW w:w="1947" w:type="dxa"/>
            <w:vMerge/>
            <w:vAlign w:val="center"/>
          </w:tcPr>
          <w:p w14:paraId="5143808B" w14:textId="77777777" w:rsidR="00C27509" w:rsidRDefault="00C27509" w:rsidP="00747ECF">
            <w:pPr>
              <w:pStyle w:val="2"/>
              <w:ind w:firstLineChars="0" w:firstLine="0"/>
              <w:jc w:val="center"/>
              <w:outlineLvl w:val="1"/>
              <w:rPr>
                <w:sz w:val="21"/>
                <w:szCs w:val="21"/>
                <w:lang w:val="zh-CN"/>
              </w:rPr>
            </w:pPr>
          </w:p>
        </w:tc>
      </w:tr>
      <w:tr w:rsidR="00C27509" w14:paraId="49E87EB5" w14:textId="77777777" w:rsidTr="00747ECF">
        <w:tc>
          <w:tcPr>
            <w:tcW w:w="1129" w:type="dxa"/>
            <w:vMerge/>
            <w:vAlign w:val="center"/>
          </w:tcPr>
          <w:p w14:paraId="1AD45D77" w14:textId="77777777" w:rsidR="00C27509" w:rsidRDefault="00C27509" w:rsidP="00747ECF">
            <w:pPr>
              <w:pStyle w:val="2"/>
              <w:ind w:firstLineChars="0" w:firstLine="0"/>
              <w:jc w:val="center"/>
              <w:outlineLvl w:val="1"/>
              <w:rPr>
                <w:sz w:val="21"/>
                <w:szCs w:val="21"/>
                <w:lang w:val="zh-CN"/>
              </w:rPr>
            </w:pPr>
          </w:p>
        </w:tc>
        <w:tc>
          <w:tcPr>
            <w:tcW w:w="1985" w:type="dxa"/>
            <w:vMerge w:val="restart"/>
            <w:vAlign w:val="center"/>
          </w:tcPr>
          <w:p w14:paraId="60127106" w14:textId="77777777" w:rsidR="00C27509" w:rsidRDefault="00C27509" w:rsidP="00747ECF">
            <w:pPr>
              <w:pStyle w:val="2"/>
              <w:ind w:firstLineChars="0" w:firstLine="0"/>
              <w:jc w:val="center"/>
              <w:outlineLvl w:val="1"/>
              <w:rPr>
                <w:rFonts w:eastAsia="宋体"/>
                <w:color w:val="FF0000"/>
                <w:sz w:val="21"/>
                <w:szCs w:val="21"/>
                <w:lang w:val="zh-CN"/>
              </w:rPr>
            </w:pPr>
            <w:r>
              <w:rPr>
                <w:rFonts w:eastAsia="宋体" w:hint="eastAsia"/>
                <w:color w:val="FF0000"/>
                <w:sz w:val="21"/>
                <w:szCs w:val="21"/>
              </w:rPr>
              <w:t>废水总排口（封场后）</w:t>
            </w:r>
          </w:p>
        </w:tc>
        <w:tc>
          <w:tcPr>
            <w:tcW w:w="2727" w:type="dxa"/>
            <w:vAlign w:val="center"/>
          </w:tcPr>
          <w:p w14:paraId="3E86E85E"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pH</w:t>
            </w:r>
            <w:r>
              <w:rPr>
                <w:rFonts w:eastAsia="宋体" w:hint="eastAsia"/>
                <w:sz w:val="21"/>
                <w:szCs w:val="21"/>
              </w:rPr>
              <w:t>值、流量、化学需氧量</w:t>
            </w:r>
          </w:p>
        </w:tc>
        <w:tc>
          <w:tcPr>
            <w:tcW w:w="1947" w:type="dxa"/>
            <w:vAlign w:val="center"/>
          </w:tcPr>
          <w:p w14:paraId="588D3B48"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一次</w:t>
            </w:r>
            <w:r>
              <w:rPr>
                <w:rFonts w:eastAsia="宋体" w:hint="eastAsia"/>
                <w:sz w:val="21"/>
                <w:szCs w:val="21"/>
              </w:rPr>
              <w:t>/</w:t>
            </w:r>
            <w:r>
              <w:rPr>
                <w:rFonts w:eastAsia="宋体" w:hint="eastAsia"/>
                <w:sz w:val="21"/>
                <w:szCs w:val="21"/>
              </w:rPr>
              <w:t>季度</w:t>
            </w:r>
          </w:p>
        </w:tc>
        <w:tc>
          <w:tcPr>
            <w:tcW w:w="1947" w:type="dxa"/>
            <w:vMerge/>
            <w:vAlign w:val="center"/>
          </w:tcPr>
          <w:p w14:paraId="3D2830E4" w14:textId="77777777" w:rsidR="00C27509" w:rsidRDefault="00C27509" w:rsidP="00747ECF">
            <w:pPr>
              <w:pStyle w:val="2"/>
              <w:ind w:firstLineChars="0" w:firstLine="0"/>
              <w:jc w:val="center"/>
              <w:outlineLvl w:val="1"/>
              <w:rPr>
                <w:sz w:val="21"/>
                <w:szCs w:val="21"/>
                <w:lang w:val="zh-CN"/>
              </w:rPr>
            </w:pPr>
          </w:p>
        </w:tc>
      </w:tr>
      <w:tr w:rsidR="00C27509" w14:paraId="135141D9" w14:textId="77777777" w:rsidTr="00747ECF">
        <w:tc>
          <w:tcPr>
            <w:tcW w:w="1129" w:type="dxa"/>
            <w:vMerge/>
            <w:vAlign w:val="center"/>
          </w:tcPr>
          <w:p w14:paraId="7751C476" w14:textId="77777777" w:rsidR="00C27509" w:rsidRDefault="00C27509" w:rsidP="00747ECF">
            <w:pPr>
              <w:pStyle w:val="2"/>
              <w:ind w:firstLineChars="0" w:firstLine="0"/>
              <w:jc w:val="center"/>
              <w:outlineLvl w:val="1"/>
              <w:rPr>
                <w:sz w:val="21"/>
                <w:szCs w:val="21"/>
                <w:lang w:val="zh-CN"/>
              </w:rPr>
            </w:pPr>
          </w:p>
        </w:tc>
        <w:tc>
          <w:tcPr>
            <w:tcW w:w="1985" w:type="dxa"/>
            <w:vMerge/>
            <w:vAlign w:val="center"/>
          </w:tcPr>
          <w:p w14:paraId="16EAD37D" w14:textId="77777777" w:rsidR="00C27509" w:rsidRDefault="00C27509" w:rsidP="00747ECF">
            <w:pPr>
              <w:pStyle w:val="2"/>
              <w:ind w:firstLineChars="0" w:firstLine="0"/>
              <w:jc w:val="center"/>
              <w:outlineLvl w:val="1"/>
              <w:rPr>
                <w:sz w:val="21"/>
                <w:szCs w:val="21"/>
                <w:lang w:val="zh-CN"/>
              </w:rPr>
            </w:pPr>
          </w:p>
        </w:tc>
        <w:tc>
          <w:tcPr>
            <w:tcW w:w="2727" w:type="dxa"/>
            <w:vAlign w:val="center"/>
          </w:tcPr>
          <w:p w14:paraId="49C0162F"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色度、悬浮物、五日生化需氧量、总氮、总磷、粪大肠菌群数、总汞、总锅、总铬六价铬、总确、总铅</w:t>
            </w:r>
          </w:p>
        </w:tc>
        <w:tc>
          <w:tcPr>
            <w:tcW w:w="1947" w:type="dxa"/>
            <w:vAlign w:val="center"/>
          </w:tcPr>
          <w:p w14:paraId="691FF69E"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一次</w:t>
            </w:r>
            <w:r>
              <w:rPr>
                <w:rFonts w:eastAsia="宋体"/>
                <w:sz w:val="21"/>
                <w:szCs w:val="21"/>
                <w:lang w:val="zh-CN"/>
              </w:rPr>
              <w:t>/</w:t>
            </w:r>
            <w:r>
              <w:rPr>
                <w:rFonts w:eastAsia="宋体"/>
                <w:sz w:val="21"/>
                <w:szCs w:val="21"/>
                <w:lang w:val="zh-CN"/>
              </w:rPr>
              <w:t>年</w:t>
            </w:r>
          </w:p>
        </w:tc>
        <w:tc>
          <w:tcPr>
            <w:tcW w:w="1947" w:type="dxa"/>
            <w:vMerge/>
            <w:vAlign w:val="center"/>
          </w:tcPr>
          <w:p w14:paraId="0A44FAAC" w14:textId="77777777" w:rsidR="00C27509" w:rsidRDefault="00C27509" w:rsidP="00747ECF">
            <w:pPr>
              <w:pStyle w:val="2"/>
              <w:ind w:firstLineChars="0" w:firstLine="0"/>
              <w:jc w:val="center"/>
              <w:outlineLvl w:val="1"/>
              <w:rPr>
                <w:sz w:val="21"/>
                <w:szCs w:val="21"/>
                <w:lang w:val="zh-CN"/>
              </w:rPr>
            </w:pPr>
          </w:p>
        </w:tc>
      </w:tr>
      <w:tr w:rsidR="00C27509" w14:paraId="3357FE6B" w14:textId="77777777" w:rsidTr="00747ECF">
        <w:tc>
          <w:tcPr>
            <w:tcW w:w="1129" w:type="dxa"/>
            <w:vAlign w:val="center"/>
          </w:tcPr>
          <w:p w14:paraId="2F57DF80" w14:textId="77777777" w:rsidR="00C27509" w:rsidRDefault="00C27509" w:rsidP="00747ECF">
            <w:pPr>
              <w:pStyle w:val="2"/>
              <w:ind w:firstLineChars="0" w:firstLine="0"/>
              <w:jc w:val="center"/>
              <w:outlineLvl w:val="1"/>
              <w:rPr>
                <w:color w:val="FF0000"/>
                <w:sz w:val="21"/>
                <w:szCs w:val="21"/>
                <w:lang w:val="zh-CN"/>
              </w:rPr>
            </w:pPr>
            <w:r>
              <w:rPr>
                <w:rFonts w:eastAsia="宋体" w:hint="eastAsia"/>
                <w:color w:val="FF0000"/>
                <w:sz w:val="21"/>
                <w:szCs w:val="21"/>
              </w:rPr>
              <w:t>地下水</w:t>
            </w:r>
          </w:p>
        </w:tc>
        <w:tc>
          <w:tcPr>
            <w:tcW w:w="1985" w:type="dxa"/>
            <w:vAlign w:val="center"/>
          </w:tcPr>
          <w:p w14:paraId="5925F7C8" w14:textId="77777777" w:rsidR="00C27509" w:rsidRDefault="00C27509" w:rsidP="00747ECF">
            <w:pPr>
              <w:pStyle w:val="2"/>
              <w:ind w:firstLineChars="0" w:firstLine="0"/>
              <w:jc w:val="center"/>
              <w:outlineLvl w:val="1"/>
              <w:rPr>
                <w:color w:val="FF0000"/>
                <w:sz w:val="21"/>
                <w:szCs w:val="21"/>
                <w:lang w:val="zh-CN"/>
              </w:rPr>
            </w:pPr>
            <w:r>
              <w:rPr>
                <w:rFonts w:eastAsia="宋体" w:hint="eastAsia"/>
                <w:color w:val="FF0000"/>
                <w:sz w:val="21"/>
                <w:szCs w:val="21"/>
              </w:rPr>
              <w:t>本底井一眼（依托泉眼）、新建排水井一眼、污染扩散井两眼、污染监视井二眼</w:t>
            </w:r>
          </w:p>
        </w:tc>
        <w:tc>
          <w:tcPr>
            <w:tcW w:w="2727" w:type="dxa"/>
            <w:vAlign w:val="center"/>
          </w:tcPr>
          <w:p w14:paraId="209F9C09" w14:textId="77777777" w:rsidR="00C27509" w:rsidRDefault="00C27509" w:rsidP="00747ECF">
            <w:pPr>
              <w:pStyle w:val="2"/>
              <w:ind w:firstLineChars="0" w:firstLine="0"/>
              <w:jc w:val="center"/>
              <w:outlineLvl w:val="1"/>
              <w:rPr>
                <w:sz w:val="21"/>
                <w:szCs w:val="21"/>
                <w:lang w:val="zh-CN"/>
              </w:rPr>
            </w:pPr>
            <w:r>
              <w:rPr>
                <w:rFonts w:eastAsia="宋体"/>
                <w:sz w:val="21"/>
                <w:szCs w:val="21"/>
              </w:rPr>
              <w:t>pH</w:t>
            </w:r>
            <w:r>
              <w:rPr>
                <w:rFonts w:eastAsia="宋体"/>
                <w:sz w:val="21"/>
                <w:szCs w:val="21"/>
              </w:rPr>
              <w:t>、</w:t>
            </w:r>
            <w:r>
              <w:rPr>
                <w:rFonts w:eastAsia="宋体"/>
                <w:sz w:val="21"/>
                <w:szCs w:val="21"/>
              </w:rPr>
              <w:t>COD</w:t>
            </w:r>
            <w:r>
              <w:rPr>
                <w:rFonts w:eastAsia="宋体"/>
                <w:sz w:val="21"/>
                <w:szCs w:val="21"/>
              </w:rPr>
              <w:t>、</w:t>
            </w:r>
            <w:r>
              <w:rPr>
                <w:rFonts w:eastAsia="宋体"/>
                <w:sz w:val="21"/>
                <w:szCs w:val="21"/>
              </w:rPr>
              <w:t>BOD</w:t>
            </w:r>
            <w:r>
              <w:rPr>
                <w:rFonts w:eastAsia="宋体"/>
                <w:sz w:val="21"/>
                <w:szCs w:val="21"/>
                <w:vertAlign w:val="subscript"/>
              </w:rPr>
              <w:t>5</w:t>
            </w:r>
            <w:r>
              <w:rPr>
                <w:rFonts w:eastAsia="宋体"/>
                <w:sz w:val="21"/>
                <w:szCs w:val="21"/>
              </w:rPr>
              <w:t>、氨氮</w:t>
            </w:r>
            <w:r>
              <w:rPr>
                <w:rFonts w:eastAsia="宋体" w:hint="eastAsia"/>
                <w:sz w:val="21"/>
                <w:szCs w:val="21"/>
              </w:rPr>
              <w:t>、总硬度、硝酸盐、亚硝酸盐、硫酸盐、氯化物、挥发性酚类、氰化物、砷、汞、六价铬、铅、氟、镉、铁、锰、铜、锌、粪大肠菌群</w:t>
            </w:r>
          </w:p>
        </w:tc>
        <w:tc>
          <w:tcPr>
            <w:tcW w:w="1947" w:type="dxa"/>
            <w:vAlign w:val="center"/>
          </w:tcPr>
          <w:p w14:paraId="2631B9B9"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lang w:val="zh-CN"/>
              </w:rPr>
              <w:t>运行期间对排水井的水质监测应不少于每周一次，对污染监视井和污染扩散井水质监测应不少于每两周次，对本底井的水质监测频率应不少于每个月一次</w:t>
            </w:r>
          </w:p>
        </w:tc>
        <w:tc>
          <w:tcPr>
            <w:tcW w:w="1947" w:type="dxa"/>
            <w:vAlign w:val="center"/>
          </w:tcPr>
          <w:p w14:paraId="5CAEA760" w14:textId="77777777" w:rsidR="00C27509" w:rsidRDefault="00C27509" w:rsidP="00747ECF">
            <w:pPr>
              <w:pStyle w:val="2"/>
              <w:ind w:firstLineChars="0" w:firstLine="0"/>
              <w:jc w:val="center"/>
              <w:outlineLvl w:val="1"/>
              <w:rPr>
                <w:sz w:val="21"/>
                <w:szCs w:val="21"/>
                <w:lang w:val="zh-CN"/>
              </w:rPr>
            </w:pPr>
            <w:r>
              <w:rPr>
                <w:rFonts w:eastAsia="宋体"/>
                <w:sz w:val="21"/>
                <w:szCs w:val="21"/>
                <w:lang w:val="zh-CN"/>
              </w:rPr>
              <w:t>《生活垃圾填埋场污染控制标准》（</w:t>
            </w:r>
            <w:r>
              <w:rPr>
                <w:rFonts w:eastAsia="宋体"/>
                <w:sz w:val="21"/>
                <w:szCs w:val="21"/>
                <w:lang w:val="zh-CN"/>
              </w:rPr>
              <w:t>GB16889-2008</w:t>
            </w:r>
            <w:r>
              <w:rPr>
                <w:rFonts w:eastAsia="宋体"/>
                <w:sz w:val="21"/>
                <w:szCs w:val="21"/>
                <w:lang w:val="zh-CN"/>
              </w:rPr>
              <w:t>）</w:t>
            </w:r>
          </w:p>
        </w:tc>
      </w:tr>
      <w:tr w:rsidR="00C27509" w14:paraId="7F5587A8" w14:textId="77777777" w:rsidTr="00747ECF">
        <w:tc>
          <w:tcPr>
            <w:tcW w:w="1129" w:type="dxa"/>
            <w:vAlign w:val="center"/>
          </w:tcPr>
          <w:p w14:paraId="51C821F7" w14:textId="77777777" w:rsidR="00C27509" w:rsidRDefault="00C27509" w:rsidP="00747ECF">
            <w:pPr>
              <w:pStyle w:val="2"/>
              <w:ind w:firstLineChars="0" w:firstLine="0"/>
              <w:jc w:val="center"/>
              <w:outlineLvl w:val="1"/>
              <w:rPr>
                <w:rFonts w:eastAsia="宋体"/>
                <w:sz w:val="21"/>
                <w:szCs w:val="21"/>
              </w:rPr>
            </w:pPr>
            <w:r>
              <w:rPr>
                <w:rFonts w:eastAsia="宋体" w:hint="eastAsia"/>
                <w:sz w:val="21"/>
                <w:szCs w:val="21"/>
              </w:rPr>
              <w:t>土壤</w:t>
            </w:r>
          </w:p>
        </w:tc>
        <w:tc>
          <w:tcPr>
            <w:tcW w:w="1985" w:type="dxa"/>
            <w:vAlign w:val="center"/>
          </w:tcPr>
          <w:p w14:paraId="05CBEB6F"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布设两个点位，渗滤液调节池下游以及垃圾坝后</w:t>
            </w:r>
          </w:p>
        </w:tc>
        <w:tc>
          <w:tcPr>
            <w:tcW w:w="2727" w:type="dxa"/>
            <w:vAlign w:val="center"/>
          </w:tcPr>
          <w:p w14:paraId="7B13A79C"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建设用地</w:t>
            </w:r>
            <w:r>
              <w:rPr>
                <w:rFonts w:eastAsia="宋体" w:hint="eastAsia"/>
                <w:sz w:val="21"/>
                <w:szCs w:val="21"/>
              </w:rPr>
              <w:t>45</w:t>
            </w:r>
            <w:r>
              <w:rPr>
                <w:rFonts w:eastAsia="宋体" w:hint="eastAsia"/>
                <w:sz w:val="21"/>
                <w:szCs w:val="21"/>
              </w:rPr>
              <w:t>项</w:t>
            </w:r>
          </w:p>
        </w:tc>
        <w:tc>
          <w:tcPr>
            <w:tcW w:w="1947" w:type="dxa"/>
            <w:vAlign w:val="center"/>
          </w:tcPr>
          <w:p w14:paraId="3C1204E8"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rPr>
              <w:t>一次</w:t>
            </w:r>
            <w:r>
              <w:rPr>
                <w:rFonts w:eastAsia="宋体" w:hint="eastAsia"/>
                <w:sz w:val="21"/>
                <w:szCs w:val="21"/>
              </w:rPr>
              <w:t>/</w:t>
            </w:r>
            <w:r>
              <w:rPr>
                <w:rFonts w:eastAsia="宋体" w:hint="eastAsia"/>
                <w:sz w:val="21"/>
                <w:szCs w:val="21"/>
              </w:rPr>
              <w:t>季度</w:t>
            </w:r>
          </w:p>
        </w:tc>
        <w:tc>
          <w:tcPr>
            <w:tcW w:w="1947" w:type="dxa"/>
            <w:vAlign w:val="center"/>
          </w:tcPr>
          <w:p w14:paraId="1A530E3A" w14:textId="77777777" w:rsidR="00C27509" w:rsidRDefault="00C27509" w:rsidP="00747ECF">
            <w:pPr>
              <w:pStyle w:val="2"/>
              <w:ind w:firstLineChars="0" w:firstLine="0"/>
              <w:jc w:val="center"/>
              <w:outlineLvl w:val="1"/>
              <w:rPr>
                <w:sz w:val="21"/>
                <w:szCs w:val="21"/>
                <w:lang w:val="zh-CN"/>
              </w:rPr>
            </w:pPr>
            <w:r>
              <w:rPr>
                <w:rFonts w:eastAsia="宋体" w:hint="eastAsia"/>
                <w:sz w:val="21"/>
                <w:szCs w:val="21"/>
                <w:lang w:val="zh-CN"/>
              </w:rPr>
              <w:t>《土壤环境质量</w:t>
            </w:r>
            <w:r>
              <w:rPr>
                <w:rFonts w:eastAsia="宋体" w:hint="eastAsia"/>
                <w:sz w:val="21"/>
                <w:szCs w:val="21"/>
                <w:lang w:val="zh-CN"/>
              </w:rPr>
              <w:t xml:space="preserve"> </w:t>
            </w:r>
            <w:r>
              <w:rPr>
                <w:rFonts w:eastAsia="宋体" w:hint="eastAsia"/>
                <w:sz w:val="21"/>
                <w:szCs w:val="21"/>
                <w:lang w:val="zh-CN"/>
              </w:rPr>
              <w:t>建设用地土壤污染风险管控标准（试行）》</w:t>
            </w:r>
            <w:r>
              <w:rPr>
                <w:rFonts w:eastAsia="宋体" w:hint="eastAsia"/>
                <w:sz w:val="21"/>
                <w:szCs w:val="21"/>
                <w:lang w:val="zh-CN"/>
              </w:rPr>
              <w:t>(GB36600</w:t>
            </w:r>
            <w:r>
              <w:rPr>
                <w:rFonts w:eastAsia="宋体" w:hint="eastAsia"/>
                <w:sz w:val="21"/>
                <w:szCs w:val="21"/>
                <w:lang w:val="zh-CN"/>
              </w:rPr>
              <w:t>—</w:t>
            </w:r>
            <w:r>
              <w:rPr>
                <w:rFonts w:eastAsia="宋体" w:hint="eastAsia"/>
                <w:sz w:val="21"/>
                <w:szCs w:val="21"/>
                <w:lang w:val="zh-CN"/>
              </w:rPr>
              <w:t>2018)</w:t>
            </w:r>
          </w:p>
        </w:tc>
      </w:tr>
    </w:tbl>
    <w:p w14:paraId="0E9C57BB" w14:textId="77777777" w:rsidR="00D12939" w:rsidRDefault="004F47F5">
      <w:pPr>
        <w:pStyle w:val="2"/>
        <w:spacing w:line="360" w:lineRule="auto"/>
        <w:ind w:firstLineChars="165" w:firstLine="462"/>
        <w:rPr>
          <w:sz w:val="28"/>
        </w:rPr>
      </w:pPr>
      <w:bookmarkStart w:id="669" w:name="_Toc120561872"/>
      <w:bookmarkStart w:id="670" w:name="_Toc28857123"/>
      <w:bookmarkStart w:id="671" w:name="_Toc121411832"/>
      <w:r>
        <w:rPr>
          <w:sz w:val="28"/>
        </w:rPr>
        <w:t xml:space="preserve">11.3 </w:t>
      </w:r>
      <w:r>
        <w:rPr>
          <w:sz w:val="28"/>
        </w:rPr>
        <w:t>排污口规范化管理要求</w:t>
      </w:r>
      <w:bookmarkEnd w:id="669"/>
      <w:bookmarkEnd w:id="670"/>
      <w:bookmarkEnd w:id="671"/>
    </w:p>
    <w:p w14:paraId="1EDE681E"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排污口是企业排放污染物进入环境的通道，强化排污口的管理是实施污染物总量控制的基础工作之一，也是区域环境管理逐步实现污染物排放科学化、定量化的重要手段。</w:t>
      </w:r>
    </w:p>
    <w:p w14:paraId="554D0FCD"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1</w:t>
      </w:r>
      <w:r>
        <w:rPr>
          <w:rFonts w:ascii="Times New Roman" w:eastAsia="宋体" w:hAnsi="Times New Roman" w:cs="Times New Roman"/>
          <w:sz w:val="24"/>
          <w:szCs w:val="24"/>
        </w:rPr>
        <w:t>、排污口规范化管理的基本原则</w:t>
      </w:r>
    </w:p>
    <w:p w14:paraId="08642190"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）向环境排放污染物的排污口必须规范化。</w:t>
      </w:r>
    </w:p>
    <w:p w14:paraId="04684EFC"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）列入总量控制指标的污染物排放口为管理的重点。</w:t>
      </w:r>
    </w:p>
    <w:p w14:paraId="30AAB978"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w:t>
      </w:r>
      <w:r>
        <w:rPr>
          <w:rFonts w:ascii="Times New Roman" w:eastAsia="宋体" w:hAnsi="Times New Roman" w:cs="Times New Roman"/>
          <w:sz w:val="24"/>
          <w:szCs w:val="24"/>
        </w:rPr>
        <w:t>3</w:t>
      </w:r>
      <w:r>
        <w:rPr>
          <w:rFonts w:ascii="Times New Roman" w:eastAsia="宋体" w:hAnsi="Times New Roman" w:cs="Times New Roman"/>
          <w:sz w:val="24"/>
          <w:szCs w:val="24"/>
        </w:rPr>
        <w:t>）排污口应便于采样与计量监测，便于日常现场监督检查。</w:t>
      </w:r>
    </w:p>
    <w:p w14:paraId="2099F29C"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2</w:t>
      </w:r>
      <w:r>
        <w:rPr>
          <w:rFonts w:ascii="Times New Roman" w:eastAsia="宋体" w:hAnsi="Times New Roman" w:cs="Times New Roman"/>
          <w:sz w:val="24"/>
          <w:szCs w:val="24"/>
        </w:rPr>
        <w:t>、排污口的技术要求</w:t>
      </w:r>
    </w:p>
    <w:p w14:paraId="4CFCFF1F"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废气、废水排放口应设置符合《污染源监测技术规范》的采样口，设置规范的、便于测量流量、流速的测量段。</w:t>
      </w:r>
    </w:p>
    <w:p w14:paraId="20D427CC"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w:t>
      </w:r>
      <w:r>
        <w:rPr>
          <w:rFonts w:ascii="Times New Roman" w:eastAsia="宋体" w:hAnsi="Times New Roman" w:cs="Times New Roman"/>
          <w:sz w:val="24"/>
          <w:szCs w:val="24"/>
        </w:rPr>
        <w:t>废气排放口</w:t>
      </w:r>
    </w:p>
    <w:p w14:paraId="0607874B"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按要求设计采样平台和采样孔。标明排气筒高度、出口内径、排放污染物种类等。</w:t>
      </w:r>
    </w:p>
    <w:p w14:paraId="69DDF4FA"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w:t>
      </w:r>
      <w:r>
        <w:rPr>
          <w:rFonts w:ascii="Times New Roman" w:eastAsia="宋体" w:hAnsi="Times New Roman" w:cs="Times New Roman"/>
          <w:sz w:val="24"/>
          <w:szCs w:val="24"/>
        </w:rPr>
        <w:t>废水排放口</w:t>
      </w:r>
    </w:p>
    <w:p w14:paraId="030C0586"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应在厂区范围内设计成明口，在排放口附近设置标牌，实行排污口立标管理。环境保护图形标志牌原则上应设在排污口醒目处。</w:t>
      </w:r>
    </w:p>
    <w:p w14:paraId="7F3C8BF7"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w:t>
      </w:r>
      <w:r>
        <w:rPr>
          <w:rFonts w:ascii="Times New Roman" w:eastAsia="宋体" w:hAnsi="Times New Roman" w:cs="Times New Roman"/>
          <w:sz w:val="24"/>
          <w:szCs w:val="24"/>
        </w:rPr>
        <w:t>固定噪声源扰民处</w:t>
      </w:r>
    </w:p>
    <w:p w14:paraId="50D27BF7"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固定噪声污染源设置环境噪声监测点，并在该处附近醒目处设置环境保护图形标志牌。厂界设置若干个环境噪声监测点和相应的标志牌。</w:t>
      </w:r>
    </w:p>
    <w:p w14:paraId="35EA9F9A"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4</w:t>
      </w:r>
      <w:r>
        <w:rPr>
          <w:rFonts w:ascii="Times New Roman" w:eastAsia="宋体" w:hAnsi="Times New Roman" w:cs="Times New Roman" w:hint="eastAsia"/>
          <w:sz w:val="24"/>
          <w:szCs w:val="24"/>
        </w:rPr>
        <w:t>）</w:t>
      </w:r>
      <w:r>
        <w:rPr>
          <w:rFonts w:ascii="Times New Roman" w:eastAsia="宋体" w:hAnsi="Times New Roman" w:cs="Times New Roman"/>
          <w:sz w:val="24"/>
          <w:szCs w:val="24"/>
        </w:rPr>
        <w:t>固体废物贮存</w:t>
      </w:r>
      <w:r>
        <w:rPr>
          <w:rFonts w:ascii="Times New Roman" w:eastAsia="宋体" w:hAnsi="Times New Roman" w:cs="Times New Roman"/>
          <w:sz w:val="24"/>
          <w:szCs w:val="24"/>
        </w:rPr>
        <w:t>(</w:t>
      </w:r>
      <w:r>
        <w:rPr>
          <w:rFonts w:ascii="Times New Roman" w:eastAsia="宋体" w:hAnsi="Times New Roman" w:cs="Times New Roman"/>
          <w:sz w:val="24"/>
          <w:szCs w:val="24"/>
        </w:rPr>
        <w:t>处置</w:t>
      </w:r>
      <w:r>
        <w:rPr>
          <w:rFonts w:ascii="Times New Roman" w:eastAsia="宋体" w:hAnsi="Times New Roman" w:cs="Times New Roman"/>
          <w:sz w:val="24"/>
          <w:szCs w:val="24"/>
        </w:rPr>
        <w:t>)</w:t>
      </w:r>
      <w:r>
        <w:rPr>
          <w:rFonts w:ascii="Times New Roman" w:eastAsia="宋体" w:hAnsi="Times New Roman" w:cs="Times New Roman"/>
          <w:sz w:val="24"/>
          <w:szCs w:val="24"/>
        </w:rPr>
        <w:t>场所</w:t>
      </w:r>
    </w:p>
    <w:p w14:paraId="04F9ADDE"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各种固体废物堆放场所必须有防火、防扬散、防流失、防渗漏或者其它防止污染环境的措施，应在醒目处设置环境保护图形标志牌。</w:t>
      </w:r>
    </w:p>
    <w:p w14:paraId="798FC5BB"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3</w:t>
      </w:r>
      <w:r>
        <w:rPr>
          <w:rFonts w:ascii="Times New Roman" w:eastAsia="宋体" w:hAnsi="Times New Roman" w:cs="Times New Roman"/>
          <w:sz w:val="24"/>
          <w:szCs w:val="24"/>
        </w:rPr>
        <w:t>、排污口立标管理</w:t>
      </w:r>
    </w:p>
    <w:p w14:paraId="1BA19DF5"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）各污染物排放口应按国家《环境保护图形标志》（</w:t>
      </w:r>
      <w:r>
        <w:rPr>
          <w:rFonts w:ascii="Times New Roman" w:eastAsia="宋体" w:hAnsi="Times New Roman" w:cs="Times New Roman"/>
          <w:sz w:val="24"/>
          <w:szCs w:val="24"/>
        </w:rPr>
        <w:t>15562.1-95</w:t>
      </w:r>
      <w:r>
        <w:rPr>
          <w:rFonts w:ascii="Times New Roman" w:eastAsia="宋体" w:hAnsi="Times New Roman" w:cs="Times New Roman"/>
          <w:sz w:val="24"/>
          <w:szCs w:val="24"/>
        </w:rPr>
        <w:t>）与</w:t>
      </w:r>
      <w:r>
        <w:rPr>
          <w:rFonts w:ascii="Times New Roman" w:eastAsia="宋体" w:hAnsi="Times New Roman" w:cs="Times New Roman"/>
          <w:sz w:val="24"/>
          <w:szCs w:val="24"/>
        </w:rPr>
        <w:t>GB15562.2-95</w:t>
      </w:r>
      <w:r>
        <w:rPr>
          <w:rFonts w:ascii="Times New Roman" w:eastAsia="宋体" w:hAnsi="Times New Roman" w:cs="Times New Roman"/>
          <w:sz w:val="24"/>
          <w:szCs w:val="24"/>
        </w:rPr>
        <w:t>的规定，设置国家环保局统一制作的环境保护图形标志牌。</w:t>
      </w:r>
    </w:p>
    <w:p w14:paraId="22357FC5"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）污染物排放口的环保图形标志牌应设置在靠近采样点的醒目处，标志牌设置高度为其上缘距地面约</w:t>
      </w:r>
      <w:r>
        <w:rPr>
          <w:rFonts w:ascii="Times New Roman" w:eastAsia="宋体" w:hAnsi="Times New Roman" w:cs="Times New Roman"/>
          <w:sz w:val="24"/>
          <w:szCs w:val="24"/>
        </w:rPr>
        <w:t>2m</w:t>
      </w:r>
      <w:r>
        <w:rPr>
          <w:rFonts w:ascii="Times New Roman" w:eastAsia="宋体" w:hAnsi="Times New Roman" w:cs="Times New Roman"/>
          <w:sz w:val="24"/>
          <w:szCs w:val="24"/>
        </w:rPr>
        <w:t>。</w:t>
      </w:r>
    </w:p>
    <w:p w14:paraId="79737225"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4</w:t>
      </w:r>
      <w:r>
        <w:rPr>
          <w:rFonts w:ascii="Times New Roman" w:eastAsia="宋体" w:hAnsi="Times New Roman" w:cs="Times New Roman"/>
          <w:sz w:val="24"/>
          <w:szCs w:val="24"/>
        </w:rPr>
        <w:t>、排污口建档管理</w:t>
      </w:r>
    </w:p>
    <w:p w14:paraId="5CEEDD84"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）要求使用国家环保总局统一印制的《中华人民共和国规范化排污口标志登记证》，并按要求填写有关内容。</w:t>
      </w:r>
    </w:p>
    <w:p w14:paraId="52B4F655" w14:textId="77777777" w:rsidR="00D12939" w:rsidRDefault="004F47F5">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）根据排污口管理档案内容要求，项目投产后，将主要污染物种类、数量、浓度、排放去向、达标情况及设施运行情况记录于档案。</w:t>
      </w:r>
    </w:p>
    <w:p w14:paraId="035AEB81" w14:textId="77777777" w:rsidR="00D12939" w:rsidRDefault="004F47F5">
      <w:pPr>
        <w:pStyle w:val="2"/>
        <w:spacing w:line="360" w:lineRule="auto"/>
        <w:ind w:firstLineChars="165" w:firstLine="462"/>
        <w:rPr>
          <w:sz w:val="28"/>
        </w:rPr>
      </w:pPr>
      <w:bookmarkStart w:id="672" w:name="_Toc120561873"/>
      <w:bookmarkStart w:id="673" w:name="_Toc28857125"/>
      <w:bookmarkStart w:id="674" w:name="_Toc121411833"/>
      <w:r>
        <w:rPr>
          <w:sz w:val="28"/>
        </w:rPr>
        <w:t xml:space="preserve">11.4 </w:t>
      </w:r>
      <w:r>
        <w:rPr>
          <w:sz w:val="28"/>
        </w:rPr>
        <w:t>污染物排放清单及管理要求</w:t>
      </w:r>
      <w:bookmarkEnd w:id="672"/>
      <w:bookmarkEnd w:id="673"/>
      <w:bookmarkEnd w:id="674"/>
    </w:p>
    <w:p w14:paraId="5209786C"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75" w:name="_Toc121411834"/>
      <w:r>
        <w:rPr>
          <w:rFonts w:ascii="Times New Roman" w:eastAsia="黑体" w:hAnsi="Times New Roman" w:cs="Times New Roman"/>
          <w:b w:val="0"/>
          <w:sz w:val="24"/>
        </w:rPr>
        <w:t xml:space="preserve">11.4.1 </w:t>
      </w:r>
      <w:r>
        <w:rPr>
          <w:rFonts w:ascii="Times New Roman" w:eastAsia="黑体" w:hAnsi="Times New Roman" w:cs="Times New Roman"/>
          <w:b w:val="0"/>
          <w:sz w:val="24"/>
        </w:rPr>
        <w:t>污染物排放清单</w:t>
      </w:r>
      <w:bookmarkEnd w:id="675"/>
    </w:p>
    <w:p w14:paraId="505DA8CA" w14:textId="77777777" w:rsidR="00D12939" w:rsidRDefault="004F47F5">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sz w:val="24"/>
          <w:szCs w:val="28"/>
        </w:rPr>
        <w:t>本项目污染物排放清单见表</w:t>
      </w:r>
      <w:r>
        <w:rPr>
          <w:rFonts w:ascii="Times New Roman" w:eastAsia="宋体" w:hAnsi="Times New Roman" w:cs="Times New Roman"/>
          <w:sz w:val="24"/>
          <w:szCs w:val="28"/>
        </w:rPr>
        <w:t>11.4-1</w:t>
      </w:r>
      <w:r>
        <w:rPr>
          <w:rFonts w:ascii="Times New Roman" w:eastAsia="宋体" w:hAnsi="Times New Roman" w:cs="Times New Roman"/>
          <w:sz w:val="24"/>
          <w:szCs w:val="28"/>
        </w:rPr>
        <w:t>。</w:t>
      </w:r>
    </w:p>
    <w:p w14:paraId="34213A41"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76" w:name="_Toc5280539"/>
      <w:bookmarkStart w:id="677" w:name="_Toc121411835"/>
      <w:r>
        <w:rPr>
          <w:rFonts w:ascii="Times New Roman" w:eastAsia="黑体" w:hAnsi="Times New Roman" w:cs="Times New Roman"/>
          <w:b w:val="0"/>
          <w:sz w:val="24"/>
        </w:rPr>
        <w:lastRenderedPageBreak/>
        <w:t xml:space="preserve">11.4.2 </w:t>
      </w:r>
      <w:r>
        <w:rPr>
          <w:rFonts w:ascii="Times New Roman" w:eastAsia="黑体" w:hAnsi="Times New Roman" w:cs="Times New Roman"/>
          <w:b w:val="0"/>
          <w:sz w:val="24"/>
        </w:rPr>
        <w:t>环保设施验收建议</w:t>
      </w:r>
      <w:bookmarkEnd w:id="676"/>
      <w:bookmarkEnd w:id="677"/>
    </w:p>
    <w:p w14:paraId="79C4A687" w14:textId="77777777" w:rsidR="00D12939" w:rsidRDefault="004F47F5">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sz w:val="24"/>
          <w:szCs w:val="28"/>
        </w:rPr>
        <w:t>建设单位应按照《建设项目竣工环境保护验收暂行管理办法》（国环规环评</w:t>
      </w:r>
      <w:r>
        <w:rPr>
          <w:rFonts w:ascii="Times New Roman" w:eastAsia="宋体" w:hAnsi="Times New Roman" w:cs="Times New Roman"/>
          <w:sz w:val="24"/>
          <w:szCs w:val="28"/>
        </w:rPr>
        <w:t>[2017]4</w:t>
      </w:r>
      <w:r>
        <w:rPr>
          <w:rFonts w:ascii="Times New Roman" w:eastAsia="宋体" w:hAnsi="Times New Roman" w:cs="Times New Roman"/>
          <w:sz w:val="24"/>
          <w:szCs w:val="28"/>
        </w:rPr>
        <w:t>号）中有关规定，建设项目竣工后，建设单位应当如实查验、监测、记载建设项目环境保护设施的建设和调试情况，组织编制验收监测报告。验收监测报告编制完成后，建设单位应当根据验收监测报告结论，提出验收意见。存在问题的，建设单位应当进行整改，整改完成后方可提出验收意见。建议验收清单见表</w:t>
      </w:r>
      <w:r>
        <w:rPr>
          <w:rFonts w:ascii="Times New Roman" w:eastAsia="宋体" w:hAnsi="Times New Roman" w:cs="Times New Roman"/>
          <w:sz w:val="24"/>
          <w:szCs w:val="28"/>
        </w:rPr>
        <w:t>11.4-2</w:t>
      </w:r>
      <w:r>
        <w:rPr>
          <w:rFonts w:ascii="Times New Roman" w:eastAsia="宋体" w:hAnsi="Times New Roman" w:cs="Times New Roman"/>
          <w:sz w:val="24"/>
          <w:szCs w:val="28"/>
        </w:rPr>
        <w:t>。</w:t>
      </w:r>
    </w:p>
    <w:p w14:paraId="08357DDC" w14:textId="77777777" w:rsidR="00D12939" w:rsidRDefault="00D12939">
      <w:pPr>
        <w:spacing w:line="360" w:lineRule="auto"/>
        <w:ind w:firstLineChars="200" w:firstLine="440"/>
        <w:rPr>
          <w:rFonts w:ascii="Times New Roman" w:eastAsia="宋体" w:hAnsi="Times New Roman" w:cs="Times New Roman"/>
          <w:sz w:val="22"/>
        </w:rPr>
        <w:sectPr w:rsidR="00D12939">
          <w:pgSz w:w="11906" w:h="16838"/>
          <w:pgMar w:top="1440" w:right="1080" w:bottom="1440" w:left="1080" w:header="851" w:footer="992" w:gutter="0"/>
          <w:cols w:space="720"/>
          <w:docGrid w:type="linesAndChars" w:linePitch="312"/>
        </w:sectPr>
      </w:pPr>
    </w:p>
    <w:p w14:paraId="151951D6" w14:textId="06452D62" w:rsidR="00D12939" w:rsidRDefault="004F47F5" w:rsidP="00C27509">
      <w:pPr>
        <w:jc w:val="center"/>
        <w:rPr>
          <w:rFonts w:ascii="Times New Roman" w:eastAsia="宋体" w:hAnsi="Times New Roman" w:cs="Times New Roman"/>
          <w:sz w:val="22"/>
        </w:rPr>
      </w:pPr>
      <w:r>
        <w:rPr>
          <w:rFonts w:ascii="黑体" w:eastAsia="黑体" w:hAnsi="黑体" w:cs="Times New Roman"/>
          <w:sz w:val="24"/>
          <w:szCs w:val="20"/>
          <w:lang w:val="zh-CN"/>
        </w:rPr>
        <w:lastRenderedPageBreak/>
        <w:t>表11.4-1    拟建项目污染物排放清单</w:t>
      </w:r>
    </w:p>
    <w:tbl>
      <w:tblPr>
        <w:tblpPr w:leftFromText="180" w:rightFromText="180" w:vertAnchor="text" w:tblpXSpec="center" w:tblpY="1"/>
        <w:tblOverlap w:val="never"/>
        <w:tblW w:w="14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
        <w:gridCol w:w="1687"/>
        <w:gridCol w:w="1498"/>
        <w:gridCol w:w="1594"/>
        <w:gridCol w:w="1526"/>
        <w:gridCol w:w="1272"/>
        <w:gridCol w:w="1551"/>
        <w:gridCol w:w="1997"/>
        <w:gridCol w:w="2916"/>
      </w:tblGrid>
      <w:tr w:rsidR="00C27509" w14:paraId="70CF17F9" w14:textId="77777777" w:rsidTr="00747ECF">
        <w:trPr>
          <w:trHeight w:val="20"/>
          <w:jc w:val="center"/>
        </w:trPr>
        <w:tc>
          <w:tcPr>
            <w:tcW w:w="700" w:type="dxa"/>
            <w:vMerge w:val="restart"/>
            <w:vAlign w:val="center"/>
          </w:tcPr>
          <w:p w14:paraId="192B87B8" w14:textId="77777777" w:rsidR="00C27509" w:rsidRDefault="00C27509" w:rsidP="00747ECF">
            <w:pPr>
              <w:pStyle w:val="affffd"/>
              <w:spacing w:line="240" w:lineRule="auto"/>
              <w:rPr>
                <w:rFonts w:hAnsi="Times New Roman"/>
              </w:rPr>
            </w:pPr>
            <w:r>
              <w:rPr>
                <w:rFonts w:ascii="Times New Roman" w:eastAsia="宋体" w:hAnsi="Times New Roman" w:cs="Times New Roman"/>
              </w:rPr>
              <w:t>类别</w:t>
            </w:r>
          </w:p>
        </w:tc>
        <w:tc>
          <w:tcPr>
            <w:tcW w:w="1687" w:type="dxa"/>
            <w:vMerge w:val="restart"/>
            <w:vAlign w:val="center"/>
          </w:tcPr>
          <w:p w14:paraId="36026627" w14:textId="77777777" w:rsidR="00C27509" w:rsidRDefault="00C27509" w:rsidP="00747ECF">
            <w:pPr>
              <w:pStyle w:val="affffd"/>
              <w:spacing w:line="240" w:lineRule="auto"/>
              <w:rPr>
                <w:rFonts w:hAnsi="Times New Roman"/>
              </w:rPr>
            </w:pPr>
            <w:r>
              <w:rPr>
                <w:rFonts w:ascii="Times New Roman" w:eastAsia="宋体" w:hAnsi="Times New Roman" w:cs="Times New Roman"/>
              </w:rPr>
              <w:t>污染源</w:t>
            </w:r>
          </w:p>
          <w:p w14:paraId="1515A483" w14:textId="77777777" w:rsidR="00C27509" w:rsidRDefault="00C27509" w:rsidP="00747ECF">
            <w:pPr>
              <w:pStyle w:val="affffd"/>
              <w:spacing w:line="240" w:lineRule="auto"/>
              <w:rPr>
                <w:rFonts w:hAnsi="Times New Roman"/>
              </w:rPr>
            </w:pPr>
            <w:r>
              <w:rPr>
                <w:rFonts w:ascii="Times New Roman" w:eastAsia="宋体" w:hAnsi="Times New Roman" w:cs="Times New Roman"/>
              </w:rPr>
              <w:t>名称</w:t>
            </w:r>
          </w:p>
        </w:tc>
        <w:tc>
          <w:tcPr>
            <w:tcW w:w="1498" w:type="dxa"/>
            <w:vMerge w:val="restart"/>
            <w:vAlign w:val="center"/>
          </w:tcPr>
          <w:p w14:paraId="7A54EDDC" w14:textId="77777777" w:rsidR="00C27509" w:rsidRDefault="00C27509" w:rsidP="00747ECF">
            <w:pPr>
              <w:pStyle w:val="affffd"/>
              <w:spacing w:line="240" w:lineRule="auto"/>
              <w:rPr>
                <w:rFonts w:hAnsi="Times New Roman"/>
              </w:rPr>
            </w:pPr>
            <w:r>
              <w:rPr>
                <w:rFonts w:ascii="Times New Roman" w:eastAsia="宋体" w:hAnsi="Times New Roman" w:cs="Times New Roman"/>
              </w:rPr>
              <w:t>污染物</w:t>
            </w:r>
          </w:p>
        </w:tc>
        <w:tc>
          <w:tcPr>
            <w:tcW w:w="5943" w:type="dxa"/>
            <w:gridSpan w:val="4"/>
            <w:vAlign w:val="center"/>
          </w:tcPr>
          <w:p w14:paraId="2735FA93" w14:textId="77777777" w:rsidR="00C27509" w:rsidRDefault="00C27509" w:rsidP="00747ECF">
            <w:pPr>
              <w:pStyle w:val="affffd"/>
              <w:spacing w:line="240" w:lineRule="auto"/>
              <w:rPr>
                <w:rFonts w:hAnsi="Times New Roman"/>
              </w:rPr>
            </w:pPr>
            <w:r>
              <w:rPr>
                <w:rFonts w:ascii="Times New Roman" w:eastAsia="宋体" w:hAnsi="Times New Roman" w:cs="Times New Roman"/>
              </w:rPr>
              <w:t>排放情况</w:t>
            </w:r>
          </w:p>
        </w:tc>
        <w:tc>
          <w:tcPr>
            <w:tcW w:w="1997" w:type="dxa"/>
            <w:vMerge w:val="restart"/>
            <w:vAlign w:val="center"/>
          </w:tcPr>
          <w:p w14:paraId="5CDA915F" w14:textId="77777777" w:rsidR="00C27509" w:rsidRDefault="00C27509" w:rsidP="00747ECF">
            <w:pPr>
              <w:pStyle w:val="affffd"/>
              <w:spacing w:line="240" w:lineRule="auto"/>
              <w:rPr>
                <w:rFonts w:hAnsi="Times New Roman"/>
              </w:rPr>
            </w:pPr>
            <w:r>
              <w:rPr>
                <w:rFonts w:ascii="Times New Roman" w:eastAsia="宋体" w:hAnsi="Times New Roman" w:cs="Times New Roman"/>
              </w:rPr>
              <w:t>治理措施</w:t>
            </w:r>
          </w:p>
        </w:tc>
        <w:tc>
          <w:tcPr>
            <w:tcW w:w="2916" w:type="dxa"/>
            <w:vMerge w:val="restart"/>
            <w:vAlign w:val="center"/>
          </w:tcPr>
          <w:p w14:paraId="4807DDA7" w14:textId="77777777" w:rsidR="00C27509" w:rsidRDefault="00C27509" w:rsidP="00747ECF">
            <w:pPr>
              <w:pStyle w:val="affffd"/>
              <w:spacing w:line="240" w:lineRule="auto"/>
              <w:rPr>
                <w:rFonts w:hAnsi="Times New Roman"/>
              </w:rPr>
            </w:pPr>
            <w:r>
              <w:rPr>
                <w:rFonts w:ascii="Times New Roman" w:eastAsia="宋体" w:hAnsi="Times New Roman" w:cs="Times New Roman"/>
              </w:rPr>
              <w:t>标准</w:t>
            </w:r>
            <w:r>
              <w:rPr>
                <w:rFonts w:ascii="Times New Roman" w:eastAsia="宋体" w:hAnsi="Times New Roman" w:cs="Times New Roman"/>
              </w:rPr>
              <w:t>/</w:t>
            </w:r>
            <w:r>
              <w:rPr>
                <w:rFonts w:ascii="Times New Roman" w:eastAsia="宋体" w:hAnsi="Times New Roman" w:cs="Times New Roman"/>
              </w:rPr>
              <w:t>要求</w:t>
            </w:r>
          </w:p>
        </w:tc>
      </w:tr>
      <w:tr w:rsidR="00C27509" w14:paraId="07946BAB" w14:textId="77777777" w:rsidTr="00747ECF">
        <w:trPr>
          <w:trHeight w:val="20"/>
          <w:jc w:val="center"/>
        </w:trPr>
        <w:tc>
          <w:tcPr>
            <w:tcW w:w="700" w:type="dxa"/>
            <w:vMerge/>
            <w:vAlign w:val="center"/>
          </w:tcPr>
          <w:p w14:paraId="53D79029" w14:textId="77777777" w:rsidR="00C27509" w:rsidRDefault="00C27509" w:rsidP="00747ECF">
            <w:pPr>
              <w:pStyle w:val="affffd"/>
              <w:spacing w:line="240" w:lineRule="auto"/>
              <w:rPr>
                <w:rFonts w:hAnsi="Times New Roman"/>
              </w:rPr>
            </w:pPr>
          </w:p>
        </w:tc>
        <w:tc>
          <w:tcPr>
            <w:tcW w:w="1687" w:type="dxa"/>
            <w:vMerge/>
            <w:vAlign w:val="center"/>
          </w:tcPr>
          <w:p w14:paraId="0FC25388" w14:textId="77777777" w:rsidR="00C27509" w:rsidRDefault="00C27509" w:rsidP="00747ECF">
            <w:pPr>
              <w:pStyle w:val="affffd"/>
              <w:spacing w:line="240" w:lineRule="auto"/>
              <w:rPr>
                <w:rFonts w:hAnsi="Times New Roman"/>
              </w:rPr>
            </w:pPr>
          </w:p>
        </w:tc>
        <w:tc>
          <w:tcPr>
            <w:tcW w:w="1498" w:type="dxa"/>
            <w:vMerge/>
            <w:vAlign w:val="center"/>
          </w:tcPr>
          <w:p w14:paraId="2D0B4BB1" w14:textId="77777777" w:rsidR="00C27509" w:rsidRDefault="00C27509" w:rsidP="00747ECF">
            <w:pPr>
              <w:pStyle w:val="affffd"/>
              <w:spacing w:line="240" w:lineRule="auto"/>
              <w:rPr>
                <w:rFonts w:hAnsi="Times New Roman"/>
              </w:rPr>
            </w:pPr>
          </w:p>
        </w:tc>
        <w:tc>
          <w:tcPr>
            <w:tcW w:w="1594" w:type="dxa"/>
            <w:vAlign w:val="center"/>
          </w:tcPr>
          <w:p w14:paraId="2563A37D" w14:textId="77777777" w:rsidR="00C27509" w:rsidRDefault="00C27509" w:rsidP="00747ECF">
            <w:pPr>
              <w:pStyle w:val="affffd"/>
              <w:spacing w:line="240" w:lineRule="auto"/>
              <w:rPr>
                <w:rFonts w:hAnsi="Times New Roman"/>
              </w:rPr>
            </w:pPr>
            <w:r>
              <w:rPr>
                <w:rFonts w:ascii="Times New Roman" w:eastAsia="宋体" w:hAnsi="Times New Roman" w:cs="Times New Roman"/>
              </w:rPr>
              <w:t>产生量</w:t>
            </w:r>
          </w:p>
        </w:tc>
        <w:tc>
          <w:tcPr>
            <w:tcW w:w="1526" w:type="dxa"/>
            <w:vAlign w:val="center"/>
          </w:tcPr>
          <w:p w14:paraId="7A83B23F" w14:textId="77777777" w:rsidR="00C27509" w:rsidRDefault="00C27509" w:rsidP="00747ECF">
            <w:pPr>
              <w:pStyle w:val="affffd"/>
              <w:spacing w:line="240" w:lineRule="auto"/>
              <w:rPr>
                <w:rFonts w:hAnsi="Times New Roman"/>
              </w:rPr>
            </w:pPr>
            <w:r>
              <w:rPr>
                <w:rFonts w:ascii="Times New Roman" w:eastAsia="宋体" w:hAnsi="Times New Roman" w:cs="Times New Roman"/>
              </w:rPr>
              <w:t>排放量（排放浓度）</w:t>
            </w:r>
          </w:p>
        </w:tc>
        <w:tc>
          <w:tcPr>
            <w:tcW w:w="1272" w:type="dxa"/>
            <w:vAlign w:val="center"/>
          </w:tcPr>
          <w:p w14:paraId="295A11CD" w14:textId="77777777" w:rsidR="00C27509" w:rsidRDefault="00C27509" w:rsidP="00747ECF">
            <w:pPr>
              <w:pStyle w:val="affffd"/>
              <w:spacing w:line="240" w:lineRule="auto"/>
              <w:rPr>
                <w:rFonts w:hAnsi="Times New Roman"/>
              </w:rPr>
            </w:pPr>
            <w:r>
              <w:rPr>
                <w:rFonts w:ascii="Times New Roman" w:eastAsia="宋体" w:hAnsi="Times New Roman" w:cs="Times New Roman"/>
              </w:rPr>
              <w:t>排放速率</w:t>
            </w:r>
            <w:r>
              <w:rPr>
                <w:rFonts w:ascii="Times New Roman" w:eastAsia="宋体" w:hAnsi="Times New Roman" w:cs="Times New Roman"/>
              </w:rPr>
              <w:t>kg/h</w:t>
            </w:r>
          </w:p>
        </w:tc>
        <w:tc>
          <w:tcPr>
            <w:tcW w:w="1551" w:type="dxa"/>
            <w:vAlign w:val="center"/>
          </w:tcPr>
          <w:p w14:paraId="7F69A323" w14:textId="77777777" w:rsidR="00C27509" w:rsidRDefault="00C27509" w:rsidP="00747ECF">
            <w:pPr>
              <w:pStyle w:val="affffd"/>
              <w:spacing w:line="240" w:lineRule="auto"/>
              <w:rPr>
                <w:rFonts w:hAnsi="Times New Roman"/>
              </w:rPr>
            </w:pPr>
            <w:r>
              <w:rPr>
                <w:rFonts w:ascii="Times New Roman" w:eastAsia="宋体" w:hAnsi="Times New Roman" w:cs="Times New Roman"/>
              </w:rPr>
              <w:t>排放方式</w:t>
            </w:r>
          </w:p>
        </w:tc>
        <w:tc>
          <w:tcPr>
            <w:tcW w:w="1997" w:type="dxa"/>
            <w:vMerge/>
            <w:vAlign w:val="center"/>
          </w:tcPr>
          <w:p w14:paraId="12A4625D" w14:textId="77777777" w:rsidR="00C27509" w:rsidRDefault="00C27509" w:rsidP="00747ECF">
            <w:pPr>
              <w:pStyle w:val="affffd"/>
              <w:spacing w:line="240" w:lineRule="auto"/>
              <w:rPr>
                <w:rFonts w:hAnsi="Times New Roman"/>
              </w:rPr>
            </w:pPr>
          </w:p>
        </w:tc>
        <w:tc>
          <w:tcPr>
            <w:tcW w:w="2916" w:type="dxa"/>
            <w:vMerge/>
            <w:vAlign w:val="center"/>
          </w:tcPr>
          <w:p w14:paraId="475E4BF2" w14:textId="77777777" w:rsidR="00C27509" w:rsidRDefault="00C27509" w:rsidP="00747ECF">
            <w:pPr>
              <w:pStyle w:val="affffd"/>
              <w:spacing w:line="240" w:lineRule="auto"/>
              <w:rPr>
                <w:rFonts w:hAnsi="Times New Roman"/>
              </w:rPr>
            </w:pPr>
          </w:p>
        </w:tc>
      </w:tr>
      <w:tr w:rsidR="00C27509" w14:paraId="5F9CD4A2" w14:textId="77777777" w:rsidTr="00747ECF">
        <w:trPr>
          <w:trHeight w:val="20"/>
          <w:jc w:val="center"/>
        </w:trPr>
        <w:tc>
          <w:tcPr>
            <w:tcW w:w="700" w:type="dxa"/>
            <w:vMerge w:val="restart"/>
            <w:vAlign w:val="center"/>
          </w:tcPr>
          <w:p w14:paraId="63F3300C" w14:textId="77777777" w:rsidR="00C27509" w:rsidRDefault="00C27509" w:rsidP="00747ECF">
            <w:pPr>
              <w:pStyle w:val="affffd"/>
              <w:spacing w:line="240" w:lineRule="auto"/>
              <w:rPr>
                <w:rFonts w:hAnsi="Times New Roman"/>
              </w:rPr>
            </w:pPr>
            <w:r>
              <w:rPr>
                <w:rFonts w:ascii="Times New Roman" w:eastAsia="宋体" w:hAnsi="Times New Roman" w:cs="Times New Roman"/>
              </w:rPr>
              <w:t>废气</w:t>
            </w:r>
          </w:p>
        </w:tc>
        <w:tc>
          <w:tcPr>
            <w:tcW w:w="1687" w:type="dxa"/>
            <w:vMerge w:val="restart"/>
            <w:vAlign w:val="center"/>
          </w:tcPr>
          <w:p w14:paraId="03872DA8" w14:textId="77777777" w:rsidR="00C27509" w:rsidRDefault="00C27509" w:rsidP="00747ECF">
            <w:pPr>
              <w:pStyle w:val="affffd"/>
              <w:spacing w:line="240" w:lineRule="auto"/>
              <w:rPr>
                <w:rFonts w:hAnsi="Times New Roman"/>
              </w:rPr>
            </w:pPr>
            <w:r>
              <w:rPr>
                <w:rFonts w:ascii="Times New Roman" w:eastAsia="宋体" w:hAnsi="Times New Roman" w:cs="Times New Roman"/>
              </w:rPr>
              <w:t>填埋气体（非点燃状态）</w:t>
            </w:r>
          </w:p>
        </w:tc>
        <w:tc>
          <w:tcPr>
            <w:tcW w:w="1498" w:type="dxa"/>
            <w:vAlign w:val="center"/>
          </w:tcPr>
          <w:p w14:paraId="73EF2BB8" w14:textId="77777777" w:rsidR="00C27509" w:rsidRDefault="00C27509" w:rsidP="00747ECF">
            <w:pPr>
              <w:pStyle w:val="affffd"/>
              <w:spacing w:line="240" w:lineRule="auto"/>
              <w:rPr>
                <w:rFonts w:hAnsi="Times New Roman"/>
              </w:rPr>
            </w:pPr>
            <w:r>
              <w:rPr>
                <w:rFonts w:ascii="Times New Roman" w:eastAsia="宋体" w:hAnsi="Times New Roman" w:cs="Times New Roman"/>
              </w:rPr>
              <w:t>废气量</w:t>
            </w:r>
          </w:p>
        </w:tc>
        <w:tc>
          <w:tcPr>
            <w:tcW w:w="1594" w:type="dxa"/>
            <w:vAlign w:val="center"/>
          </w:tcPr>
          <w:p w14:paraId="396D19B2" w14:textId="77777777" w:rsidR="00C27509" w:rsidRDefault="00C27509" w:rsidP="00747ECF">
            <w:pPr>
              <w:pStyle w:val="affffd"/>
              <w:spacing w:line="240" w:lineRule="auto"/>
              <w:rPr>
                <w:rFonts w:hAnsi="Times New Roman"/>
              </w:rPr>
            </w:pPr>
            <w:r>
              <w:rPr>
                <w:rFonts w:ascii="Times New Roman" w:eastAsia="宋体" w:hAnsi="Times New Roman" w:cs="Times New Roman"/>
              </w:rPr>
              <w:t>22.75</w:t>
            </w:r>
            <w:r>
              <w:rPr>
                <w:rFonts w:ascii="Times New Roman" w:eastAsia="宋体" w:hAnsi="Times New Roman" w:cs="Times New Roman"/>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1526" w:type="dxa"/>
            <w:vAlign w:val="center"/>
          </w:tcPr>
          <w:p w14:paraId="297F9237" w14:textId="77777777" w:rsidR="00C27509" w:rsidRDefault="00C27509" w:rsidP="00747ECF">
            <w:pPr>
              <w:pStyle w:val="affffd"/>
              <w:spacing w:line="240" w:lineRule="auto"/>
              <w:rPr>
                <w:rFonts w:hAnsi="Times New Roman"/>
              </w:rPr>
            </w:pPr>
            <w:r>
              <w:rPr>
                <w:rFonts w:ascii="Times New Roman" w:eastAsia="宋体" w:hAnsi="Times New Roman" w:cs="Times New Roman"/>
              </w:rPr>
              <w:t>22.75</w:t>
            </w:r>
            <w:r>
              <w:rPr>
                <w:rFonts w:ascii="Times New Roman" w:eastAsia="宋体" w:hAnsi="Times New Roman" w:cs="Times New Roman"/>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1272" w:type="dxa"/>
            <w:vAlign w:val="center"/>
          </w:tcPr>
          <w:p w14:paraId="1E190593" w14:textId="77777777" w:rsidR="00C27509" w:rsidRDefault="00C27509" w:rsidP="00747ECF">
            <w:pPr>
              <w:pStyle w:val="1f9"/>
            </w:pPr>
            <w:r>
              <w:t>/</w:t>
            </w:r>
          </w:p>
        </w:tc>
        <w:tc>
          <w:tcPr>
            <w:tcW w:w="1551" w:type="dxa"/>
            <w:vMerge w:val="restart"/>
            <w:vAlign w:val="center"/>
          </w:tcPr>
          <w:p w14:paraId="40F797B8" w14:textId="77777777" w:rsidR="00C27509" w:rsidRDefault="00C27509" w:rsidP="00747ECF">
            <w:pPr>
              <w:pStyle w:val="affffd"/>
              <w:spacing w:line="240" w:lineRule="auto"/>
              <w:rPr>
                <w:rFonts w:hAnsi="Times New Roman"/>
              </w:rPr>
            </w:pPr>
            <w:r>
              <w:rPr>
                <w:rFonts w:ascii="Times New Roman" w:eastAsia="宋体" w:hAnsi="Times New Roman" w:cs="Times New Roman"/>
              </w:rPr>
              <w:t>无组织</w:t>
            </w:r>
          </w:p>
        </w:tc>
        <w:tc>
          <w:tcPr>
            <w:tcW w:w="1997" w:type="dxa"/>
            <w:vMerge w:val="restart"/>
            <w:vAlign w:val="center"/>
          </w:tcPr>
          <w:p w14:paraId="758433F9" w14:textId="77777777" w:rsidR="00C27509" w:rsidRDefault="00C27509" w:rsidP="00747ECF">
            <w:pPr>
              <w:pStyle w:val="affffd"/>
              <w:spacing w:line="240" w:lineRule="auto"/>
              <w:rPr>
                <w:rFonts w:hAnsi="Times New Roman"/>
              </w:rPr>
            </w:pPr>
            <w:r>
              <w:rPr>
                <w:rFonts w:ascii="Times New Roman" w:eastAsia="宋体" w:hAnsi="Times New Roman" w:cs="Times New Roman"/>
              </w:rPr>
              <w:t>通过导气石笼直接排放</w:t>
            </w:r>
          </w:p>
        </w:tc>
        <w:tc>
          <w:tcPr>
            <w:tcW w:w="2916" w:type="dxa"/>
            <w:vMerge w:val="restart"/>
            <w:vAlign w:val="center"/>
          </w:tcPr>
          <w:p w14:paraId="6BCAD842" w14:textId="77777777" w:rsidR="00C27509" w:rsidRDefault="00C27509" w:rsidP="00747ECF">
            <w:pPr>
              <w:pStyle w:val="affffd"/>
              <w:spacing w:line="240" w:lineRule="auto"/>
              <w:rPr>
                <w:rFonts w:hAnsi="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执行《恶臭污染物排放标准》（</w:t>
            </w:r>
            <w:r>
              <w:rPr>
                <w:rFonts w:ascii="Times New Roman" w:eastAsia="宋体" w:hAnsi="Times New Roman" w:cs="Times New Roman"/>
              </w:rPr>
              <w:t>GB14554-93</w:t>
            </w:r>
            <w:r>
              <w:rPr>
                <w:rFonts w:ascii="Times New Roman" w:eastAsia="宋体" w:hAnsi="Times New Roman" w:cs="Times New Roman"/>
              </w:rPr>
              <w:t>）表</w:t>
            </w:r>
            <w:r>
              <w:rPr>
                <w:rFonts w:ascii="Times New Roman" w:eastAsia="宋体" w:hAnsi="Times New Roman" w:cs="Times New Roman"/>
              </w:rPr>
              <w:t>1</w:t>
            </w:r>
            <w:r>
              <w:rPr>
                <w:rFonts w:ascii="Times New Roman" w:eastAsia="宋体" w:hAnsi="Times New Roman" w:cs="Times New Roman"/>
              </w:rPr>
              <w:t>中二级新扩改建厂界标准，甲烷执行《生活垃圾填埋场污染控制标准》（</w:t>
            </w:r>
            <w:r>
              <w:rPr>
                <w:rFonts w:ascii="Times New Roman" w:eastAsia="宋体" w:hAnsi="Times New Roman" w:cs="Times New Roman"/>
              </w:rPr>
              <w:t>GB16889-2008</w:t>
            </w:r>
            <w:r>
              <w:rPr>
                <w:rFonts w:ascii="Times New Roman" w:eastAsia="宋体" w:hAnsi="Times New Roman" w:cs="Times New Roman"/>
              </w:rPr>
              <w:t>）中甲烷排放限值；</w:t>
            </w:r>
          </w:p>
          <w:p w14:paraId="5FD73F1B" w14:textId="77777777" w:rsidR="00C27509" w:rsidRDefault="00C27509" w:rsidP="00747ECF">
            <w:pPr>
              <w:pStyle w:val="affffd"/>
              <w:spacing w:line="240" w:lineRule="auto"/>
              <w:rPr>
                <w:rFonts w:hAnsi="Times New Roman"/>
              </w:rPr>
            </w:pPr>
            <w:r>
              <w:rPr>
                <w:rFonts w:ascii="Times New Roman" w:eastAsia="宋体" w:hAnsi="Times New Roman" w:cs="Times New Roman"/>
              </w:rPr>
              <w:t>无组织废气执行《大气污染物综合排放标准》（</w:t>
            </w:r>
            <w:r>
              <w:rPr>
                <w:rFonts w:ascii="Times New Roman" w:eastAsia="宋体" w:hAnsi="Times New Roman" w:cs="Times New Roman"/>
              </w:rPr>
              <w:t>GB16297-1996</w:t>
            </w:r>
            <w:r>
              <w:rPr>
                <w:rFonts w:ascii="Times New Roman" w:eastAsia="宋体" w:hAnsi="Times New Roman" w:cs="Times New Roman"/>
              </w:rPr>
              <w:t>）表</w:t>
            </w:r>
            <w:r>
              <w:rPr>
                <w:rFonts w:ascii="Times New Roman" w:eastAsia="宋体" w:hAnsi="Times New Roman" w:cs="Times New Roman"/>
              </w:rPr>
              <w:t>2</w:t>
            </w:r>
            <w:r>
              <w:rPr>
                <w:rFonts w:ascii="Times New Roman" w:eastAsia="宋体" w:hAnsi="Times New Roman" w:cs="Times New Roman"/>
              </w:rPr>
              <w:t>中无组织排放监控浓度限值</w:t>
            </w:r>
          </w:p>
        </w:tc>
      </w:tr>
      <w:tr w:rsidR="00C27509" w14:paraId="330ECA0E" w14:textId="77777777" w:rsidTr="00747ECF">
        <w:trPr>
          <w:trHeight w:val="20"/>
          <w:jc w:val="center"/>
        </w:trPr>
        <w:tc>
          <w:tcPr>
            <w:tcW w:w="700" w:type="dxa"/>
            <w:vMerge/>
            <w:vAlign w:val="center"/>
          </w:tcPr>
          <w:p w14:paraId="1E964549" w14:textId="77777777" w:rsidR="00C27509" w:rsidRDefault="00C27509" w:rsidP="00747ECF">
            <w:pPr>
              <w:pStyle w:val="affffd"/>
              <w:spacing w:line="240" w:lineRule="auto"/>
              <w:rPr>
                <w:rFonts w:hAnsi="Times New Roman"/>
              </w:rPr>
            </w:pPr>
          </w:p>
        </w:tc>
        <w:tc>
          <w:tcPr>
            <w:tcW w:w="1687" w:type="dxa"/>
            <w:vMerge/>
            <w:vAlign w:val="center"/>
          </w:tcPr>
          <w:p w14:paraId="05ECD3B8" w14:textId="77777777" w:rsidR="00C27509" w:rsidRDefault="00C27509" w:rsidP="00747ECF">
            <w:pPr>
              <w:pStyle w:val="affffd"/>
              <w:spacing w:line="240" w:lineRule="auto"/>
              <w:rPr>
                <w:rFonts w:hAnsi="Times New Roman"/>
              </w:rPr>
            </w:pPr>
          </w:p>
        </w:tc>
        <w:tc>
          <w:tcPr>
            <w:tcW w:w="1498" w:type="dxa"/>
            <w:vAlign w:val="center"/>
          </w:tcPr>
          <w:p w14:paraId="6982F748" w14:textId="77777777" w:rsidR="00C27509" w:rsidRDefault="00C27509" w:rsidP="00747ECF">
            <w:pPr>
              <w:pStyle w:val="affffd"/>
              <w:spacing w:line="240" w:lineRule="auto"/>
              <w:rPr>
                <w:rFonts w:hAnsi="Times New Roman"/>
              </w:rPr>
            </w:pPr>
            <w:r>
              <w:rPr>
                <w:rFonts w:ascii="Times New Roman" w:eastAsia="宋体" w:hAnsi="Times New Roman" w:cs="Times New Roman"/>
              </w:rPr>
              <w:t>甲烷</w:t>
            </w:r>
          </w:p>
        </w:tc>
        <w:tc>
          <w:tcPr>
            <w:tcW w:w="1594" w:type="dxa"/>
            <w:vAlign w:val="center"/>
          </w:tcPr>
          <w:p w14:paraId="60558342" w14:textId="77777777" w:rsidR="00C27509" w:rsidRDefault="00C27509" w:rsidP="00747ECF">
            <w:pPr>
              <w:pStyle w:val="affffd"/>
              <w:spacing w:line="240" w:lineRule="auto"/>
              <w:rPr>
                <w:rFonts w:hAnsi="Times New Roman"/>
              </w:rPr>
            </w:pPr>
            <w:r>
              <w:rPr>
                <w:rFonts w:ascii="Times New Roman" w:eastAsia="宋体" w:hAnsi="Times New Roman" w:cs="Times New Roman"/>
              </w:rPr>
              <w:t>81.55t/a</w:t>
            </w:r>
          </w:p>
        </w:tc>
        <w:tc>
          <w:tcPr>
            <w:tcW w:w="1526" w:type="dxa"/>
            <w:vAlign w:val="center"/>
          </w:tcPr>
          <w:p w14:paraId="4B996FB7" w14:textId="77777777" w:rsidR="00C27509" w:rsidRDefault="00C27509" w:rsidP="00747ECF">
            <w:pPr>
              <w:pStyle w:val="affffd"/>
              <w:spacing w:line="240" w:lineRule="auto"/>
              <w:rPr>
                <w:rFonts w:hAnsi="Times New Roman"/>
              </w:rPr>
            </w:pPr>
            <w:r>
              <w:rPr>
                <w:rFonts w:ascii="Times New Roman" w:eastAsia="宋体" w:hAnsi="Times New Roman" w:cs="Times New Roman"/>
              </w:rPr>
              <w:t>81.55t/a</w:t>
            </w:r>
          </w:p>
        </w:tc>
        <w:tc>
          <w:tcPr>
            <w:tcW w:w="1272" w:type="dxa"/>
            <w:vAlign w:val="center"/>
          </w:tcPr>
          <w:p w14:paraId="585F992B" w14:textId="77777777" w:rsidR="00C27509" w:rsidRDefault="00C27509" w:rsidP="00747ECF">
            <w:pPr>
              <w:pStyle w:val="1f9"/>
            </w:pPr>
            <w:r>
              <w:t>13.96</w:t>
            </w:r>
          </w:p>
        </w:tc>
        <w:tc>
          <w:tcPr>
            <w:tcW w:w="1551" w:type="dxa"/>
            <w:vMerge/>
            <w:vAlign w:val="center"/>
          </w:tcPr>
          <w:p w14:paraId="6683F0B8" w14:textId="77777777" w:rsidR="00C27509" w:rsidRDefault="00C27509" w:rsidP="00747ECF">
            <w:pPr>
              <w:pStyle w:val="affffd"/>
              <w:spacing w:line="240" w:lineRule="auto"/>
              <w:rPr>
                <w:rFonts w:hAnsi="Times New Roman"/>
              </w:rPr>
            </w:pPr>
          </w:p>
        </w:tc>
        <w:tc>
          <w:tcPr>
            <w:tcW w:w="1997" w:type="dxa"/>
            <w:vMerge/>
            <w:vAlign w:val="center"/>
          </w:tcPr>
          <w:p w14:paraId="6EB6A479" w14:textId="77777777" w:rsidR="00C27509" w:rsidRDefault="00C27509" w:rsidP="00747ECF">
            <w:pPr>
              <w:pStyle w:val="affffd"/>
              <w:spacing w:line="240" w:lineRule="auto"/>
              <w:rPr>
                <w:rFonts w:hAnsi="Times New Roman"/>
              </w:rPr>
            </w:pPr>
          </w:p>
        </w:tc>
        <w:tc>
          <w:tcPr>
            <w:tcW w:w="2916" w:type="dxa"/>
            <w:vMerge/>
            <w:vAlign w:val="center"/>
          </w:tcPr>
          <w:p w14:paraId="6FD0A9CB" w14:textId="77777777" w:rsidR="00C27509" w:rsidRDefault="00C27509" w:rsidP="00747ECF">
            <w:pPr>
              <w:pStyle w:val="affffd"/>
              <w:spacing w:line="240" w:lineRule="auto"/>
              <w:rPr>
                <w:rFonts w:hAnsi="Times New Roman"/>
              </w:rPr>
            </w:pPr>
          </w:p>
        </w:tc>
      </w:tr>
      <w:tr w:rsidR="00C27509" w14:paraId="1F03F850" w14:textId="77777777" w:rsidTr="00747ECF">
        <w:trPr>
          <w:trHeight w:val="20"/>
          <w:jc w:val="center"/>
        </w:trPr>
        <w:tc>
          <w:tcPr>
            <w:tcW w:w="700" w:type="dxa"/>
            <w:vMerge/>
            <w:vAlign w:val="center"/>
          </w:tcPr>
          <w:p w14:paraId="596A57EC" w14:textId="77777777" w:rsidR="00C27509" w:rsidRDefault="00C27509" w:rsidP="00747ECF">
            <w:pPr>
              <w:pStyle w:val="affffd"/>
              <w:spacing w:line="240" w:lineRule="auto"/>
              <w:rPr>
                <w:rFonts w:hAnsi="Times New Roman"/>
              </w:rPr>
            </w:pPr>
          </w:p>
        </w:tc>
        <w:tc>
          <w:tcPr>
            <w:tcW w:w="1687" w:type="dxa"/>
            <w:vMerge/>
            <w:vAlign w:val="center"/>
          </w:tcPr>
          <w:p w14:paraId="5FBBD498" w14:textId="77777777" w:rsidR="00C27509" w:rsidRDefault="00C27509" w:rsidP="00747ECF">
            <w:pPr>
              <w:pStyle w:val="affffd"/>
              <w:spacing w:line="240" w:lineRule="auto"/>
              <w:rPr>
                <w:rFonts w:hAnsi="Times New Roman"/>
              </w:rPr>
            </w:pPr>
          </w:p>
        </w:tc>
        <w:tc>
          <w:tcPr>
            <w:tcW w:w="1498" w:type="dxa"/>
            <w:vAlign w:val="center"/>
          </w:tcPr>
          <w:p w14:paraId="43D7BF95" w14:textId="77777777" w:rsidR="00C27509" w:rsidRDefault="00C27509" w:rsidP="00747ECF">
            <w:pPr>
              <w:pStyle w:val="affffd"/>
              <w:spacing w:line="240" w:lineRule="auto"/>
              <w:rPr>
                <w:rFonts w:hAnsi="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1594" w:type="dxa"/>
            <w:vAlign w:val="center"/>
          </w:tcPr>
          <w:p w14:paraId="46DD9457" w14:textId="77777777" w:rsidR="00C27509" w:rsidRDefault="00C27509" w:rsidP="00747ECF">
            <w:pPr>
              <w:pStyle w:val="affffd"/>
              <w:spacing w:line="240" w:lineRule="auto"/>
              <w:rPr>
                <w:rFonts w:hAnsi="Times New Roman"/>
              </w:rPr>
            </w:pPr>
            <w:r>
              <w:rPr>
                <w:rFonts w:ascii="Times New Roman" w:eastAsia="宋体" w:hAnsi="Times New Roman" w:cs="Times New Roman"/>
              </w:rPr>
              <w:t>0.053t/a</w:t>
            </w:r>
          </w:p>
        </w:tc>
        <w:tc>
          <w:tcPr>
            <w:tcW w:w="1526" w:type="dxa"/>
            <w:vAlign w:val="center"/>
          </w:tcPr>
          <w:p w14:paraId="3D90A5F2" w14:textId="77777777" w:rsidR="00C27509" w:rsidRDefault="00C27509" w:rsidP="00747ECF">
            <w:pPr>
              <w:pStyle w:val="affffd"/>
              <w:spacing w:line="240" w:lineRule="auto"/>
              <w:rPr>
                <w:rFonts w:hAnsi="Times New Roman"/>
              </w:rPr>
            </w:pPr>
            <w:r>
              <w:rPr>
                <w:rFonts w:ascii="Times New Roman" w:eastAsia="宋体" w:hAnsi="Times New Roman" w:cs="Times New Roman"/>
              </w:rPr>
              <w:t>0.053t/a</w:t>
            </w:r>
          </w:p>
        </w:tc>
        <w:tc>
          <w:tcPr>
            <w:tcW w:w="1272" w:type="dxa"/>
            <w:vAlign w:val="center"/>
          </w:tcPr>
          <w:p w14:paraId="713B14AB" w14:textId="77777777" w:rsidR="00C27509" w:rsidRDefault="00C27509" w:rsidP="00747ECF">
            <w:pPr>
              <w:pStyle w:val="affffd"/>
              <w:spacing w:line="240" w:lineRule="auto"/>
              <w:rPr>
                <w:rFonts w:hAnsi="Times New Roman"/>
              </w:rPr>
            </w:pPr>
            <w:r>
              <w:rPr>
                <w:rFonts w:ascii="Times New Roman" w:eastAsia="宋体" w:hAnsi="Times New Roman" w:cs="Times New Roman"/>
              </w:rPr>
              <w:t>0.009</w:t>
            </w:r>
          </w:p>
        </w:tc>
        <w:tc>
          <w:tcPr>
            <w:tcW w:w="1551" w:type="dxa"/>
            <w:vMerge/>
            <w:vAlign w:val="center"/>
          </w:tcPr>
          <w:p w14:paraId="0294E993" w14:textId="77777777" w:rsidR="00C27509" w:rsidRDefault="00C27509" w:rsidP="00747ECF">
            <w:pPr>
              <w:pStyle w:val="affffd"/>
              <w:spacing w:line="240" w:lineRule="auto"/>
              <w:rPr>
                <w:rFonts w:hAnsi="Times New Roman"/>
              </w:rPr>
            </w:pPr>
          </w:p>
        </w:tc>
        <w:tc>
          <w:tcPr>
            <w:tcW w:w="1997" w:type="dxa"/>
            <w:vMerge/>
            <w:vAlign w:val="center"/>
          </w:tcPr>
          <w:p w14:paraId="25D14CD9" w14:textId="77777777" w:rsidR="00C27509" w:rsidRDefault="00C27509" w:rsidP="00747ECF">
            <w:pPr>
              <w:pStyle w:val="affffd"/>
              <w:spacing w:line="240" w:lineRule="auto"/>
              <w:rPr>
                <w:rFonts w:hAnsi="Times New Roman"/>
              </w:rPr>
            </w:pPr>
          </w:p>
        </w:tc>
        <w:tc>
          <w:tcPr>
            <w:tcW w:w="2916" w:type="dxa"/>
            <w:vMerge/>
            <w:vAlign w:val="center"/>
          </w:tcPr>
          <w:p w14:paraId="697DED42" w14:textId="77777777" w:rsidR="00C27509" w:rsidRDefault="00C27509" w:rsidP="00747ECF">
            <w:pPr>
              <w:pStyle w:val="affffd"/>
              <w:spacing w:line="240" w:lineRule="auto"/>
              <w:rPr>
                <w:rFonts w:hAnsi="Times New Roman"/>
              </w:rPr>
            </w:pPr>
          </w:p>
        </w:tc>
      </w:tr>
      <w:tr w:rsidR="00C27509" w14:paraId="2835A233" w14:textId="77777777" w:rsidTr="00747ECF">
        <w:trPr>
          <w:trHeight w:val="20"/>
          <w:jc w:val="center"/>
        </w:trPr>
        <w:tc>
          <w:tcPr>
            <w:tcW w:w="700" w:type="dxa"/>
            <w:vMerge/>
            <w:vAlign w:val="center"/>
          </w:tcPr>
          <w:p w14:paraId="7659C7C9" w14:textId="77777777" w:rsidR="00C27509" w:rsidRDefault="00C27509" w:rsidP="00747ECF">
            <w:pPr>
              <w:pStyle w:val="affffd"/>
              <w:spacing w:line="240" w:lineRule="auto"/>
              <w:rPr>
                <w:rFonts w:hAnsi="Times New Roman"/>
              </w:rPr>
            </w:pPr>
          </w:p>
        </w:tc>
        <w:tc>
          <w:tcPr>
            <w:tcW w:w="1687" w:type="dxa"/>
            <w:vMerge/>
            <w:vAlign w:val="center"/>
          </w:tcPr>
          <w:p w14:paraId="6D526918" w14:textId="77777777" w:rsidR="00C27509" w:rsidRDefault="00C27509" w:rsidP="00747ECF">
            <w:pPr>
              <w:pStyle w:val="affffd"/>
              <w:spacing w:line="240" w:lineRule="auto"/>
              <w:rPr>
                <w:rFonts w:hAnsi="Times New Roman"/>
              </w:rPr>
            </w:pPr>
          </w:p>
        </w:tc>
        <w:tc>
          <w:tcPr>
            <w:tcW w:w="1498" w:type="dxa"/>
            <w:vAlign w:val="center"/>
          </w:tcPr>
          <w:p w14:paraId="0D96C052" w14:textId="77777777" w:rsidR="00C27509" w:rsidRDefault="00C27509" w:rsidP="00747ECF">
            <w:pPr>
              <w:pStyle w:val="affffd"/>
              <w:spacing w:line="240" w:lineRule="auto"/>
              <w:rPr>
                <w:rFonts w:hAnsi="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1594" w:type="dxa"/>
            <w:vAlign w:val="center"/>
          </w:tcPr>
          <w:p w14:paraId="6B5CD457" w14:textId="77777777" w:rsidR="00C27509" w:rsidRDefault="00C27509" w:rsidP="00747ECF">
            <w:pPr>
              <w:pStyle w:val="affffd"/>
              <w:spacing w:line="240" w:lineRule="auto"/>
              <w:rPr>
                <w:rFonts w:hAnsi="Times New Roman"/>
              </w:rPr>
            </w:pPr>
            <w:r>
              <w:rPr>
                <w:rFonts w:ascii="Times New Roman" w:eastAsia="宋体" w:hAnsi="Times New Roman" w:cs="Times New Roman"/>
              </w:rPr>
              <w:t>0.88t/a</w:t>
            </w:r>
          </w:p>
        </w:tc>
        <w:tc>
          <w:tcPr>
            <w:tcW w:w="1526" w:type="dxa"/>
            <w:vAlign w:val="center"/>
          </w:tcPr>
          <w:p w14:paraId="634B038A" w14:textId="77777777" w:rsidR="00C27509" w:rsidRDefault="00C27509" w:rsidP="00747ECF">
            <w:pPr>
              <w:pStyle w:val="affffd"/>
              <w:spacing w:line="240" w:lineRule="auto"/>
              <w:rPr>
                <w:rFonts w:hAnsi="Times New Roman"/>
              </w:rPr>
            </w:pPr>
            <w:r>
              <w:rPr>
                <w:rFonts w:ascii="Times New Roman" w:eastAsia="宋体" w:hAnsi="Times New Roman" w:cs="Times New Roman"/>
              </w:rPr>
              <w:t>0.88t/a</w:t>
            </w:r>
          </w:p>
        </w:tc>
        <w:tc>
          <w:tcPr>
            <w:tcW w:w="1272" w:type="dxa"/>
            <w:vAlign w:val="center"/>
          </w:tcPr>
          <w:p w14:paraId="4FD3C1BD" w14:textId="77777777" w:rsidR="00C27509" w:rsidRDefault="00C27509" w:rsidP="00747ECF">
            <w:pPr>
              <w:pStyle w:val="affffd"/>
              <w:spacing w:line="240" w:lineRule="auto"/>
              <w:rPr>
                <w:rFonts w:hAnsi="Times New Roman"/>
              </w:rPr>
            </w:pPr>
            <w:r>
              <w:rPr>
                <w:rFonts w:ascii="Times New Roman" w:eastAsia="宋体" w:hAnsi="Times New Roman" w:cs="Times New Roman"/>
              </w:rPr>
              <w:t>0.15</w:t>
            </w:r>
          </w:p>
        </w:tc>
        <w:tc>
          <w:tcPr>
            <w:tcW w:w="1551" w:type="dxa"/>
            <w:vMerge/>
            <w:vAlign w:val="center"/>
          </w:tcPr>
          <w:p w14:paraId="09BC4C20" w14:textId="77777777" w:rsidR="00C27509" w:rsidRDefault="00C27509" w:rsidP="00747ECF">
            <w:pPr>
              <w:pStyle w:val="affffd"/>
              <w:spacing w:line="240" w:lineRule="auto"/>
              <w:rPr>
                <w:rFonts w:hAnsi="Times New Roman"/>
              </w:rPr>
            </w:pPr>
          </w:p>
        </w:tc>
        <w:tc>
          <w:tcPr>
            <w:tcW w:w="1997" w:type="dxa"/>
            <w:vMerge/>
            <w:vAlign w:val="center"/>
          </w:tcPr>
          <w:p w14:paraId="17C120A6" w14:textId="77777777" w:rsidR="00C27509" w:rsidRDefault="00C27509" w:rsidP="00747ECF">
            <w:pPr>
              <w:pStyle w:val="affffd"/>
              <w:spacing w:line="240" w:lineRule="auto"/>
              <w:rPr>
                <w:rFonts w:hAnsi="Times New Roman"/>
              </w:rPr>
            </w:pPr>
          </w:p>
        </w:tc>
        <w:tc>
          <w:tcPr>
            <w:tcW w:w="2916" w:type="dxa"/>
            <w:vMerge/>
            <w:vAlign w:val="center"/>
          </w:tcPr>
          <w:p w14:paraId="670E3C8C" w14:textId="77777777" w:rsidR="00C27509" w:rsidRDefault="00C27509" w:rsidP="00747ECF">
            <w:pPr>
              <w:pStyle w:val="affffd"/>
              <w:spacing w:line="240" w:lineRule="auto"/>
              <w:rPr>
                <w:rFonts w:hAnsi="Times New Roman"/>
              </w:rPr>
            </w:pPr>
          </w:p>
        </w:tc>
      </w:tr>
      <w:tr w:rsidR="00C27509" w14:paraId="05BE2DE0" w14:textId="77777777" w:rsidTr="00747ECF">
        <w:trPr>
          <w:trHeight w:val="20"/>
          <w:jc w:val="center"/>
        </w:trPr>
        <w:tc>
          <w:tcPr>
            <w:tcW w:w="700" w:type="dxa"/>
            <w:vMerge/>
            <w:vAlign w:val="center"/>
          </w:tcPr>
          <w:p w14:paraId="2C9C421D" w14:textId="77777777" w:rsidR="00C27509" w:rsidRDefault="00C27509" w:rsidP="00747ECF">
            <w:pPr>
              <w:pStyle w:val="affffd"/>
              <w:spacing w:line="240" w:lineRule="auto"/>
              <w:rPr>
                <w:rFonts w:hAnsi="Times New Roman"/>
              </w:rPr>
            </w:pPr>
          </w:p>
        </w:tc>
        <w:tc>
          <w:tcPr>
            <w:tcW w:w="1687" w:type="dxa"/>
            <w:vMerge w:val="restart"/>
            <w:vAlign w:val="center"/>
          </w:tcPr>
          <w:p w14:paraId="01A1263C" w14:textId="77777777" w:rsidR="00C27509" w:rsidRDefault="00C27509" w:rsidP="00747ECF">
            <w:pPr>
              <w:pStyle w:val="affffd"/>
              <w:spacing w:line="240" w:lineRule="auto"/>
              <w:rPr>
                <w:rFonts w:hAnsi="Times New Roman"/>
              </w:rPr>
            </w:pPr>
            <w:r>
              <w:rPr>
                <w:rFonts w:ascii="Times New Roman" w:eastAsia="宋体" w:hAnsi="Times New Roman" w:cs="Times New Roman"/>
              </w:rPr>
              <w:t>填埋气体（点燃状态）</w:t>
            </w:r>
          </w:p>
        </w:tc>
        <w:tc>
          <w:tcPr>
            <w:tcW w:w="1498" w:type="dxa"/>
            <w:vAlign w:val="center"/>
          </w:tcPr>
          <w:p w14:paraId="1E447B27" w14:textId="77777777" w:rsidR="00C27509" w:rsidRDefault="00C27509" w:rsidP="00747ECF">
            <w:pPr>
              <w:pStyle w:val="affffd"/>
              <w:spacing w:line="240" w:lineRule="auto"/>
              <w:rPr>
                <w:rFonts w:hAnsi="Times New Roman"/>
              </w:rPr>
            </w:pPr>
            <w:r>
              <w:rPr>
                <w:rFonts w:ascii="Times New Roman" w:eastAsia="宋体" w:hAnsi="Times New Roman" w:cs="Times New Roman"/>
              </w:rPr>
              <w:t>燃烧废气量</w:t>
            </w:r>
          </w:p>
        </w:tc>
        <w:tc>
          <w:tcPr>
            <w:tcW w:w="1594" w:type="dxa"/>
            <w:vAlign w:val="center"/>
          </w:tcPr>
          <w:p w14:paraId="44355937" w14:textId="77777777" w:rsidR="00C27509" w:rsidRDefault="00C27509" w:rsidP="00747ECF">
            <w:pPr>
              <w:pStyle w:val="affffd"/>
              <w:spacing w:line="240" w:lineRule="auto"/>
              <w:rPr>
                <w:rFonts w:hAnsi="Times New Roman"/>
              </w:rPr>
            </w:pPr>
            <w:r>
              <w:rPr>
                <w:rFonts w:ascii="Times New Roman" w:eastAsia="宋体" w:hAnsi="Times New Roman" w:cs="Times New Roman"/>
              </w:rPr>
              <w:t>309.4</w:t>
            </w:r>
            <w:r>
              <w:rPr>
                <w:rFonts w:ascii="Times New Roman" w:eastAsia="宋体" w:hAnsi="Times New Roman" w:cs="Times New Roman"/>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1526" w:type="dxa"/>
            <w:vAlign w:val="center"/>
          </w:tcPr>
          <w:p w14:paraId="4DAC7459" w14:textId="77777777" w:rsidR="00C27509" w:rsidRDefault="00C27509" w:rsidP="00747ECF">
            <w:pPr>
              <w:pStyle w:val="affffd"/>
              <w:spacing w:line="240" w:lineRule="auto"/>
              <w:rPr>
                <w:rFonts w:hAnsi="Times New Roman"/>
              </w:rPr>
            </w:pPr>
            <w:r>
              <w:rPr>
                <w:rFonts w:ascii="Times New Roman" w:eastAsia="宋体" w:hAnsi="Times New Roman" w:cs="Times New Roman"/>
              </w:rPr>
              <w:t>309.4</w:t>
            </w:r>
            <w:r>
              <w:rPr>
                <w:rFonts w:ascii="Times New Roman" w:eastAsia="宋体" w:hAnsi="Times New Roman" w:cs="Times New Roman"/>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/a</w:t>
            </w:r>
          </w:p>
        </w:tc>
        <w:tc>
          <w:tcPr>
            <w:tcW w:w="1272" w:type="dxa"/>
            <w:vAlign w:val="center"/>
          </w:tcPr>
          <w:p w14:paraId="6BF868ED" w14:textId="77777777" w:rsidR="00C27509" w:rsidRDefault="00C27509" w:rsidP="00747ECF">
            <w:pPr>
              <w:pStyle w:val="1f9"/>
            </w:pPr>
            <w:r>
              <w:t>/</w:t>
            </w:r>
          </w:p>
        </w:tc>
        <w:tc>
          <w:tcPr>
            <w:tcW w:w="1551" w:type="dxa"/>
            <w:vMerge w:val="restart"/>
            <w:vAlign w:val="center"/>
          </w:tcPr>
          <w:p w14:paraId="33DE29D6" w14:textId="77777777" w:rsidR="00C27509" w:rsidRDefault="00C27509" w:rsidP="00747ECF">
            <w:pPr>
              <w:pStyle w:val="affffd"/>
              <w:spacing w:line="240" w:lineRule="auto"/>
              <w:rPr>
                <w:rFonts w:hAnsi="Times New Roman"/>
              </w:rPr>
            </w:pPr>
            <w:r>
              <w:rPr>
                <w:rFonts w:ascii="Times New Roman" w:eastAsia="宋体" w:hAnsi="Times New Roman" w:cs="Times New Roman"/>
              </w:rPr>
              <w:t>有组织</w:t>
            </w:r>
          </w:p>
        </w:tc>
        <w:tc>
          <w:tcPr>
            <w:tcW w:w="1997" w:type="dxa"/>
            <w:vMerge w:val="restart"/>
            <w:vAlign w:val="center"/>
          </w:tcPr>
          <w:p w14:paraId="6CF7B335" w14:textId="77777777" w:rsidR="00C27509" w:rsidRDefault="00C27509" w:rsidP="00747ECF">
            <w:pPr>
              <w:pStyle w:val="affffd"/>
              <w:spacing w:line="240" w:lineRule="auto"/>
              <w:rPr>
                <w:rFonts w:hAnsi="Times New Roman"/>
              </w:rPr>
            </w:pPr>
            <w:r>
              <w:rPr>
                <w:rFonts w:ascii="Times New Roman" w:eastAsia="宋体" w:hAnsi="Times New Roman" w:cs="Times New Roman"/>
              </w:rPr>
              <w:t>火炬燃烧</w:t>
            </w:r>
          </w:p>
        </w:tc>
        <w:tc>
          <w:tcPr>
            <w:tcW w:w="2916" w:type="dxa"/>
            <w:vMerge/>
            <w:vAlign w:val="center"/>
          </w:tcPr>
          <w:p w14:paraId="75A2E87E" w14:textId="77777777" w:rsidR="00C27509" w:rsidRDefault="00C27509" w:rsidP="00747ECF">
            <w:pPr>
              <w:pStyle w:val="affffd"/>
              <w:spacing w:line="240" w:lineRule="auto"/>
              <w:rPr>
                <w:rFonts w:hAnsi="Times New Roman"/>
              </w:rPr>
            </w:pPr>
          </w:p>
        </w:tc>
      </w:tr>
      <w:tr w:rsidR="00C27509" w14:paraId="23B9313D" w14:textId="77777777" w:rsidTr="00747ECF">
        <w:trPr>
          <w:trHeight w:val="20"/>
          <w:jc w:val="center"/>
        </w:trPr>
        <w:tc>
          <w:tcPr>
            <w:tcW w:w="700" w:type="dxa"/>
            <w:vMerge/>
            <w:vAlign w:val="center"/>
          </w:tcPr>
          <w:p w14:paraId="6BF2A6D7" w14:textId="77777777" w:rsidR="00C27509" w:rsidRDefault="00C27509" w:rsidP="00747ECF">
            <w:pPr>
              <w:pStyle w:val="affffd"/>
              <w:spacing w:line="240" w:lineRule="auto"/>
              <w:rPr>
                <w:rFonts w:hAnsi="Times New Roman"/>
              </w:rPr>
            </w:pPr>
          </w:p>
        </w:tc>
        <w:tc>
          <w:tcPr>
            <w:tcW w:w="1687" w:type="dxa"/>
            <w:vMerge/>
            <w:vAlign w:val="center"/>
          </w:tcPr>
          <w:p w14:paraId="56F77659" w14:textId="77777777" w:rsidR="00C27509" w:rsidRDefault="00C27509" w:rsidP="00747ECF">
            <w:pPr>
              <w:pStyle w:val="affffd"/>
              <w:spacing w:line="240" w:lineRule="auto"/>
              <w:rPr>
                <w:rFonts w:hAnsi="Times New Roman"/>
              </w:rPr>
            </w:pPr>
          </w:p>
        </w:tc>
        <w:tc>
          <w:tcPr>
            <w:tcW w:w="1498" w:type="dxa"/>
            <w:vAlign w:val="center"/>
          </w:tcPr>
          <w:p w14:paraId="6E841211" w14:textId="77777777" w:rsidR="00C27509" w:rsidRDefault="00C27509" w:rsidP="00747ECF">
            <w:pPr>
              <w:pStyle w:val="affffd"/>
              <w:spacing w:line="240" w:lineRule="auto"/>
              <w:rPr>
                <w:rFonts w:hAnsi="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1594" w:type="dxa"/>
            <w:vAlign w:val="center"/>
          </w:tcPr>
          <w:p w14:paraId="5BB5F8EE" w14:textId="77777777" w:rsidR="00C27509" w:rsidRDefault="00C27509" w:rsidP="00747ECF">
            <w:pPr>
              <w:pStyle w:val="affffd"/>
              <w:spacing w:line="240" w:lineRule="auto"/>
              <w:rPr>
                <w:rFonts w:hAnsi="Times New Roman"/>
              </w:rPr>
            </w:pPr>
            <w:r>
              <w:rPr>
                <w:rFonts w:ascii="Times New Roman" w:eastAsia="宋体" w:hAnsi="Times New Roman" w:cs="Times New Roman"/>
              </w:rPr>
              <w:t>0.88t/a</w:t>
            </w:r>
          </w:p>
        </w:tc>
        <w:tc>
          <w:tcPr>
            <w:tcW w:w="1526" w:type="dxa"/>
            <w:vAlign w:val="center"/>
          </w:tcPr>
          <w:p w14:paraId="6F1BABE2" w14:textId="77777777" w:rsidR="00C27509" w:rsidRDefault="00C27509" w:rsidP="00747ECF">
            <w:pPr>
              <w:pStyle w:val="affffd"/>
              <w:spacing w:line="240" w:lineRule="auto"/>
              <w:rPr>
                <w:rFonts w:hAnsi="Times New Roman"/>
              </w:rPr>
            </w:pPr>
            <w:r>
              <w:rPr>
                <w:rFonts w:ascii="Times New Roman" w:eastAsia="宋体" w:hAnsi="Times New Roman" w:cs="Times New Roman"/>
              </w:rPr>
              <w:t>0.88t/a</w:t>
            </w:r>
          </w:p>
        </w:tc>
        <w:tc>
          <w:tcPr>
            <w:tcW w:w="1272" w:type="dxa"/>
            <w:vAlign w:val="center"/>
          </w:tcPr>
          <w:p w14:paraId="139DECBF" w14:textId="77777777" w:rsidR="00C27509" w:rsidRDefault="00C27509" w:rsidP="00747ECF">
            <w:pPr>
              <w:pStyle w:val="1f9"/>
            </w:pPr>
            <w:r>
              <w:t>0</w:t>
            </w:r>
            <w:r>
              <w:rPr>
                <w:rFonts w:hint="eastAsia"/>
              </w:rPr>
              <w:t>.</w:t>
            </w:r>
            <w:r>
              <w:t>15</w:t>
            </w:r>
          </w:p>
        </w:tc>
        <w:tc>
          <w:tcPr>
            <w:tcW w:w="1551" w:type="dxa"/>
            <w:vMerge/>
            <w:vAlign w:val="center"/>
          </w:tcPr>
          <w:p w14:paraId="2C9027BD" w14:textId="77777777" w:rsidR="00C27509" w:rsidRDefault="00C27509" w:rsidP="00747ECF">
            <w:pPr>
              <w:pStyle w:val="affffd"/>
              <w:spacing w:line="240" w:lineRule="auto"/>
              <w:rPr>
                <w:rFonts w:hAnsi="Times New Roman"/>
              </w:rPr>
            </w:pPr>
          </w:p>
        </w:tc>
        <w:tc>
          <w:tcPr>
            <w:tcW w:w="1997" w:type="dxa"/>
            <w:vMerge/>
            <w:vAlign w:val="center"/>
          </w:tcPr>
          <w:p w14:paraId="31515B06" w14:textId="77777777" w:rsidR="00C27509" w:rsidRDefault="00C27509" w:rsidP="00747ECF">
            <w:pPr>
              <w:pStyle w:val="affffd"/>
              <w:spacing w:line="240" w:lineRule="auto"/>
              <w:rPr>
                <w:rFonts w:hAnsi="Times New Roman"/>
              </w:rPr>
            </w:pPr>
          </w:p>
        </w:tc>
        <w:tc>
          <w:tcPr>
            <w:tcW w:w="2916" w:type="dxa"/>
            <w:vMerge/>
            <w:vAlign w:val="center"/>
          </w:tcPr>
          <w:p w14:paraId="191DB519" w14:textId="77777777" w:rsidR="00C27509" w:rsidRDefault="00C27509" w:rsidP="00747ECF">
            <w:pPr>
              <w:pStyle w:val="affffd"/>
              <w:spacing w:line="240" w:lineRule="auto"/>
              <w:rPr>
                <w:rFonts w:hAnsi="Times New Roman"/>
              </w:rPr>
            </w:pPr>
          </w:p>
        </w:tc>
      </w:tr>
      <w:tr w:rsidR="00C27509" w14:paraId="5480D030" w14:textId="77777777" w:rsidTr="00747ECF">
        <w:trPr>
          <w:trHeight w:val="20"/>
          <w:jc w:val="center"/>
        </w:trPr>
        <w:tc>
          <w:tcPr>
            <w:tcW w:w="700" w:type="dxa"/>
            <w:vMerge/>
            <w:vAlign w:val="center"/>
          </w:tcPr>
          <w:p w14:paraId="12A2AAA2" w14:textId="77777777" w:rsidR="00C27509" w:rsidRDefault="00C27509" w:rsidP="00747ECF">
            <w:pPr>
              <w:pStyle w:val="affffd"/>
              <w:spacing w:line="240" w:lineRule="auto"/>
              <w:rPr>
                <w:rFonts w:hAnsi="Times New Roman"/>
              </w:rPr>
            </w:pPr>
          </w:p>
        </w:tc>
        <w:tc>
          <w:tcPr>
            <w:tcW w:w="1687" w:type="dxa"/>
            <w:vMerge/>
            <w:vAlign w:val="center"/>
          </w:tcPr>
          <w:p w14:paraId="0578C88B" w14:textId="77777777" w:rsidR="00C27509" w:rsidRDefault="00C27509" w:rsidP="00747ECF">
            <w:pPr>
              <w:pStyle w:val="affffd"/>
              <w:spacing w:line="240" w:lineRule="auto"/>
              <w:rPr>
                <w:rFonts w:hAnsi="Times New Roman"/>
              </w:rPr>
            </w:pPr>
          </w:p>
        </w:tc>
        <w:tc>
          <w:tcPr>
            <w:tcW w:w="1498" w:type="dxa"/>
            <w:vAlign w:val="center"/>
          </w:tcPr>
          <w:p w14:paraId="05B23F1C" w14:textId="77777777" w:rsidR="00C27509" w:rsidRDefault="00C27509" w:rsidP="00747ECF">
            <w:pPr>
              <w:pStyle w:val="affffd"/>
              <w:spacing w:line="240" w:lineRule="auto"/>
              <w:rPr>
                <w:rFonts w:hAnsi="Times New Roman"/>
              </w:rPr>
            </w:pPr>
            <w:r>
              <w:rPr>
                <w:rFonts w:ascii="Times New Roman" w:eastAsia="宋体" w:hAnsi="Times New Roman" w:cs="Times New Roman"/>
              </w:rPr>
              <w:t>SO</w:t>
            </w:r>
            <w:r>
              <w:rPr>
                <w:rFonts w:ascii="Times New Roman" w:eastAsia="宋体" w:hAnsi="Times New Roman" w:cs="Times New Roman"/>
                <w:vertAlign w:val="subscript"/>
              </w:rPr>
              <w:t>2</w:t>
            </w:r>
          </w:p>
        </w:tc>
        <w:tc>
          <w:tcPr>
            <w:tcW w:w="1594" w:type="dxa"/>
            <w:vAlign w:val="center"/>
          </w:tcPr>
          <w:p w14:paraId="222BDB02"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526" w:type="dxa"/>
            <w:vAlign w:val="center"/>
          </w:tcPr>
          <w:p w14:paraId="077D9A4C" w14:textId="77777777" w:rsidR="00C27509" w:rsidRDefault="00C27509" w:rsidP="00747ECF">
            <w:pPr>
              <w:pStyle w:val="affffd"/>
              <w:spacing w:line="240" w:lineRule="auto"/>
              <w:rPr>
                <w:rFonts w:hAnsi="Times New Roman"/>
              </w:rPr>
            </w:pPr>
            <w:r>
              <w:rPr>
                <w:rFonts w:ascii="Times New Roman" w:eastAsia="宋体" w:hAnsi="Times New Roman" w:cs="Times New Roman"/>
              </w:rPr>
              <w:t>25.48mg/m</w:t>
            </w:r>
            <w:r>
              <w:rPr>
                <w:rFonts w:ascii="Times New Roman" w:eastAsia="宋体" w:hAnsi="Times New Roman" w:cs="Times New Roman"/>
                <w:vertAlign w:val="superscript"/>
              </w:rPr>
              <w:t>3</w:t>
            </w:r>
            <w:r>
              <w:rPr>
                <w:rFonts w:ascii="Times New Roman" w:eastAsia="宋体" w:hAnsi="Times New Roman" w:cs="Times New Roman"/>
              </w:rPr>
              <w:t>,0.079t/a</w:t>
            </w:r>
          </w:p>
        </w:tc>
        <w:tc>
          <w:tcPr>
            <w:tcW w:w="1272" w:type="dxa"/>
            <w:vAlign w:val="center"/>
          </w:tcPr>
          <w:p w14:paraId="7894FC6B" w14:textId="77777777" w:rsidR="00C27509" w:rsidRDefault="00C27509" w:rsidP="00747ECF">
            <w:pPr>
              <w:pStyle w:val="1f9"/>
            </w:pPr>
            <w:r>
              <w:t>0.013</w:t>
            </w:r>
          </w:p>
        </w:tc>
        <w:tc>
          <w:tcPr>
            <w:tcW w:w="1551" w:type="dxa"/>
            <w:vMerge/>
            <w:vAlign w:val="center"/>
          </w:tcPr>
          <w:p w14:paraId="06A49886" w14:textId="77777777" w:rsidR="00C27509" w:rsidRDefault="00C27509" w:rsidP="00747ECF">
            <w:pPr>
              <w:pStyle w:val="affffd"/>
              <w:spacing w:line="240" w:lineRule="auto"/>
              <w:rPr>
                <w:rFonts w:hAnsi="Times New Roman"/>
              </w:rPr>
            </w:pPr>
          </w:p>
        </w:tc>
        <w:tc>
          <w:tcPr>
            <w:tcW w:w="1997" w:type="dxa"/>
            <w:vMerge/>
            <w:vAlign w:val="center"/>
          </w:tcPr>
          <w:p w14:paraId="737C05B3" w14:textId="77777777" w:rsidR="00C27509" w:rsidRDefault="00C27509" w:rsidP="00747ECF">
            <w:pPr>
              <w:pStyle w:val="affffd"/>
              <w:spacing w:line="240" w:lineRule="auto"/>
              <w:rPr>
                <w:rFonts w:hAnsi="Times New Roman"/>
              </w:rPr>
            </w:pPr>
          </w:p>
        </w:tc>
        <w:tc>
          <w:tcPr>
            <w:tcW w:w="2916" w:type="dxa"/>
            <w:vMerge/>
            <w:vAlign w:val="center"/>
          </w:tcPr>
          <w:p w14:paraId="77F386A1" w14:textId="77777777" w:rsidR="00C27509" w:rsidRDefault="00C27509" w:rsidP="00747ECF">
            <w:pPr>
              <w:pStyle w:val="affffd"/>
              <w:spacing w:line="240" w:lineRule="auto"/>
              <w:rPr>
                <w:rFonts w:hAnsi="Times New Roman"/>
              </w:rPr>
            </w:pPr>
          </w:p>
        </w:tc>
      </w:tr>
      <w:tr w:rsidR="00C27509" w14:paraId="52D5FE74" w14:textId="77777777" w:rsidTr="00747ECF">
        <w:trPr>
          <w:trHeight w:val="20"/>
          <w:jc w:val="center"/>
        </w:trPr>
        <w:tc>
          <w:tcPr>
            <w:tcW w:w="700" w:type="dxa"/>
            <w:vMerge/>
            <w:vAlign w:val="center"/>
          </w:tcPr>
          <w:p w14:paraId="6CBFAB75" w14:textId="77777777" w:rsidR="00C27509" w:rsidRDefault="00C27509" w:rsidP="00747ECF">
            <w:pPr>
              <w:pStyle w:val="affffd"/>
              <w:spacing w:line="240" w:lineRule="auto"/>
              <w:rPr>
                <w:rFonts w:hAnsi="Times New Roman"/>
              </w:rPr>
            </w:pPr>
          </w:p>
        </w:tc>
        <w:tc>
          <w:tcPr>
            <w:tcW w:w="1687" w:type="dxa"/>
            <w:vMerge/>
            <w:vAlign w:val="center"/>
          </w:tcPr>
          <w:p w14:paraId="1021A889" w14:textId="77777777" w:rsidR="00C27509" w:rsidRDefault="00C27509" w:rsidP="00747ECF">
            <w:pPr>
              <w:pStyle w:val="affffd"/>
              <w:spacing w:line="240" w:lineRule="auto"/>
              <w:rPr>
                <w:rFonts w:hAnsi="Times New Roman"/>
              </w:rPr>
            </w:pPr>
          </w:p>
        </w:tc>
        <w:tc>
          <w:tcPr>
            <w:tcW w:w="1498" w:type="dxa"/>
            <w:vAlign w:val="center"/>
          </w:tcPr>
          <w:p w14:paraId="764B3B26" w14:textId="77777777" w:rsidR="00C27509" w:rsidRDefault="00C27509" w:rsidP="00747ECF">
            <w:pPr>
              <w:pStyle w:val="affffd"/>
              <w:spacing w:line="240" w:lineRule="auto"/>
              <w:rPr>
                <w:rFonts w:hAnsi="Times New Roman"/>
              </w:rPr>
            </w:pPr>
            <w:r>
              <w:rPr>
                <w:rFonts w:ascii="Times New Roman" w:eastAsia="宋体" w:hAnsi="Times New Roman" w:cs="Times New Roman"/>
              </w:rPr>
              <w:t>NOx</w:t>
            </w:r>
          </w:p>
        </w:tc>
        <w:tc>
          <w:tcPr>
            <w:tcW w:w="1594" w:type="dxa"/>
            <w:vAlign w:val="center"/>
          </w:tcPr>
          <w:p w14:paraId="3F292787"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526" w:type="dxa"/>
            <w:vAlign w:val="center"/>
          </w:tcPr>
          <w:p w14:paraId="28DE304C" w14:textId="77777777" w:rsidR="00C27509" w:rsidRDefault="00C27509" w:rsidP="00747ECF">
            <w:pPr>
              <w:pStyle w:val="affffd"/>
              <w:spacing w:line="240" w:lineRule="auto"/>
              <w:rPr>
                <w:rFonts w:hAnsi="Times New Roman"/>
              </w:rPr>
            </w:pPr>
            <w:r>
              <w:rPr>
                <w:rFonts w:ascii="Times New Roman" w:eastAsia="宋体" w:hAnsi="Times New Roman" w:cs="Times New Roman"/>
              </w:rPr>
              <w:t>137mg/m</w:t>
            </w:r>
            <w:r>
              <w:rPr>
                <w:rFonts w:ascii="Times New Roman" w:eastAsia="宋体" w:hAnsi="Times New Roman" w:cs="Times New Roman"/>
                <w:vertAlign w:val="superscript"/>
              </w:rPr>
              <w:t>3</w:t>
            </w:r>
            <w:r>
              <w:rPr>
                <w:rFonts w:ascii="Times New Roman" w:eastAsia="宋体" w:hAnsi="Times New Roman" w:cs="Times New Roman"/>
              </w:rPr>
              <w:t>,0.42t/a</w:t>
            </w:r>
          </w:p>
        </w:tc>
        <w:tc>
          <w:tcPr>
            <w:tcW w:w="1272" w:type="dxa"/>
            <w:vAlign w:val="center"/>
          </w:tcPr>
          <w:p w14:paraId="6EEFADAC" w14:textId="77777777" w:rsidR="00C27509" w:rsidRDefault="00C27509" w:rsidP="00747ECF">
            <w:pPr>
              <w:pStyle w:val="1f9"/>
            </w:pPr>
            <w:r>
              <w:t>7.19</w:t>
            </w:r>
          </w:p>
        </w:tc>
        <w:tc>
          <w:tcPr>
            <w:tcW w:w="1551" w:type="dxa"/>
            <w:vMerge/>
            <w:vAlign w:val="center"/>
          </w:tcPr>
          <w:p w14:paraId="7BE6860F" w14:textId="77777777" w:rsidR="00C27509" w:rsidRDefault="00C27509" w:rsidP="00747ECF">
            <w:pPr>
              <w:pStyle w:val="affffd"/>
              <w:spacing w:line="240" w:lineRule="auto"/>
              <w:rPr>
                <w:rFonts w:hAnsi="Times New Roman"/>
              </w:rPr>
            </w:pPr>
          </w:p>
        </w:tc>
        <w:tc>
          <w:tcPr>
            <w:tcW w:w="1997" w:type="dxa"/>
            <w:vMerge/>
            <w:vAlign w:val="center"/>
          </w:tcPr>
          <w:p w14:paraId="55B1E0EA" w14:textId="77777777" w:rsidR="00C27509" w:rsidRDefault="00C27509" w:rsidP="00747ECF">
            <w:pPr>
              <w:pStyle w:val="affffd"/>
              <w:spacing w:line="240" w:lineRule="auto"/>
              <w:rPr>
                <w:rFonts w:hAnsi="Times New Roman"/>
              </w:rPr>
            </w:pPr>
          </w:p>
        </w:tc>
        <w:tc>
          <w:tcPr>
            <w:tcW w:w="2916" w:type="dxa"/>
            <w:vMerge/>
            <w:vAlign w:val="center"/>
          </w:tcPr>
          <w:p w14:paraId="240E4767" w14:textId="77777777" w:rsidR="00C27509" w:rsidRDefault="00C27509" w:rsidP="00747ECF">
            <w:pPr>
              <w:pStyle w:val="affffd"/>
              <w:spacing w:line="240" w:lineRule="auto"/>
              <w:rPr>
                <w:rFonts w:hAnsi="Times New Roman"/>
              </w:rPr>
            </w:pPr>
          </w:p>
        </w:tc>
      </w:tr>
      <w:tr w:rsidR="00C27509" w14:paraId="42B22D1F" w14:textId="77777777" w:rsidTr="00747ECF">
        <w:trPr>
          <w:trHeight w:val="20"/>
          <w:jc w:val="center"/>
        </w:trPr>
        <w:tc>
          <w:tcPr>
            <w:tcW w:w="700" w:type="dxa"/>
            <w:vMerge/>
            <w:vAlign w:val="center"/>
          </w:tcPr>
          <w:p w14:paraId="768F7F47" w14:textId="77777777" w:rsidR="00C27509" w:rsidRDefault="00C27509" w:rsidP="00747ECF">
            <w:pPr>
              <w:pStyle w:val="affffd"/>
              <w:spacing w:line="240" w:lineRule="auto"/>
              <w:rPr>
                <w:rFonts w:hAnsi="Times New Roman"/>
              </w:rPr>
            </w:pPr>
          </w:p>
        </w:tc>
        <w:tc>
          <w:tcPr>
            <w:tcW w:w="1687" w:type="dxa"/>
            <w:vMerge/>
            <w:vAlign w:val="center"/>
          </w:tcPr>
          <w:p w14:paraId="7A12D082" w14:textId="77777777" w:rsidR="00C27509" w:rsidRDefault="00C27509" w:rsidP="00747ECF">
            <w:pPr>
              <w:pStyle w:val="affffd"/>
              <w:spacing w:line="240" w:lineRule="auto"/>
              <w:rPr>
                <w:rFonts w:hAnsi="Times New Roman"/>
              </w:rPr>
            </w:pPr>
          </w:p>
        </w:tc>
        <w:tc>
          <w:tcPr>
            <w:tcW w:w="1498" w:type="dxa"/>
            <w:vAlign w:val="center"/>
          </w:tcPr>
          <w:p w14:paraId="3ED60609" w14:textId="77777777" w:rsidR="00C27509" w:rsidRDefault="00C27509" w:rsidP="00747ECF">
            <w:pPr>
              <w:pStyle w:val="affffd"/>
              <w:spacing w:line="240" w:lineRule="auto"/>
              <w:rPr>
                <w:rFonts w:hAnsi="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1594" w:type="dxa"/>
            <w:vAlign w:val="center"/>
          </w:tcPr>
          <w:p w14:paraId="33B25605" w14:textId="77777777" w:rsidR="00C27509" w:rsidRDefault="00C27509" w:rsidP="00747ECF">
            <w:pPr>
              <w:pStyle w:val="affffd"/>
              <w:spacing w:line="240" w:lineRule="auto"/>
              <w:rPr>
                <w:rFonts w:hAnsi="Times New Roman"/>
              </w:rPr>
            </w:pPr>
            <w:r>
              <w:rPr>
                <w:rFonts w:ascii="Times New Roman" w:eastAsia="宋体" w:hAnsi="Times New Roman" w:cs="Times New Roman"/>
              </w:rPr>
              <w:t>0.012t/a</w:t>
            </w:r>
          </w:p>
        </w:tc>
        <w:tc>
          <w:tcPr>
            <w:tcW w:w="1526" w:type="dxa"/>
            <w:vAlign w:val="center"/>
          </w:tcPr>
          <w:p w14:paraId="5B9AD3FC" w14:textId="77777777" w:rsidR="00C27509" w:rsidRDefault="00C27509" w:rsidP="00747ECF">
            <w:pPr>
              <w:pStyle w:val="affffd"/>
              <w:spacing w:line="240" w:lineRule="auto"/>
              <w:rPr>
                <w:rFonts w:hAnsi="Times New Roman"/>
              </w:rPr>
            </w:pPr>
            <w:r>
              <w:rPr>
                <w:rFonts w:ascii="Times New Roman" w:eastAsia="宋体" w:hAnsi="Times New Roman" w:cs="Times New Roman"/>
              </w:rPr>
              <w:t>0.012t/a</w:t>
            </w:r>
          </w:p>
        </w:tc>
        <w:tc>
          <w:tcPr>
            <w:tcW w:w="1272" w:type="dxa"/>
            <w:vAlign w:val="center"/>
          </w:tcPr>
          <w:p w14:paraId="5DC3400A" w14:textId="77777777" w:rsidR="00C27509" w:rsidRDefault="00C27509" w:rsidP="00747ECF">
            <w:pPr>
              <w:pStyle w:val="1f9"/>
            </w:pPr>
            <w:r>
              <w:t>0.002</w:t>
            </w:r>
          </w:p>
        </w:tc>
        <w:tc>
          <w:tcPr>
            <w:tcW w:w="1551" w:type="dxa"/>
            <w:vAlign w:val="center"/>
          </w:tcPr>
          <w:p w14:paraId="267CA324" w14:textId="77777777" w:rsidR="00C27509" w:rsidRDefault="00C27509" w:rsidP="00747ECF">
            <w:pPr>
              <w:pStyle w:val="affffd"/>
              <w:spacing w:line="240" w:lineRule="auto"/>
              <w:rPr>
                <w:rFonts w:hAnsi="Times New Roman"/>
              </w:rPr>
            </w:pPr>
            <w:r>
              <w:rPr>
                <w:rFonts w:ascii="Times New Roman" w:eastAsia="宋体" w:hAnsi="Times New Roman" w:cs="Times New Roman"/>
              </w:rPr>
              <w:t>无组织</w:t>
            </w:r>
          </w:p>
        </w:tc>
        <w:tc>
          <w:tcPr>
            <w:tcW w:w="1997" w:type="dxa"/>
            <w:vMerge/>
            <w:vAlign w:val="center"/>
          </w:tcPr>
          <w:p w14:paraId="168B57F3" w14:textId="77777777" w:rsidR="00C27509" w:rsidRDefault="00C27509" w:rsidP="00747ECF">
            <w:pPr>
              <w:pStyle w:val="affffd"/>
              <w:spacing w:line="240" w:lineRule="auto"/>
              <w:rPr>
                <w:rFonts w:hAnsi="Times New Roman"/>
              </w:rPr>
            </w:pPr>
          </w:p>
        </w:tc>
        <w:tc>
          <w:tcPr>
            <w:tcW w:w="2916" w:type="dxa"/>
            <w:vMerge/>
            <w:vAlign w:val="center"/>
          </w:tcPr>
          <w:p w14:paraId="7AB9BDC5" w14:textId="77777777" w:rsidR="00C27509" w:rsidRDefault="00C27509" w:rsidP="00747ECF">
            <w:pPr>
              <w:pStyle w:val="affffd"/>
              <w:spacing w:line="240" w:lineRule="auto"/>
              <w:rPr>
                <w:rFonts w:hAnsi="Times New Roman"/>
              </w:rPr>
            </w:pPr>
          </w:p>
        </w:tc>
      </w:tr>
      <w:tr w:rsidR="00C27509" w14:paraId="25CE08DF" w14:textId="77777777" w:rsidTr="00747ECF">
        <w:trPr>
          <w:trHeight w:val="20"/>
          <w:jc w:val="center"/>
        </w:trPr>
        <w:tc>
          <w:tcPr>
            <w:tcW w:w="700" w:type="dxa"/>
            <w:vMerge/>
            <w:vAlign w:val="center"/>
          </w:tcPr>
          <w:p w14:paraId="4879D028" w14:textId="77777777" w:rsidR="00C27509" w:rsidRDefault="00C27509" w:rsidP="00747ECF">
            <w:pPr>
              <w:pStyle w:val="affffd"/>
              <w:spacing w:line="240" w:lineRule="auto"/>
              <w:rPr>
                <w:rFonts w:hAnsi="Times New Roman"/>
              </w:rPr>
            </w:pPr>
          </w:p>
        </w:tc>
        <w:tc>
          <w:tcPr>
            <w:tcW w:w="1687" w:type="dxa"/>
            <w:vMerge w:val="restart"/>
            <w:vAlign w:val="center"/>
          </w:tcPr>
          <w:p w14:paraId="04337CD4" w14:textId="77777777" w:rsidR="00C27509" w:rsidRDefault="00C27509" w:rsidP="00747ECF">
            <w:pPr>
              <w:pStyle w:val="affffd"/>
              <w:spacing w:line="240" w:lineRule="auto"/>
              <w:rPr>
                <w:rFonts w:hAnsi="Times New Roman"/>
              </w:rPr>
            </w:pPr>
            <w:r>
              <w:rPr>
                <w:rFonts w:ascii="Times New Roman" w:eastAsia="宋体" w:hAnsi="Times New Roman" w:cs="Times New Roman"/>
              </w:rPr>
              <w:t>除臭系统</w:t>
            </w:r>
          </w:p>
        </w:tc>
        <w:tc>
          <w:tcPr>
            <w:tcW w:w="1498" w:type="dxa"/>
            <w:vAlign w:val="center"/>
          </w:tcPr>
          <w:p w14:paraId="464892E1" w14:textId="77777777" w:rsidR="00C27509" w:rsidRDefault="00C27509" w:rsidP="00747ECF">
            <w:pPr>
              <w:pStyle w:val="affffd"/>
              <w:spacing w:line="240" w:lineRule="auto"/>
              <w:rPr>
                <w:rFonts w:hAnsi="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1594" w:type="dxa"/>
            <w:vAlign w:val="center"/>
          </w:tcPr>
          <w:p w14:paraId="69378E9D" w14:textId="04772A33" w:rsidR="00C27509" w:rsidRPr="004114EF" w:rsidRDefault="004114EF" w:rsidP="004114EF">
            <w:pPr>
              <w:pStyle w:val="affffd"/>
              <w:spacing w:line="240" w:lineRule="auto"/>
              <w:rPr>
                <w:rFonts w:hAnsi="Times New Roman"/>
                <w:color w:val="FF0000"/>
              </w:rPr>
            </w:pPr>
            <w:r w:rsidRPr="004114EF">
              <w:rPr>
                <w:rFonts w:ascii="Times New Roman" w:eastAsia="宋体" w:hAnsi="Times New Roman" w:cs="Times New Roman" w:hint="eastAsia"/>
                <w:color w:val="FF0000"/>
              </w:rPr>
              <w:t>4</w:t>
            </w:r>
            <w:r w:rsidRPr="004114EF">
              <w:rPr>
                <w:rFonts w:ascii="Times New Roman" w:eastAsia="宋体" w:hAnsi="Times New Roman" w:cs="Times New Roman"/>
                <w:color w:val="FF0000"/>
              </w:rPr>
              <w:t>0.48</w:t>
            </w:r>
            <w:r w:rsidR="00C27509" w:rsidRPr="004114EF">
              <w:rPr>
                <w:rFonts w:ascii="Times New Roman" w:eastAsia="宋体" w:hAnsi="Times New Roman" w:cs="Times New Roman"/>
                <w:color w:val="FF0000"/>
              </w:rPr>
              <w:t>mg/m</w:t>
            </w:r>
            <w:r w:rsidR="00C27509" w:rsidRPr="004114EF">
              <w:rPr>
                <w:rFonts w:ascii="Times New Roman" w:eastAsia="宋体" w:hAnsi="Times New Roman" w:cs="Times New Roman"/>
                <w:color w:val="FF0000"/>
                <w:vertAlign w:val="superscript"/>
              </w:rPr>
              <w:t>3</w:t>
            </w:r>
            <w:r w:rsidR="00C27509" w:rsidRPr="004114EF">
              <w:rPr>
                <w:rFonts w:ascii="Times New Roman" w:eastAsia="宋体" w:hAnsi="Times New Roman" w:cs="Times New Roman"/>
                <w:color w:val="FF0000"/>
              </w:rPr>
              <w:t>,</w:t>
            </w:r>
            <w:r w:rsidRPr="004114EF">
              <w:rPr>
                <w:rFonts w:ascii="Times New Roman" w:eastAsia="宋体" w:hAnsi="Times New Roman" w:cs="Times New Roman"/>
                <w:color w:val="FF0000"/>
              </w:rPr>
              <w:t>3.54</w:t>
            </w:r>
            <w:r w:rsidR="00C27509" w:rsidRPr="004114EF">
              <w:rPr>
                <w:rFonts w:ascii="Times New Roman" w:eastAsia="宋体" w:hAnsi="Times New Roman" w:cs="Times New Roman"/>
                <w:color w:val="FF0000"/>
              </w:rPr>
              <w:t>t/a</w:t>
            </w:r>
          </w:p>
        </w:tc>
        <w:tc>
          <w:tcPr>
            <w:tcW w:w="1526" w:type="dxa"/>
            <w:vAlign w:val="center"/>
          </w:tcPr>
          <w:p w14:paraId="136704D0" w14:textId="523D1015" w:rsidR="00C27509" w:rsidRPr="004114EF" w:rsidRDefault="004114EF" w:rsidP="004114EF">
            <w:pPr>
              <w:pStyle w:val="affffd"/>
              <w:spacing w:line="240" w:lineRule="auto"/>
              <w:rPr>
                <w:rFonts w:hAnsi="Times New Roman"/>
                <w:color w:val="FF0000"/>
              </w:rPr>
            </w:pPr>
            <w:r w:rsidRPr="004114EF">
              <w:rPr>
                <w:rFonts w:ascii="Times New Roman" w:eastAsia="宋体" w:hAnsi="Times New Roman" w:cs="Times New Roman"/>
                <w:color w:val="FF0000"/>
              </w:rPr>
              <w:t>2.024</w:t>
            </w:r>
            <w:r w:rsidR="00C27509" w:rsidRPr="004114EF">
              <w:rPr>
                <w:rFonts w:ascii="Times New Roman" w:eastAsia="宋体" w:hAnsi="Times New Roman" w:cs="Times New Roman"/>
                <w:color w:val="FF0000"/>
              </w:rPr>
              <w:t>mg/m</w:t>
            </w:r>
            <w:r w:rsidR="00C27509" w:rsidRPr="004114EF">
              <w:rPr>
                <w:rFonts w:ascii="Times New Roman" w:eastAsia="宋体" w:hAnsi="Times New Roman" w:cs="Times New Roman"/>
                <w:color w:val="FF0000"/>
                <w:vertAlign w:val="superscript"/>
              </w:rPr>
              <w:t>3</w:t>
            </w:r>
            <w:r w:rsidR="00C27509" w:rsidRPr="004114EF">
              <w:rPr>
                <w:rFonts w:ascii="Times New Roman" w:eastAsia="宋体" w:hAnsi="Times New Roman" w:cs="Times New Roman"/>
                <w:color w:val="FF0000"/>
              </w:rPr>
              <w:t>,0.1</w:t>
            </w:r>
            <w:r w:rsidRPr="004114EF">
              <w:rPr>
                <w:rFonts w:ascii="Times New Roman" w:eastAsia="宋体" w:hAnsi="Times New Roman" w:cs="Times New Roman"/>
                <w:color w:val="FF0000"/>
              </w:rPr>
              <w:t>77</w:t>
            </w:r>
            <w:r w:rsidR="00C27509" w:rsidRPr="004114EF">
              <w:rPr>
                <w:rFonts w:ascii="Times New Roman" w:eastAsia="宋体" w:hAnsi="Times New Roman" w:cs="Times New Roman"/>
                <w:color w:val="FF0000"/>
              </w:rPr>
              <w:t>t/a</w:t>
            </w:r>
          </w:p>
        </w:tc>
        <w:tc>
          <w:tcPr>
            <w:tcW w:w="1272" w:type="dxa"/>
            <w:vAlign w:val="center"/>
          </w:tcPr>
          <w:p w14:paraId="723068FD" w14:textId="610A7CBE" w:rsidR="00C27509" w:rsidRPr="004114EF" w:rsidRDefault="004114EF" w:rsidP="00747ECF">
            <w:pPr>
              <w:pStyle w:val="affffd"/>
              <w:spacing w:line="240" w:lineRule="auto"/>
              <w:rPr>
                <w:rFonts w:hAnsi="Times New Roman"/>
                <w:color w:val="FF0000"/>
              </w:rPr>
            </w:pPr>
            <w:r w:rsidRPr="004114EF">
              <w:rPr>
                <w:rFonts w:ascii="Times New Roman" w:eastAsia="宋体" w:hAnsi="Times New Roman" w:cs="Times New Roman"/>
                <w:color w:val="FF0000"/>
              </w:rPr>
              <w:t>0.020</w:t>
            </w:r>
          </w:p>
        </w:tc>
        <w:tc>
          <w:tcPr>
            <w:tcW w:w="1551" w:type="dxa"/>
            <w:vMerge w:val="restart"/>
            <w:vAlign w:val="center"/>
          </w:tcPr>
          <w:p w14:paraId="4638B26A" w14:textId="77777777" w:rsidR="00C27509" w:rsidRDefault="00C27509" w:rsidP="00747ECF">
            <w:pPr>
              <w:pStyle w:val="affffd"/>
              <w:spacing w:line="240" w:lineRule="auto"/>
              <w:rPr>
                <w:rFonts w:hAnsi="Times New Roman"/>
              </w:rPr>
            </w:pPr>
            <w:r>
              <w:rPr>
                <w:rFonts w:ascii="Times New Roman" w:eastAsia="宋体" w:hAnsi="Times New Roman" w:cs="Times New Roman"/>
              </w:rPr>
              <w:t>有组织</w:t>
            </w:r>
          </w:p>
        </w:tc>
        <w:tc>
          <w:tcPr>
            <w:tcW w:w="1997" w:type="dxa"/>
            <w:vMerge w:val="restart"/>
            <w:vAlign w:val="center"/>
          </w:tcPr>
          <w:p w14:paraId="082153C5" w14:textId="77777777" w:rsidR="00C27509" w:rsidRDefault="00C27509" w:rsidP="00747ECF">
            <w:pPr>
              <w:pStyle w:val="affffd"/>
              <w:spacing w:line="240" w:lineRule="auto"/>
              <w:rPr>
                <w:rFonts w:hAnsi="Times New Roman"/>
              </w:rPr>
            </w:pPr>
            <w:r>
              <w:rPr>
                <w:rFonts w:ascii="Times New Roman" w:eastAsia="宋体" w:hAnsi="Times New Roman" w:cs="Times New Roman"/>
              </w:rPr>
              <w:t>加盖密封，喷洒除臭剂</w:t>
            </w:r>
          </w:p>
        </w:tc>
        <w:tc>
          <w:tcPr>
            <w:tcW w:w="2916" w:type="dxa"/>
            <w:vMerge/>
            <w:vAlign w:val="center"/>
          </w:tcPr>
          <w:p w14:paraId="01975615" w14:textId="77777777" w:rsidR="00C27509" w:rsidRDefault="00C27509" w:rsidP="00747ECF">
            <w:pPr>
              <w:pStyle w:val="affffd"/>
              <w:spacing w:line="240" w:lineRule="auto"/>
              <w:rPr>
                <w:rFonts w:hAnsi="Times New Roman"/>
              </w:rPr>
            </w:pPr>
          </w:p>
        </w:tc>
      </w:tr>
      <w:tr w:rsidR="00C27509" w14:paraId="481D29E8" w14:textId="77777777" w:rsidTr="00747ECF">
        <w:trPr>
          <w:trHeight w:val="20"/>
          <w:jc w:val="center"/>
        </w:trPr>
        <w:tc>
          <w:tcPr>
            <w:tcW w:w="700" w:type="dxa"/>
            <w:vMerge/>
            <w:vAlign w:val="center"/>
          </w:tcPr>
          <w:p w14:paraId="6C37110D" w14:textId="77777777" w:rsidR="00C27509" w:rsidRDefault="00C27509" w:rsidP="00747ECF">
            <w:pPr>
              <w:pStyle w:val="affffd"/>
              <w:spacing w:line="240" w:lineRule="auto"/>
              <w:rPr>
                <w:rFonts w:hAnsi="Times New Roman"/>
              </w:rPr>
            </w:pPr>
          </w:p>
        </w:tc>
        <w:tc>
          <w:tcPr>
            <w:tcW w:w="1687" w:type="dxa"/>
            <w:vMerge/>
            <w:vAlign w:val="center"/>
          </w:tcPr>
          <w:p w14:paraId="1796145A" w14:textId="77777777" w:rsidR="00C27509" w:rsidRDefault="00C27509" w:rsidP="00747ECF">
            <w:pPr>
              <w:pStyle w:val="affffd"/>
              <w:spacing w:line="240" w:lineRule="auto"/>
              <w:rPr>
                <w:rFonts w:hAnsi="Times New Roman"/>
              </w:rPr>
            </w:pPr>
          </w:p>
        </w:tc>
        <w:tc>
          <w:tcPr>
            <w:tcW w:w="1498" w:type="dxa"/>
            <w:vAlign w:val="center"/>
          </w:tcPr>
          <w:p w14:paraId="73977CDC" w14:textId="77777777" w:rsidR="00C27509" w:rsidRDefault="00C27509" w:rsidP="00747ECF">
            <w:pPr>
              <w:pStyle w:val="affffd"/>
              <w:spacing w:line="240" w:lineRule="auto"/>
              <w:rPr>
                <w:rFonts w:hAnsi="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1594" w:type="dxa"/>
            <w:vAlign w:val="center"/>
          </w:tcPr>
          <w:p w14:paraId="159DFEA8" w14:textId="39442478" w:rsidR="00C27509" w:rsidRPr="004114EF" w:rsidRDefault="00C27509" w:rsidP="004114EF">
            <w:pPr>
              <w:pStyle w:val="affffd"/>
              <w:spacing w:line="240" w:lineRule="auto"/>
              <w:rPr>
                <w:rFonts w:hAnsi="Times New Roman"/>
                <w:color w:val="FF0000"/>
              </w:rPr>
            </w:pPr>
            <w:r w:rsidRPr="004114EF">
              <w:rPr>
                <w:rFonts w:ascii="Times New Roman" w:eastAsia="宋体" w:hAnsi="Times New Roman" w:cs="Times New Roman"/>
                <w:color w:val="FF0000"/>
              </w:rPr>
              <w:t>0.5</w:t>
            </w:r>
            <w:r w:rsidR="004114EF" w:rsidRPr="004114EF">
              <w:rPr>
                <w:rFonts w:ascii="Times New Roman" w:eastAsia="宋体" w:hAnsi="Times New Roman" w:cs="Times New Roman"/>
                <w:color w:val="FF0000"/>
              </w:rPr>
              <w:t>6</w:t>
            </w:r>
            <w:r w:rsidRPr="004114EF">
              <w:rPr>
                <w:rFonts w:ascii="Times New Roman" w:eastAsia="宋体" w:hAnsi="Times New Roman" w:cs="Times New Roman"/>
                <w:color w:val="FF0000"/>
              </w:rPr>
              <w:t>mg/m</w:t>
            </w:r>
            <w:r w:rsidRPr="004114EF">
              <w:rPr>
                <w:rFonts w:ascii="Times New Roman" w:eastAsia="宋体" w:hAnsi="Times New Roman" w:cs="Times New Roman"/>
                <w:color w:val="FF0000"/>
                <w:vertAlign w:val="superscript"/>
              </w:rPr>
              <w:t>3</w:t>
            </w:r>
            <w:r w:rsidRPr="004114EF">
              <w:rPr>
                <w:rFonts w:ascii="Times New Roman" w:eastAsia="宋体" w:hAnsi="Times New Roman" w:cs="Times New Roman"/>
                <w:color w:val="FF0000"/>
              </w:rPr>
              <w:t>,0.0</w:t>
            </w:r>
            <w:r w:rsidR="004114EF" w:rsidRPr="004114EF">
              <w:rPr>
                <w:rFonts w:ascii="Times New Roman" w:eastAsia="宋体" w:hAnsi="Times New Roman" w:cs="Times New Roman"/>
                <w:color w:val="FF0000"/>
              </w:rPr>
              <w:t>4t/a</w:t>
            </w:r>
          </w:p>
        </w:tc>
        <w:tc>
          <w:tcPr>
            <w:tcW w:w="1526" w:type="dxa"/>
            <w:vAlign w:val="center"/>
          </w:tcPr>
          <w:p w14:paraId="693F3AE3" w14:textId="15A5B239" w:rsidR="00C27509" w:rsidRPr="004114EF" w:rsidRDefault="00C27509" w:rsidP="004114EF">
            <w:pPr>
              <w:pStyle w:val="affffd"/>
              <w:spacing w:line="240" w:lineRule="auto"/>
              <w:rPr>
                <w:rFonts w:hAnsi="Times New Roman"/>
                <w:color w:val="FF0000"/>
              </w:rPr>
            </w:pPr>
            <w:r w:rsidRPr="004114EF">
              <w:rPr>
                <w:rFonts w:ascii="Times New Roman" w:eastAsia="宋体" w:hAnsi="Times New Roman" w:cs="Times New Roman"/>
                <w:color w:val="FF0000"/>
              </w:rPr>
              <w:t>0.02</w:t>
            </w:r>
            <w:r w:rsidR="004114EF" w:rsidRPr="004114EF">
              <w:rPr>
                <w:rFonts w:ascii="Times New Roman" w:eastAsia="宋体" w:hAnsi="Times New Roman" w:cs="Times New Roman"/>
                <w:color w:val="FF0000"/>
              </w:rPr>
              <w:t>8</w:t>
            </w:r>
            <w:r w:rsidRPr="004114EF">
              <w:rPr>
                <w:rFonts w:ascii="Times New Roman" w:eastAsia="宋体" w:hAnsi="Times New Roman" w:cs="Times New Roman"/>
                <w:color w:val="FF0000"/>
              </w:rPr>
              <w:t>mg/m</w:t>
            </w:r>
            <w:r w:rsidRPr="004114EF">
              <w:rPr>
                <w:rFonts w:ascii="Times New Roman" w:eastAsia="宋体" w:hAnsi="Times New Roman" w:cs="Times New Roman"/>
                <w:color w:val="FF0000"/>
                <w:vertAlign w:val="superscript"/>
              </w:rPr>
              <w:t>3</w:t>
            </w:r>
            <w:r w:rsidRPr="004114EF">
              <w:rPr>
                <w:rFonts w:ascii="Times New Roman" w:eastAsia="宋体" w:hAnsi="Times New Roman" w:cs="Times New Roman"/>
                <w:color w:val="FF0000"/>
              </w:rPr>
              <w:t>,0.00</w:t>
            </w:r>
            <w:r w:rsidR="004114EF" w:rsidRPr="004114EF">
              <w:rPr>
                <w:rFonts w:ascii="Times New Roman" w:eastAsia="宋体" w:hAnsi="Times New Roman" w:cs="Times New Roman"/>
                <w:color w:val="FF0000"/>
              </w:rPr>
              <w:t>2</w:t>
            </w:r>
            <w:r w:rsidRPr="004114EF">
              <w:rPr>
                <w:rFonts w:ascii="Times New Roman" w:eastAsia="宋体" w:hAnsi="Times New Roman" w:cs="Times New Roman"/>
                <w:color w:val="FF0000"/>
              </w:rPr>
              <w:t>t/a</w:t>
            </w:r>
          </w:p>
        </w:tc>
        <w:tc>
          <w:tcPr>
            <w:tcW w:w="1272" w:type="dxa"/>
            <w:vAlign w:val="center"/>
          </w:tcPr>
          <w:p w14:paraId="39C2F7B9" w14:textId="23020EAE" w:rsidR="00C27509" w:rsidRPr="004114EF" w:rsidRDefault="00C27509" w:rsidP="004114EF">
            <w:pPr>
              <w:pStyle w:val="affffd"/>
              <w:spacing w:line="240" w:lineRule="auto"/>
              <w:rPr>
                <w:rFonts w:hAnsi="Times New Roman"/>
                <w:color w:val="FF0000"/>
              </w:rPr>
            </w:pPr>
            <w:r w:rsidRPr="004114EF">
              <w:rPr>
                <w:rFonts w:ascii="Times New Roman" w:eastAsia="宋体" w:hAnsi="Times New Roman" w:cs="Times New Roman"/>
                <w:color w:val="FF0000"/>
              </w:rPr>
              <w:t>0.000</w:t>
            </w:r>
            <w:r w:rsidR="004114EF" w:rsidRPr="004114EF">
              <w:rPr>
                <w:rFonts w:ascii="Times New Roman" w:eastAsia="宋体" w:hAnsi="Times New Roman" w:cs="Times New Roman"/>
                <w:color w:val="FF0000"/>
              </w:rPr>
              <w:t>3</w:t>
            </w:r>
          </w:p>
        </w:tc>
        <w:tc>
          <w:tcPr>
            <w:tcW w:w="1551" w:type="dxa"/>
            <w:vMerge/>
            <w:vAlign w:val="center"/>
          </w:tcPr>
          <w:p w14:paraId="07A64535" w14:textId="77777777" w:rsidR="00C27509" w:rsidRDefault="00C27509" w:rsidP="00747ECF">
            <w:pPr>
              <w:pStyle w:val="affffd"/>
              <w:spacing w:line="240" w:lineRule="auto"/>
              <w:rPr>
                <w:rFonts w:hAnsi="Times New Roman"/>
              </w:rPr>
            </w:pPr>
          </w:p>
        </w:tc>
        <w:tc>
          <w:tcPr>
            <w:tcW w:w="1997" w:type="dxa"/>
            <w:vMerge/>
            <w:vAlign w:val="center"/>
          </w:tcPr>
          <w:p w14:paraId="10B9C34B" w14:textId="77777777" w:rsidR="00C27509" w:rsidRDefault="00C27509" w:rsidP="00747ECF">
            <w:pPr>
              <w:pStyle w:val="affffd"/>
              <w:spacing w:line="240" w:lineRule="auto"/>
              <w:rPr>
                <w:rFonts w:hAnsi="Times New Roman"/>
              </w:rPr>
            </w:pPr>
          </w:p>
        </w:tc>
        <w:tc>
          <w:tcPr>
            <w:tcW w:w="2916" w:type="dxa"/>
            <w:vMerge/>
            <w:vAlign w:val="center"/>
          </w:tcPr>
          <w:p w14:paraId="4185E133" w14:textId="77777777" w:rsidR="00C27509" w:rsidRDefault="00C27509" w:rsidP="00747ECF">
            <w:pPr>
              <w:pStyle w:val="affffd"/>
              <w:spacing w:line="240" w:lineRule="auto"/>
              <w:rPr>
                <w:rFonts w:hAnsi="Times New Roman"/>
              </w:rPr>
            </w:pPr>
          </w:p>
        </w:tc>
      </w:tr>
      <w:tr w:rsidR="004114EF" w14:paraId="0B74022F" w14:textId="77777777" w:rsidTr="00747ECF">
        <w:trPr>
          <w:trHeight w:val="20"/>
          <w:jc w:val="center"/>
        </w:trPr>
        <w:tc>
          <w:tcPr>
            <w:tcW w:w="700" w:type="dxa"/>
            <w:vMerge/>
            <w:vAlign w:val="center"/>
          </w:tcPr>
          <w:p w14:paraId="21DD94F5" w14:textId="77777777" w:rsidR="004114EF" w:rsidRDefault="004114EF" w:rsidP="004114EF">
            <w:pPr>
              <w:pStyle w:val="affffd"/>
              <w:spacing w:line="240" w:lineRule="auto"/>
              <w:rPr>
                <w:rFonts w:hAnsi="Times New Roman"/>
              </w:rPr>
            </w:pPr>
          </w:p>
        </w:tc>
        <w:tc>
          <w:tcPr>
            <w:tcW w:w="1687" w:type="dxa"/>
            <w:vMerge w:val="restart"/>
            <w:vAlign w:val="center"/>
          </w:tcPr>
          <w:p w14:paraId="4CA82F27" w14:textId="77777777" w:rsidR="004114EF" w:rsidRDefault="004114EF" w:rsidP="004114EF">
            <w:pPr>
              <w:pStyle w:val="affffd"/>
              <w:spacing w:line="240" w:lineRule="auto"/>
              <w:rPr>
                <w:rFonts w:hAnsi="Times New Roman"/>
              </w:rPr>
            </w:pPr>
            <w:r>
              <w:rPr>
                <w:rFonts w:ascii="Times New Roman" w:eastAsia="宋体" w:hAnsi="Times New Roman" w:cs="Times New Roman"/>
              </w:rPr>
              <w:t>渗滤液调节池</w:t>
            </w:r>
          </w:p>
        </w:tc>
        <w:tc>
          <w:tcPr>
            <w:tcW w:w="1498" w:type="dxa"/>
            <w:vAlign w:val="center"/>
          </w:tcPr>
          <w:p w14:paraId="6B25D530" w14:textId="77777777" w:rsidR="004114EF" w:rsidRDefault="004114EF" w:rsidP="004114EF">
            <w:pPr>
              <w:pStyle w:val="affffd"/>
              <w:spacing w:line="240" w:lineRule="auto"/>
              <w:rPr>
                <w:rFonts w:hAnsi="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1594" w:type="dxa"/>
            <w:vAlign w:val="center"/>
          </w:tcPr>
          <w:p w14:paraId="25709377" w14:textId="41639C4D"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0.06307</w:t>
            </w:r>
            <w:r w:rsidRPr="004114EF">
              <w:rPr>
                <w:rFonts w:ascii="Times New Roman" w:eastAsia="宋体" w:hAnsi="Times New Roman" w:cs="Times New Roman"/>
                <w:color w:val="FF0000"/>
              </w:rPr>
              <w:t xml:space="preserve"> </w:t>
            </w:r>
            <w:r w:rsidRPr="004114EF">
              <w:rPr>
                <w:rFonts w:ascii="Times New Roman" w:eastAsia="宋体" w:hAnsi="Times New Roman" w:cs="Times New Roman"/>
                <w:color w:val="FF0000"/>
              </w:rPr>
              <w:t>t/a</w:t>
            </w:r>
            <w:r w:rsidRPr="004114EF">
              <w:rPr>
                <w:rFonts w:ascii="Times New Roman" w:eastAsia="宋体" w:hAnsi="Times New Roman" w:cs="Times New Roman"/>
                <w:color w:val="FF0000"/>
              </w:rPr>
              <w:t xml:space="preserve"> </w:t>
            </w:r>
            <w:r w:rsidRPr="004114EF">
              <w:rPr>
                <w:rFonts w:ascii="Times New Roman" w:eastAsia="宋体" w:hAnsi="Times New Roman" w:cs="Times New Roman"/>
                <w:color w:val="FF0000"/>
              </w:rPr>
              <w:t xml:space="preserve"> </w:t>
            </w:r>
          </w:p>
        </w:tc>
        <w:tc>
          <w:tcPr>
            <w:tcW w:w="1526" w:type="dxa"/>
            <w:vAlign w:val="center"/>
          </w:tcPr>
          <w:p w14:paraId="6AD60DFA" w14:textId="71EC4C59"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0.06307 t/a</w:t>
            </w:r>
          </w:p>
        </w:tc>
        <w:tc>
          <w:tcPr>
            <w:tcW w:w="1272" w:type="dxa"/>
            <w:vAlign w:val="center"/>
          </w:tcPr>
          <w:p w14:paraId="30E3102E" w14:textId="6C519AA4"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 xml:space="preserve">0.00720 </w:t>
            </w:r>
          </w:p>
        </w:tc>
        <w:tc>
          <w:tcPr>
            <w:tcW w:w="1551" w:type="dxa"/>
            <w:vMerge w:val="restart"/>
            <w:vAlign w:val="center"/>
          </w:tcPr>
          <w:p w14:paraId="11F07EF8" w14:textId="77777777" w:rsidR="004114EF" w:rsidRDefault="004114EF" w:rsidP="004114EF">
            <w:pPr>
              <w:pStyle w:val="affffd"/>
              <w:spacing w:line="240" w:lineRule="auto"/>
              <w:rPr>
                <w:rFonts w:hAnsi="Times New Roman"/>
              </w:rPr>
            </w:pPr>
            <w:r>
              <w:rPr>
                <w:rFonts w:ascii="Times New Roman" w:eastAsia="宋体" w:hAnsi="Times New Roman" w:cs="Times New Roman"/>
              </w:rPr>
              <w:t>无组织</w:t>
            </w:r>
          </w:p>
        </w:tc>
        <w:tc>
          <w:tcPr>
            <w:tcW w:w="1997" w:type="dxa"/>
            <w:vMerge w:val="restart"/>
            <w:vAlign w:val="center"/>
          </w:tcPr>
          <w:p w14:paraId="5243A3CB" w14:textId="77777777" w:rsidR="004114EF" w:rsidRDefault="004114EF" w:rsidP="004114EF">
            <w:pPr>
              <w:pStyle w:val="affffd"/>
              <w:spacing w:line="240" w:lineRule="auto"/>
              <w:rPr>
                <w:rFonts w:hAnsi="Times New Roman"/>
              </w:rPr>
            </w:pPr>
            <w:r>
              <w:rPr>
                <w:rFonts w:ascii="Times New Roman" w:eastAsia="宋体" w:hAnsi="Times New Roman" w:cs="Times New Roman"/>
              </w:rPr>
              <w:t>收集池密闭加盖，定期喷洒除臭剂</w:t>
            </w:r>
          </w:p>
        </w:tc>
        <w:tc>
          <w:tcPr>
            <w:tcW w:w="2916" w:type="dxa"/>
            <w:vMerge/>
            <w:vAlign w:val="center"/>
          </w:tcPr>
          <w:p w14:paraId="07EF8954" w14:textId="77777777" w:rsidR="004114EF" w:rsidRDefault="004114EF" w:rsidP="004114EF">
            <w:pPr>
              <w:pStyle w:val="affffd"/>
              <w:spacing w:line="240" w:lineRule="auto"/>
              <w:rPr>
                <w:rFonts w:hAnsi="Times New Roman"/>
              </w:rPr>
            </w:pPr>
          </w:p>
        </w:tc>
      </w:tr>
      <w:tr w:rsidR="004114EF" w14:paraId="2171DFB5" w14:textId="77777777" w:rsidTr="00747ECF">
        <w:trPr>
          <w:trHeight w:val="20"/>
          <w:jc w:val="center"/>
        </w:trPr>
        <w:tc>
          <w:tcPr>
            <w:tcW w:w="700" w:type="dxa"/>
            <w:vMerge/>
            <w:vAlign w:val="center"/>
          </w:tcPr>
          <w:p w14:paraId="7C846E0E" w14:textId="77777777" w:rsidR="004114EF" w:rsidRDefault="004114EF" w:rsidP="004114EF">
            <w:pPr>
              <w:pStyle w:val="affffd"/>
              <w:spacing w:line="240" w:lineRule="auto"/>
              <w:rPr>
                <w:rFonts w:hAnsi="Times New Roman"/>
              </w:rPr>
            </w:pPr>
          </w:p>
        </w:tc>
        <w:tc>
          <w:tcPr>
            <w:tcW w:w="1687" w:type="dxa"/>
            <w:vMerge/>
            <w:vAlign w:val="center"/>
          </w:tcPr>
          <w:p w14:paraId="7F7F1CFF" w14:textId="77777777" w:rsidR="004114EF" w:rsidRDefault="004114EF" w:rsidP="004114EF">
            <w:pPr>
              <w:pStyle w:val="affffd"/>
              <w:spacing w:line="240" w:lineRule="auto"/>
              <w:rPr>
                <w:rFonts w:hAnsi="Times New Roman"/>
              </w:rPr>
            </w:pPr>
          </w:p>
        </w:tc>
        <w:tc>
          <w:tcPr>
            <w:tcW w:w="1498" w:type="dxa"/>
            <w:vAlign w:val="center"/>
          </w:tcPr>
          <w:p w14:paraId="4A88640A" w14:textId="77777777" w:rsidR="004114EF" w:rsidRDefault="004114EF" w:rsidP="004114EF">
            <w:pPr>
              <w:pStyle w:val="affffd"/>
              <w:spacing w:line="240" w:lineRule="auto"/>
              <w:rPr>
                <w:rFonts w:hAnsi="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1594" w:type="dxa"/>
            <w:vAlign w:val="center"/>
          </w:tcPr>
          <w:p w14:paraId="6D72A1C8" w14:textId="56A45D11"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0.00088 t/a</w:t>
            </w:r>
          </w:p>
        </w:tc>
        <w:tc>
          <w:tcPr>
            <w:tcW w:w="1526" w:type="dxa"/>
            <w:vAlign w:val="center"/>
          </w:tcPr>
          <w:p w14:paraId="61B560CD" w14:textId="28F44E6C"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 xml:space="preserve">0.00088 </w:t>
            </w:r>
            <w:r w:rsidRPr="004114EF">
              <w:rPr>
                <w:rFonts w:ascii="Times New Roman" w:eastAsia="宋体" w:hAnsi="Times New Roman" w:cs="Times New Roman"/>
                <w:color w:val="FF0000"/>
              </w:rPr>
              <w:t>t/a</w:t>
            </w:r>
          </w:p>
        </w:tc>
        <w:tc>
          <w:tcPr>
            <w:tcW w:w="1272" w:type="dxa"/>
            <w:vAlign w:val="center"/>
          </w:tcPr>
          <w:p w14:paraId="064F8F17" w14:textId="5BE7D35B"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 xml:space="preserve">0.00010 </w:t>
            </w:r>
          </w:p>
        </w:tc>
        <w:tc>
          <w:tcPr>
            <w:tcW w:w="1551" w:type="dxa"/>
            <w:vMerge/>
            <w:vAlign w:val="center"/>
          </w:tcPr>
          <w:p w14:paraId="35310713" w14:textId="77777777" w:rsidR="004114EF" w:rsidRDefault="004114EF" w:rsidP="004114EF">
            <w:pPr>
              <w:pStyle w:val="affffd"/>
              <w:spacing w:line="240" w:lineRule="auto"/>
              <w:rPr>
                <w:rFonts w:hAnsi="Times New Roman"/>
              </w:rPr>
            </w:pPr>
          </w:p>
        </w:tc>
        <w:tc>
          <w:tcPr>
            <w:tcW w:w="1997" w:type="dxa"/>
            <w:vMerge/>
            <w:vAlign w:val="center"/>
          </w:tcPr>
          <w:p w14:paraId="34E933B4" w14:textId="77777777" w:rsidR="004114EF" w:rsidRDefault="004114EF" w:rsidP="004114EF">
            <w:pPr>
              <w:pStyle w:val="affffd"/>
              <w:spacing w:line="240" w:lineRule="auto"/>
              <w:rPr>
                <w:rFonts w:hAnsi="Times New Roman"/>
              </w:rPr>
            </w:pPr>
          </w:p>
        </w:tc>
        <w:tc>
          <w:tcPr>
            <w:tcW w:w="2916" w:type="dxa"/>
            <w:vMerge/>
            <w:vAlign w:val="center"/>
          </w:tcPr>
          <w:p w14:paraId="71714506" w14:textId="77777777" w:rsidR="004114EF" w:rsidRDefault="004114EF" w:rsidP="004114EF">
            <w:pPr>
              <w:pStyle w:val="affffd"/>
              <w:spacing w:line="240" w:lineRule="auto"/>
              <w:rPr>
                <w:rFonts w:hAnsi="Times New Roman"/>
              </w:rPr>
            </w:pPr>
          </w:p>
        </w:tc>
      </w:tr>
      <w:tr w:rsidR="004114EF" w14:paraId="7B3C19E3" w14:textId="77777777" w:rsidTr="00747ECF">
        <w:trPr>
          <w:trHeight w:val="20"/>
          <w:jc w:val="center"/>
        </w:trPr>
        <w:tc>
          <w:tcPr>
            <w:tcW w:w="700" w:type="dxa"/>
            <w:vMerge/>
            <w:vAlign w:val="center"/>
          </w:tcPr>
          <w:p w14:paraId="289FE538" w14:textId="77777777" w:rsidR="004114EF" w:rsidRDefault="004114EF" w:rsidP="004114EF">
            <w:pPr>
              <w:pStyle w:val="affffd"/>
              <w:spacing w:line="240" w:lineRule="auto"/>
              <w:rPr>
                <w:rFonts w:hAnsi="Times New Roman"/>
              </w:rPr>
            </w:pPr>
          </w:p>
        </w:tc>
        <w:tc>
          <w:tcPr>
            <w:tcW w:w="1687" w:type="dxa"/>
            <w:vMerge w:val="restart"/>
            <w:vAlign w:val="center"/>
          </w:tcPr>
          <w:p w14:paraId="19294D3E" w14:textId="77777777" w:rsidR="004114EF" w:rsidRDefault="004114EF" w:rsidP="004114EF">
            <w:pPr>
              <w:pStyle w:val="affffd"/>
              <w:spacing w:line="240" w:lineRule="auto"/>
              <w:rPr>
                <w:rFonts w:hAnsi="Times New Roman"/>
              </w:rPr>
            </w:pPr>
            <w:r>
              <w:rPr>
                <w:rFonts w:ascii="Times New Roman" w:eastAsia="宋体" w:hAnsi="Times New Roman" w:cs="Times New Roman"/>
              </w:rPr>
              <w:t>渗滤液处理站</w:t>
            </w:r>
          </w:p>
        </w:tc>
        <w:tc>
          <w:tcPr>
            <w:tcW w:w="1498" w:type="dxa"/>
            <w:vAlign w:val="center"/>
          </w:tcPr>
          <w:p w14:paraId="60850A54" w14:textId="77777777" w:rsidR="004114EF" w:rsidRDefault="004114EF" w:rsidP="004114EF">
            <w:pPr>
              <w:pStyle w:val="affffd"/>
              <w:spacing w:line="240" w:lineRule="auto"/>
              <w:rPr>
                <w:rFonts w:hAnsi="Times New Roman"/>
              </w:rPr>
            </w:pPr>
            <w:r>
              <w:rPr>
                <w:rFonts w:ascii="Times New Roman" w:eastAsia="宋体" w:hAnsi="Times New Roman" w:cs="Times New Roman"/>
              </w:rPr>
              <w:t>NH</w:t>
            </w:r>
            <w:r>
              <w:rPr>
                <w:rFonts w:ascii="Times New Roman" w:eastAsia="宋体" w:hAnsi="Times New Roman" w:cs="Times New Roman"/>
                <w:vertAlign w:val="subscript"/>
              </w:rPr>
              <w:t>3</w:t>
            </w:r>
          </w:p>
        </w:tc>
        <w:tc>
          <w:tcPr>
            <w:tcW w:w="1594" w:type="dxa"/>
            <w:vAlign w:val="center"/>
          </w:tcPr>
          <w:p w14:paraId="6AEA2B4E" w14:textId="16B1D7C1"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0.12352</w:t>
            </w:r>
            <w:r w:rsidRPr="004114EF">
              <w:rPr>
                <w:rFonts w:ascii="Times New Roman" w:eastAsia="宋体" w:hAnsi="Times New Roman" w:cs="Times New Roman"/>
                <w:color w:val="FF0000"/>
              </w:rPr>
              <w:t xml:space="preserve"> </w:t>
            </w:r>
            <w:r w:rsidRPr="004114EF">
              <w:rPr>
                <w:rFonts w:ascii="Times New Roman" w:eastAsia="宋体" w:hAnsi="Times New Roman" w:cs="Times New Roman"/>
                <w:color w:val="FF0000"/>
              </w:rPr>
              <w:t>t/a</w:t>
            </w:r>
            <w:r w:rsidRPr="004114EF">
              <w:rPr>
                <w:rFonts w:ascii="Times New Roman" w:eastAsia="宋体" w:hAnsi="Times New Roman" w:cs="Times New Roman"/>
                <w:color w:val="FF0000"/>
              </w:rPr>
              <w:t xml:space="preserve"> </w:t>
            </w:r>
            <w:r w:rsidRPr="004114EF">
              <w:rPr>
                <w:rFonts w:ascii="Times New Roman" w:eastAsia="宋体" w:hAnsi="Times New Roman" w:cs="Times New Roman"/>
                <w:color w:val="FF0000"/>
              </w:rPr>
              <w:t xml:space="preserve"> </w:t>
            </w:r>
          </w:p>
        </w:tc>
        <w:tc>
          <w:tcPr>
            <w:tcW w:w="1526" w:type="dxa"/>
            <w:vAlign w:val="center"/>
          </w:tcPr>
          <w:p w14:paraId="348C33AA" w14:textId="54FCBB73"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0.12352 t/a</w:t>
            </w:r>
          </w:p>
        </w:tc>
        <w:tc>
          <w:tcPr>
            <w:tcW w:w="1272" w:type="dxa"/>
            <w:vAlign w:val="center"/>
          </w:tcPr>
          <w:p w14:paraId="01A6E2FE" w14:textId="10C1E8CF"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 xml:space="preserve">0.01410 </w:t>
            </w:r>
          </w:p>
        </w:tc>
        <w:tc>
          <w:tcPr>
            <w:tcW w:w="1551" w:type="dxa"/>
            <w:vMerge w:val="restart"/>
            <w:vAlign w:val="center"/>
          </w:tcPr>
          <w:p w14:paraId="7A5EE2C4" w14:textId="77777777" w:rsidR="004114EF" w:rsidRDefault="004114EF" w:rsidP="004114EF">
            <w:pPr>
              <w:pStyle w:val="affffd"/>
              <w:spacing w:line="240" w:lineRule="auto"/>
              <w:rPr>
                <w:rFonts w:hAnsi="Times New Roman"/>
              </w:rPr>
            </w:pPr>
            <w:r>
              <w:rPr>
                <w:rFonts w:ascii="Times New Roman" w:eastAsia="宋体" w:hAnsi="Times New Roman" w:cs="Times New Roman"/>
              </w:rPr>
              <w:t>无组织</w:t>
            </w:r>
          </w:p>
        </w:tc>
        <w:tc>
          <w:tcPr>
            <w:tcW w:w="1997" w:type="dxa"/>
            <w:vMerge w:val="restart"/>
            <w:vAlign w:val="center"/>
          </w:tcPr>
          <w:p w14:paraId="252E77C3" w14:textId="77777777" w:rsidR="004114EF" w:rsidRDefault="004114EF" w:rsidP="004114EF">
            <w:pPr>
              <w:pStyle w:val="affffd"/>
              <w:spacing w:line="240" w:lineRule="auto"/>
              <w:rPr>
                <w:rFonts w:hAnsi="Times New Roman"/>
              </w:rPr>
            </w:pPr>
            <w:r>
              <w:rPr>
                <w:rFonts w:ascii="Times New Roman" w:eastAsia="宋体" w:hAnsi="Times New Roman" w:cs="Times New Roman"/>
              </w:rPr>
              <w:t>密闭加盖，定期喷洒除臭剂</w:t>
            </w:r>
          </w:p>
        </w:tc>
        <w:tc>
          <w:tcPr>
            <w:tcW w:w="2916" w:type="dxa"/>
            <w:vMerge/>
            <w:vAlign w:val="center"/>
          </w:tcPr>
          <w:p w14:paraId="02B52AEB" w14:textId="77777777" w:rsidR="004114EF" w:rsidRDefault="004114EF" w:rsidP="004114EF">
            <w:pPr>
              <w:pStyle w:val="affffd"/>
              <w:spacing w:line="240" w:lineRule="auto"/>
              <w:rPr>
                <w:rFonts w:hAnsi="Times New Roman"/>
              </w:rPr>
            </w:pPr>
          </w:p>
        </w:tc>
      </w:tr>
      <w:tr w:rsidR="004114EF" w14:paraId="40644838" w14:textId="77777777" w:rsidTr="00747ECF">
        <w:trPr>
          <w:trHeight w:val="20"/>
          <w:jc w:val="center"/>
        </w:trPr>
        <w:tc>
          <w:tcPr>
            <w:tcW w:w="700" w:type="dxa"/>
            <w:vMerge/>
            <w:vAlign w:val="center"/>
          </w:tcPr>
          <w:p w14:paraId="4BBA133A" w14:textId="77777777" w:rsidR="004114EF" w:rsidRDefault="004114EF" w:rsidP="004114EF">
            <w:pPr>
              <w:pStyle w:val="affffd"/>
              <w:spacing w:line="240" w:lineRule="auto"/>
              <w:rPr>
                <w:rFonts w:hAnsi="Times New Roman"/>
              </w:rPr>
            </w:pPr>
          </w:p>
        </w:tc>
        <w:tc>
          <w:tcPr>
            <w:tcW w:w="1687" w:type="dxa"/>
            <w:vMerge/>
            <w:vAlign w:val="center"/>
          </w:tcPr>
          <w:p w14:paraId="3C8068EB" w14:textId="77777777" w:rsidR="004114EF" w:rsidRDefault="004114EF" w:rsidP="004114EF">
            <w:pPr>
              <w:pStyle w:val="affffd"/>
              <w:spacing w:line="240" w:lineRule="auto"/>
              <w:rPr>
                <w:rFonts w:hAnsi="Times New Roman"/>
              </w:rPr>
            </w:pPr>
          </w:p>
        </w:tc>
        <w:tc>
          <w:tcPr>
            <w:tcW w:w="1498" w:type="dxa"/>
            <w:vAlign w:val="center"/>
          </w:tcPr>
          <w:p w14:paraId="2545D8D6" w14:textId="77777777" w:rsidR="004114EF" w:rsidRDefault="004114EF" w:rsidP="004114EF">
            <w:pPr>
              <w:pStyle w:val="affffd"/>
              <w:spacing w:line="240" w:lineRule="auto"/>
              <w:rPr>
                <w:rFonts w:hAnsi="Times New Roman"/>
              </w:rPr>
            </w:pP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1594" w:type="dxa"/>
            <w:vAlign w:val="center"/>
          </w:tcPr>
          <w:p w14:paraId="039C5EF1" w14:textId="64E9F2D8"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0.00171</w:t>
            </w:r>
            <w:r w:rsidRPr="004114EF">
              <w:rPr>
                <w:rFonts w:ascii="Times New Roman" w:eastAsia="宋体" w:hAnsi="Times New Roman" w:cs="Times New Roman"/>
                <w:color w:val="FF0000"/>
              </w:rPr>
              <w:t xml:space="preserve"> </w:t>
            </w:r>
            <w:r w:rsidRPr="004114EF">
              <w:rPr>
                <w:rFonts w:ascii="Times New Roman" w:eastAsia="宋体" w:hAnsi="Times New Roman" w:cs="Times New Roman"/>
                <w:color w:val="FF0000"/>
              </w:rPr>
              <w:t>t/a</w:t>
            </w:r>
            <w:r w:rsidRPr="004114EF">
              <w:rPr>
                <w:rFonts w:ascii="Times New Roman" w:eastAsia="宋体" w:hAnsi="Times New Roman" w:cs="Times New Roman"/>
                <w:color w:val="FF0000"/>
              </w:rPr>
              <w:t xml:space="preserve"> </w:t>
            </w:r>
            <w:r w:rsidRPr="004114EF">
              <w:rPr>
                <w:rFonts w:ascii="Times New Roman" w:eastAsia="宋体" w:hAnsi="Times New Roman" w:cs="Times New Roman"/>
                <w:color w:val="FF0000"/>
              </w:rPr>
              <w:t xml:space="preserve"> </w:t>
            </w:r>
          </w:p>
        </w:tc>
        <w:tc>
          <w:tcPr>
            <w:tcW w:w="1526" w:type="dxa"/>
            <w:vAlign w:val="center"/>
          </w:tcPr>
          <w:p w14:paraId="20F2E4D2" w14:textId="53F9CB31"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0.00171 t/a</w:t>
            </w:r>
          </w:p>
        </w:tc>
        <w:tc>
          <w:tcPr>
            <w:tcW w:w="1272" w:type="dxa"/>
            <w:vAlign w:val="center"/>
          </w:tcPr>
          <w:p w14:paraId="214118A5" w14:textId="33980887" w:rsidR="004114EF" w:rsidRPr="004114EF" w:rsidRDefault="004114EF" w:rsidP="004114EF">
            <w:pPr>
              <w:pStyle w:val="affffd"/>
              <w:spacing w:line="240" w:lineRule="auto"/>
              <w:rPr>
                <w:rFonts w:ascii="Times New Roman" w:eastAsia="宋体" w:hAnsi="Times New Roman" w:cs="Times New Roman"/>
                <w:color w:val="FF0000"/>
              </w:rPr>
            </w:pPr>
            <w:r w:rsidRPr="004114EF">
              <w:rPr>
                <w:rFonts w:ascii="Times New Roman" w:eastAsia="宋体" w:hAnsi="Times New Roman" w:cs="Times New Roman"/>
                <w:color w:val="FF0000"/>
              </w:rPr>
              <w:t xml:space="preserve">0.00020 </w:t>
            </w:r>
          </w:p>
        </w:tc>
        <w:tc>
          <w:tcPr>
            <w:tcW w:w="1551" w:type="dxa"/>
            <w:vMerge/>
            <w:vAlign w:val="center"/>
          </w:tcPr>
          <w:p w14:paraId="595B28F0" w14:textId="77777777" w:rsidR="004114EF" w:rsidRDefault="004114EF" w:rsidP="004114EF">
            <w:pPr>
              <w:pStyle w:val="affffd"/>
              <w:spacing w:line="240" w:lineRule="auto"/>
              <w:rPr>
                <w:rFonts w:hAnsi="Times New Roman"/>
              </w:rPr>
            </w:pPr>
          </w:p>
        </w:tc>
        <w:tc>
          <w:tcPr>
            <w:tcW w:w="1997" w:type="dxa"/>
            <w:vMerge/>
            <w:vAlign w:val="center"/>
          </w:tcPr>
          <w:p w14:paraId="193E6578" w14:textId="77777777" w:rsidR="004114EF" w:rsidRDefault="004114EF" w:rsidP="004114EF">
            <w:pPr>
              <w:pStyle w:val="affffd"/>
              <w:spacing w:line="240" w:lineRule="auto"/>
              <w:rPr>
                <w:rFonts w:hAnsi="Times New Roman"/>
              </w:rPr>
            </w:pPr>
          </w:p>
        </w:tc>
        <w:tc>
          <w:tcPr>
            <w:tcW w:w="2916" w:type="dxa"/>
            <w:vMerge/>
            <w:vAlign w:val="center"/>
          </w:tcPr>
          <w:p w14:paraId="09C75DC0" w14:textId="77777777" w:rsidR="004114EF" w:rsidRDefault="004114EF" w:rsidP="004114EF">
            <w:pPr>
              <w:pStyle w:val="affffd"/>
              <w:spacing w:line="240" w:lineRule="auto"/>
              <w:rPr>
                <w:rFonts w:hAnsi="Times New Roman"/>
              </w:rPr>
            </w:pPr>
          </w:p>
        </w:tc>
      </w:tr>
      <w:tr w:rsidR="00C27509" w14:paraId="0D1EAA3B" w14:textId="77777777" w:rsidTr="00747ECF">
        <w:trPr>
          <w:trHeight w:val="20"/>
          <w:jc w:val="center"/>
        </w:trPr>
        <w:tc>
          <w:tcPr>
            <w:tcW w:w="700" w:type="dxa"/>
            <w:vMerge/>
            <w:vAlign w:val="center"/>
          </w:tcPr>
          <w:p w14:paraId="62337265" w14:textId="77777777" w:rsidR="00C27509" w:rsidRDefault="00C27509" w:rsidP="00747ECF">
            <w:pPr>
              <w:pStyle w:val="affffd"/>
              <w:spacing w:line="240" w:lineRule="auto"/>
              <w:rPr>
                <w:rFonts w:hAnsi="Times New Roman"/>
              </w:rPr>
            </w:pPr>
          </w:p>
        </w:tc>
        <w:tc>
          <w:tcPr>
            <w:tcW w:w="1687" w:type="dxa"/>
            <w:vAlign w:val="center"/>
          </w:tcPr>
          <w:p w14:paraId="6AB875AA" w14:textId="77777777" w:rsidR="00C27509" w:rsidRDefault="00C27509" w:rsidP="00747ECF">
            <w:pPr>
              <w:pStyle w:val="affffd"/>
              <w:spacing w:line="240" w:lineRule="auto"/>
              <w:rPr>
                <w:rFonts w:hAnsi="Times New Roman"/>
              </w:rPr>
            </w:pPr>
            <w:r>
              <w:rPr>
                <w:rFonts w:ascii="Times New Roman" w:eastAsia="宋体" w:hAnsi="Times New Roman" w:cs="Times New Roman"/>
              </w:rPr>
              <w:t>填埋场恶臭</w:t>
            </w:r>
          </w:p>
        </w:tc>
        <w:tc>
          <w:tcPr>
            <w:tcW w:w="1498" w:type="dxa"/>
            <w:vAlign w:val="center"/>
          </w:tcPr>
          <w:p w14:paraId="4186E6F4" w14:textId="77777777" w:rsidR="00C27509" w:rsidRDefault="00C27509" w:rsidP="00747ECF">
            <w:pPr>
              <w:pStyle w:val="affffd"/>
              <w:spacing w:line="240" w:lineRule="auto"/>
              <w:rPr>
                <w:rFonts w:hAnsi="Times New Roman"/>
                <w:szCs w:val="20"/>
                <w:lang w:val="zh-C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p>
        </w:tc>
        <w:tc>
          <w:tcPr>
            <w:tcW w:w="1594" w:type="dxa"/>
            <w:vAlign w:val="center"/>
          </w:tcPr>
          <w:p w14:paraId="6F570391" w14:textId="77777777" w:rsidR="00C27509" w:rsidRDefault="00C27509" w:rsidP="00747ECF">
            <w:pPr>
              <w:pStyle w:val="affffd"/>
              <w:spacing w:line="240" w:lineRule="auto"/>
              <w:rPr>
                <w:rFonts w:hAnsi="Times New Roman"/>
              </w:rPr>
            </w:pPr>
            <w:r>
              <w:rPr>
                <w:rFonts w:ascii="Times New Roman" w:eastAsia="宋体" w:hAnsi="Times New Roman" w:cs="Times New Roman"/>
              </w:rPr>
              <w:t>少量</w:t>
            </w:r>
          </w:p>
        </w:tc>
        <w:tc>
          <w:tcPr>
            <w:tcW w:w="1526" w:type="dxa"/>
            <w:vAlign w:val="center"/>
          </w:tcPr>
          <w:p w14:paraId="7830C536" w14:textId="77777777" w:rsidR="00C27509" w:rsidRDefault="00C27509" w:rsidP="00747ECF">
            <w:pPr>
              <w:pStyle w:val="affffd"/>
              <w:spacing w:line="240" w:lineRule="auto"/>
              <w:rPr>
                <w:rFonts w:hAnsi="Times New Roman"/>
                <w:szCs w:val="20"/>
                <w:lang w:val="zh-CN"/>
              </w:rPr>
            </w:pPr>
            <w:r>
              <w:rPr>
                <w:rFonts w:ascii="Times New Roman" w:eastAsia="宋体" w:hAnsi="Times New Roman" w:cs="Times New Roman"/>
              </w:rPr>
              <w:t>少量</w:t>
            </w:r>
          </w:p>
        </w:tc>
        <w:tc>
          <w:tcPr>
            <w:tcW w:w="1272" w:type="dxa"/>
            <w:vAlign w:val="center"/>
          </w:tcPr>
          <w:p w14:paraId="020AAC6C"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551" w:type="dxa"/>
            <w:vAlign w:val="center"/>
          </w:tcPr>
          <w:p w14:paraId="6E854BD3" w14:textId="77777777" w:rsidR="00C27509" w:rsidRDefault="00C27509" w:rsidP="00747ECF">
            <w:pPr>
              <w:pStyle w:val="affffd"/>
              <w:spacing w:line="240" w:lineRule="auto"/>
              <w:rPr>
                <w:rFonts w:hAnsi="Times New Roman"/>
              </w:rPr>
            </w:pPr>
            <w:r>
              <w:rPr>
                <w:rFonts w:ascii="Times New Roman" w:eastAsia="宋体" w:hAnsi="Times New Roman" w:cs="Times New Roman"/>
              </w:rPr>
              <w:t>无组织</w:t>
            </w:r>
          </w:p>
        </w:tc>
        <w:tc>
          <w:tcPr>
            <w:tcW w:w="1997" w:type="dxa"/>
            <w:vAlign w:val="center"/>
          </w:tcPr>
          <w:p w14:paraId="0ABADE63" w14:textId="77777777" w:rsidR="00C27509" w:rsidRDefault="00C27509" w:rsidP="00747ECF">
            <w:pPr>
              <w:pStyle w:val="affffd"/>
              <w:spacing w:line="240" w:lineRule="auto"/>
              <w:rPr>
                <w:rFonts w:hAnsi="Times New Roman"/>
              </w:rPr>
            </w:pPr>
            <w:r>
              <w:rPr>
                <w:rFonts w:ascii="Times New Roman" w:eastAsia="宋体" w:hAnsi="Times New Roman" w:cs="Times New Roman"/>
              </w:rPr>
              <w:t>定期喷洒除臭剂</w:t>
            </w:r>
          </w:p>
        </w:tc>
        <w:tc>
          <w:tcPr>
            <w:tcW w:w="2916" w:type="dxa"/>
            <w:vMerge/>
            <w:vAlign w:val="center"/>
          </w:tcPr>
          <w:p w14:paraId="3DF22267" w14:textId="77777777" w:rsidR="00C27509" w:rsidRDefault="00C27509" w:rsidP="00747ECF">
            <w:pPr>
              <w:pStyle w:val="affffd"/>
              <w:spacing w:line="240" w:lineRule="auto"/>
              <w:rPr>
                <w:rFonts w:hAnsi="Times New Roman"/>
              </w:rPr>
            </w:pPr>
          </w:p>
        </w:tc>
      </w:tr>
      <w:tr w:rsidR="00C27509" w14:paraId="32690037" w14:textId="77777777" w:rsidTr="00747ECF">
        <w:trPr>
          <w:trHeight w:val="20"/>
          <w:jc w:val="center"/>
        </w:trPr>
        <w:tc>
          <w:tcPr>
            <w:tcW w:w="700" w:type="dxa"/>
            <w:vMerge/>
            <w:vAlign w:val="center"/>
          </w:tcPr>
          <w:p w14:paraId="6C75409E" w14:textId="77777777" w:rsidR="00C27509" w:rsidRDefault="00C27509" w:rsidP="00747ECF">
            <w:pPr>
              <w:pStyle w:val="affffd"/>
              <w:spacing w:line="240" w:lineRule="auto"/>
              <w:rPr>
                <w:rFonts w:hAnsi="Times New Roman"/>
              </w:rPr>
            </w:pPr>
          </w:p>
        </w:tc>
        <w:tc>
          <w:tcPr>
            <w:tcW w:w="1687" w:type="dxa"/>
            <w:vAlign w:val="center"/>
          </w:tcPr>
          <w:p w14:paraId="693CED86" w14:textId="77777777" w:rsidR="00C27509" w:rsidRDefault="00C27509" w:rsidP="00747ECF">
            <w:pPr>
              <w:pStyle w:val="affffd"/>
              <w:spacing w:line="240" w:lineRule="auto"/>
              <w:rPr>
                <w:rFonts w:hAnsi="Times New Roman"/>
              </w:rPr>
            </w:pPr>
            <w:r>
              <w:rPr>
                <w:rFonts w:ascii="Times New Roman" w:eastAsia="宋体" w:hAnsi="Times New Roman" w:cs="Times New Roman"/>
              </w:rPr>
              <w:t>填埋作业扬尘</w:t>
            </w:r>
          </w:p>
        </w:tc>
        <w:tc>
          <w:tcPr>
            <w:tcW w:w="1498" w:type="dxa"/>
            <w:vAlign w:val="center"/>
          </w:tcPr>
          <w:p w14:paraId="61711EE5" w14:textId="77777777" w:rsidR="00C27509" w:rsidRDefault="00C27509" w:rsidP="00747ECF">
            <w:pPr>
              <w:pStyle w:val="affffd"/>
              <w:spacing w:line="240" w:lineRule="auto"/>
              <w:rPr>
                <w:rFonts w:hAnsi="Times New Roman"/>
              </w:rPr>
            </w:pPr>
            <w:r>
              <w:rPr>
                <w:rFonts w:ascii="Times New Roman" w:eastAsia="宋体" w:hAnsi="Times New Roman" w:cs="Times New Roman"/>
              </w:rPr>
              <w:t>颗粒物</w:t>
            </w:r>
          </w:p>
        </w:tc>
        <w:tc>
          <w:tcPr>
            <w:tcW w:w="1594" w:type="dxa"/>
            <w:vAlign w:val="center"/>
          </w:tcPr>
          <w:p w14:paraId="4BBB22A3" w14:textId="77777777" w:rsidR="00C27509" w:rsidRDefault="00C27509" w:rsidP="00747ECF">
            <w:pPr>
              <w:pStyle w:val="affffd"/>
              <w:spacing w:line="240" w:lineRule="auto"/>
              <w:rPr>
                <w:rFonts w:hAnsi="Times New Roman"/>
              </w:rPr>
            </w:pPr>
            <w:r>
              <w:rPr>
                <w:rFonts w:ascii="Times New Roman" w:eastAsia="宋体" w:hAnsi="Times New Roman" w:cs="Times New Roman"/>
              </w:rPr>
              <w:t>0.3329t/a</w:t>
            </w:r>
          </w:p>
        </w:tc>
        <w:tc>
          <w:tcPr>
            <w:tcW w:w="1526" w:type="dxa"/>
            <w:vAlign w:val="center"/>
          </w:tcPr>
          <w:p w14:paraId="652CB32F" w14:textId="77777777" w:rsidR="00C27509" w:rsidRDefault="00C27509" w:rsidP="00747ECF">
            <w:pPr>
              <w:pStyle w:val="affffd"/>
              <w:spacing w:line="240" w:lineRule="auto"/>
              <w:rPr>
                <w:rFonts w:hAnsi="Times New Roman"/>
              </w:rPr>
            </w:pPr>
            <w:r>
              <w:rPr>
                <w:rFonts w:ascii="Times New Roman" w:eastAsia="宋体" w:hAnsi="Times New Roman" w:cs="Times New Roman"/>
              </w:rPr>
              <w:t>0.0999t/a</w:t>
            </w:r>
          </w:p>
        </w:tc>
        <w:tc>
          <w:tcPr>
            <w:tcW w:w="1272" w:type="dxa"/>
            <w:vAlign w:val="center"/>
          </w:tcPr>
          <w:p w14:paraId="7EE30875" w14:textId="77777777" w:rsidR="00C27509" w:rsidRDefault="00C27509" w:rsidP="00747ECF">
            <w:pPr>
              <w:pStyle w:val="affffd"/>
              <w:spacing w:line="240" w:lineRule="auto"/>
              <w:rPr>
                <w:rFonts w:hAnsi="Times New Roman"/>
              </w:rPr>
            </w:pPr>
            <w:r>
              <w:rPr>
                <w:rFonts w:ascii="Times New Roman" w:eastAsia="宋体" w:hAnsi="Times New Roman" w:cs="Times New Roman"/>
              </w:rPr>
              <w:t>0.017</w:t>
            </w:r>
          </w:p>
        </w:tc>
        <w:tc>
          <w:tcPr>
            <w:tcW w:w="1551" w:type="dxa"/>
            <w:vAlign w:val="center"/>
          </w:tcPr>
          <w:p w14:paraId="66C87068" w14:textId="77777777" w:rsidR="00C27509" w:rsidRDefault="00C27509" w:rsidP="00747ECF">
            <w:pPr>
              <w:pStyle w:val="affffd"/>
              <w:spacing w:line="240" w:lineRule="auto"/>
              <w:rPr>
                <w:rFonts w:hAnsi="Times New Roman"/>
              </w:rPr>
            </w:pPr>
            <w:r>
              <w:rPr>
                <w:rFonts w:ascii="Times New Roman" w:eastAsia="宋体" w:hAnsi="Times New Roman" w:cs="Times New Roman"/>
              </w:rPr>
              <w:t>无组织</w:t>
            </w:r>
          </w:p>
        </w:tc>
        <w:tc>
          <w:tcPr>
            <w:tcW w:w="1997" w:type="dxa"/>
            <w:vAlign w:val="center"/>
          </w:tcPr>
          <w:p w14:paraId="328D2205" w14:textId="77777777" w:rsidR="00C27509" w:rsidRDefault="00C27509" w:rsidP="00747ECF">
            <w:pPr>
              <w:pStyle w:val="affffd"/>
              <w:spacing w:line="240" w:lineRule="auto"/>
              <w:rPr>
                <w:rFonts w:hAnsi="Times New Roman"/>
              </w:rPr>
            </w:pPr>
            <w:r>
              <w:rPr>
                <w:rFonts w:ascii="Times New Roman" w:eastAsia="宋体" w:hAnsi="Times New Roman" w:cs="Times New Roman"/>
              </w:rPr>
              <w:t>洒水抑尘</w:t>
            </w:r>
          </w:p>
        </w:tc>
        <w:tc>
          <w:tcPr>
            <w:tcW w:w="2916" w:type="dxa"/>
            <w:vMerge/>
            <w:vAlign w:val="center"/>
          </w:tcPr>
          <w:p w14:paraId="6B5EE44B" w14:textId="77777777" w:rsidR="00C27509" w:rsidRDefault="00C27509" w:rsidP="00747ECF">
            <w:pPr>
              <w:pStyle w:val="affffd"/>
              <w:spacing w:line="240" w:lineRule="auto"/>
              <w:rPr>
                <w:rFonts w:hAnsi="Times New Roman"/>
              </w:rPr>
            </w:pPr>
          </w:p>
        </w:tc>
      </w:tr>
      <w:tr w:rsidR="004114EF" w14:paraId="547B29BD" w14:textId="77777777" w:rsidTr="00C6006A">
        <w:trPr>
          <w:trHeight w:val="20"/>
          <w:jc w:val="center"/>
        </w:trPr>
        <w:tc>
          <w:tcPr>
            <w:tcW w:w="700" w:type="dxa"/>
            <w:vMerge w:val="restart"/>
            <w:vAlign w:val="center"/>
          </w:tcPr>
          <w:p w14:paraId="013A1846" w14:textId="77777777" w:rsidR="004114EF" w:rsidRDefault="004114EF" w:rsidP="00747ECF">
            <w:pPr>
              <w:pStyle w:val="affffd"/>
              <w:spacing w:line="240" w:lineRule="auto"/>
              <w:rPr>
                <w:rFonts w:hAnsi="Times New Roman"/>
              </w:rPr>
            </w:pPr>
            <w:r>
              <w:rPr>
                <w:rFonts w:ascii="Times New Roman" w:eastAsia="宋体" w:hAnsi="Times New Roman" w:cs="Times New Roman"/>
              </w:rPr>
              <w:t>废水</w:t>
            </w:r>
          </w:p>
        </w:tc>
        <w:tc>
          <w:tcPr>
            <w:tcW w:w="1687" w:type="dxa"/>
            <w:vMerge w:val="restart"/>
            <w:vAlign w:val="center"/>
          </w:tcPr>
          <w:p w14:paraId="2CC1E430" w14:textId="77777777" w:rsidR="004114EF" w:rsidRDefault="004114EF" w:rsidP="00747ECF">
            <w:pPr>
              <w:pStyle w:val="affffd"/>
              <w:spacing w:line="240" w:lineRule="auto"/>
              <w:rPr>
                <w:rFonts w:ascii="Times New Roman" w:eastAsia="宋体" w:hAnsi="Times New Roman" w:cs="Times New Roman"/>
                <w:color w:val="FF0000"/>
              </w:rPr>
            </w:pPr>
            <w:r>
              <w:rPr>
                <w:rFonts w:ascii="Times New Roman" w:eastAsia="宋体" w:hAnsi="Times New Roman" w:cs="Times New Roman"/>
                <w:color w:val="FF0000"/>
              </w:rPr>
              <w:t>生活垃圾渗滤液</w:t>
            </w:r>
          </w:p>
        </w:tc>
        <w:tc>
          <w:tcPr>
            <w:tcW w:w="1498" w:type="dxa"/>
            <w:vAlign w:val="center"/>
          </w:tcPr>
          <w:p w14:paraId="255BC61B"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水量</w:t>
            </w:r>
          </w:p>
        </w:tc>
        <w:tc>
          <w:tcPr>
            <w:tcW w:w="1594" w:type="dxa"/>
            <w:vAlign w:val="center"/>
          </w:tcPr>
          <w:p w14:paraId="4CCBAF6B"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14804.4t/a</w:t>
            </w:r>
          </w:p>
        </w:tc>
        <w:tc>
          <w:tcPr>
            <w:tcW w:w="2798" w:type="dxa"/>
            <w:gridSpan w:val="2"/>
            <w:vMerge w:val="restart"/>
            <w:vAlign w:val="center"/>
          </w:tcPr>
          <w:p w14:paraId="155952D4" w14:textId="0E83C17E" w:rsidR="004114EF" w:rsidRDefault="004114EF" w:rsidP="00747ECF">
            <w:pPr>
              <w:pStyle w:val="affffd"/>
              <w:jc w:val="both"/>
              <w:rPr>
                <w:rFonts w:ascii="Times New Roman" w:eastAsia="宋体" w:hAnsi="Times New Roman" w:cs="Times New Roman"/>
                <w:color w:val="FF0000"/>
              </w:rPr>
            </w:pPr>
            <w:r>
              <w:rPr>
                <w:rFonts w:ascii="Times New Roman" w:eastAsia="宋体" w:hAnsi="Times New Roman" w:cs="Times New Roman"/>
                <w:color w:val="FF0000"/>
              </w:rPr>
              <w:t>水量：</w:t>
            </w:r>
            <w:r>
              <w:rPr>
                <w:rFonts w:ascii="Times New Roman" w:eastAsia="宋体" w:hAnsi="Times New Roman" w:cs="Times New Roman"/>
                <w:color w:val="FF0000"/>
              </w:rPr>
              <w:t>12834.13t/a</w:t>
            </w:r>
          </w:p>
          <w:p w14:paraId="1ECB5749" w14:textId="77777777" w:rsidR="004114EF" w:rsidRDefault="004114EF" w:rsidP="00747ECF">
            <w:pPr>
              <w:pStyle w:val="affffd"/>
              <w:jc w:val="left"/>
              <w:rPr>
                <w:rFonts w:ascii="Times New Roman" w:eastAsia="宋体" w:hAnsi="Times New Roman" w:cs="Times New Roman"/>
                <w:color w:val="FF0000"/>
              </w:rPr>
            </w:pPr>
            <w:r>
              <w:rPr>
                <w:rFonts w:ascii="Times New Roman" w:eastAsia="宋体" w:hAnsi="Times New Roman" w:cs="Times New Roman"/>
                <w:color w:val="FF0000"/>
              </w:rPr>
              <w:t>COD</w:t>
            </w:r>
            <w:r>
              <w:rPr>
                <w:rFonts w:ascii="Times New Roman" w:eastAsia="宋体" w:hAnsi="Times New Roman" w:cs="Times New Roman"/>
                <w:color w:val="FF0000"/>
              </w:rPr>
              <w:t>：</w:t>
            </w:r>
            <w:r>
              <w:rPr>
                <w:rFonts w:ascii="Times New Roman" w:eastAsia="宋体" w:hAnsi="Times New Roman" w:cs="Times New Roman"/>
                <w:color w:val="FF0000"/>
              </w:rPr>
              <w:t>100mg/L,1.28t/a</w:t>
            </w:r>
            <w:r>
              <w:rPr>
                <w:rFonts w:ascii="Times New Roman" w:eastAsia="宋体" w:hAnsi="Times New Roman" w:cs="Times New Roman"/>
                <w:color w:val="FF0000"/>
              </w:rPr>
              <w:t>；</w:t>
            </w:r>
          </w:p>
          <w:p w14:paraId="79E0598E" w14:textId="77777777" w:rsidR="004114EF" w:rsidRDefault="004114EF" w:rsidP="00747ECF">
            <w:pPr>
              <w:pStyle w:val="affffd"/>
              <w:jc w:val="left"/>
              <w:rPr>
                <w:rFonts w:ascii="Times New Roman" w:eastAsia="宋体" w:hAnsi="Times New Roman" w:cs="Times New Roman"/>
                <w:color w:val="FF0000"/>
              </w:rPr>
            </w:pPr>
            <w:r>
              <w:rPr>
                <w:rFonts w:ascii="Times New Roman" w:eastAsia="宋体" w:hAnsi="Times New Roman" w:cs="Times New Roman"/>
                <w:color w:val="FF0000"/>
              </w:rPr>
              <w:t>BOD</w:t>
            </w:r>
            <w:r>
              <w:rPr>
                <w:rFonts w:ascii="Times New Roman" w:eastAsia="宋体" w:hAnsi="Times New Roman" w:cs="Times New Roman"/>
                <w:color w:val="FF0000"/>
                <w:vertAlign w:val="subscript"/>
              </w:rPr>
              <w:t>5</w:t>
            </w:r>
            <w:r>
              <w:rPr>
                <w:rFonts w:ascii="Times New Roman" w:eastAsia="宋体" w:hAnsi="Times New Roman" w:cs="Times New Roman"/>
                <w:color w:val="FF0000"/>
              </w:rPr>
              <w:t>：</w:t>
            </w:r>
            <w:r>
              <w:rPr>
                <w:rFonts w:ascii="Times New Roman" w:eastAsia="宋体" w:hAnsi="Times New Roman" w:cs="Times New Roman"/>
                <w:color w:val="FF0000"/>
              </w:rPr>
              <w:t>30mg/L,0.39t/a</w:t>
            </w:r>
          </w:p>
          <w:p w14:paraId="452AE871" w14:textId="189603B7" w:rsidR="004114EF" w:rsidRDefault="004114EF" w:rsidP="00747ECF">
            <w:pPr>
              <w:pStyle w:val="affffd"/>
              <w:jc w:val="left"/>
              <w:rPr>
                <w:rFonts w:ascii="Times New Roman" w:eastAsia="宋体" w:hAnsi="Times New Roman" w:cs="Times New Roman"/>
                <w:color w:val="FF0000"/>
              </w:rPr>
            </w:pPr>
            <w:r>
              <w:rPr>
                <w:rFonts w:ascii="Times New Roman" w:eastAsia="宋体" w:hAnsi="Times New Roman" w:cs="Times New Roman"/>
                <w:color w:val="FF0000"/>
              </w:rPr>
              <w:lastRenderedPageBreak/>
              <w:t>NH</w:t>
            </w:r>
            <w:r>
              <w:rPr>
                <w:rFonts w:ascii="Times New Roman" w:eastAsia="宋体" w:hAnsi="Times New Roman" w:cs="Times New Roman"/>
                <w:color w:val="FF0000"/>
                <w:vertAlign w:val="subscript"/>
              </w:rPr>
              <w:t>3</w:t>
            </w:r>
            <w:r>
              <w:rPr>
                <w:rFonts w:ascii="Times New Roman" w:eastAsia="宋体" w:hAnsi="Times New Roman" w:cs="Times New Roman"/>
                <w:color w:val="FF0000"/>
              </w:rPr>
              <w:t>-N</w:t>
            </w:r>
            <w:r>
              <w:rPr>
                <w:rFonts w:ascii="Times New Roman" w:eastAsia="宋体" w:hAnsi="Times New Roman" w:cs="Times New Roman"/>
                <w:color w:val="FF0000"/>
              </w:rPr>
              <w:t>：</w:t>
            </w:r>
            <w:r>
              <w:rPr>
                <w:rFonts w:ascii="Times New Roman" w:eastAsia="宋体" w:hAnsi="Times New Roman" w:cs="Times New Roman"/>
                <w:color w:val="FF0000"/>
              </w:rPr>
              <w:t>25mg/L</w:t>
            </w:r>
            <w:r>
              <w:rPr>
                <w:rFonts w:ascii="Times New Roman" w:eastAsia="宋体" w:hAnsi="Times New Roman" w:cs="Times New Roman"/>
                <w:color w:val="FF0000"/>
              </w:rPr>
              <w:t>，</w:t>
            </w:r>
            <w:r>
              <w:rPr>
                <w:rFonts w:ascii="Times New Roman" w:eastAsia="宋体" w:hAnsi="Times New Roman" w:cs="Times New Roman"/>
                <w:color w:val="FF0000"/>
              </w:rPr>
              <w:t>0.32t/a</w:t>
            </w:r>
          </w:p>
          <w:p w14:paraId="62356462" w14:textId="77777777" w:rsidR="004114EF" w:rsidRDefault="004114EF" w:rsidP="004114EF">
            <w:pPr>
              <w:pStyle w:val="affffd"/>
              <w:spacing w:line="240" w:lineRule="auto"/>
              <w:jc w:val="left"/>
              <w:rPr>
                <w:rFonts w:ascii="Times New Roman" w:eastAsia="宋体" w:hAnsi="Times New Roman" w:cs="Times New Roman"/>
                <w:color w:val="FF0000"/>
              </w:rPr>
            </w:pPr>
            <w:r>
              <w:rPr>
                <w:rFonts w:ascii="Times New Roman" w:eastAsia="宋体" w:hAnsi="Times New Roman" w:cs="Times New Roman"/>
                <w:color w:val="FF0000"/>
              </w:rPr>
              <w:t>SS</w:t>
            </w:r>
            <w:r>
              <w:rPr>
                <w:rFonts w:ascii="Times New Roman" w:eastAsia="宋体" w:hAnsi="Times New Roman" w:cs="Times New Roman"/>
                <w:color w:val="FF0000"/>
              </w:rPr>
              <w:t>：</w:t>
            </w:r>
            <w:r>
              <w:rPr>
                <w:rFonts w:ascii="Times New Roman" w:eastAsia="宋体" w:hAnsi="Times New Roman" w:cs="Times New Roman"/>
                <w:color w:val="FF0000"/>
              </w:rPr>
              <w:t>30mg/L,0.39t/a</w:t>
            </w:r>
          </w:p>
          <w:p w14:paraId="0F9C8681" w14:textId="747A81C3" w:rsidR="003F5A03" w:rsidRDefault="003F5A03" w:rsidP="003F5A03">
            <w:pPr>
              <w:pStyle w:val="affffd"/>
              <w:spacing w:line="240" w:lineRule="auto"/>
              <w:jc w:val="left"/>
              <w:rPr>
                <w:rFonts w:ascii="Times New Roman" w:eastAsia="宋体" w:hAnsi="Times New Roman" w:cs="Times New Roman"/>
                <w:color w:val="FF0000"/>
              </w:rPr>
            </w:pPr>
            <w:r>
              <w:rPr>
                <w:rFonts w:ascii="Times New Roman" w:eastAsia="宋体" w:hAnsi="Times New Roman" w:cs="Times New Roman"/>
                <w:color w:val="FF0000"/>
              </w:rPr>
              <w:t>TN</w:t>
            </w:r>
            <w:r>
              <w:rPr>
                <w:rFonts w:ascii="Times New Roman" w:eastAsia="宋体" w:hAnsi="Times New Roman" w:cs="Times New Roman"/>
                <w:color w:val="FF0000"/>
              </w:rPr>
              <w:t>：</w:t>
            </w:r>
            <w:r>
              <w:rPr>
                <w:rFonts w:ascii="Times New Roman" w:eastAsia="宋体" w:hAnsi="Times New Roman" w:cs="Times New Roman" w:hint="eastAsia"/>
                <w:color w:val="FF0000"/>
              </w:rPr>
              <w:t>4</w:t>
            </w:r>
            <w:r>
              <w:rPr>
                <w:rFonts w:ascii="Times New Roman" w:eastAsia="宋体" w:hAnsi="Times New Roman" w:cs="Times New Roman"/>
                <w:color w:val="FF0000"/>
              </w:rPr>
              <w:t xml:space="preserve">0 </w:t>
            </w:r>
            <w:r>
              <w:rPr>
                <w:rFonts w:ascii="Times New Roman" w:eastAsia="宋体" w:hAnsi="Times New Roman" w:cs="Times New Roman"/>
                <w:color w:val="FF0000"/>
              </w:rPr>
              <w:t>mg/L,0.</w:t>
            </w:r>
            <w:r>
              <w:rPr>
                <w:rFonts w:ascii="Times New Roman" w:eastAsia="宋体" w:hAnsi="Times New Roman" w:cs="Times New Roman"/>
                <w:color w:val="FF0000"/>
              </w:rPr>
              <w:t>51</w:t>
            </w:r>
            <w:r>
              <w:rPr>
                <w:rFonts w:ascii="Times New Roman" w:eastAsia="宋体" w:hAnsi="Times New Roman" w:cs="Times New Roman"/>
                <w:color w:val="FF0000"/>
              </w:rPr>
              <w:t>t/a</w:t>
            </w:r>
          </w:p>
        </w:tc>
        <w:tc>
          <w:tcPr>
            <w:tcW w:w="1551" w:type="dxa"/>
            <w:vMerge w:val="restart"/>
            <w:vAlign w:val="center"/>
          </w:tcPr>
          <w:p w14:paraId="02E0C7E0" w14:textId="77777777" w:rsidR="004114EF" w:rsidRDefault="004114EF" w:rsidP="00747ECF">
            <w:pPr>
              <w:pStyle w:val="affffd"/>
              <w:spacing w:line="240" w:lineRule="auto"/>
              <w:rPr>
                <w:rFonts w:ascii="Times New Roman" w:hAnsi="Times New Roman" w:cs="Times New Roman"/>
                <w:spacing w:val="4"/>
              </w:rPr>
            </w:pPr>
            <w:r>
              <w:rPr>
                <w:rFonts w:ascii="Times New Roman" w:eastAsia="宋体" w:hAnsi="Times New Roman" w:cs="Times New Roman"/>
              </w:rPr>
              <w:lastRenderedPageBreak/>
              <w:t>连续</w:t>
            </w:r>
          </w:p>
        </w:tc>
        <w:tc>
          <w:tcPr>
            <w:tcW w:w="1997" w:type="dxa"/>
            <w:vMerge w:val="restart"/>
            <w:vAlign w:val="center"/>
          </w:tcPr>
          <w:p w14:paraId="04609B05"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color w:val="FF0000"/>
              </w:rPr>
              <w:t>浓缩液回灌至填埋场，处理达标的清液部分回用，污泥</w:t>
            </w:r>
            <w:r>
              <w:rPr>
                <w:rFonts w:ascii="Times New Roman" w:eastAsia="宋体" w:hAnsi="Times New Roman" w:cs="Times New Roman"/>
                <w:color w:val="FF0000"/>
              </w:rPr>
              <w:lastRenderedPageBreak/>
              <w:t>压滤废水</w:t>
            </w:r>
            <w:r>
              <w:rPr>
                <w:rFonts w:ascii="Times New Roman" w:hAnsi="Times New Roman" w:cs="Times New Roman"/>
                <w:color w:val="FF0000"/>
              </w:rPr>
              <w:t>随污泥运至本项目填埋区卫生填埋，</w:t>
            </w:r>
            <w:r>
              <w:rPr>
                <w:rFonts w:ascii="Times New Roman" w:eastAsia="宋体" w:hAnsi="Times New Roman" w:cs="Times New Roman"/>
                <w:color w:val="FF0000"/>
              </w:rPr>
              <w:t>剩余运至柞水县污水处理厂进一步处理</w:t>
            </w:r>
          </w:p>
        </w:tc>
        <w:tc>
          <w:tcPr>
            <w:tcW w:w="2916" w:type="dxa"/>
            <w:vMerge w:val="restart"/>
            <w:vAlign w:val="center"/>
          </w:tcPr>
          <w:p w14:paraId="0927BC9B" w14:textId="77777777" w:rsidR="004114EF" w:rsidRDefault="004114EF" w:rsidP="00747ECF">
            <w:pPr>
              <w:pStyle w:val="affffd"/>
              <w:spacing w:line="240" w:lineRule="auto"/>
              <w:rPr>
                <w:rFonts w:hAnsi="Times New Roman"/>
              </w:rPr>
            </w:pPr>
            <w:r>
              <w:rPr>
                <w:rFonts w:ascii="Times New Roman" w:eastAsia="宋体" w:hAnsi="Times New Roman" w:cs="Times New Roman"/>
              </w:rPr>
              <w:lastRenderedPageBreak/>
              <w:t>《生活垃圾填埋场污染控制标准》（</w:t>
            </w:r>
            <w:r>
              <w:rPr>
                <w:rFonts w:ascii="Times New Roman" w:eastAsia="宋体" w:hAnsi="Times New Roman" w:cs="Times New Roman"/>
              </w:rPr>
              <w:t>GB16889-2008</w:t>
            </w:r>
            <w:r>
              <w:rPr>
                <w:rFonts w:ascii="Times New Roman" w:eastAsia="宋体" w:hAnsi="Times New Roman" w:cs="Times New Roman"/>
              </w:rPr>
              <w:t>）标准</w:t>
            </w:r>
          </w:p>
        </w:tc>
      </w:tr>
      <w:tr w:rsidR="004114EF" w14:paraId="2DAD53B8" w14:textId="77777777" w:rsidTr="00C6006A">
        <w:trPr>
          <w:trHeight w:val="20"/>
          <w:jc w:val="center"/>
        </w:trPr>
        <w:tc>
          <w:tcPr>
            <w:tcW w:w="700" w:type="dxa"/>
            <w:vMerge/>
            <w:vAlign w:val="center"/>
          </w:tcPr>
          <w:p w14:paraId="13FD2563" w14:textId="77777777" w:rsidR="004114EF" w:rsidRDefault="004114EF" w:rsidP="00747ECF">
            <w:pPr>
              <w:pStyle w:val="affffd"/>
              <w:spacing w:line="240" w:lineRule="auto"/>
              <w:rPr>
                <w:rFonts w:hAnsi="Times New Roman"/>
              </w:rPr>
            </w:pPr>
          </w:p>
        </w:tc>
        <w:tc>
          <w:tcPr>
            <w:tcW w:w="1687" w:type="dxa"/>
            <w:vMerge/>
            <w:vAlign w:val="center"/>
          </w:tcPr>
          <w:p w14:paraId="718FFEDC" w14:textId="77777777" w:rsidR="004114EF" w:rsidRDefault="004114EF" w:rsidP="00747ECF">
            <w:pPr>
              <w:pStyle w:val="affffd"/>
              <w:spacing w:line="240" w:lineRule="auto"/>
              <w:rPr>
                <w:rFonts w:ascii="Times New Roman" w:hAnsi="Times New Roman" w:cs="Times New Roman"/>
                <w:color w:val="FF0000"/>
              </w:rPr>
            </w:pPr>
          </w:p>
        </w:tc>
        <w:tc>
          <w:tcPr>
            <w:tcW w:w="1498" w:type="dxa"/>
            <w:vAlign w:val="center"/>
          </w:tcPr>
          <w:p w14:paraId="3C312B18"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COD</w:t>
            </w:r>
          </w:p>
        </w:tc>
        <w:tc>
          <w:tcPr>
            <w:tcW w:w="1594" w:type="dxa"/>
            <w:vAlign w:val="center"/>
          </w:tcPr>
          <w:p w14:paraId="454F0438"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296.09t/a</w:t>
            </w:r>
          </w:p>
        </w:tc>
        <w:tc>
          <w:tcPr>
            <w:tcW w:w="2798" w:type="dxa"/>
            <w:gridSpan w:val="2"/>
            <w:vMerge/>
            <w:vAlign w:val="center"/>
          </w:tcPr>
          <w:p w14:paraId="589B489D"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583D874D"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4B7C6DC3"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7F8BB50B" w14:textId="77777777" w:rsidR="004114EF" w:rsidRDefault="004114EF" w:rsidP="00747ECF">
            <w:pPr>
              <w:pStyle w:val="affffd"/>
              <w:spacing w:line="240" w:lineRule="auto"/>
              <w:rPr>
                <w:rFonts w:hAnsi="Times New Roman"/>
              </w:rPr>
            </w:pPr>
          </w:p>
        </w:tc>
      </w:tr>
      <w:tr w:rsidR="004114EF" w14:paraId="56D4C87A" w14:textId="77777777" w:rsidTr="00C6006A">
        <w:trPr>
          <w:trHeight w:val="20"/>
          <w:jc w:val="center"/>
        </w:trPr>
        <w:tc>
          <w:tcPr>
            <w:tcW w:w="700" w:type="dxa"/>
            <w:vMerge/>
            <w:vAlign w:val="center"/>
          </w:tcPr>
          <w:p w14:paraId="6D7182E5" w14:textId="77777777" w:rsidR="004114EF" w:rsidRDefault="004114EF" w:rsidP="00747ECF">
            <w:pPr>
              <w:pStyle w:val="affffd"/>
              <w:spacing w:line="240" w:lineRule="auto"/>
              <w:rPr>
                <w:rFonts w:hAnsi="Times New Roman"/>
              </w:rPr>
            </w:pPr>
          </w:p>
        </w:tc>
        <w:tc>
          <w:tcPr>
            <w:tcW w:w="1687" w:type="dxa"/>
            <w:vMerge/>
            <w:vAlign w:val="center"/>
          </w:tcPr>
          <w:p w14:paraId="36B78F37" w14:textId="77777777" w:rsidR="004114EF" w:rsidRDefault="004114EF" w:rsidP="00747ECF">
            <w:pPr>
              <w:pStyle w:val="affffd"/>
              <w:spacing w:line="240" w:lineRule="auto"/>
              <w:rPr>
                <w:rFonts w:ascii="Times New Roman" w:hAnsi="Times New Roman" w:cs="Times New Roman"/>
                <w:color w:val="FF0000"/>
              </w:rPr>
            </w:pPr>
          </w:p>
        </w:tc>
        <w:tc>
          <w:tcPr>
            <w:tcW w:w="1498" w:type="dxa"/>
            <w:vAlign w:val="center"/>
          </w:tcPr>
          <w:p w14:paraId="3AFE0CEB"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BOD</w:t>
            </w:r>
            <w:r>
              <w:rPr>
                <w:rFonts w:ascii="Times New Roman" w:eastAsia="宋体" w:hAnsi="Times New Roman" w:cs="Times New Roman"/>
                <w:color w:val="FF0000"/>
                <w:vertAlign w:val="subscript"/>
              </w:rPr>
              <w:t>5</w:t>
            </w:r>
          </w:p>
        </w:tc>
        <w:tc>
          <w:tcPr>
            <w:tcW w:w="1594" w:type="dxa"/>
            <w:vAlign w:val="center"/>
          </w:tcPr>
          <w:p w14:paraId="3F426857"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177.65t/a</w:t>
            </w:r>
          </w:p>
        </w:tc>
        <w:tc>
          <w:tcPr>
            <w:tcW w:w="2798" w:type="dxa"/>
            <w:gridSpan w:val="2"/>
            <w:vMerge/>
            <w:vAlign w:val="center"/>
          </w:tcPr>
          <w:p w14:paraId="15064762"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2CED307A"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226982CD"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44CBBB14" w14:textId="77777777" w:rsidR="004114EF" w:rsidRDefault="004114EF" w:rsidP="00747ECF">
            <w:pPr>
              <w:pStyle w:val="affffd"/>
              <w:spacing w:line="240" w:lineRule="auto"/>
              <w:rPr>
                <w:rFonts w:hAnsi="Times New Roman"/>
              </w:rPr>
            </w:pPr>
          </w:p>
        </w:tc>
      </w:tr>
      <w:tr w:rsidR="004114EF" w14:paraId="54E3BBF1" w14:textId="77777777" w:rsidTr="00C6006A">
        <w:trPr>
          <w:trHeight w:val="20"/>
          <w:jc w:val="center"/>
        </w:trPr>
        <w:tc>
          <w:tcPr>
            <w:tcW w:w="700" w:type="dxa"/>
            <w:vMerge/>
            <w:vAlign w:val="center"/>
          </w:tcPr>
          <w:p w14:paraId="3C1BE4D6" w14:textId="77777777" w:rsidR="004114EF" w:rsidRDefault="004114EF" w:rsidP="00747ECF">
            <w:pPr>
              <w:pStyle w:val="affffd"/>
              <w:spacing w:line="240" w:lineRule="auto"/>
              <w:rPr>
                <w:rFonts w:hAnsi="Times New Roman"/>
              </w:rPr>
            </w:pPr>
          </w:p>
        </w:tc>
        <w:tc>
          <w:tcPr>
            <w:tcW w:w="1687" w:type="dxa"/>
            <w:vMerge/>
            <w:vAlign w:val="center"/>
          </w:tcPr>
          <w:p w14:paraId="1526AA88" w14:textId="77777777" w:rsidR="004114EF" w:rsidRDefault="004114EF" w:rsidP="00747ECF">
            <w:pPr>
              <w:pStyle w:val="affffd"/>
              <w:spacing w:line="240" w:lineRule="auto"/>
              <w:rPr>
                <w:rFonts w:ascii="Times New Roman" w:hAnsi="Times New Roman" w:cs="Times New Roman"/>
                <w:color w:val="FF0000"/>
              </w:rPr>
            </w:pPr>
          </w:p>
        </w:tc>
        <w:tc>
          <w:tcPr>
            <w:tcW w:w="1498" w:type="dxa"/>
            <w:vAlign w:val="center"/>
          </w:tcPr>
          <w:p w14:paraId="0768CD25"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NH</w:t>
            </w:r>
            <w:r>
              <w:rPr>
                <w:rFonts w:ascii="Times New Roman" w:eastAsia="宋体" w:hAnsi="Times New Roman" w:cs="Times New Roman"/>
                <w:color w:val="FF0000"/>
                <w:vertAlign w:val="subscript"/>
              </w:rPr>
              <w:t>3</w:t>
            </w:r>
            <w:r>
              <w:rPr>
                <w:rFonts w:ascii="Times New Roman" w:eastAsia="宋体" w:hAnsi="Times New Roman" w:cs="Times New Roman"/>
                <w:color w:val="FF0000"/>
              </w:rPr>
              <w:t>-N</w:t>
            </w:r>
          </w:p>
        </w:tc>
        <w:tc>
          <w:tcPr>
            <w:tcW w:w="1594" w:type="dxa"/>
            <w:vAlign w:val="center"/>
          </w:tcPr>
          <w:p w14:paraId="5A92BE96"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17.77t/a</w:t>
            </w:r>
          </w:p>
        </w:tc>
        <w:tc>
          <w:tcPr>
            <w:tcW w:w="2798" w:type="dxa"/>
            <w:gridSpan w:val="2"/>
            <w:vMerge/>
            <w:vAlign w:val="center"/>
          </w:tcPr>
          <w:p w14:paraId="6A9F43A7"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7AF34D3C"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62E6E264"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4E88103C" w14:textId="77777777" w:rsidR="004114EF" w:rsidRDefault="004114EF" w:rsidP="00747ECF">
            <w:pPr>
              <w:pStyle w:val="affffd"/>
              <w:spacing w:line="240" w:lineRule="auto"/>
              <w:rPr>
                <w:rFonts w:hAnsi="Times New Roman"/>
              </w:rPr>
            </w:pPr>
          </w:p>
        </w:tc>
      </w:tr>
      <w:tr w:rsidR="004114EF" w14:paraId="534BBE19" w14:textId="77777777" w:rsidTr="00C6006A">
        <w:trPr>
          <w:trHeight w:val="20"/>
          <w:jc w:val="center"/>
        </w:trPr>
        <w:tc>
          <w:tcPr>
            <w:tcW w:w="700" w:type="dxa"/>
            <w:vMerge/>
            <w:vAlign w:val="center"/>
          </w:tcPr>
          <w:p w14:paraId="3FADE6D7" w14:textId="77777777" w:rsidR="004114EF" w:rsidRDefault="004114EF" w:rsidP="00747ECF">
            <w:pPr>
              <w:pStyle w:val="affffd"/>
              <w:spacing w:line="240" w:lineRule="auto"/>
              <w:rPr>
                <w:rFonts w:hAnsi="Times New Roman"/>
              </w:rPr>
            </w:pPr>
          </w:p>
        </w:tc>
        <w:tc>
          <w:tcPr>
            <w:tcW w:w="1687" w:type="dxa"/>
            <w:vMerge/>
            <w:vAlign w:val="center"/>
          </w:tcPr>
          <w:p w14:paraId="0D7D9B3A" w14:textId="77777777" w:rsidR="004114EF" w:rsidRDefault="004114EF" w:rsidP="00747ECF">
            <w:pPr>
              <w:pStyle w:val="affffd"/>
              <w:spacing w:line="240" w:lineRule="auto"/>
              <w:rPr>
                <w:rFonts w:ascii="Times New Roman" w:hAnsi="Times New Roman" w:cs="Times New Roman"/>
                <w:color w:val="FF0000"/>
              </w:rPr>
            </w:pPr>
          </w:p>
        </w:tc>
        <w:tc>
          <w:tcPr>
            <w:tcW w:w="1498" w:type="dxa"/>
            <w:vAlign w:val="center"/>
          </w:tcPr>
          <w:p w14:paraId="26B8C0BC"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SS</w:t>
            </w:r>
          </w:p>
        </w:tc>
        <w:tc>
          <w:tcPr>
            <w:tcW w:w="1594" w:type="dxa"/>
            <w:vAlign w:val="center"/>
          </w:tcPr>
          <w:p w14:paraId="18C6BCC6" w14:textId="77777777" w:rsidR="004114EF" w:rsidRDefault="004114EF" w:rsidP="00747ECF">
            <w:pPr>
              <w:pStyle w:val="affffd"/>
              <w:spacing w:line="240" w:lineRule="auto"/>
              <w:rPr>
                <w:rFonts w:ascii="Times New Roman" w:hAnsi="Times New Roman" w:cs="Times New Roman"/>
                <w:color w:val="FF0000"/>
              </w:rPr>
            </w:pPr>
            <w:r>
              <w:rPr>
                <w:rFonts w:ascii="Times New Roman" w:eastAsia="宋体" w:hAnsi="Times New Roman" w:cs="Times New Roman"/>
                <w:color w:val="FF0000"/>
              </w:rPr>
              <w:t>22.21t/a</w:t>
            </w:r>
          </w:p>
        </w:tc>
        <w:tc>
          <w:tcPr>
            <w:tcW w:w="2798" w:type="dxa"/>
            <w:gridSpan w:val="2"/>
            <w:vMerge/>
            <w:vAlign w:val="center"/>
          </w:tcPr>
          <w:p w14:paraId="34E94106"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737048EF"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35AAFD26"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7BBE6C40" w14:textId="77777777" w:rsidR="004114EF" w:rsidRDefault="004114EF" w:rsidP="00747ECF">
            <w:pPr>
              <w:pStyle w:val="affffd"/>
              <w:spacing w:line="240" w:lineRule="auto"/>
              <w:rPr>
                <w:rFonts w:hAnsi="Times New Roman"/>
              </w:rPr>
            </w:pPr>
          </w:p>
        </w:tc>
      </w:tr>
      <w:tr w:rsidR="004114EF" w14:paraId="17F663C6" w14:textId="77777777" w:rsidTr="00C6006A">
        <w:trPr>
          <w:trHeight w:val="20"/>
          <w:jc w:val="center"/>
        </w:trPr>
        <w:tc>
          <w:tcPr>
            <w:tcW w:w="700" w:type="dxa"/>
            <w:vMerge/>
            <w:vAlign w:val="center"/>
          </w:tcPr>
          <w:p w14:paraId="1BC89FD3" w14:textId="77777777" w:rsidR="004114EF" w:rsidRDefault="004114EF" w:rsidP="00747ECF">
            <w:pPr>
              <w:pStyle w:val="affffd"/>
              <w:spacing w:line="240" w:lineRule="auto"/>
              <w:rPr>
                <w:rFonts w:hAnsi="Times New Roman"/>
              </w:rPr>
            </w:pPr>
          </w:p>
        </w:tc>
        <w:tc>
          <w:tcPr>
            <w:tcW w:w="1687" w:type="dxa"/>
            <w:vMerge/>
            <w:vAlign w:val="center"/>
          </w:tcPr>
          <w:p w14:paraId="7AA813DA" w14:textId="77777777" w:rsidR="004114EF" w:rsidRDefault="004114EF" w:rsidP="00747ECF">
            <w:pPr>
              <w:pStyle w:val="affffd"/>
              <w:spacing w:line="240" w:lineRule="auto"/>
              <w:rPr>
                <w:rFonts w:ascii="Times New Roman" w:hAnsi="Times New Roman" w:cs="Times New Roman"/>
                <w:color w:val="FF0000"/>
              </w:rPr>
            </w:pPr>
          </w:p>
        </w:tc>
        <w:tc>
          <w:tcPr>
            <w:tcW w:w="1498" w:type="dxa"/>
            <w:vAlign w:val="center"/>
          </w:tcPr>
          <w:p w14:paraId="1D0E86DC" w14:textId="2983F197" w:rsidR="004114EF" w:rsidRDefault="003F5A03" w:rsidP="00747ECF">
            <w:pPr>
              <w:pStyle w:val="affffd"/>
              <w:spacing w:line="240" w:lineRule="auto"/>
              <w:rPr>
                <w:rFonts w:ascii="Times New Roman" w:hAnsi="Times New Roman" w:cs="Times New Roman"/>
                <w:color w:val="FF0000"/>
              </w:rPr>
            </w:pPr>
            <w:r>
              <w:rPr>
                <w:rFonts w:ascii="Times New Roman" w:eastAsia="宋体" w:hAnsi="Times New Roman" w:cs="Times New Roman" w:hint="eastAsia"/>
                <w:color w:val="FF0000"/>
              </w:rPr>
              <w:t>T</w:t>
            </w:r>
            <w:r>
              <w:rPr>
                <w:rFonts w:ascii="Times New Roman" w:eastAsia="宋体" w:hAnsi="Times New Roman" w:cs="Times New Roman"/>
                <w:color w:val="FF0000"/>
              </w:rPr>
              <w:t>N</w:t>
            </w:r>
          </w:p>
        </w:tc>
        <w:tc>
          <w:tcPr>
            <w:tcW w:w="1594" w:type="dxa"/>
            <w:vAlign w:val="center"/>
          </w:tcPr>
          <w:p w14:paraId="515878B8" w14:textId="7AF05B6A" w:rsidR="004114EF" w:rsidRDefault="003F5A03" w:rsidP="003F5A03">
            <w:pPr>
              <w:pStyle w:val="affffd"/>
              <w:spacing w:line="240" w:lineRule="auto"/>
              <w:rPr>
                <w:rFonts w:ascii="Times New Roman" w:hAnsi="Times New Roman" w:cs="Times New Roman"/>
                <w:color w:val="FF0000"/>
              </w:rPr>
            </w:pPr>
            <w:r>
              <w:rPr>
                <w:rFonts w:ascii="Times New Roman" w:eastAsia="宋体" w:hAnsi="Times New Roman" w:cs="Times New Roman" w:hint="eastAsia"/>
                <w:color w:val="FF0000"/>
              </w:rPr>
              <w:t>2</w:t>
            </w:r>
            <w:r>
              <w:rPr>
                <w:rFonts w:ascii="Times New Roman" w:eastAsia="宋体" w:hAnsi="Times New Roman" w:cs="Times New Roman"/>
                <w:color w:val="FF0000"/>
              </w:rPr>
              <w:t>2.21</w:t>
            </w:r>
            <w:r w:rsidR="004114EF">
              <w:rPr>
                <w:rFonts w:ascii="Times New Roman" w:eastAsia="宋体" w:hAnsi="Times New Roman" w:cs="Times New Roman"/>
                <w:color w:val="FF0000"/>
              </w:rPr>
              <w:t>t/a</w:t>
            </w:r>
          </w:p>
        </w:tc>
        <w:tc>
          <w:tcPr>
            <w:tcW w:w="2798" w:type="dxa"/>
            <w:gridSpan w:val="2"/>
            <w:vMerge/>
            <w:vAlign w:val="center"/>
          </w:tcPr>
          <w:p w14:paraId="2E45F242"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4C6B9F59"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57CCFD36"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6E1ADF53" w14:textId="77777777" w:rsidR="004114EF" w:rsidRDefault="004114EF" w:rsidP="00747ECF">
            <w:pPr>
              <w:pStyle w:val="affffd"/>
              <w:spacing w:line="240" w:lineRule="auto"/>
              <w:rPr>
                <w:rFonts w:hAnsi="Times New Roman"/>
              </w:rPr>
            </w:pPr>
          </w:p>
        </w:tc>
      </w:tr>
      <w:tr w:rsidR="004114EF" w14:paraId="63A9E13F" w14:textId="77777777" w:rsidTr="00C6006A">
        <w:trPr>
          <w:trHeight w:val="20"/>
          <w:jc w:val="center"/>
        </w:trPr>
        <w:tc>
          <w:tcPr>
            <w:tcW w:w="700" w:type="dxa"/>
            <w:vMerge/>
            <w:vAlign w:val="center"/>
          </w:tcPr>
          <w:p w14:paraId="625E56B4" w14:textId="77777777" w:rsidR="004114EF" w:rsidRDefault="004114EF" w:rsidP="00747ECF">
            <w:pPr>
              <w:pStyle w:val="affffd"/>
              <w:spacing w:line="240" w:lineRule="auto"/>
              <w:rPr>
                <w:rFonts w:hAnsi="Times New Roman"/>
              </w:rPr>
            </w:pPr>
          </w:p>
        </w:tc>
        <w:tc>
          <w:tcPr>
            <w:tcW w:w="1687" w:type="dxa"/>
            <w:vMerge w:val="restart"/>
            <w:vAlign w:val="center"/>
          </w:tcPr>
          <w:p w14:paraId="583124EF"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反冲洗废水</w:t>
            </w:r>
          </w:p>
        </w:tc>
        <w:tc>
          <w:tcPr>
            <w:tcW w:w="1498" w:type="dxa"/>
            <w:vAlign w:val="center"/>
          </w:tcPr>
          <w:p w14:paraId="7062D417"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水量</w:t>
            </w:r>
          </w:p>
        </w:tc>
        <w:tc>
          <w:tcPr>
            <w:tcW w:w="1594" w:type="dxa"/>
            <w:vAlign w:val="center"/>
          </w:tcPr>
          <w:p w14:paraId="1A6F6C72"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1825t/a</w:t>
            </w:r>
          </w:p>
        </w:tc>
        <w:tc>
          <w:tcPr>
            <w:tcW w:w="2798" w:type="dxa"/>
            <w:gridSpan w:val="2"/>
            <w:vMerge/>
            <w:vAlign w:val="center"/>
          </w:tcPr>
          <w:p w14:paraId="7A6F5EE9" w14:textId="77777777" w:rsidR="004114EF" w:rsidRDefault="004114EF" w:rsidP="00747ECF">
            <w:pPr>
              <w:pStyle w:val="affffd"/>
              <w:spacing w:line="240" w:lineRule="auto"/>
              <w:rPr>
                <w:rFonts w:ascii="Times New Roman" w:hAnsi="Times New Roman" w:cs="Times New Roman"/>
              </w:rPr>
            </w:pPr>
          </w:p>
        </w:tc>
        <w:tc>
          <w:tcPr>
            <w:tcW w:w="1551" w:type="dxa"/>
            <w:vMerge w:val="restart"/>
            <w:vAlign w:val="center"/>
          </w:tcPr>
          <w:p w14:paraId="1D98F906"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间断</w:t>
            </w:r>
          </w:p>
        </w:tc>
        <w:tc>
          <w:tcPr>
            <w:tcW w:w="1997" w:type="dxa"/>
            <w:vMerge w:val="restart"/>
            <w:vAlign w:val="center"/>
          </w:tcPr>
          <w:p w14:paraId="10960FB5"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进入渗滤液处理站处理</w:t>
            </w:r>
          </w:p>
        </w:tc>
        <w:tc>
          <w:tcPr>
            <w:tcW w:w="2916" w:type="dxa"/>
            <w:vMerge/>
            <w:vAlign w:val="center"/>
          </w:tcPr>
          <w:p w14:paraId="67E552E4" w14:textId="77777777" w:rsidR="004114EF" w:rsidRDefault="004114EF" w:rsidP="00747ECF">
            <w:pPr>
              <w:pStyle w:val="affffd"/>
              <w:spacing w:line="240" w:lineRule="auto"/>
              <w:rPr>
                <w:rFonts w:hAnsi="Times New Roman"/>
              </w:rPr>
            </w:pPr>
          </w:p>
        </w:tc>
      </w:tr>
      <w:tr w:rsidR="004114EF" w14:paraId="27C2B3C6" w14:textId="77777777" w:rsidTr="00C6006A">
        <w:trPr>
          <w:trHeight w:val="20"/>
          <w:jc w:val="center"/>
        </w:trPr>
        <w:tc>
          <w:tcPr>
            <w:tcW w:w="700" w:type="dxa"/>
            <w:vMerge/>
            <w:vAlign w:val="center"/>
          </w:tcPr>
          <w:p w14:paraId="073327B9" w14:textId="77777777" w:rsidR="004114EF" w:rsidRDefault="004114EF" w:rsidP="00747ECF">
            <w:pPr>
              <w:pStyle w:val="affffd"/>
              <w:spacing w:line="240" w:lineRule="auto"/>
              <w:rPr>
                <w:rFonts w:hAnsi="Times New Roman"/>
              </w:rPr>
            </w:pPr>
          </w:p>
        </w:tc>
        <w:tc>
          <w:tcPr>
            <w:tcW w:w="1687" w:type="dxa"/>
            <w:vMerge/>
            <w:vAlign w:val="center"/>
          </w:tcPr>
          <w:p w14:paraId="5087A505"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7ED28F39"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COD</w:t>
            </w:r>
          </w:p>
        </w:tc>
        <w:tc>
          <w:tcPr>
            <w:tcW w:w="1594" w:type="dxa"/>
            <w:vAlign w:val="center"/>
          </w:tcPr>
          <w:p w14:paraId="6ECD78D0"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9.13t/a</w:t>
            </w:r>
          </w:p>
        </w:tc>
        <w:tc>
          <w:tcPr>
            <w:tcW w:w="2798" w:type="dxa"/>
            <w:gridSpan w:val="2"/>
            <w:vMerge/>
            <w:vAlign w:val="center"/>
          </w:tcPr>
          <w:p w14:paraId="3E472D32"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4B9DB520"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7C3A5DEB"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663203A5" w14:textId="77777777" w:rsidR="004114EF" w:rsidRDefault="004114EF" w:rsidP="00747ECF">
            <w:pPr>
              <w:pStyle w:val="affffd"/>
              <w:spacing w:line="240" w:lineRule="auto"/>
              <w:rPr>
                <w:rFonts w:hAnsi="Times New Roman"/>
              </w:rPr>
            </w:pPr>
          </w:p>
        </w:tc>
      </w:tr>
      <w:tr w:rsidR="004114EF" w14:paraId="7614838C" w14:textId="77777777" w:rsidTr="00C6006A">
        <w:trPr>
          <w:trHeight w:val="20"/>
          <w:jc w:val="center"/>
        </w:trPr>
        <w:tc>
          <w:tcPr>
            <w:tcW w:w="700" w:type="dxa"/>
            <w:vMerge/>
            <w:vAlign w:val="center"/>
          </w:tcPr>
          <w:p w14:paraId="73777CCE" w14:textId="77777777" w:rsidR="004114EF" w:rsidRDefault="004114EF" w:rsidP="00747ECF">
            <w:pPr>
              <w:pStyle w:val="affffd"/>
              <w:spacing w:line="240" w:lineRule="auto"/>
              <w:rPr>
                <w:rFonts w:hAnsi="Times New Roman"/>
              </w:rPr>
            </w:pPr>
          </w:p>
        </w:tc>
        <w:tc>
          <w:tcPr>
            <w:tcW w:w="1687" w:type="dxa"/>
            <w:vMerge/>
            <w:vAlign w:val="center"/>
          </w:tcPr>
          <w:p w14:paraId="49FBEEC9"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610469E9"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BOD5</w:t>
            </w:r>
          </w:p>
        </w:tc>
        <w:tc>
          <w:tcPr>
            <w:tcW w:w="1594" w:type="dxa"/>
            <w:vAlign w:val="center"/>
          </w:tcPr>
          <w:p w14:paraId="01600822"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2.74t/a</w:t>
            </w:r>
          </w:p>
        </w:tc>
        <w:tc>
          <w:tcPr>
            <w:tcW w:w="2798" w:type="dxa"/>
            <w:gridSpan w:val="2"/>
            <w:vMerge/>
            <w:vAlign w:val="center"/>
          </w:tcPr>
          <w:p w14:paraId="07869885"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5195D96B"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7CC2B310"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545C5ACE" w14:textId="77777777" w:rsidR="004114EF" w:rsidRDefault="004114EF" w:rsidP="00747ECF">
            <w:pPr>
              <w:pStyle w:val="affffd"/>
              <w:spacing w:line="240" w:lineRule="auto"/>
              <w:rPr>
                <w:rFonts w:hAnsi="Times New Roman"/>
              </w:rPr>
            </w:pPr>
          </w:p>
        </w:tc>
      </w:tr>
      <w:tr w:rsidR="004114EF" w14:paraId="354E7C6E" w14:textId="77777777" w:rsidTr="00C6006A">
        <w:trPr>
          <w:trHeight w:val="20"/>
          <w:jc w:val="center"/>
        </w:trPr>
        <w:tc>
          <w:tcPr>
            <w:tcW w:w="700" w:type="dxa"/>
            <w:vMerge/>
            <w:vAlign w:val="center"/>
          </w:tcPr>
          <w:p w14:paraId="0C079596" w14:textId="77777777" w:rsidR="004114EF" w:rsidRDefault="004114EF" w:rsidP="00747ECF">
            <w:pPr>
              <w:pStyle w:val="affffd"/>
              <w:spacing w:line="240" w:lineRule="auto"/>
              <w:rPr>
                <w:rFonts w:hAnsi="Times New Roman"/>
              </w:rPr>
            </w:pPr>
          </w:p>
        </w:tc>
        <w:tc>
          <w:tcPr>
            <w:tcW w:w="1687" w:type="dxa"/>
            <w:vMerge/>
            <w:vAlign w:val="center"/>
          </w:tcPr>
          <w:p w14:paraId="1A025B8F"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677F3C09"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NH3-N</w:t>
            </w:r>
          </w:p>
        </w:tc>
        <w:tc>
          <w:tcPr>
            <w:tcW w:w="1594" w:type="dxa"/>
            <w:vAlign w:val="center"/>
          </w:tcPr>
          <w:p w14:paraId="172F233A"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0.91t/a</w:t>
            </w:r>
          </w:p>
        </w:tc>
        <w:tc>
          <w:tcPr>
            <w:tcW w:w="2798" w:type="dxa"/>
            <w:gridSpan w:val="2"/>
            <w:vMerge/>
            <w:vAlign w:val="center"/>
          </w:tcPr>
          <w:p w14:paraId="3E89E529"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4B2918E1"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02AC586B"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28C8AAD5" w14:textId="77777777" w:rsidR="004114EF" w:rsidRDefault="004114EF" w:rsidP="00747ECF">
            <w:pPr>
              <w:pStyle w:val="affffd"/>
              <w:spacing w:line="240" w:lineRule="auto"/>
              <w:rPr>
                <w:rFonts w:hAnsi="Times New Roman"/>
              </w:rPr>
            </w:pPr>
          </w:p>
        </w:tc>
      </w:tr>
      <w:tr w:rsidR="004114EF" w14:paraId="09270DE0" w14:textId="77777777" w:rsidTr="00C6006A">
        <w:trPr>
          <w:trHeight w:val="20"/>
          <w:jc w:val="center"/>
        </w:trPr>
        <w:tc>
          <w:tcPr>
            <w:tcW w:w="700" w:type="dxa"/>
            <w:vMerge/>
            <w:vAlign w:val="center"/>
          </w:tcPr>
          <w:p w14:paraId="1F086AA5" w14:textId="77777777" w:rsidR="004114EF" w:rsidRDefault="004114EF" w:rsidP="00747ECF">
            <w:pPr>
              <w:pStyle w:val="affffd"/>
              <w:spacing w:line="240" w:lineRule="auto"/>
              <w:rPr>
                <w:rFonts w:hAnsi="Times New Roman"/>
              </w:rPr>
            </w:pPr>
          </w:p>
        </w:tc>
        <w:tc>
          <w:tcPr>
            <w:tcW w:w="1687" w:type="dxa"/>
            <w:vMerge/>
            <w:vAlign w:val="center"/>
          </w:tcPr>
          <w:p w14:paraId="20EFF7E3"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31057EEE"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SS</w:t>
            </w:r>
          </w:p>
        </w:tc>
        <w:tc>
          <w:tcPr>
            <w:tcW w:w="1594" w:type="dxa"/>
            <w:vAlign w:val="center"/>
          </w:tcPr>
          <w:p w14:paraId="3AE34488"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0.55t/a</w:t>
            </w:r>
          </w:p>
        </w:tc>
        <w:tc>
          <w:tcPr>
            <w:tcW w:w="2798" w:type="dxa"/>
            <w:gridSpan w:val="2"/>
            <w:vMerge/>
            <w:vAlign w:val="center"/>
          </w:tcPr>
          <w:p w14:paraId="2569E2C0"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6A2CB77D"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50882B26"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12EC2A7F" w14:textId="77777777" w:rsidR="004114EF" w:rsidRDefault="004114EF" w:rsidP="00747ECF">
            <w:pPr>
              <w:pStyle w:val="affffd"/>
              <w:spacing w:line="240" w:lineRule="auto"/>
              <w:rPr>
                <w:rFonts w:hAnsi="Times New Roman"/>
              </w:rPr>
            </w:pPr>
          </w:p>
        </w:tc>
      </w:tr>
      <w:tr w:rsidR="004114EF" w14:paraId="19623375" w14:textId="77777777" w:rsidTr="00C6006A">
        <w:trPr>
          <w:trHeight w:val="20"/>
          <w:jc w:val="center"/>
        </w:trPr>
        <w:tc>
          <w:tcPr>
            <w:tcW w:w="700" w:type="dxa"/>
            <w:vMerge/>
            <w:vAlign w:val="center"/>
          </w:tcPr>
          <w:p w14:paraId="3A4C05A5" w14:textId="77777777" w:rsidR="004114EF" w:rsidRDefault="004114EF" w:rsidP="00747ECF">
            <w:pPr>
              <w:pStyle w:val="affffd"/>
              <w:spacing w:line="240" w:lineRule="auto"/>
              <w:rPr>
                <w:rFonts w:hAnsi="Times New Roman"/>
              </w:rPr>
            </w:pPr>
          </w:p>
        </w:tc>
        <w:tc>
          <w:tcPr>
            <w:tcW w:w="1687" w:type="dxa"/>
            <w:vMerge w:val="restart"/>
            <w:vAlign w:val="center"/>
          </w:tcPr>
          <w:p w14:paraId="1181586C"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车间地面冲洗废水</w:t>
            </w:r>
          </w:p>
        </w:tc>
        <w:tc>
          <w:tcPr>
            <w:tcW w:w="1498" w:type="dxa"/>
            <w:vAlign w:val="center"/>
          </w:tcPr>
          <w:p w14:paraId="2A29D3AB"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水量</w:t>
            </w:r>
          </w:p>
        </w:tc>
        <w:tc>
          <w:tcPr>
            <w:tcW w:w="1594" w:type="dxa"/>
            <w:vAlign w:val="center"/>
          </w:tcPr>
          <w:p w14:paraId="21AA15F3"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1095t/a</w:t>
            </w:r>
          </w:p>
        </w:tc>
        <w:tc>
          <w:tcPr>
            <w:tcW w:w="2798" w:type="dxa"/>
            <w:gridSpan w:val="2"/>
            <w:vMerge/>
            <w:vAlign w:val="center"/>
          </w:tcPr>
          <w:p w14:paraId="71D93E18" w14:textId="77777777" w:rsidR="004114EF" w:rsidRDefault="004114EF" w:rsidP="00747ECF">
            <w:pPr>
              <w:pStyle w:val="affffd"/>
              <w:spacing w:line="240" w:lineRule="auto"/>
              <w:rPr>
                <w:rFonts w:ascii="Times New Roman" w:hAnsi="Times New Roman" w:cs="Times New Roman"/>
              </w:rPr>
            </w:pPr>
          </w:p>
        </w:tc>
        <w:tc>
          <w:tcPr>
            <w:tcW w:w="1551" w:type="dxa"/>
            <w:vMerge w:val="restart"/>
            <w:vAlign w:val="center"/>
          </w:tcPr>
          <w:p w14:paraId="36300299"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间断</w:t>
            </w:r>
          </w:p>
        </w:tc>
        <w:tc>
          <w:tcPr>
            <w:tcW w:w="1997" w:type="dxa"/>
            <w:vMerge/>
            <w:vAlign w:val="center"/>
          </w:tcPr>
          <w:p w14:paraId="6AE0865D"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428F955F" w14:textId="77777777" w:rsidR="004114EF" w:rsidRDefault="004114EF" w:rsidP="00747ECF">
            <w:pPr>
              <w:pStyle w:val="affffd"/>
              <w:spacing w:line="240" w:lineRule="auto"/>
              <w:rPr>
                <w:rFonts w:hAnsi="Times New Roman"/>
              </w:rPr>
            </w:pPr>
          </w:p>
        </w:tc>
      </w:tr>
      <w:tr w:rsidR="004114EF" w14:paraId="3D785895" w14:textId="77777777" w:rsidTr="00C6006A">
        <w:trPr>
          <w:trHeight w:val="20"/>
          <w:jc w:val="center"/>
        </w:trPr>
        <w:tc>
          <w:tcPr>
            <w:tcW w:w="700" w:type="dxa"/>
            <w:vMerge/>
            <w:vAlign w:val="center"/>
          </w:tcPr>
          <w:p w14:paraId="675CD017" w14:textId="77777777" w:rsidR="004114EF" w:rsidRDefault="004114EF" w:rsidP="00747ECF">
            <w:pPr>
              <w:pStyle w:val="affffd"/>
              <w:spacing w:line="240" w:lineRule="auto"/>
              <w:rPr>
                <w:rFonts w:hAnsi="Times New Roman"/>
              </w:rPr>
            </w:pPr>
          </w:p>
        </w:tc>
        <w:tc>
          <w:tcPr>
            <w:tcW w:w="1687" w:type="dxa"/>
            <w:vMerge/>
            <w:vAlign w:val="center"/>
          </w:tcPr>
          <w:p w14:paraId="6EA7F239"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3C0455D1"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COD</w:t>
            </w:r>
          </w:p>
        </w:tc>
        <w:tc>
          <w:tcPr>
            <w:tcW w:w="1594" w:type="dxa"/>
            <w:vAlign w:val="center"/>
          </w:tcPr>
          <w:p w14:paraId="0D5CF5FD"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2.19t/a</w:t>
            </w:r>
          </w:p>
        </w:tc>
        <w:tc>
          <w:tcPr>
            <w:tcW w:w="2798" w:type="dxa"/>
            <w:gridSpan w:val="2"/>
            <w:vMerge/>
            <w:vAlign w:val="center"/>
          </w:tcPr>
          <w:p w14:paraId="6CEE8800"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15E45DCA"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74EED689"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09A942E7" w14:textId="77777777" w:rsidR="004114EF" w:rsidRDefault="004114EF" w:rsidP="00747ECF">
            <w:pPr>
              <w:pStyle w:val="affffd"/>
              <w:spacing w:line="240" w:lineRule="auto"/>
              <w:rPr>
                <w:rFonts w:hAnsi="Times New Roman"/>
              </w:rPr>
            </w:pPr>
          </w:p>
        </w:tc>
      </w:tr>
      <w:tr w:rsidR="004114EF" w14:paraId="2CD32737" w14:textId="77777777" w:rsidTr="00C6006A">
        <w:trPr>
          <w:trHeight w:val="20"/>
          <w:jc w:val="center"/>
        </w:trPr>
        <w:tc>
          <w:tcPr>
            <w:tcW w:w="700" w:type="dxa"/>
            <w:vMerge/>
            <w:vAlign w:val="center"/>
          </w:tcPr>
          <w:p w14:paraId="4CEB1C9A" w14:textId="77777777" w:rsidR="004114EF" w:rsidRDefault="004114EF" w:rsidP="00747ECF">
            <w:pPr>
              <w:pStyle w:val="affffd"/>
              <w:spacing w:line="240" w:lineRule="auto"/>
              <w:rPr>
                <w:rFonts w:hAnsi="Times New Roman"/>
              </w:rPr>
            </w:pPr>
          </w:p>
        </w:tc>
        <w:tc>
          <w:tcPr>
            <w:tcW w:w="1687" w:type="dxa"/>
            <w:vMerge/>
            <w:vAlign w:val="center"/>
          </w:tcPr>
          <w:p w14:paraId="72B51CEE"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2923C043"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BOD5</w:t>
            </w:r>
          </w:p>
        </w:tc>
        <w:tc>
          <w:tcPr>
            <w:tcW w:w="1594" w:type="dxa"/>
            <w:vAlign w:val="center"/>
          </w:tcPr>
          <w:p w14:paraId="5B939019"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1.75t/a</w:t>
            </w:r>
          </w:p>
        </w:tc>
        <w:tc>
          <w:tcPr>
            <w:tcW w:w="2798" w:type="dxa"/>
            <w:gridSpan w:val="2"/>
            <w:vMerge/>
            <w:vAlign w:val="center"/>
          </w:tcPr>
          <w:p w14:paraId="2F91904B"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7E596A27"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474A635D"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0BD2B0BE" w14:textId="77777777" w:rsidR="004114EF" w:rsidRDefault="004114EF" w:rsidP="00747ECF">
            <w:pPr>
              <w:pStyle w:val="affffd"/>
              <w:spacing w:line="240" w:lineRule="auto"/>
              <w:rPr>
                <w:rFonts w:hAnsi="Times New Roman"/>
              </w:rPr>
            </w:pPr>
          </w:p>
        </w:tc>
      </w:tr>
      <w:tr w:rsidR="004114EF" w14:paraId="05C2B908" w14:textId="77777777" w:rsidTr="00C6006A">
        <w:trPr>
          <w:trHeight w:val="20"/>
          <w:jc w:val="center"/>
        </w:trPr>
        <w:tc>
          <w:tcPr>
            <w:tcW w:w="700" w:type="dxa"/>
            <w:vMerge/>
            <w:vAlign w:val="center"/>
          </w:tcPr>
          <w:p w14:paraId="3B9439AE" w14:textId="77777777" w:rsidR="004114EF" w:rsidRDefault="004114EF" w:rsidP="00747ECF">
            <w:pPr>
              <w:pStyle w:val="affffd"/>
              <w:spacing w:line="240" w:lineRule="auto"/>
              <w:rPr>
                <w:rFonts w:hAnsi="Times New Roman"/>
              </w:rPr>
            </w:pPr>
          </w:p>
        </w:tc>
        <w:tc>
          <w:tcPr>
            <w:tcW w:w="1687" w:type="dxa"/>
            <w:vMerge/>
            <w:vAlign w:val="center"/>
          </w:tcPr>
          <w:p w14:paraId="407593BD"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79B19718"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NH3-N</w:t>
            </w:r>
          </w:p>
        </w:tc>
        <w:tc>
          <w:tcPr>
            <w:tcW w:w="1594" w:type="dxa"/>
            <w:vAlign w:val="center"/>
          </w:tcPr>
          <w:p w14:paraId="2CFE60F7"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0.22t/a</w:t>
            </w:r>
          </w:p>
        </w:tc>
        <w:tc>
          <w:tcPr>
            <w:tcW w:w="2798" w:type="dxa"/>
            <w:gridSpan w:val="2"/>
            <w:vMerge/>
            <w:vAlign w:val="center"/>
          </w:tcPr>
          <w:p w14:paraId="22B5E694"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375B6FB1"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49D8AE6B"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18A825E6" w14:textId="77777777" w:rsidR="004114EF" w:rsidRDefault="004114EF" w:rsidP="00747ECF">
            <w:pPr>
              <w:pStyle w:val="affffd"/>
              <w:spacing w:line="240" w:lineRule="auto"/>
              <w:rPr>
                <w:rFonts w:hAnsi="Times New Roman"/>
              </w:rPr>
            </w:pPr>
          </w:p>
        </w:tc>
      </w:tr>
      <w:tr w:rsidR="004114EF" w14:paraId="2A5DE3AE" w14:textId="77777777" w:rsidTr="00C6006A">
        <w:trPr>
          <w:trHeight w:val="20"/>
          <w:jc w:val="center"/>
        </w:trPr>
        <w:tc>
          <w:tcPr>
            <w:tcW w:w="700" w:type="dxa"/>
            <w:vMerge/>
            <w:vAlign w:val="center"/>
          </w:tcPr>
          <w:p w14:paraId="1A411E88" w14:textId="77777777" w:rsidR="004114EF" w:rsidRDefault="004114EF" w:rsidP="00747ECF">
            <w:pPr>
              <w:pStyle w:val="affffd"/>
              <w:spacing w:line="240" w:lineRule="auto"/>
              <w:rPr>
                <w:rFonts w:hAnsi="Times New Roman"/>
              </w:rPr>
            </w:pPr>
          </w:p>
        </w:tc>
        <w:tc>
          <w:tcPr>
            <w:tcW w:w="1687" w:type="dxa"/>
            <w:vMerge/>
            <w:vAlign w:val="center"/>
          </w:tcPr>
          <w:p w14:paraId="4F3D0AD7"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73D5C639"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SS</w:t>
            </w:r>
          </w:p>
        </w:tc>
        <w:tc>
          <w:tcPr>
            <w:tcW w:w="1594" w:type="dxa"/>
            <w:vAlign w:val="center"/>
          </w:tcPr>
          <w:p w14:paraId="6B227D07"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0.55t/a</w:t>
            </w:r>
          </w:p>
        </w:tc>
        <w:tc>
          <w:tcPr>
            <w:tcW w:w="2798" w:type="dxa"/>
            <w:gridSpan w:val="2"/>
            <w:vMerge/>
            <w:vAlign w:val="center"/>
          </w:tcPr>
          <w:p w14:paraId="5B27009E"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024F8EF6"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412C1383"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52F55F82" w14:textId="77777777" w:rsidR="004114EF" w:rsidRDefault="004114EF" w:rsidP="00747ECF">
            <w:pPr>
              <w:pStyle w:val="affffd"/>
              <w:spacing w:line="240" w:lineRule="auto"/>
              <w:rPr>
                <w:rFonts w:hAnsi="Times New Roman"/>
              </w:rPr>
            </w:pPr>
          </w:p>
        </w:tc>
      </w:tr>
      <w:tr w:rsidR="004114EF" w14:paraId="7E6DB080" w14:textId="77777777" w:rsidTr="00C6006A">
        <w:trPr>
          <w:trHeight w:val="20"/>
          <w:jc w:val="center"/>
        </w:trPr>
        <w:tc>
          <w:tcPr>
            <w:tcW w:w="700" w:type="dxa"/>
            <w:vMerge/>
            <w:vAlign w:val="center"/>
          </w:tcPr>
          <w:p w14:paraId="6EF461CD" w14:textId="77777777" w:rsidR="004114EF" w:rsidRDefault="004114EF" w:rsidP="00747ECF">
            <w:pPr>
              <w:pStyle w:val="affffd"/>
              <w:spacing w:line="240" w:lineRule="auto"/>
              <w:rPr>
                <w:rFonts w:hAnsi="Times New Roman"/>
              </w:rPr>
            </w:pPr>
          </w:p>
        </w:tc>
        <w:tc>
          <w:tcPr>
            <w:tcW w:w="1687" w:type="dxa"/>
            <w:vMerge w:val="restart"/>
            <w:vAlign w:val="center"/>
          </w:tcPr>
          <w:p w14:paraId="3058DC47"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生活污水</w:t>
            </w:r>
          </w:p>
        </w:tc>
        <w:tc>
          <w:tcPr>
            <w:tcW w:w="1498" w:type="dxa"/>
            <w:vAlign w:val="center"/>
          </w:tcPr>
          <w:p w14:paraId="5C074B5C"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水量</w:t>
            </w:r>
          </w:p>
        </w:tc>
        <w:tc>
          <w:tcPr>
            <w:tcW w:w="1594" w:type="dxa"/>
            <w:vAlign w:val="center"/>
          </w:tcPr>
          <w:p w14:paraId="1EE2F1C6"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373.76t/a</w:t>
            </w:r>
          </w:p>
        </w:tc>
        <w:tc>
          <w:tcPr>
            <w:tcW w:w="2798" w:type="dxa"/>
            <w:gridSpan w:val="2"/>
            <w:vMerge/>
            <w:vAlign w:val="center"/>
          </w:tcPr>
          <w:p w14:paraId="60F049D8" w14:textId="77777777" w:rsidR="004114EF" w:rsidRDefault="004114EF" w:rsidP="00747ECF">
            <w:pPr>
              <w:pStyle w:val="affffd"/>
              <w:spacing w:line="240" w:lineRule="auto"/>
              <w:rPr>
                <w:rFonts w:ascii="Times New Roman" w:hAnsi="Times New Roman" w:cs="Times New Roman"/>
              </w:rPr>
            </w:pPr>
          </w:p>
        </w:tc>
        <w:tc>
          <w:tcPr>
            <w:tcW w:w="1551" w:type="dxa"/>
            <w:vMerge w:val="restart"/>
            <w:vAlign w:val="center"/>
          </w:tcPr>
          <w:p w14:paraId="7D4DD8E1"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连续</w:t>
            </w:r>
          </w:p>
        </w:tc>
        <w:tc>
          <w:tcPr>
            <w:tcW w:w="1997" w:type="dxa"/>
            <w:vMerge w:val="restart"/>
            <w:vAlign w:val="center"/>
          </w:tcPr>
          <w:p w14:paraId="2E8621C8"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化粪池处理后排至填埋场调节池内，进入渗沥液处理站处理</w:t>
            </w:r>
          </w:p>
        </w:tc>
        <w:tc>
          <w:tcPr>
            <w:tcW w:w="2916" w:type="dxa"/>
            <w:vMerge/>
            <w:vAlign w:val="center"/>
          </w:tcPr>
          <w:p w14:paraId="6ACABAD0" w14:textId="77777777" w:rsidR="004114EF" w:rsidRDefault="004114EF" w:rsidP="00747ECF">
            <w:pPr>
              <w:pStyle w:val="affffd"/>
              <w:spacing w:line="240" w:lineRule="auto"/>
              <w:rPr>
                <w:rFonts w:hAnsi="Times New Roman"/>
              </w:rPr>
            </w:pPr>
          </w:p>
        </w:tc>
      </w:tr>
      <w:tr w:rsidR="004114EF" w14:paraId="4D47F4D2" w14:textId="77777777" w:rsidTr="00C6006A">
        <w:trPr>
          <w:trHeight w:val="20"/>
          <w:jc w:val="center"/>
        </w:trPr>
        <w:tc>
          <w:tcPr>
            <w:tcW w:w="700" w:type="dxa"/>
            <w:vMerge/>
            <w:vAlign w:val="center"/>
          </w:tcPr>
          <w:p w14:paraId="511910EA" w14:textId="77777777" w:rsidR="004114EF" w:rsidRDefault="004114EF" w:rsidP="00747ECF">
            <w:pPr>
              <w:pStyle w:val="affffd"/>
              <w:spacing w:line="240" w:lineRule="auto"/>
              <w:rPr>
                <w:rFonts w:hAnsi="Times New Roman"/>
              </w:rPr>
            </w:pPr>
          </w:p>
        </w:tc>
        <w:tc>
          <w:tcPr>
            <w:tcW w:w="1687" w:type="dxa"/>
            <w:vMerge/>
            <w:vAlign w:val="center"/>
          </w:tcPr>
          <w:p w14:paraId="49AAC8EF"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37EB5031"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COD</w:t>
            </w:r>
          </w:p>
        </w:tc>
        <w:tc>
          <w:tcPr>
            <w:tcW w:w="1594" w:type="dxa"/>
            <w:vAlign w:val="center"/>
          </w:tcPr>
          <w:p w14:paraId="597039B2"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0.0106t/a</w:t>
            </w:r>
          </w:p>
        </w:tc>
        <w:tc>
          <w:tcPr>
            <w:tcW w:w="2798" w:type="dxa"/>
            <w:gridSpan w:val="2"/>
            <w:vMerge/>
            <w:vAlign w:val="center"/>
          </w:tcPr>
          <w:p w14:paraId="73A2523A"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35396E50"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7749B49F"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61A3357D" w14:textId="77777777" w:rsidR="004114EF" w:rsidRDefault="004114EF" w:rsidP="00747ECF">
            <w:pPr>
              <w:pStyle w:val="affffd"/>
              <w:spacing w:line="240" w:lineRule="auto"/>
              <w:rPr>
                <w:rFonts w:hAnsi="Times New Roman"/>
              </w:rPr>
            </w:pPr>
          </w:p>
        </w:tc>
      </w:tr>
      <w:tr w:rsidR="004114EF" w14:paraId="329B15CC" w14:textId="77777777" w:rsidTr="00C6006A">
        <w:trPr>
          <w:trHeight w:val="20"/>
          <w:jc w:val="center"/>
        </w:trPr>
        <w:tc>
          <w:tcPr>
            <w:tcW w:w="700" w:type="dxa"/>
            <w:vMerge/>
            <w:vAlign w:val="center"/>
          </w:tcPr>
          <w:p w14:paraId="5C87F228" w14:textId="77777777" w:rsidR="004114EF" w:rsidRDefault="004114EF" w:rsidP="00747ECF">
            <w:pPr>
              <w:pStyle w:val="affffd"/>
              <w:spacing w:line="240" w:lineRule="auto"/>
              <w:rPr>
                <w:rFonts w:hAnsi="Times New Roman"/>
              </w:rPr>
            </w:pPr>
          </w:p>
        </w:tc>
        <w:tc>
          <w:tcPr>
            <w:tcW w:w="1687" w:type="dxa"/>
            <w:vMerge/>
            <w:vAlign w:val="center"/>
          </w:tcPr>
          <w:p w14:paraId="6661C883"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50563D94"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BOD5</w:t>
            </w:r>
          </w:p>
        </w:tc>
        <w:tc>
          <w:tcPr>
            <w:tcW w:w="1594" w:type="dxa"/>
            <w:vAlign w:val="center"/>
          </w:tcPr>
          <w:p w14:paraId="17853780"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0.0076t/a</w:t>
            </w:r>
          </w:p>
        </w:tc>
        <w:tc>
          <w:tcPr>
            <w:tcW w:w="2798" w:type="dxa"/>
            <w:gridSpan w:val="2"/>
            <w:vMerge/>
            <w:vAlign w:val="center"/>
          </w:tcPr>
          <w:p w14:paraId="0E3D3384"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5CEE195B"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354FA00F"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4ABC3DC9" w14:textId="77777777" w:rsidR="004114EF" w:rsidRDefault="004114EF" w:rsidP="00747ECF">
            <w:pPr>
              <w:pStyle w:val="affffd"/>
              <w:spacing w:line="240" w:lineRule="auto"/>
              <w:rPr>
                <w:rFonts w:hAnsi="Times New Roman"/>
              </w:rPr>
            </w:pPr>
          </w:p>
        </w:tc>
      </w:tr>
      <w:tr w:rsidR="004114EF" w14:paraId="33EBC7B4" w14:textId="77777777" w:rsidTr="00C6006A">
        <w:trPr>
          <w:trHeight w:val="20"/>
          <w:jc w:val="center"/>
        </w:trPr>
        <w:tc>
          <w:tcPr>
            <w:tcW w:w="700" w:type="dxa"/>
            <w:vMerge/>
            <w:vAlign w:val="center"/>
          </w:tcPr>
          <w:p w14:paraId="029FFB6B" w14:textId="77777777" w:rsidR="004114EF" w:rsidRDefault="004114EF" w:rsidP="00747ECF">
            <w:pPr>
              <w:pStyle w:val="affffd"/>
              <w:spacing w:line="240" w:lineRule="auto"/>
              <w:rPr>
                <w:rFonts w:hAnsi="Times New Roman"/>
              </w:rPr>
            </w:pPr>
          </w:p>
        </w:tc>
        <w:tc>
          <w:tcPr>
            <w:tcW w:w="1687" w:type="dxa"/>
            <w:vMerge/>
            <w:vAlign w:val="center"/>
          </w:tcPr>
          <w:p w14:paraId="4E7CF636"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2AFE5441"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NH3-N</w:t>
            </w:r>
          </w:p>
        </w:tc>
        <w:tc>
          <w:tcPr>
            <w:tcW w:w="1594" w:type="dxa"/>
            <w:vAlign w:val="center"/>
          </w:tcPr>
          <w:p w14:paraId="79F31BE6"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0.0011t/a</w:t>
            </w:r>
          </w:p>
        </w:tc>
        <w:tc>
          <w:tcPr>
            <w:tcW w:w="2798" w:type="dxa"/>
            <w:gridSpan w:val="2"/>
            <w:vMerge/>
            <w:vAlign w:val="center"/>
          </w:tcPr>
          <w:p w14:paraId="662C3A4B"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49C54628"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3021507D"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09198ABA" w14:textId="77777777" w:rsidR="004114EF" w:rsidRDefault="004114EF" w:rsidP="00747ECF">
            <w:pPr>
              <w:pStyle w:val="affffd"/>
              <w:spacing w:line="240" w:lineRule="auto"/>
              <w:rPr>
                <w:rFonts w:hAnsi="Times New Roman"/>
              </w:rPr>
            </w:pPr>
          </w:p>
        </w:tc>
      </w:tr>
      <w:tr w:rsidR="004114EF" w14:paraId="402862F2" w14:textId="77777777" w:rsidTr="00C6006A">
        <w:trPr>
          <w:trHeight w:val="20"/>
          <w:jc w:val="center"/>
        </w:trPr>
        <w:tc>
          <w:tcPr>
            <w:tcW w:w="700" w:type="dxa"/>
            <w:vMerge/>
            <w:vAlign w:val="center"/>
          </w:tcPr>
          <w:p w14:paraId="77591ED3" w14:textId="77777777" w:rsidR="004114EF" w:rsidRDefault="004114EF" w:rsidP="00747ECF">
            <w:pPr>
              <w:pStyle w:val="affffd"/>
              <w:spacing w:line="240" w:lineRule="auto"/>
              <w:rPr>
                <w:rFonts w:hAnsi="Times New Roman"/>
              </w:rPr>
            </w:pPr>
          </w:p>
        </w:tc>
        <w:tc>
          <w:tcPr>
            <w:tcW w:w="1687" w:type="dxa"/>
            <w:vMerge/>
            <w:vAlign w:val="center"/>
          </w:tcPr>
          <w:p w14:paraId="31008E12" w14:textId="77777777" w:rsidR="004114EF" w:rsidRDefault="004114EF" w:rsidP="00747ECF">
            <w:pPr>
              <w:pStyle w:val="affffd"/>
              <w:spacing w:line="240" w:lineRule="auto"/>
              <w:rPr>
                <w:rFonts w:ascii="Times New Roman" w:hAnsi="Times New Roman" w:cs="Times New Roman"/>
              </w:rPr>
            </w:pPr>
          </w:p>
        </w:tc>
        <w:tc>
          <w:tcPr>
            <w:tcW w:w="1498" w:type="dxa"/>
            <w:vAlign w:val="center"/>
          </w:tcPr>
          <w:p w14:paraId="7D572778"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SS</w:t>
            </w:r>
          </w:p>
        </w:tc>
        <w:tc>
          <w:tcPr>
            <w:tcW w:w="1594" w:type="dxa"/>
            <w:vAlign w:val="center"/>
          </w:tcPr>
          <w:p w14:paraId="13922C1E"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0.0076t/a</w:t>
            </w:r>
          </w:p>
        </w:tc>
        <w:tc>
          <w:tcPr>
            <w:tcW w:w="2798" w:type="dxa"/>
            <w:gridSpan w:val="2"/>
            <w:vMerge/>
            <w:vAlign w:val="center"/>
          </w:tcPr>
          <w:p w14:paraId="1DFABD07" w14:textId="77777777" w:rsidR="004114EF" w:rsidRDefault="004114EF" w:rsidP="00747ECF">
            <w:pPr>
              <w:pStyle w:val="affffd"/>
              <w:spacing w:line="240" w:lineRule="auto"/>
              <w:rPr>
                <w:rFonts w:ascii="Times New Roman" w:hAnsi="Times New Roman" w:cs="Times New Roman"/>
              </w:rPr>
            </w:pPr>
          </w:p>
        </w:tc>
        <w:tc>
          <w:tcPr>
            <w:tcW w:w="1551" w:type="dxa"/>
            <w:vMerge/>
            <w:vAlign w:val="center"/>
          </w:tcPr>
          <w:p w14:paraId="37326FC3" w14:textId="77777777" w:rsidR="004114EF" w:rsidRDefault="004114EF" w:rsidP="00747ECF">
            <w:pPr>
              <w:pStyle w:val="affffd"/>
              <w:spacing w:line="240" w:lineRule="auto"/>
              <w:rPr>
                <w:rFonts w:ascii="Times New Roman" w:hAnsi="Times New Roman" w:cs="Times New Roman"/>
              </w:rPr>
            </w:pPr>
          </w:p>
        </w:tc>
        <w:tc>
          <w:tcPr>
            <w:tcW w:w="1997" w:type="dxa"/>
            <w:vMerge/>
            <w:vAlign w:val="center"/>
          </w:tcPr>
          <w:p w14:paraId="24F66ADA" w14:textId="77777777" w:rsidR="004114EF" w:rsidRDefault="004114EF" w:rsidP="00747ECF">
            <w:pPr>
              <w:pStyle w:val="affffd"/>
              <w:spacing w:line="240" w:lineRule="auto"/>
              <w:rPr>
                <w:rFonts w:ascii="Times New Roman" w:hAnsi="Times New Roman" w:cs="Times New Roman"/>
              </w:rPr>
            </w:pPr>
          </w:p>
        </w:tc>
        <w:tc>
          <w:tcPr>
            <w:tcW w:w="2916" w:type="dxa"/>
            <w:vMerge/>
            <w:vAlign w:val="center"/>
          </w:tcPr>
          <w:p w14:paraId="1C6DECF6" w14:textId="77777777" w:rsidR="004114EF" w:rsidRDefault="004114EF" w:rsidP="00747ECF">
            <w:pPr>
              <w:pStyle w:val="affffd"/>
              <w:spacing w:line="240" w:lineRule="auto"/>
              <w:rPr>
                <w:rFonts w:hAnsi="Times New Roman"/>
              </w:rPr>
            </w:pPr>
          </w:p>
        </w:tc>
      </w:tr>
      <w:tr w:rsidR="004114EF" w14:paraId="2287683F" w14:textId="77777777" w:rsidTr="00C6006A">
        <w:trPr>
          <w:trHeight w:val="20"/>
          <w:jc w:val="center"/>
        </w:trPr>
        <w:tc>
          <w:tcPr>
            <w:tcW w:w="700" w:type="dxa"/>
            <w:vMerge/>
            <w:vAlign w:val="center"/>
          </w:tcPr>
          <w:p w14:paraId="6868C5FD" w14:textId="77777777" w:rsidR="004114EF" w:rsidRDefault="004114EF" w:rsidP="00747ECF">
            <w:pPr>
              <w:pStyle w:val="affffd"/>
              <w:spacing w:line="240" w:lineRule="auto"/>
              <w:rPr>
                <w:rFonts w:hAnsi="Times New Roman"/>
              </w:rPr>
            </w:pPr>
          </w:p>
        </w:tc>
        <w:tc>
          <w:tcPr>
            <w:tcW w:w="1687" w:type="dxa"/>
            <w:vMerge w:val="restart"/>
            <w:vAlign w:val="center"/>
          </w:tcPr>
          <w:p w14:paraId="16806037"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洗车废水</w:t>
            </w:r>
          </w:p>
        </w:tc>
        <w:tc>
          <w:tcPr>
            <w:tcW w:w="1498" w:type="dxa"/>
            <w:vAlign w:val="center"/>
          </w:tcPr>
          <w:p w14:paraId="55F7E7A2"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水量</w:t>
            </w:r>
          </w:p>
        </w:tc>
        <w:tc>
          <w:tcPr>
            <w:tcW w:w="1594" w:type="dxa"/>
            <w:vAlign w:val="center"/>
          </w:tcPr>
          <w:p w14:paraId="227E20E6" w14:textId="77777777" w:rsidR="004114EF" w:rsidRDefault="004114EF" w:rsidP="00747ECF">
            <w:pPr>
              <w:pStyle w:val="affffd"/>
              <w:spacing w:line="240" w:lineRule="auto"/>
              <w:rPr>
                <w:rFonts w:ascii="Times New Roman" w:hAnsi="Times New Roman" w:cs="Times New Roman"/>
                <w:lang w:val="zh-CN"/>
              </w:rPr>
            </w:pPr>
            <w:r>
              <w:rPr>
                <w:rFonts w:ascii="Times New Roman" w:eastAsia="宋体" w:hAnsi="Times New Roman" w:cs="Times New Roman"/>
              </w:rPr>
              <w:t>1138.8t/a</w:t>
            </w:r>
          </w:p>
        </w:tc>
        <w:tc>
          <w:tcPr>
            <w:tcW w:w="2798" w:type="dxa"/>
            <w:gridSpan w:val="2"/>
            <w:vMerge/>
            <w:vAlign w:val="center"/>
          </w:tcPr>
          <w:p w14:paraId="0F5376E8" w14:textId="77777777" w:rsidR="004114EF" w:rsidRDefault="004114EF" w:rsidP="00747ECF">
            <w:pPr>
              <w:pStyle w:val="affffd"/>
              <w:spacing w:line="240" w:lineRule="auto"/>
              <w:rPr>
                <w:rFonts w:ascii="Times New Roman" w:hAnsi="Times New Roman" w:cs="Times New Roman"/>
              </w:rPr>
            </w:pPr>
          </w:p>
        </w:tc>
        <w:tc>
          <w:tcPr>
            <w:tcW w:w="1551" w:type="dxa"/>
            <w:vMerge w:val="restart"/>
            <w:vAlign w:val="center"/>
          </w:tcPr>
          <w:p w14:paraId="10056771"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间断</w:t>
            </w:r>
          </w:p>
        </w:tc>
        <w:tc>
          <w:tcPr>
            <w:tcW w:w="1997" w:type="dxa"/>
            <w:vMerge w:val="restart"/>
            <w:vAlign w:val="center"/>
          </w:tcPr>
          <w:p w14:paraId="3A5E26A1" w14:textId="77777777" w:rsidR="004114EF" w:rsidRDefault="004114EF" w:rsidP="00747ECF">
            <w:pPr>
              <w:pStyle w:val="affffd"/>
              <w:spacing w:line="240" w:lineRule="auto"/>
              <w:rPr>
                <w:rFonts w:ascii="Times New Roman" w:hAnsi="Times New Roman" w:cs="Times New Roman"/>
              </w:rPr>
            </w:pPr>
            <w:r>
              <w:rPr>
                <w:rFonts w:ascii="Times New Roman" w:eastAsia="宋体" w:hAnsi="Times New Roman" w:cs="Times New Roman"/>
              </w:rPr>
              <w:t>简单沉淀后回用于填埋区洒水</w:t>
            </w:r>
          </w:p>
        </w:tc>
        <w:tc>
          <w:tcPr>
            <w:tcW w:w="2916" w:type="dxa"/>
            <w:vMerge/>
            <w:vAlign w:val="center"/>
          </w:tcPr>
          <w:p w14:paraId="48FCBA64" w14:textId="77777777" w:rsidR="004114EF" w:rsidRDefault="004114EF" w:rsidP="00747ECF">
            <w:pPr>
              <w:pStyle w:val="affffd"/>
              <w:spacing w:line="240" w:lineRule="auto"/>
              <w:rPr>
                <w:rFonts w:hAnsi="Times New Roman"/>
              </w:rPr>
            </w:pPr>
          </w:p>
        </w:tc>
      </w:tr>
      <w:tr w:rsidR="004114EF" w14:paraId="2EF6D9A2" w14:textId="77777777" w:rsidTr="00C6006A">
        <w:trPr>
          <w:trHeight w:val="20"/>
          <w:jc w:val="center"/>
        </w:trPr>
        <w:tc>
          <w:tcPr>
            <w:tcW w:w="700" w:type="dxa"/>
            <w:vMerge/>
            <w:vAlign w:val="center"/>
          </w:tcPr>
          <w:p w14:paraId="3FB6EB2A" w14:textId="77777777" w:rsidR="004114EF" w:rsidRDefault="004114EF" w:rsidP="00747ECF">
            <w:pPr>
              <w:pStyle w:val="affffd"/>
              <w:spacing w:line="240" w:lineRule="auto"/>
              <w:rPr>
                <w:rFonts w:hAnsi="Times New Roman"/>
              </w:rPr>
            </w:pPr>
          </w:p>
        </w:tc>
        <w:tc>
          <w:tcPr>
            <w:tcW w:w="1687" w:type="dxa"/>
            <w:vMerge/>
            <w:vAlign w:val="center"/>
          </w:tcPr>
          <w:p w14:paraId="67687F86" w14:textId="77777777" w:rsidR="004114EF" w:rsidRDefault="004114EF" w:rsidP="00747ECF">
            <w:pPr>
              <w:pStyle w:val="affffd"/>
              <w:spacing w:line="240" w:lineRule="auto"/>
              <w:rPr>
                <w:rFonts w:hAnsi="Times New Roman"/>
              </w:rPr>
            </w:pPr>
          </w:p>
        </w:tc>
        <w:tc>
          <w:tcPr>
            <w:tcW w:w="1498" w:type="dxa"/>
            <w:vAlign w:val="center"/>
          </w:tcPr>
          <w:p w14:paraId="2EF12CA5" w14:textId="77777777" w:rsidR="004114EF" w:rsidRDefault="004114EF" w:rsidP="00747ECF">
            <w:pPr>
              <w:pStyle w:val="affffd"/>
              <w:spacing w:line="240" w:lineRule="auto"/>
              <w:rPr>
                <w:rFonts w:hAnsi="Times New Roman"/>
                <w:lang w:val="zh-CN"/>
              </w:rPr>
            </w:pPr>
            <w:r>
              <w:rPr>
                <w:rFonts w:ascii="Times New Roman" w:eastAsia="宋体" w:hAnsi="Times New Roman" w:cs="Times New Roman"/>
              </w:rPr>
              <w:t>COD</w:t>
            </w:r>
          </w:p>
        </w:tc>
        <w:tc>
          <w:tcPr>
            <w:tcW w:w="1594" w:type="dxa"/>
            <w:vAlign w:val="center"/>
          </w:tcPr>
          <w:p w14:paraId="754A7E2B" w14:textId="77777777" w:rsidR="004114EF" w:rsidRDefault="004114EF" w:rsidP="00747ECF">
            <w:pPr>
              <w:pStyle w:val="affffd"/>
              <w:spacing w:line="240" w:lineRule="auto"/>
              <w:rPr>
                <w:rFonts w:hAnsi="Times New Roman"/>
                <w:lang w:val="zh-CN"/>
              </w:rPr>
            </w:pPr>
            <w:r>
              <w:rPr>
                <w:rFonts w:ascii="Times New Roman" w:eastAsia="宋体" w:hAnsi="Times New Roman" w:cs="Times New Roman"/>
              </w:rPr>
              <w:t>0.57t/a</w:t>
            </w:r>
          </w:p>
        </w:tc>
        <w:tc>
          <w:tcPr>
            <w:tcW w:w="2798" w:type="dxa"/>
            <w:gridSpan w:val="2"/>
            <w:vMerge/>
            <w:vAlign w:val="center"/>
          </w:tcPr>
          <w:p w14:paraId="6D1AE4AC" w14:textId="77777777" w:rsidR="004114EF" w:rsidRDefault="004114EF" w:rsidP="00747ECF">
            <w:pPr>
              <w:pStyle w:val="affffd"/>
              <w:spacing w:line="240" w:lineRule="auto"/>
              <w:rPr>
                <w:rFonts w:hAnsi="Times New Roman"/>
              </w:rPr>
            </w:pPr>
          </w:p>
        </w:tc>
        <w:tc>
          <w:tcPr>
            <w:tcW w:w="1551" w:type="dxa"/>
            <w:vMerge/>
            <w:vAlign w:val="center"/>
          </w:tcPr>
          <w:p w14:paraId="3BC38ABA" w14:textId="77777777" w:rsidR="004114EF" w:rsidRDefault="004114EF" w:rsidP="00747ECF">
            <w:pPr>
              <w:pStyle w:val="affffd"/>
              <w:spacing w:line="240" w:lineRule="auto"/>
              <w:rPr>
                <w:rFonts w:hAnsi="Times New Roman"/>
              </w:rPr>
            </w:pPr>
          </w:p>
        </w:tc>
        <w:tc>
          <w:tcPr>
            <w:tcW w:w="1997" w:type="dxa"/>
            <w:vMerge/>
            <w:vAlign w:val="center"/>
          </w:tcPr>
          <w:p w14:paraId="57ADDF4E" w14:textId="77777777" w:rsidR="004114EF" w:rsidRDefault="004114EF" w:rsidP="00747ECF">
            <w:pPr>
              <w:pStyle w:val="affffd"/>
              <w:spacing w:line="240" w:lineRule="auto"/>
              <w:rPr>
                <w:rFonts w:hAnsi="Times New Roman"/>
              </w:rPr>
            </w:pPr>
          </w:p>
        </w:tc>
        <w:tc>
          <w:tcPr>
            <w:tcW w:w="2916" w:type="dxa"/>
            <w:vMerge/>
            <w:vAlign w:val="center"/>
          </w:tcPr>
          <w:p w14:paraId="445C9617" w14:textId="77777777" w:rsidR="004114EF" w:rsidRDefault="004114EF" w:rsidP="00747ECF">
            <w:pPr>
              <w:pStyle w:val="affffd"/>
              <w:spacing w:line="240" w:lineRule="auto"/>
              <w:rPr>
                <w:rFonts w:hAnsi="Times New Roman"/>
              </w:rPr>
            </w:pPr>
          </w:p>
        </w:tc>
      </w:tr>
      <w:tr w:rsidR="004114EF" w14:paraId="32411F1F" w14:textId="77777777" w:rsidTr="00C6006A">
        <w:trPr>
          <w:trHeight w:val="20"/>
          <w:jc w:val="center"/>
        </w:trPr>
        <w:tc>
          <w:tcPr>
            <w:tcW w:w="700" w:type="dxa"/>
            <w:vMerge/>
            <w:vAlign w:val="center"/>
          </w:tcPr>
          <w:p w14:paraId="4F07D732" w14:textId="77777777" w:rsidR="004114EF" w:rsidRDefault="004114EF" w:rsidP="00747ECF">
            <w:pPr>
              <w:pStyle w:val="affffd"/>
              <w:spacing w:line="240" w:lineRule="auto"/>
              <w:rPr>
                <w:rFonts w:hAnsi="Times New Roman"/>
              </w:rPr>
            </w:pPr>
          </w:p>
        </w:tc>
        <w:tc>
          <w:tcPr>
            <w:tcW w:w="1687" w:type="dxa"/>
            <w:vMerge/>
            <w:vAlign w:val="center"/>
          </w:tcPr>
          <w:p w14:paraId="7AD76D9B" w14:textId="77777777" w:rsidR="004114EF" w:rsidRDefault="004114EF" w:rsidP="00747ECF">
            <w:pPr>
              <w:pStyle w:val="affffd"/>
              <w:spacing w:line="240" w:lineRule="auto"/>
              <w:rPr>
                <w:rFonts w:hAnsi="Times New Roman"/>
              </w:rPr>
            </w:pPr>
          </w:p>
        </w:tc>
        <w:tc>
          <w:tcPr>
            <w:tcW w:w="1498" w:type="dxa"/>
            <w:vAlign w:val="center"/>
          </w:tcPr>
          <w:p w14:paraId="3594C859" w14:textId="77777777" w:rsidR="004114EF" w:rsidRDefault="004114EF" w:rsidP="00747ECF">
            <w:pPr>
              <w:pStyle w:val="affffd"/>
              <w:spacing w:line="240" w:lineRule="auto"/>
              <w:rPr>
                <w:rFonts w:hAnsi="Times New Roman"/>
                <w:lang w:val="zh-CN"/>
              </w:rPr>
            </w:pPr>
            <w:r>
              <w:rPr>
                <w:rFonts w:ascii="Times New Roman" w:eastAsia="宋体" w:hAnsi="Times New Roman" w:cs="Times New Roman"/>
              </w:rPr>
              <w:t>BOD5</w:t>
            </w:r>
          </w:p>
        </w:tc>
        <w:tc>
          <w:tcPr>
            <w:tcW w:w="1594" w:type="dxa"/>
            <w:vAlign w:val="center"/>
          </w:tcPr>
          <w:p w14:paraId="27D6CDAF" w14:textId="77777777" w:rsidR="004114EF" w:rsidRDefault="004114EF" w:rsidP="00747ECF">
            <w:pPr>
              <w:pStyle w:val="affffd"/>
              <w:spacing w:line="240" w:lineRule="auto"/>
              <w:rPr>
                <w:rFonts w:hAnsi="Times New Roman"/>
                <w:lang w:val="zh-CN"/>
              </w:rPr>
            </w:pPr>
            <w:r>
              <w:rPr>
                <w:rFonts w:ascii="Times New Roman" w:eastAsia="宋体" w:hAnsi="Times New Roman" w:cs="Times New Roman"/>
              </w:rPr>
              <w:t>0.46t/a</w:t>
            </w:r>
          </w:p>
        </w:tc>
        <w:tc>
          <w:tcPr>
            <w:tcW w:w="2798" w:type="dxa"/>
            <w:gridSpan w:val="2"/>
            <w:vMerge/>
            <w:vAlign w:val="center"/>
          </w:tcPr>
          <w:p w14:paraId="116EDABB" w14:textId="77777777" w:rsidR="004114EF" w:rsidRDefault="004114EF" w:rsidP="00747ECF">
            <w:pPr>
              <w:pStyle w:val="affffd"/>
              <w:spacing w:line="240" w:lineRule="auto"/>
              <w:rPr>
                <w:rFonts w:hAnsi="Times New Roman"/>
              </w:rPr>
            </w:pPr>
          </w:p>
        </w:tc>
        <w:tc>
          <w:tcPr>
            <w:tcW w:w="1551" w:type="dxa"/>
            <w:vMerge/>
            <w:vAlign w:val="center"/>
          </w:tcPr>
          <w:p w14:paraId="64C9F825" w14:textId="77777777" w:rsidR="004114EF" w:rsidRDefault="004114EF" w:rsidP="00747ECF">
            <w:pPr>
              <w:pStyle w:val="affffd"/>
              <w:spacing w:line="240" w:lineRule="auto"/>
              <w:rPr>
                <w:rFonts w:hAnsi="Times New Roman"/>
              </w:rPr>
            </w:pPr>
          </w:p>
        </w:tc>
        <w:tc>
          <w:tcPr>
            <w:tcW w:w="1997" w:type="dxa"/>
            <w:vMerge/>
            <w:vAlign w:val="center"/>
          </w:tcPr>
          <w:p w14:paraId="334196D5" w14:textId="77777777" w:rsidR="004114EF" w:rsidRDefault="004114EF" w:rsidP="00747ECF">
            <w:pPr>
              <w:pStyle w:val="affffd"/>
              <w:spacing w:line="240" w:lineRule="auto"/>
              <w:rPr>
                <w:rFonts w:hAnsi="Times New Roman"/>
              </w:rPr>
            </w:pPr>
          </w:p>
        </w:tc>
        <w:tc>
          <w:tcPr>
            <w:tcW w:w="2916" w:type="dxa"/>
            <w:vMerge/>
            <w:vAlign w:val="center"/>
          </w:tcPr>
          <w:p w14:paraId="764438BA" w14:textId="77777777" w:rsidR="004114EF" w:rsidRDefault="004114EF" w:rsidP="00747ECF">
            <w:pPr>
              <w:pStyle w:val="affffd"/>
              <w:spacing w:line="240" w:lineRule="auto"/>
              <w:rPr>
                <w:rFonts w:hAnsi="Times New Roman"/>
              </w:rPr>
            </w:pPr>
          </w:p>
        </w:tc>
      </w:tr>
      <w:tr w:rsidR="004114EF" w14:paraId="7636F361" w14:textId="77777777" w:rsidTr="00C6006A">
        <w:trPr>
          <w:trHeight w:val="20"/>
          <w:jc w:val="center"/>
        </w:trPr>
        <w:tc>
          <w:tcPr>
            <w:tcW w:w="700" w:type="dxa"/>
            <w:vMerge/>
            <w:vAlign w:val="center"/>
          </w:tcPr>
          <w:p w14:paraId="0753C34E" w14:textId="77777777" w:rsidR="004114EF" w:rsidRDefault="004114EF" w:rsidP="00747ECF">
            <w:pPr>
              <w:pStyle w:val="affffd"/>
              <w:spacing w:line="240" w:lineRule="auto"/>
              <w:rPr>
                <w:rFonts w:hAnsi="Times New Roman"/>
              </w:rPr>
            </w:pPr>
          </w:p>
        </w:tc>
        <w:tc>
          <w:tcPr>
            <w:tcW w:w="1687" w:type="dxa"/>
            <w:vMerge/>
            <w:vAlign w:val="center"/>
          </w:tcPr>
          <w:p w14:paraId="33782F0D" w14:textId="77777777" w:rsidR="004114EF" w:rsidRDefault="004114EF" w:rsidP="00747ECF">
            <w:pPr>
              <w:pStyle w:val="affffd"/>
              <w:spacing w:line="240" w:lineRule="auto"/>
              <w:rPr>
                <w:rFonts w:hAnsi="Times New Roman"/>
              </w:rPr>
            </w:pPr>
          </w:p>
        </w:tc>
        <w:tc>
          <w:tcPr>
            <w:tcW w:w="1498" w:type="dxa"/>
            <w:vAlign w:val="center"/>
          </w:tcPr>
          <w:p w14:paraId="24B1C38A" w14:textId="77777777" w:rsidR="004114EF" w:rsidRDefault="004114EF" w:rsidP="00747ECF">
            <w:pPr>
              <w:pStyle w:val="affffd"/>
              <w:spacing w:line="240" w:lineRule="auto"/>
              <w:rPr>
                <w:rFonts w:hAnsi="Times New Roman"/>
                <w:lang w:val="zh-CN"/>
              </w:rPr>
            </w:pPr>
            <w:r>
              <w:rPr>
                <w:rFonts w:ascii="Times New Roman" w:eastAsia="宋体" w:hAnsi="Times New Roman" w:cs="Times New Roman"/>
              </w:rPr>
              <w:t>NH3-N</w:t>
            </w:r>
          </w:p>
        </w:tc>
        <w:tc>
          <w:tcPr>
            <w:tcW w:w="1594" w:type="dxa"/>
            <w:vAlign w:val="center"/>
          </w:tcPr>
          <w:p w14:paraId="52A7595A" w14:textId="77777777" w:rsidR="004114EF" w:rsidRDefault="004114EF" w:rsidP="00747ECF">
            <w:pPr>
              <w:pStyle w:val="affffd"/>
              <w:spacing w:line="240" w:lineRule="auto"/>
              <w:rPr>
                <w:rFonts w:hAnsi="Times New Roman"/>
                <w:lang w:val="zh-CN"/>
              </w:rPr>
            </w:pPr>
            <w:r>
              <w:rPr>
                <w:rFonts w:ascii="Times New Roman" w:eastAsia="宋体" w:hAnsi="Times New Roman" w:cs="Times New Roman"/>
              </w:rPr>
              <w:t>0.06t/a</w:t>
            </w:r>
          </w:p>
        </w:tc>
        <w:tc>
          <w:tcPr>
            <w:tcW w:w="2798" w:type="dxa"/>
            <w:gridSpan w:val="2"/>
            <w:vMerge/>
            <w:vAlign w:val="center"/>
          </w:tcPr>
          <w:p w14:paraId="3681ED94" w14:textId="77777777" w:rsidR="004114EF" w:rsidRDefault="004114EF" w:rsidP="00747ECF">
            <w:pPr>
              <w:pStyle w:val="affffd"/>
              <w:spacing w:line="240" w:lineRule="auto"/>
              <w:rPr>
                <w:rFonts w:hAnsi="Times New Roman"/>
              </w:rPr>
            </w:pPr>
          </w:p>
        </w:tc>
        <w:tc>
          <w:tcPr>
            <w:tcW w:w="1551" w:type="dxa"/>
            <w:vMerge/>
            <w:vAlign w:val="center"/>
          </w:tcPr>
          <w:p w14:paraId="31841F68" w14:textId="77777777" w:rsidR="004114EF" w:rsidRDefault="004114EF" w:rsidP="00747ECF">
            <w:pPr>
              <w:pStyle w:val="affffd"/>
              <w:spacing w:line="240" w:lineRule="auto"/>
              <w:rPr>
                <w:rFonts w:hAnsi="Times New Roman"/>
              </w:rPr>
            </w:pPr>
          </w:p>
        </w:tc>
        <w:tc>
          <w:tcPr>
            <w:tcW w:w="1997" w:type="dxa"/>
            <w:vMerge/>
            <w:vAlign w:val="center"/>
          </w:tcPr>
          <w:p w14:paraId="34B5AE0D" w14:textId="77777777" w:rsidR="004114EF" w:rsidRDefault="004114EF" w:rsidP="00747ECF">
            <w:pPr>
              <w:pStyle w:val="affffd"/>
              <w:spacing w:line="240" w:lineRule="auto"/>
              <w:rPr>
                <w:rFonts w:hAnsi="Times New Roman"/>
              </w:rPr>
            </w:pPr>
          </w:p>
        </w:tc>
        <w:tc>
          <w:tcPr>
            <w:tcW w:w="2916" w:type="dxa"/>
            <w:vMerge/>
            <w:vAlign w:val="center"/>
          </w:tcPr>
          <w:p w14:paraId="38E2F753" w14:textId="77777777" w:rsidR="004114EF" w:rsidRDefault="004114EF" w:rsidP="00747ECF">
            <w:pPr>
              <w:pStyle w:val="affffd"/>
              <w:spacing w:line="240" w:lineRule="auto"/>
              <w:rPr>
                <w:rFonts w:hAnsi="Times New Roman"/>
              </w:rPr>
            </w:pPr>
          </w:p>
        </w:tc>
      </w:tr>
      <w:tr w:rsidR="004114EF" w14:paraId="14887628" w14:textId="77777777" w:rsidTr="00C6006A">
        <w:trPr>
          <w:trHeight w:val="20"/>
          <w:jc w:val="center"/>
        </w:trPr>
        <w:tc>
          <w:tcPr>
            <w:tcW w:w="700" w:type="dxa"/>
            <w:vMerge/>
            <w:vAlign w:val="center"/>
          </w:tcPr>
          <w:p w14:paraId="3523D456" w14:textId="77777777" w:rsidR="004114EF" w:rsidRDefault="004114EF" w:rsidP="00747ECF">
            <w:pPr>
              <w:pStyle w:val="affffd"/>
              <w:spacing w:line="240" w:lineRule="auto"/>
              <w:rPr>
                <w:rFonts w:hAnsi="Times New Roman"/>
              </w:rPr>
            </w:pPr>
          </w:p>
        </w:tc>
        <w:tc>
          <w:tcPr>
            <w:tcW w:w="1687" w:type="dxa"/>
            <w:vMerge/>
            <w:vAlign w:val="center"/>
          </w:tcPr>
          <w:p w14:paraId="3A95CA13" w14:textId="77777777" w:rsidR="004114EF" w:rsidRDefault="004114EF" w:rsidP="00747ECF">
            <w:pPr>
              <w:pStyle w:val="affffd"/>
              <w:spacing w:line="240" w:lineRule="auto"/>
              <w:rPr>
                <w:rFonts w:hAnsi="Times New Roman"/>
              </w:rPr>
            </w:pPr>
          </w:p>
        </w:tc>
        <w:tc>
          <w:tcPr>
            <w:tcW w:w="1498" w:type="dxa"/>
            <w:vAlign w:val="center"/>
          </w:tcPr>
          <w:p w14:paraId="1F7604C9" w14:textId="77777777" w:rsidR="004114EF" w:rsidRDefault="004114EF" w:rsidP="00747ECF">
            <w:pPr>
              <w:pStyle w:val="affffd"/>
              <w:spacing w:line="240" w:lineRule="auto"/>
              <w:rPr>
                <w:rFonts w:hAnsi="Times New Roman"/>
                <w:lang w:val="zh-CN"/>
              </w:rPr>
            </w:pPr>
            <w:r>
              <w:rPr>
                <w:rFonts w:ascii="Times New Roman" w:eastAsia="宋体" w:hAnsi="Times New Roman" w:cs="Times New Roman"/>
              </w:rPr>
              <w:t>SS</w:t>
            </w:r>
          </w:p>
        </w:tc>
        <w:tc>
          <w:tcPr>
            <w:tcW w:w="1594" w:type="dxa"/>
            <w:vAlign w:val="center"/>
          </w:tcPr>
          <w:p w14:paraId="0DA24A3F" w14:textId="77777777" w:rsidR="004114EF" w:rsidRDefault="004114EF" w:rsidP="00747ECF">
            <w:pPr>
              <w:pStyle w:val="affffd"/>
              <w:spacing w:line="240" w:lineRule="auto"/>
              <w:rPr>
                <w:rFonts w:hAnsi="Times New Roman"/>
                <w:lang w:val="zh-CN"/>
              </w:rPr>
            </w:pPr>
            <w:r>
              <w:rPr>
                <w:rFonts w:ascii="Times New Roman" w:eastAsia="宋体" w:hAnsi="Times New Roman" w:cs="Times New Roman"/>
              </w:rPr>
              <w:t>0.91t/a</w:t>
            </w:r>
          </w:p>
        </w:tc>
        <w:tc>
          <w:tcPr>
            <w:tcW w:w="2798" w:type="dxa"/>
            <w:gridSpan w:val="2"/>
            <w:vMerge/>
            <w:vAlign w:val="center"/>
          </w:tcPr>
          <w:p w14:paraId="75CB581E" w14:textId="77777777" w:rsidR="004114EF" w:rsidRDefault="004114EF" w:rsidP="00747ECF">
            <w:pPr>
              <w:pStyle w:val="affffd"/>
              <w:spacing w:line="240" w:lineRule="auto"/>
              <w:rPr>
                <w:rFonts w:hAnsi="Times New Roman"/>
              </w:rPr>
            </w:pPr>
          </w:p>
        </w:tc>
        <w:tc>
          <w:tcPr>
            <w:tcW w:w="1551" w:type="dxa"/>
            <w:vMerge/>
            <w:vAlign w:val="center"/>
          </w:tcPr>
          <w:p w14:paraId="15007E39" w14:textId="77777777" w:rsidR="004114EF" w:rsidRDefault="004114EF" w:rsidP="00747ECF">
            <w:pPr>
              <w:pStyle w:val="affffd"/>
              <w:spacing w:line="240" w:lineRule="auto"/>
              <w:rPr>
                <w:rFonts w:hAnsi="Times New Roman"/>
              </w:rPr>
            </w:pPr>
          </w:p>
        </w:tc>
        <w:tc>
          <w:tcPr>
            <w:tcW w:w="1997" w:type="dxa"/>
            <w:vMerge/>
            <w:vAlign w:val="center"/>
          </w:tcPr>
          <w:p w14:paraId="4EF705FB" w14:textId="77777777" w:rsidR="004114EF" w:rsidRDefault="004114EF" w:rsidP="00747ECF">
            <w:pPr>
              <w:pStyle w:val="affffd"/>
              <w:spacing w:line="240" w:lineRule="auto"/>
              <w:rPr>
                <w:rFonts w:hAnsi="Times New Roman"/>
              </w:rPr>
            </w:pPr>
          </w:p>
        </w:tc>
        <w:tc>
          <w:tcPr>
            <w:tcW w:w="2916" w:type="dxa"/>
            <w:vMerge/>
            <w:vAlign w:val="center"/>
          </w:tcPr>
          <w:p w14:paraId="75AD4DA4" w14:textId="77777777" w:rsidR="004114EF" w:rsidRDefault="004114EF" w:rsidP="00747ECF">
            <w:pPr>
              <w:pStyle w:val="affffd"/>
              <w:spacing w:line="240" w:lineRule="auto"/>
              <w:rPr>
                <w:rFonts w:hAnsi="Times New Roman"/>
              </w:rPr>
            </w:pPr>
          </w:p>
        </w:tc>
      </w:tr>
      <w:tr w:rsidR="00C27509" w14:paraId="45B4A42F" w14:textId="77777777" w:rsidTr="00747ECF">
        <w:trPr>
          <w:trHeight w:val="20"/>
          <w:jc w:val="center"/>
        </w:trPr>
        <w:tc>
          <w:tcPr>
            <w:tcW w:w="700" w:type="dxa"/>
            <w:vAlign w:val="center"/>
          </w:tcPr>
          <w:p w14:paraId="52298D75" w14:textId="77777777" w:rsidR="00C27509" w:rsidRDefault="00C27509" w:rsidP="00747ECF">
            <w:pPr>
              <w:pStyle w:val="affffd"/>
              <w:spacing w:line="240" w:lineRule="auto"/>
              <w:rPr>
                <w:rFonts w:hAnsi="Times New Roman"/>
              </w:rPr>
            </w:pPr>
            <w:r>
              <w:rPr>
                <w:rFonts w:ascii="Times New Roman" w:eastAsia="宋体" w:hAnsi="Times New Roman" w:cs="Times New Roman"/>
              </w:rPr>
              <w:t>噪声</w:t>
            </w:r>
          </w:p>
        </w:tc>
        <w:tc>
          <w:tcPr>
            <w:tcW w:w="3185" w:type="dxa"/>
            <w:gridSpan w:val="2"/>
            <w:vAlign w:val="center"/>
          </w:tcPr>
          <w:p w14:paraId="1F24B2CC" w14:textId="77777777" w:rsidR="00C27509" w:rsidRDefault="00C27509" w:rsidP="00747ECF">
            <w:pPr>
              <w:pStyle w:val="affffd"/>
              <w:spacing w:line="240" w:lineRule="auto"/>
              <w:rPr>
                <w:rFonts w:hAnsi="Times New Roman"/>
              </w:rPr>
            </w:pPr>
            <w:r>
              <w:rPr>
                <w:rFonts w:ascii="Times New Roman" w:eastAsia="宋体" w:hAnsi="Times New Roman" w:cs="Times New Roman"/>
              </w:rPr>
              <w:t>机械噪声及车辆噪声</w:t>
            </w:r>
          </w:p>
        </w:tc>
        <w:tc>
          <w:tcPr>
            <w:tcW w:w="1594" w:type="dxa"/>
            <w:vAlign w:val="center"/>
          </w:tcPr>
          <w:p w14:paraId="5DEC0829" w14:textId="77777777" w:rsidR="00C27509" w:rsidRDefault="00C27509" w:rsidP="00747ECF">
            <w:pPr>
              <w:pStyle w:val="affffd"/>
              <w:spacing w:line="240" w:lineRule="auto"/>
              <w:rPr>
                <w:rFonts w:hAnsi="Times New Roman"/>
              </w:rPr>
            </w:pPr>
          </w:p>
        </w:tc>
        <w:tc>
          <w:tcPr>
            <w:tcW w:w="2798" w:type="dxa"/>
            <w:gridSpan w:val="2"/>
            <w:vAlign w:val="center"/>
          </w:tcPr>
          <w:p w14:paraId="4301F4BF" w14:textId="77777777" w:rsidR="00C27509" w:rsidRDefault="00C27509" w:rsidP="00747ECF">
            <w:pPr>
              <w:pStyle w:val="affffd"/>
              <w:spacing w:line="240" w:lineRule="auto"/>
              <w:rPr>
                <w:rFonts w:hAnsi="Times New Roman"/>
              </w:rPr>
            </w:pPr>
            <w:r>
              <w:rPr>
                <w:rFonts w:ascii="Times New Roman" w:eastAsia="宋体" w:hAnsi="Times New Roman" w:cs="Times New Roman"/>
              </w:rPr>
              <w:t>70~95dB</w:t>
            </w:r>
            <w:r>
              <w:rPr>
                <w:rFonts w:ascii="Times New Roman" w:eastAsia="宋体" w:hAnsi="Times New Roman" w:cs="Times New Roman"/>
              </w:rPr>
              <w:t>（</w:t>
            </w:r>
            <w:r>
              <w:rPr>
                <w:rFonts w:ascii="Times New Roman" w:eastAsia="宋体" w:hAnsi="Times New Roman" w:cs="Times New Roman"/>
              </w:rPr>
              <w:t>A</w:t>
            </w:r>
            <w:r>
              <w:rPr>
                <w:rFonts w:ascii="Times New Roman" w:eastAsia="宋体" w:hAnsi="Times New Roman" w:cs="Times New Roman"/>
              </w:rPr>
              <w:t>）</w:t>
            </w:r>
          </w:p>
        </w:tc>
        <w:tc>
          <w:tcPr>
            <w:tcW w:w="1551" w:type="dxa"/>
            <w:vAlign w:val="center"/>
          </w:tcPr>
          <w:p w14:paraId="3D1713C9" w14:textId="77777777" w:rsidR="00C27509" w:rsidRDefault="00C27509" w:rsidP="00747ECF">
            <w:pPr>
              <w:pStyle w:val="affffd"/>
              <w:spacing w:line="240" w:lineRule="auto"/>
              <w:rPr>
                <w:rFonts w:hAnsi="Times New Roman"/>
              </w:rPr>
            </w:pPr>
            <w:r>
              <w:rPr>
                <w:rFonts w:ascii="Times New Roman" w:eastAsia="宋体" w:hAnsi="Times New Roman" w:cs="Times New Roman"/>
              </w:rPr>
              <w:t>间断</w:t>
            </w:r>
          </w:p>
        </w:tc>
        <w:tc>
          <w:tcPr>
            <w:tcW w:w="1997" w:type="dxa"/>
            <w:vAlign w:val="center"/>
          </w:tcPr>
          <w:p w14:paraId="395EDC0A" w14:textId="77777777" w:rsidR="00C27509" w:rsidRDefault="00C27509" w:rsidP="00747ECF">
            <w:pPr>
              <w:pStyle w:val="affffd"/>
              <w:spacing w:line="240" w:lineRule="auto"/>
              <w:rPr>
                <w:rFonts w:hAnsi="Times New Roman"/>
              </w:rPr>
            </w:pPr>
            <w:r>
              <w:rPr>
                <w:rFonts w:ascii="Times New Roman" w:eastAsia="宋体" w:hAnsi="Times New Roman" w:cs="Times New Roman"/>
              </w:rPr>
              <w:t>选用低噪声设备，泵类采取隔声等</w:t>
            </w:r>
          </w:p>
        </w:tc>
        <w:tc>
          <w:tcPr>
            <w:tcW w:w="2916" w:type="dxa"/>
            <w:vAlign w:val="center"/>
          </w:tcPr>
          <w:p w14:paraId="072C3331" w14:textId="77777777" w:rsidR="00C27509" w:rsidRDefault="00C27509" w:rsidP="00747ECF">
            <w:pPr>
              <w:pStyle w:val="affffd"/>
              <w:spacing w:line="240" w:lineRule="auto"/>
              <w:rPr>
                <w:rFonts w:hAnsi="Times New Roman"/>
              </w:rPr>
            </w:pPr>
            <w:r>
              <w:rPr>
                <w:rFonts w:ascii="Times New Roman" w:eastAsia="宋体" w:hAnsi="Times New Roman" w:cs="Times New Roman"/>
              </w:rPr>
              <w:t>《工业企业厂界环境噪声排放标准》（</w:t>
            </w:r>
            <w:r>
              <w:rPr>
                <w:rFonts w:ascii="Times New Roman" w:eastAsia="宋体" w:hAnsi="Times New Roman" w:cs="Times New Roman"/>
              </w:rPr>
              <w:t>GB12348-2008</w:t>
            </w: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类标准</w:t>
            </w:r>
          </w:p>
        </w:tc>
      </w:tr>
      <w:tr w:rsidR="00C27509" w14:paraId="38F11F2C" w14:textId="77777777" w:rsidTr="00747ECF">
        <w:trPr>
          <w:trHeight w:val="20"/>
          <w:jc w:val="center"/>
        </w:trPr>
        <w:tc>
          <w:tcPr>
            <w:tcW w:w="700" w:type="dxa"/>
            <w:vMerge w:val="restart"/>
            <w:vAlign w:val="center"/>
          </w:tcPr>
          <w:p w14:paraId="3E0B808E" w14:textId="77777777" w:rsidR="00C27509" w:rsidRDefault="00C27509" w:rsidP="00747ECF">
            <w:pPr>
              <w:pStyle w:val="affffd"/>
              <w:spacing w:line="240" w:lineRule="auto"/>
              <w:rPr>
                <w:rFonts w:hAnsi="Times New Roman"/>
              </w:rPr>
            </w:pPr>
            <w:r>
              <w:rPr>
                <w:rFonts w:ascii="Times New Roman" w:eastAsia="宋体" w:hAnsi="Times New Roman" w:cs="Times New Roman"/>
              </w:rPr>
              <w:lastRenderedPageBreak/>
              <w:t>固体废</w:t>
            </w:r>
          </w:p>
        </w:tc>
        <w:tc>
          <w:tcPr>
            <w:tcW w:w="3185" w:type="dxa"/>
            <w:gridSpan w:val="2"/>
            <w:vAlign w:val="center"/>
          </w:tcPr>
          <w:p w14:paraId="5A4FAD7D" w14:textId="77777777" w:rsidR="00C27509" w:rsidRDefault="00C27509" w:rsidP="00747ECF">
            <w:pPr>
              <w:pStyle w:val="affffd"/>
              <w:spacing w:line="240" w:lineRule="auto"/>
              <w:rPr>
                <w:rFonts w:hAnsi="Times New Roman"/>
              </w:rPr>
            </w:pPr>
            <w:r>
              <w:rPr>
                <w:rFonts w:ascii="Times New Roman" w:eastAsia="宋体" w:hAnsi="Times New Roman" w:cs="Times New Roman"/>
              </w:rPr>
              <w:t>生活垃圾</w:t>
            </w:r>
          </w:p>
        </w:tc>
        <w:tc>
          <w:tcPr>
            <w:tcW w:w="1594" w:type="dxa"/>
            <w:vAlign w:val="center"/>
          </w:tcPr>
          <w:p w14:paraId="3DBF6F73" w14:textId="77777777" w:rsidR="00C27509" w:rsidRDefault="00C27509" w:rsidP="00747ECF">
            <w:pPr>
              <w:jc w:val="center"/>
              <w:rPr>
                <w:rFonts w:ascii="Times New Roman" w:eastAsia="宋体" w:hAnsi="Times New Roman" w:cs="Times New Roman"/>
              </w:rPr>
            </w:pPr>
            <w:r>
              <w:rPr>
                <w:rFonts w:ascii="Times New Roman" w:eastAsia="宋体" w:hAnsi="Times New Roman" w:cs="Times New Roman"/>
                <w:szCs w:val="21"/>
              </w:rPr>
              <w:t>2.92</w:t>
            </w:r>
            <w:r>
              <w:rPr>
                <w:rFonts w:ascii="Times New Roman" w:eastAsia="宋体" w:hAnsi="Times New Roman" w:cs="Times New Roman"/>
              </w:rPr>
              <w:t xml:space="preserve"> t/a</w:t>
            </w:r>
          </w:p>
        </w:tc>
        <w:tc>
          <w:tcPr>
            <w:tcW w:w="1526" w:type="dxa"/>
            <w:vAlign w:val="center"/>
          </w:tcPr>
          <w:p w14:paraId="74235CDA" w14:textId="77777777" w:rsidR="00C27509" w:rsidRDefault="00C27509" w:rsidP="00747ECF">
            <w:pPr>
              <w:pStyle w:val="affffd"/>
              <w:spacing w:line="240" w:lineRule="auto"/>
              <w:rPr>
                <w:rFonts w:hAnsi="Times New Roman"/>
              </w:rPr>
            </w:pPr>
            <w:r>
              <w:rPr>
                <w:rFonts w:ascii="Times New Roman" w:eastAsia="宋体" w:hAnsi="Times New Roman" w:cs="Times New Roman"/>
              </w:rPr>
              <w:t>0</w:t>
            </w:r>
          </w:p>
        </w:tc>
        <w:tc>
          <w:tcPr>
            <w:tcW w:w="1272" w:type="dxa"/>
            <w:vAlign w:val="center"/>
          </w:tcPr>
          <w:p w14:paraId="0BADFB61"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551" w:type="dxa"/>
            <w:vAlign w:val="center"/>
          </w:tcPr>
          <w:p w14:paraId="2C91662C"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997" w:type="dxa"/>
            <w:vAlign w:val="center"/>
          </w:tcPr>
          <w:p w14:paraId="610966B9" w14:textId="77777777" w:rsidR="00C27509" w:rsidRDefault="00C27509" w:rsidP="00747ECF">
            <w:pPr>
              <w:pStyle w:val="affffd"/>
              <w:spacing w:line="240" w:lineRule="auto"/>
              <w:rPr>
                <w:rFonts w:hAnsi="Times New Roman"/>
              </w:rPr>
            </w:pPr>
            <w:r>
              <w:rPr>
                <w:rFonts w:ascii="Times New Roman" w:eastAsia="宋体" w:hAnsi="Times New Roman" w:cs="Times New Roman"/>
              </w:rPr>
              <w:t>收集后运至填埋区卫生填埋</w:t>
            </w:r>
          </w:p>
        </w:tc>
        <w:tc>
          <w:tcPr>
            <w:tcW w:w="2916" w:type="dxa"/>
            <w:vMerge w:val="restart"/>
            <w:vAlign w:val="center"/>
          </w:tcPr>
          <w:p w14:paraId="40B69EA6" w14:textId="77777777" w:rsidR="00C27509" w:rsidRDefault="00C27509" w:rsidP="00747ECF">
            <w:pPr>
              <w:pStyle w:val="affffd"/>
              <w:spacing w:line="240" w:lineRule="auto"/>
              <w:rPr>
                <w:rFonts w:hAnsi="Times New Roman"/>
              </w:rPr>
            </w:pPr>
            <w:r>
              <w:rPr>
                <w:rFonts w:ascii="Times New Roman" w:eastAsia="宋体" w:hAnsi="Times New Roman" w:cs="Times New Roman"/>
              </w:rPr>
              <w:t>生活垃圾填埋场污染控制标准》（</w:t>
            </w:r>
            <w:r>
              <w:rPr>
                <w:rFonts w:ascii="Times New Roman" w:eastAsia="宋体" w:hAnsi="Times New Roman" w:cs="Times New Roman"/>
              </w:rPr>
              <w:t>GB16889-2008</w:t>
            </w:r>
            <w:r>
              <w:rPr>
                <w:rFonts w:ascii="Times New Roman" w:eastAsia="宋体" w:hAnsi="Times New Roman" w:cs="Times New Roman"/>
              </w:rPr>
              <w:t>）</w:t>
            </w:r>
          </w:p>
        </w:tc>
      </w:tr>
      <w:tr w:rsidR="00C27509" w14:paraId="0F1E9C91" w14:textId="77777777" w:rsidTr="00747ECF">
        <w:trPr>
          <w:trHeight w:val="20"/>
          <w:jc w:val="center"/>
        </w:trPr>
        <w:tc>
          <w:tcPr>
            <w:tcW w:w="700" w:type="dxa"/>
            <w:vMerge/>
            <w:vAlign w:val="center"/>
          </w:tcPr>
          <w:p w14:paraId="15459ECC" w14:textId="77777777" w:rsidR="00C27509" w:rsidRDefault="00C27509" w:rsidP="00747ECF">
            <w:pPr>
              <w:pStyle w:val="affffd"/>
              <w:spacing w:line="240" w:lineRule="auto"/>
              <w:rPr>
                <w:rFonts w:hAnsi="Times New Roman"/>
              </w:rPr>
            </w:pPr>
          </w:p>
        </w:tc>
        <w:tc>
          <w:tcPr>
            <w:tcW w:w="3185" w:type="dxa"/>
            <w:gridSpan w:val="2"/>
            <w:vAlign w:val="center"/>
          </w:tcPr>
          <w:p w14:paraId="2AE9BA59" w14:textId="77777777" w:rsidR="00C27509" w:rsidRDefault="00C27509" w:rsidP="00747ECF">
            <w:pPr>
              <w:pStyle w:val="affffd"/>
              <w:spacing w:line="240" w:lineRule="auto"/>
              <w:rPr>
                <w:rFonts w:hAnsi="Times New Roman"/>
              </w:rPr>
            </w:pPr>
            <w:r>
              <w:rPr>
                <w:rFonts w:ascii="Times New Roman" w:eastAsia="宋体" w:hAnsi="Times New Roman" w:cs="Times New Roman"/>
              </w:rPr>
              <w:t>脱水污泥</w:t>
            </w:r>
          </w:p>
        </w:tc>
        <w:tc>
          <w:tcPr>
            <w:tcW w:w="1594" w:type="dxa"/>
            <w:vAlign w:val="center"/>
          </w:tcPr>
          <w:p w14:paraId="639EB1AF" w14:textId="77777777" w:rsidR="00C27509" w:rsidRDefault="00C27509" w:rsidP="00747ECF">
            <w:pPr>
              <w:jc w:val="center"/>
              <w:rPr>
                <w:rFonts w:ascii="Times New Roman" w:eastAsia="宋体" w:hAnsi="Times New Roman" w:cs="Times New Roman"/>
              </w:rPr>
            </w:pPr>
            <w:r>
              <w:rPr>
                <w:rFonts w:ascii="Times New Roman" w:eastAsia="宋体" w:hAnsi="Times New Roman" w:cs="Times New Roman"/>
                <w:szCs w:val="21"/>
              </w:rPr>
              <w:t>88.97</w:t>
            </w:r>
            <w:r>
              <w:rPr>
                <w:rFonts w:ascii="Times New Roman" w:eastAsia="宋体" w:hAnsi="Times New Roman" w:cs="Times New Roman"/>
              </w:rPr>
              <w:t xml:space="preserve"> t/a</w:t>
            </w:r>
          </w:p>
        </w:tc>
        <w:tc>
          <w:tcPr>
            <w:tcW w:w="1526" w:type="dxa"/>
            <w:vAlign w:val="center"/>
          </w:tcPr>
          <w:p w14:paraId="5A13801B" w14:textId="77777777" w:rsidR="00C27509" w:rsidRDefault="00C27509" w:rsidP="00747ECF">
            <w:pPr>
              <w:pStyle w:val="affffd"/>
              <w:spacing w:line="240" w:lineRule="auto"/>
              <w:rPr>
                <w:rFonts w:hAnsi="Times New Roman"/>
              </w:rPr>
            </w:pPr>
            <w:r>
              <w:rPr>
                <w:rFonts w:ascii="Times New Roman" w:eastAsia="宋体" w:hAnsi="Times New Roman" w:cs="Times New Roman"/>
              </w:rPr>
              <w:t>0</w:t>
            </w:r>
          </w:p>
        </w:tc>
        <w:tc>
          <w:tcPr>
            <w:tcW w:w="1272" w:type="dxa"/>
            <w:vAlign w:val="center"/>
          </w:tcPr>
          <w:p w14:paraId="39267D7A"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551" w:type="dxa"/>
            <w:vAlign w:val="center"/>
          </w:tcPr>
          <w:p w14:paraId="14A879DB"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997" w:type="dxa"/>
            <w:vAlign w:val="center"/>
          </w:tcPr>
          <w:p w14:paraId="1E577371" w14:textId="77777777" w:rsidR="00C27509" w:rsidRDefault="00C27509" w:rsidP="00747ECF">
            <w:pPr>
              <w:pStyle w:val="affffd"/>
              <w:spacing w:line="240" w:lineRule="auto"/>
              <w:rPr>
                <w:rFonts w:hAnsi="Times New Roman"/>
              </w:rPr>
            </w:pPr>
            <w:r>
              <w:rPr>
                <w:rFonts w:ascii="Times New Roman" w:eastAsia="宋体" w:hAnsi="Times New Roman" w:cs="Times New Roman"/>
              </w:rPr>
              <w:t>运至填埋区卫生填埋</w:t>
            </w:r>
          </w:p>
        </w:tc>
        <w:tc>
          <w:tcPr>
            <w:tcW w:w="2916" w:type="dxa"/>
            <w:vMerge/>
            <w:vAlign w:val="center"/>
          </w:tcPr>
          <w:p w14:paraId="1BF48853" w14:textId="77777777" w:rsidR="00C27509" w:rsidRDefault="00C27509" w:rsidP="00747ECF">
            <w:pPr>
              <w:pStyle w:val="affffd"/>
              <w:spacing w:line="240" w:lineRule="auto"/>
              <w:rPr>
                <w:rFonts w:hAnsi="Times New Roman"/>
              </w:rPr>
            </w:pPr>
          </w:p>
        </w:tc>
      </w:tr>
      <w:tr w:rsidR="00C27509" w14:paraId="72512DD7" w14:textId="77777777" w:rsidTr="00747ECF">
        <w:trPr>
          <w:trHeight w:val="20"/>
          <w:jc w:val="center"/>
        </w:trPr>
        <w:tc>
          <w:tcPr>
            <w:tcW w:w="700" w:type="dxa"/>
            <w:vMerge/>
            <w:vAlign w:val="center"/>
          </w:tcPr>
          <w:p w14:paraId="246913EF" w14:textId="77777777" w:rsidR="00C27509" w:rsidRDefault="00C27509" w:rsidP="00747ECF">
            <w:pPr>
              <w:pStyle w:val="affffd"/>
              <w:spacing w:line="240" w:lineRule="auto"/>
              <w:rPr>
                <w:rFonts w:hAnsi="Times New Roman"/>
              </w:rPr>
            </w:pPr>
          </w:p>
        </w:tc>
        <w:tc>
          <w:tcPr>
            <w:tcW w:w="3185" w:type="dxa"/>
            <w:gridSpan w:val="2"/>
            <w:vAlign w:val="center"/>
          </w:tcPr>
          <w:p w14:paraId="6E2E8692" w14:textId="77777777" w:rsidR="00C27509" w:rsidRDefault="00C27509" w:rsidP="00747ECF">
            <w:pPr>
              <w:pStyle w:val="affffd"/>
              <w:spacing w:line="240" w:lineRule="auto"/>
              <w:rPr>
                <w:rFonts w:hAnsi="Times New Roman"/>
              </w:rPr>
            </w:pPr>
            <w:r>
              <w:rPr>
                <w:rFonts w:ascii="Times New Roman" w:eastAsia="宋体" w:hAnsi="Times New Roman" w:cs="Times New Roman"/>
              </w:rPr>
              <w:t>废机油</w:t>
            </w:r>
          </w:p>
        </w:tc>
        <w:tc>
          <w:tcPr>
            <w:tcW w:w="1594" w:type="dxa"/>
            <w:vAlign w:val="center"/>
          </w:tcPr>
          <w:p w14:paraId="09ED8B93" w14:textId="77777777" w:rsidR="00C27509" w:rsidRDefault="00C27509" w:rsidP="00747ECF">
            <w:pPr>
              <w:jc w:val="center"/>
              <w:rPr>
                <w:rFonts w:ascii="Times New Roman" w:eastAsia="宋体" w:hAnsi="Times New Roman" w:cs="Times New Roman"/>
              </w:rPr>
            </w:pPr>
            <w:r>
              <w:rPr>
                <w:rFonts w:ascii="Times New Roman" w:eastAsia="宋体" w:hAnsi="Times New Roman" w:cs="Times New Roman"/>
                <w:szCs w:val="21"/>
              </w:rPr>
              <w:t>0.5</w:t>
            </w:r>
            <w:r>
              <w:rPr>
                <w:rFonts w:ascii="Times New Roman" w:eastAsia="宋体" w:hAnsi="Times New Roman" w:cs="Times New Roman"/>
              </w:rPr>
              <w:t xml:space="preserve"> t/a</w:t>
            </w:r>
          </w:p>
        </w:tc>
        <w:tc>
          <w:tcPr>
            <w:tcW w:w="1526" w:type="dxa"/>
            <w:vAlign w:val="center"/>
          </w:tcPr>
          <w:p w14:paraId="791035AE" w14:textId="77777777" w:rsidR="00C27509" w:rsidRDefault="00C27509" w:rsidP="00747ECF">
            <w:pPr>
              <w:pStyle w:val="affffd"/>
              <w:spacing w:line="240" w:lineRule="auto"/>
              <w:rPr>
                <w:rFonts w:hAnsi="Times New Roman"/>
              </w:rPr>
            </w:pPr>
            <w:r>
              <w:rPr>
                <w:rFonts w:ascii="Times New Roman" w:eastAsia="宋体" w:hAnsi="Times New Roman" w:cs="Times New Roman"/>
              </w:rPr>
              <w:t>0</w:t>
            </w:r>
          </w:p>
        </w:tc>
        <w:tc>
          <w:tcPr>
            <w:tcW w:w="1272" w:type="dxa"/>
            <w:vAlign w:val="center"/>
          </w:tcPr>
          <w:p w14:paraId="7DE845A6"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551" w:type="dxa"/>
            <w:vAlign w:val="center"/>
          </w:tcPr>
          <w:p w14:paraId="52C4F1CE"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997" w:type="dxa"/>
            <w:vMerge w:val="restart"/>
            <w:vAlign w:val="center"/>
          </w:tcPr>
          <w:p w14:paraId="687D5974" w14:textId="77777777" w:rsidR="00C27509" w:rsidRDefault="00C27509" w:rsidP="00747ECF">
            <w:pPr>
              <w:pStyle w:val="affffd"/>
              <w:spacing w:line="240" w:lineRule="auto"/>
              <w:rPr>
                <w:rFonts w:hAnsi="Times New Roman"/>
              </w:rPr>
            </w:pPr>
            <w:r>
              <w:rPr>
                <w:rFonts w:ascii="Times New Roman" w:eastAsia="宋体" w:hAnsi="Times New Roman" w:cs="Times New Roman"/>
              </w:rPr>
              <w:t>分类收集后暂存危废暂存间，定期交由有资质单位处置</w:t>
            </w:r>
          </w:p>
        </w:tc>
        <w:tc>
          <w:tcPr>
            <w:tcW w:w="2916" w:type="dxa"/>
            <w:vMerge/>
            <w:vAlign w:val="center"/>
          </w:tcPr>
          <w:p w14:paraId="2BDDAD61" w14:textId="77777777" w:rsidR="00C27509" w:rsidRDefault="00C27509" w:rsidP="00747ECF">
            <w:pPr>
              <w:pStyle w:val="affffd"/>
              <w:spacing w:line="240" w:lineRule="auto"/>
              <w:rPr>
                <w:rFonts w:hAnsi="Times New Roman"/>
              </w:rPr>
            </w:pPr>
          </w:p>
        </w:tc>
      </w:tr>
      <w:tr w:rsidR="00C27509" w14:paraId="46FB5C50" w14:textId="77777777" w:rsidTr="00747ECF">
        <w:trPr>
          <w:trHeight w:val="20"/>
          <w:jc w:val="center"/>
        </w:trPr>
        <w:tc>
          <w:tcPr>
            <w:tcW w:w="700" w:type="dxa"/>
            <w:vMerge/>
            <w:vAlign w:val="center"/>
          </w:tcPr>
          <w:p w14:paraId="2F587583" w14:textId="77777777" w:rsidR="00C27509" w:rsidRDefault="00C27509" w:rsidP="00747ECF">
            <w:pPr>
              <w:pStyle w:val="affffd"/>
              <w:spacing w:line="240" w:lineRule="auto"/>
              <w:rPr>
                <w:rFonts w:hAnsi="Times New Roman"/>
              </w:rPr>
            </w:pPr>
          </w:p>
        </w:tc>
        <w:tc>
          <w:tcPr>
            <w:tcW w:w="3185" w:type="dxa"/>
            <w:gridSpan w:val="2"/>
            <w:vAlign w:val="center"/>
          </w:tcPr>
          <w:p w14:paraId="6FA0E559" w14:textId="77777777" w:rsidR="00C27509" w:rsidRDefault="00C27509" w:rsidP="00747ECF">
            <w:pPr>
              <w:pStyle w:val="affffd"/>
              <w:spacing w:line="240" w:lineRule="auto"/>
              <w:rPr>
                <w:rFonts w:hAnsi="Times New Roman"/>
              </w:rPr>
            </w:pPr>
            <w:r>
              <w:rPr>
                <w:rFonts w:ascii="Times New Roman" w:eastAsia="宋体" w:hAnsi="Times New Roman" w:cs="Times New Roman"/>
              </w:rPr>
              <w:t>废包装</w:t>
            </w:r>
          </w:p>
        </w:tc>
        <w:tc>
          <w:tcPr>
            <w:tcW w:w="1594" w:type="dxa"/>
            <w:vAlign w:val="center"/>
          </w:tcPr>
          <w:p w14:paraId="0A8B8178" w14:textId="77777777" w:rsidR="00C27509" w:rsidRDefault="00C27509" w:rsidP="00747ECF">
            <w:pPr>
              <w:jc w:val="center"/>
              <w:rPr>
                <w:rFonts w:ascii="Times New Roman" w:eastAsia="宋体" w:hAnsi="Times New Roman" w:cs="Times New Roman"/>
              </w:rPr>
            </w:pPr>
            <w:r>
              <w:rPr>
                <w:rFonts w:ascii="Times New Roman" w:eastAsia="宋体" w:hAnsi="Times New Roman" w:cs="Times New Roman"/>
                <w:szCs w:val="21"/>
              </w:rPr>
              <w:t>2.5</w:t>
            </w:r>
            <w:r>
              <w:rPr>
                <w:rFonts w:ascii="Times New Roman" w:eastAsia="宋体" w:hAnsi="Times New Roman" w:cs="Times New Roman"/>
              </w:rPr>
              <w:t xml:space="preserve"> t/a</w:t>
            </w:r>
          </w:p>
        </w:tc>
        <w:tc>
          <w:tcPr>
            <w:tcW w:w="1526" w:type="dxa"/>
            <w:vAlign w:val="center"/>
          </w:tcPr>
          <w:p w14:paraId="24F28F12" w14:textId="77777777" w:rsidR="00C27509" w:rsidRDefault="00C27509" w:rsidP="00747ECF">
            <w:pPr>
              <w:pStyle w:val="affffd"/>
              <w:spacing w:line="240" w:lineRule="auto"/>
              <w:rPr>
                <w:rFonts w:hAnsi="Times New Roman"/>
              </w:rPr>
            </w:pPr>
            <w:r>
              <w:rPr>
                <w:rFonts w:ascii="Times New Roman" w:eastAsia="宋体" w:hAnsi="Times New Roman" w:cs="Times New Roman"/>
              </w:rPr>
              <w:t>0</w:t>
            </w:r>
          </w:p>
        </w:tc>
        <w:tc>
          <w:tcPr>
            <w:tcW w:w="1272" w:type="dxa"/>
            <w:vAlign w:val="center"/>
          </w:tcPr>
          <w:p w14:paraId="08675B0B"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551" w:type="dxa"/>
            <w:vAlign w:val="center"/>
          </w:tcPr>
          <w:p w14:paraId="001C5CA3"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997" w:type="dxa"/>
            <w:vMerge/>
            <w:vAlign w:val="center"/>
          </w:tcPr>
          <w:p w14:paraId="5B1A9010" w14:textId="77777777" w:rsidR="00C27509" w:rsidRDefault="00C27509" w:rsidP="00747ECF">
            <w:pPr>
              <w:pStyle w:val="affffd"/>
              <w:spacing w:line="240" w:lineRule="auto"/>
              <w:rPr>
                <w:rFonts w:hAnsi="Times New Roman"/>
              </w:rPr>
            </w:pPr>
          </w:p>
        </w:tc>
        <w:tc>
          <w:tcPr>
            <w:tcW w:w="2916" w:type="dxa"/>
            <w:vMerge/>
            <w:vAlign w:val="center"/>
          </w:tcPr>
          <w:p w14:paraId="25158E28" w14:textId="77777777" w:rsidR="00C27509" w:rsidRDefault="00C27509" w:rsidP="00747ECF">
            <w:pPr>
              <w:pStyle w:val="affffd"/>
              <w:spacing w:line="240" w:lineRule="auto"/>
              <w:rPr>
                <w:rFonts w:hAnsi="Times New Roman"/>
              </w:rPr>
            </w:pPr>
          </w:p>
        </w:tc>
      </w:tr>
      <w:tr w:rsidR="00C27509" w14:paraId="1816D13B" w14:textId="77777777" w:rsidTr="00747ECF">
        <w:trPr>
          <w:trHeight w:val="20"/>
          <w:jc w:val="center"/>
        </w:trPr>
        <w:tc>
          <w:tcPr>
            <w:tcW w:w="700" w:type="dxa"/>
            <w:vMerge/>
            <w:vAlign w:val="center"/>
          </w:tcPr>
          <w:p w14:paraId="3411435A" w14:textId="77777777" w:rsidR="00C27509" w:rsidRDefault="00C27509" w:rsidP="00747ECF">
            <w:pPr>
              <w:pStyle w:val="affffd"/>
              <w:spacing w:line="240" w:lineRule="auto"/>
              <w:rPr>
                <w:rFonts w:hAnsi="Times New Roman"/>
              </w:rPr>
            </w:pPr>
          </w:p>
        </w:tc>
        <w:tc>
          <w:tcPr>
            <w:tcW w:w="3185" w:type="dxa"/>
            <w:gridSpan w:val="2"/>
            <w:vAlign w:val="center"/>
          </w:tcPr>
          <w:p w14:paraId="1551A8D1" w14:textId="77777777" w:rsidR="00C27509" w:rsidRDefault="00C27509" w:rsidP="00747ECF">
            <w:pPr>
              <w:pStyle w:val="affffd"/>
              <w:spacing w:line="240" w:lineRule="auto"/>
              <w:rPr>
                <w:rFonts w:hAnsi="Times New Roman"/>
              </w:rPr>
            </w:pPr>
            <w:r>
              <w:rPr>
                <w:rFonts w:ascii="Times New Roman" w:eastAsia="宋体" w:hAnsi="Times New Roman" w:cs="Times New Roman"/>
              </w:rPr>
              <w:t>废膜</w:t>
            </w:r>
          </w:p>
        </w:tc>
        <w:tc>
          <w:tcPr>
            <w:tcW w:w="1594" w:type="dxa"/>
            <w:vAlign w:val="center"/>
          </w:tcPr>
          <w:p w14:paraId="78C61A96" w14:textId="77777777" w:rsidR="00C27509" w:rsidRDefault="00C27509" w:rsidP="00747ECF">
            <w:pPr>
              <w:jc w:val="center"/>
              <w:rPr>
                <w:rFonts w:ascii="Times New Roman" w:eastAsia="宋体" w:hAnsi="Times New Roman" w:cs="Times New Roman"/>
              </w:rPr>
            </w:pPr>
            <w:r>
              <w:rPr>
                <w:rFonts w:ascii="Times New Roman" w:eastAsia="宋体" w:hAnsi="Times New Roman" w:cs="Times New Roman"/>
                <w:szCs w:val="21"/>
              </w:rPr>
              <w:t>0.167</w:t>
            </w:r>
            <w:r>
              <w:rPr>
                <w:rFonts w:ascii="Times New Roman" w:eastAsia="宋体" w:hAnsi="Times New Roman" w:cs="Times New Roman"/>
              </w:rPr>
              <w:t xml:space="preserve"> t/a</w:t>
            </w:r>
          </w:p>
        </w:tc>
        <w:tc>
          <w:tcPr>
            <w:tcW w:w="1526" w:type="dxa"/>
            <w:vAlign w:val="center"/>
          </w:tcPr>
          <w:p w14:paraId="62F6E354" w14:textId="77777777" w:rsidR="00C27509" w:rsidRDefault="00C27509" w:rsidP="00747ECF">
            <w:pPr>
              <w:pStyle w:val="affffd"/>
              <w:spacing w:line="240" w:lineRule="auto"/>
              <w:rPr>
                <w:rFonts w:hAnsi="Times New Roman"/>
              </w:rPr>
            </w:pPr>
            <w:r>
              <w:rPr>
                <w:rFonts w:ascii="Times New Roman" w:eastAsia="宋体" w:hAnsi="Times New Roman" w:cs="Times New Roman"/>
              </w:rPr>
              <w:t>0</w:t>
            </w:r>
          </w:p>
        </w:tc>
        <w:tc>
          <w:tcPr>
            <w:tcW w:w="1272" w:type="dxa"/>
            <w:vAlign w:val="center"/>
          </w:tcPr>
          <w:p w14:paraId="347BEAA7"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551" w:type="dxa"/>
            <w:vAlign w:val="center"/>
          </w:tcPr>
          <w:p w14:paraId="10E5DA0B" w14:textId="77777777" w:rsidR="00C27509" w:rsidRDefault="00C27509" w:rsidP="00747ECF">
            <w:pPr>
              <w:pStyle w:val="affffd"/>
              <w:spacing w:line="240" w:lineRule="auto"/>
              <w:rPr>
                <w:rFonts w:hAnsi="Times New Roman"/>
              </w:rPr>
            </w:pPr>
            <w:r>
              <w:rPr>
                <w:rFonts w:ascii="Times New Roman" w:eastAsia="宋体" w:hAnsi="Times New Roman" w:cs="Times New Roman"/>
              </w:rPr>
              <w:t>/</w:t>
            </w:r>
          </w:p>
        </w:tc>
        <w:tc>
          <w:tcPr>
            <w:tcW w:w="1997" w:type="dxa"/>
            <w:vMerge/>
            <w:vAlign w:val="center"/>
          </w:tcPr>
          <w:p w14:paraId="5CEA9583" w14:textId="77777777" w:rsidR="00C27509" w:rsidRDefault="00C27509" w:rsidP="00747ECF">
            <w:pPr>
              <w:pStyle w:val="affffd"/>
              <w:spacing w:line="240" w:lineRule="auto"/>
              <w:rPr>
                <w:rFonts w:hAnsi="Times New Roman"/>
              </w:rPr>
            </w:pPr>
          </w:p>
        </w:tc>
        <w:tc>
          <w:tcPr>
            <w:tcW w:w="2916" w:type="dxa"/>
            <w:vMerge/>
            <w:vAlign w:val="center"/>
          </w:tcPr>
          <w:p w14:paraId="2E76A14D" w14:textId="77777777" w:rsidR="00C27509" w:rsidRDefault="00C27509" w:rsidP="00747ECF">
            <w:pPr>
              <w:pStyle w:val="affffd"/>
              <w:spacing w:line="240" w:lineRule="auto"/>
              <w:rPr>
                <w:rFonts w:hAnsi="Times New Roman"/>
              </w:rPr>
            </w:pPr>
          </w:p>
        </w:tc>
      </w:tr>
    </w:tbl>
    <w:p w14:paraId="183DA4DC" w14:textId="77777777" w:rsidR="00C27509" w:rsidRPr="00C27509" w:rsidRDefault="00C27509" w:rsidP="00C27509">
      <w:pPr>
        <w:pStyle w:val="2"/>
        <w:ind w:firstLine="480"/>
        <w:rPr>
          <w:rFonts w:hint="eastAsia"/>
        </w:rPr>
        <w:sectPr w:rsidR="00C27509" w:rsidRPr="00C27509">
          <w:pgSz w:w="16838" w:h="11906" w:orient="landscape"/>
          <w:pgMar w:top="1440" w:right="1080" w:bottom="1440" w:left="1080" w:header="851" w:footer="992" w:gutter="0"/>
          <w:cols w:space="720"/>
          <w:docGrid w:type="linesAndChars" w:linePitch="312"/>
        </w:sectPr>
      </w:pPr>
    </w:p>
    <w:p w14:paraId="07654DF2" w14:textId="77777777" w:rsidR="00D12939" w:rsidRDefault="004F47F5">
      <w:pPr>
        <w:jc w:val="center"/>
        <w:rPr>
          <w:rFonts w:ascii="黑体" w:eastAsia="黑体" w:hAnsi="黑体" w:cs="Times New Roman"/>
          <w:sz w:val="24"/>
          <w:szCs w:val="21"/>
        </w:rPr>
      </w:pPr>
      <w:r>
        <w:rPr>
          <w:rFonts w:ascii="黑体" w:eastAsia="黑体" w:hAnsi="黑体" w:cs="Times New Roman"/>
          <w:sz w:val="24"/>
          <w:szCs w:val="21"/>
        </w:rPr>
        <w:lastRenderedPageBreak/>
        <w:t>表11.4-2    环保设施竣工验收清单（建议）</w:t>
      </w:r>
    </w:p>
    <w:tbl>
      <w:tblPr>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414"/>
        <w:gridCol w:w="1460"/>
        <w:gridCol w:w="2419"/>
        <w:gridCol w:w="981"/>
        <w:gridCol w:w="979"/>
        <w:gridCol w:w="2477"/>
      </w:tblGrid>
      <w:tr w:rsidR="00D12939" w14:paraId="4064818C" w14:textId="77777777">
        <w:trPr>
          <w:trHeight w:val="340"/>
          <w:jc w:val="center"/>
        </w:trPr>
        <w:tc>
          <w:tcPr>
            <w:tcW w:w="727" w:type="pct"/>
            <w:tcBorders>
              <w:top w:val="single" w:sz="4" w:space="0" w:color="auto"/>
              <w:left w:val="single" w:sz="4" w:space="0" w:color="auto"/>
              <w:bottom w:val="single" w:sz="4" w:space="0" w:color="auto"/>
              <w:tl2br w:val="nil"/>
              <w:tr2bl w:val="nil"/>
            </w:tcBorders>
            <w:vAlign w:val="center"/>
          </w:tcPr>
          <w:p w14:paraId="4BE95E63" w14:textId="77777777" w:rsidR="00D12939" w:rsidRDefault="004F47F5">
            <w:pPr>
              <w:pStyle w:val="affffd"/>
              <w:spacing w:line="240" w:lineRule="auto"/>
              <w:rPr>
                <w:rFonts w:hAnsi="Times New Roman"/>
              </w:rPr>
            </w:pPr>
            <w:r>
              <w:rPr>
                <w:rFonts w:ascii="Times New Roman" w:eastAsia="宋体" w:hAnsi="Times New Roman" w:cs="Times New Roman"/>
              </w:rPr>
              <w:t>环保工程</w:t>
            </w:r>
          </w:p>
        </w:tc>
        <w:tc>
          <w:tcPr>
            <w:tcW w:w="1993" w:type="pct"/>
            <w:gridSpan w:val="2"/>
            <w:tcBorders>
              <w:top w:val="single" w:sz="4" w:space="0" w:color="auto"/>
              <w:bottom w:val="single" w:sz="4" w:space="0" w:color="auto"/>
              <w:tl2br w:val="nil"/>
              <w:tr2bl w:val="nil"/>
            </w:tcBorders>
            <w:vAlign w:val="center"/>
          </w:tcPr>
          <w:p w14:paraId="52D6E1B7" w14:textId="77777777" w:rsidR="00D12939" w:rsidRDefault="004F47F5">
            <w:pPr>
              <w:pStyle w:val="affffd"/>
              <w:spacing w:line="240" w:lineRule="auto"/>
              <w:rPr>
                <w:rFonts w:hAnsi="Times New Roman"/>
              </w:rPr>
            </w:pPr>
            <w:r>
              <w:rPr>
                <w:rFonts w:ascii="Times New Roman" w:eastAsia="宋体" w:hAnsi="Times New Roman" w:cs="Times New Roman"/>
              </w:rPr>
              <w:t>环保设施内容</w:t>
            </w:r>
          </w:p>
        </w:tc>
        <w:tc>
          <w:tcPr>
            <w:tcW w:w="504" w:type="pct"/>
            <w:tcBorders>
              <w:top w:val="single" w:sz="4" w:space="0" w:color="auto"/>
              <w:bottom w:val="single" w:sz="4" w:space="0" w:color="auto"/>
              <w:tl2br w:val="nil"/>
              <w:tr2bl w:val="nil"/>
            </w:tcBorders>
            <w:vAlign w:val="center"/>
          </w:tcPr>
          <w:p w14:paraId="189E1CF3" w14:textId="77777777" w:rsidR="00D12939" w:rsidRDefault="004F47F5">
            <w:pPr>
              <w:pStyle w:val="affffd"/>
              <w:spacing w:line="240" w:lineRule="auto"/>
              <w:rPr>
                <w:rFonts w:hAnsi="Times New Roman"/>
              </w:rPr>
            </w:pPr>
            <w:r>
              <w:rPr>
                <w:rFonts w:ascii="Times New Roman" w:eastAsia="宋体" w:hAnsi="Times New Roman" w:cs="Times New Roman"/>
              </w:rPr>
              <w:t>数量</w:t>
            </w:r>
          </w:p>
        </w:tc>
        <w:tc>
          <w:tcPr>
            <w:tcW w:w="503" w:type="pct"/>
            <w:tcBorders>
              <w:top w:val="single" w:sz="4" w:space="0" w:color="auto"/>
              <w:bottom w:val="single" w:sz="4" w:space="0" w:color="auto"/>
              <w:tl2br w:val="nil"/>
              <w:tr2bl w:val="nil"/>
            </w:tcBorders>
            <w:vAlign w:val="center"/>
          </w:tcPr>
          <w:p w14:paraId="04C9463C" w14:textId="77777777" w:rsidR="00D12939" w:rsidRDefault="004F47F5">
            <w:pPr>
              <w:pStyle w:val="affffd"/>
              <w:spacing w:line="240" w:lineRule="auto"/>
              <w:rPr>
                <w:rFonts w:hAnsi="Times New Roman"/>
              </w:rPr>
            </w:pPr>
            <w:r>
              <w:rPr>
                <w:rFonts w:ascii="Times New Roman" w:eastAsia="宋体" w:hAnsi="Times New Roman" w:cs="Times New Roman"/>
              </w:rPr>
              <w:t>单位</w:t>
            </w:r>
          </w:p>
        </w:tc>
        <w:tc>
          <w:tcPr>
            <w:tcW w:w="1273" w:type="pct"/>
            <w:tcBorders>
              <w:top w:val="single" w:sz="4" w:space="0" w:color="auto"/>
              <w:bottom w:val="single" w:sz="4" w:space="0" w:color="auto"/>
              <w:right w:val="single" w:sz="4" w:space="0" w:color="auto"/>
              <w:tl2br w:val="nil"/>
              <w:tr2bl w:val="nil"/>
            </w:tcBorders>
            <w:vAlign w:val="center"/>
          </w:tcPr>
          <w:p w14:paraId="389828DD" w14:textId="77777777" w:rsidR="00D12939" w:rsidRDefault="004F47F5">
            <w:pPr>
              <w:pStyle w:val="affffd"/>
              <w:spacing w:line="240" w:lineRule="auto"/>
              <w:rPr>
                <w:rFonts w:hAnsi="Times New Roman"/>
              </w:rPr>
            </w:pPr>
            <w:r>
              <w:rPr>
                <w:rFonts w:ascii="Times New Roman" w:eastAsia="宋体" w:hAnsi="Times New Roman" w:cs="Times New Roman"/>
              </w:rPr>
              <w:t>标准要求</w:t>
            </w:r>
          </w:p>
        </w:tc>
      </w:tr>
      <w:tr w:rsidR="00D12939" w14:paraId="7CFB2B9B" w14:textId="77777777">
        <w:trPr>
          <w:trHeight w:val="340"/>
          <w:jc w:val="center"/>
        </w:trPr>
        <w:tc>
          <w:tcPr>
            <w:tcW w:w="727" w:type="pct"/>
            <w:vMerge w:val="restart"/>
            <w:tcBorders>
              <w:top w:val="single" w:sz="4" w:space="0" w:color="auto"/>
              <w:left w:val="single" w:sz="4" w:space="0" w:color="auto"/>
              <w:bottom w:val="single" w:sz="4" w:space="0" w:color="auto"/>
              <w:tl2br w:val="nil"/>
              <w:tr2bl w:val="nil"/>
            </w:tcBorders>
            <w:vAlign w:val="center"/>
          </w:tcPr>
          <w:p w14:paraId="6ACABAD6" w14:textId="77777777" w:rsidR="00D12939" w:rsidRDefault="004F47F5">
            <w:pPr>
              <w:pStyle w:val="affffd"/>
              <w:spacing w:line="240" w:lineRule="auto"/>
              <w:rPr>
                <w:rFonts w:hAnsi="Times New Roman"/>
              </w:rPr>
            </w:pPr>
            <w:r>
              <w:rPr>
                <w:rFonts w:ascii="Times New Roman" w:eastAsia="宋体" w:hAnsi="Times New Roman" w:cs="Times New Roman"/>
              </w:rPr>
              <w:t>废气</w:t>
            </w:r>
          </w:p>
          <w:p w14:paraId="7E6EA1EB" w14:textId="77777777" w:rsidR="00D12939" w:rsidRDefault="004F47F5">
            <w:pPr>
              <w:pStyle w:val="affffd"/>
              <w:spacing w:line="240" w:lineRule="auto"/>
              <w:rPr>
                <w:rFonts w:hAnsi="Times New Roman"/>
              </w:rPr>
            </w:pPr>
            <w:r>
              <w:rPr>
                <w:rFonts w:ascii="Times New Roman" w:eastAsia="宋体" w:hAnsi="Times New Roman" w:cs="Times New Roman"/>
              </w:rPr>
              <w:t>治理</w:t>
            </w:r>
          </w:p>
        </w:tc>
        <w:tc>
          <w:tcPr>
            <w:tcW w:w="750" w:type="pct"/>
            <w:vMerge w:val="restart"/>
            <w:tcBorders>
              <w:top w:val="single" w:sz="4" w:space="0" w:color="auto"/>
              <w:tl2br w:val="nil"/>
              <w:tr2bl w:val="nil"/>
            </w:tcBorders>
            <w:vAlign w:val="center"/>
          </w:tcPr>
          <w:p w14:paraId="7546B013" w14:textId="77777777" w:rsidR="00D12939" w:rsidRDefault="004F47F5">
            <w:pPr>
              <w:pStyle w:val="affffd"/>
              <w:spacing w:line="240" w:lineRule="auto"/>
              <w:rPr>
                <w:rFonts w:hAnsi="Times New Roman"/>
              </w:rPr>
            </w:pPr>
            <w:r>
              <w:rPr>
                <w:rFonts w:ascii="Times New Roman" w:eastAsia="宋体" w:hAnsi="Times New Roman" w:cs="Times New Roman"/>
              </w:rPr>
              <w:t>填埋气体导排系统</w:t>
            </w:r>
          </w:p>
        </w:tc>
        <w:tc>
          <w:tcPr>
            <w:tcW w:w="1243" w:type="pct"/>
            <w:tcBorders>
              <w:top w:val="single" w:sz="4" w:space="0" w:color="auto"/>
              <w:bottom w:val="single" w:sz="4" w:space="0" w:color="auto"/>
              <w:tl2br w:val="nil"/>
              <w:tr2bl w:val="nil"/>
            </w:tcBorders>
            <w:vAlign w:val="center"/>
          </w:tcPr>
          <w:p w14:paraId="33DDC4E9"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填埋气导排系统，填埋气经导气井排入大气，填埋区定时喷洒除臭剂</w:t>
            </w:r>
          </w:p>
        </w:tc>
        <w:tc>
          <w:tcPr>
            <w:tcW w:w="504" w:type="pct"/>
            <w:tcBorders>
              <w:top w:val="single" w:sz="4" w:space="0" w:color="auto"/>
              <w:bottom w:val="single" w:sz="4" w:space="0" w:color="auto"/>
              <w:tl2br w:val="nil"/>
              <w:tr2bl w:val="nil"/>
            </w:tcBorders>
            <w:vAlign w:val="center"/>
          </w:tcPr>
          <w:p w14:paraId="5DD7E9CC"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1</w:t>
            </w:r>
          </w:p>
        </w:tc>
        <w:tc>
          <w:tcPr>
            <w:tcW w:w="503" w:type="pct"/>
            <w:tcBorders>
              <w:top w:val="single" w:sz="4" w:space="0" w:color="auto"/>
              <w:bottom w:val="single" w:sz="4" w:space="0" w:color="auto"/>
              <w:tl2br w:val="nil"/>
              <w:tr2bl w:val="nil"/>
            </w:tcBorders>
            <w:vAlign w:val="center"/>
          </w:tcPr>
          <w:p w14:paraId="3F311811"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套</w:t>
            </w:r>
          </w:p>
        </w:tc>
        <w:tc>
          <w:tcPr>
            <w:tcW w:w="1273" w:type="pct"/>
            <w:vMerge w:val="restart"/>
            <w:tcBorders>
              <w:top w:val="single" w:sz="4" w:space="0" w:color="auto"/>
              <w:right w:val="single" w:sz="4" w:space="0" w:color="auto"/>
              <w:tl2br w:val="nil"/>
              <w:tr2bl w:val="nil"/>
            </w:tcBorders>
            <w:vAlign w:val="center"/>
          </w:tcPr>
          <w:p w14:paraId="59751FA9" w14:textId="77777777" w:rsidR="00D12939" w:rsidRDefault="004F47F5">
            <w:pPr>
              <w:pStyle w:val="affffd"/>
              <w:spacing w:line="240" w:lineRule="auto"/>
              <w:rPr>
                <w:rFonts w:hAnsi="Times New Roman"/>
              </w:rPr>
            </w:pPr>
            <w:r>
              <w:rPr>
                <w:rFonts w:ascii="Times New Roman" w:eastAsia="宋体" w:hAnsi="Times New Roman" w:cs="Times New Roman"/>
              </w:rPr>
              <w:t>NH</w:t>
            </w:r>
            <w:r>
              <w:rPr>
                <w:rFonts w:ascii="Times New Roman" w:eastAsia="宋体" w:hAnsi="Times New Roman" w:cs="Times New Roman"/>
                <w:vertAlign w:val="subscript"/>
              </w:rPr>
              <w:t>3</w:t>
            </w:r>
            <w:r>
              <w:rPr>
                <w:rFonts w:ascii="Times New Roman" w:eastAsia="宋体" w:hAnsi="Times New Roman" w:cs="Times New Roman"/>
              </w:rPr>
              <w:t>、</w:t>
            </w:r>
            <w:r>
              <w:rPr>
                <w:rFonts w:ascii="Times New Roman" w:eastAsia="宋体" w:hAnsi="Times New Roman" w:cs="Times New Roman"/>
              </w:rPr>
              <w:t>H</w:t>
            </w:r>
            <w:r>
              <w:rPr>
                <w:rFonts w:ascii="Times New Roman" w:eastAsia="宋体" w:hAnsi="Times New Roman" w:cs="Times New Roman"/>
                <w:vertAlign w:val="subscript"/>
              </w:rPr>
              <w:t>2</w:t>
            </w:r>
            <w:r>
              <w:rPr>
                <w:rFonts w:ascii="Times New Roman" w:eastAsia="宋体" w:hAnsi="Times New Roman" w:cs="Times New Roman"/>
              </w:rPr>
              <w:t>S</w:t>
            </w:r>
            <w:r>
              <w:rPr>
                <w:rFonts w:ascii="Times New Roman" w:eastAsia="宋体" w:hAnsi="Times New Roman" w:cs="Times New Roman"/>
              </w:rPr>
              <w:t>执行《恶臭污染物排放标准》（</w:t>
            </w:r>
            <w:r>
              <w:rPr>
                <w:rFonts w:ascii="Times New Roman" w:eastAsia="宋体" w:hAnsi="Times New Roman" w:cs="Times New Roman"/>
              </w:rPr>
              <w:t>GB14554-93</w:t>
            </w:r>
            <w:r>
              <w:rPr>
                <w:rFonts w:ascii="Times New Roman" w:eastAsia="宋体" w:hAnsi="Times New Roman" w:cs="Times New Roman"/>
              </w:rPr>
              <w:t>）表</w:t>
            </w:r>
            <w:r>
              <w:rPr>
                <w:rFonts w:ascii="Times New Roman" w:eastAsia="宋体" w:hAnsi="Times New Roman" w:cs="Times New Roman"/>
              </w:rPr>
              <w:t>1</w:t>
            </w:r>
            <w:r>
              <w:rPr>
                <w:rFonts w:ascii="Times New Roman" w:eastAsia="宋体" w:hAnsi="Times New Roman" w:cs="Times New Roman"/>
              </w:rPr>
              <w:t>中二级新扩改建厂界标准，</w:t>
            </w:r>
            <w:r>
              <w:rPr>
                <w:rFonts w:ascii="Times New Roman" w:eastAsia="宋体" w:hAnsi="Times New Roman" w:cs="Times New Roman"/>
              </w:rPr>
              <w:t>CH</w:t>
            </w:r>
            <w:r>
              <w:rPr>
                <w:rFonts w:ascii="Times New Roman" w:eastAsia="宋体" w:hAnsi="Times New Roman" w:cs="Times New Roman"/>
                <w:vertAlign w:val="subscript"/>
              </w:rPr>
              <w:t>4</w:t>
            </w:r>
            <w:r>
              <w:rPr>
                <w:rFonts w:ascii="Times New Roman" w:eastAsia="宋体" w:hAnsi="Times New Roman" w:cs="Times New Roman"/>
              </w:rPr>
              <w:t>执行《生活垃圾填埋场污染控制标准》（</w:t>
            </w:r>
            <w:r>
              <w:rPr>
                <w:rFonts w:ascii="Times New Roman" w:eastAsia="宋体" w:hAnsi="Times New Roman" w:cs="Times New Roman"/>
              </w:rPr>
              <w:t>GB16889-2008</w:t>
            </w:r>
            <w:r>
              <w:rPr>
                <w:rFonts w:ascii="Times New Roman" w:eastAsia="宋体" w:hAnsi="Times New Roman" w:cs="Times New Roman"/>
              </w:rPr>
              <w:t>）中甲烷排放限值；</w:t>
            </w:r>
          </w:p>
          <w:p w14:paraId="7D4C8E47" w14:textId="77777777" w:rsidR="00D12939" w:rsidRDefault="004F47F5">
            <w:pPr>
              <w:pStyle w:val="affffd"/>
              <w:spacing w:line="240" w:lineRule="auto"/>
              <w:rPr>
                <w:rFonts w:hAnsi="Times New Roman"/>
              </w:rPr>
            </w:pPr>
            <w:r>
              <w:rPr>
                <w:rFonts w:ascii="Times New Roman" w:eastAsia="宋体" w:hAnsi="Times New Roman" w:cs="Times New Roman"/>
              </w:rPr>
              <w:t>其余执行《大气污染物综合排放标准》（</w:t>
            </w:r>
            <w:r>
              <w:rPr>
                <w:rFonts w:ascii="Times New Roman" w:eastAsia="宋体" w:hAnsi="Times New Roman" w:cs="Times New Roman"/>
              </w:rPr>
              <w:t>GB16297-1996</w:t>
            </w:r>
            <w:r>
              <w:rPr>
                <w:rFonts w:ascii="Times New Roman" w:eastAsia="宋体" w:hAnsi="Times New Roman" w:cs="Times New Roman"/>
              </w:rPr>
              <w:t>）表</w:t>
            </w:r>
            <w:r>
              <w:rPr>
                <w:rFonts w:ascii="Times New Roman" w:eastAsia="宋体" w:hAnsi="Times New Roman" w:cs="Times New Roman"/>
              </w:rPr>
              <w:t>2</w:t>
            </w:r>
            <w:r>
              <w:rPr>
                <w:rFonts w:ascii="Times New Roman" w:eastAsia="宋体" w:hAnsi="Times New Roman" w:cs="Times New Roman"/>
              </w:rPr>
              <w:t>中无组织排放监控浓度限值</w:t>
            </w:r>
          </w:p>
        </w:tc>
      </w:tr>
      <w:tr w:rsidR="00D12939" w14:paraId="764392A0" w14:textId="77777777">
        <w:trPr>
          <w:trHeight w:val="340"/>
          <w:jc w:val="center"/>
        </w:trPr>
        <w:tc>
          <w:tcPr>
            <w:tcW w:w="727" w:type="pct"/>
            <w:vMerge/>
            <w:tcBorders>
              <w:top w:val="single" w:sz="4" w:space="0" w:color="auto"/>
              <w:left w:val="single" w:sz="4" w:space="0" w:color="auto"/>
              <w:bottom w:val="single" w:sz="4" w:space="0" w:color="auto"/>
              <w:tl2br w:val="nil"/>
              <w:tr2bl w:val="nil"/>
            </w:tcBorders>
            <w:vAlign w:val="center"/>
          </w:tcPr>
          <w:p w14:paraId="4AC4D637" w14:textId="77777777" w:rsidR="00D12939" w:rsidRDefault="00D12939">
            <w:pPr>
              <w:pStyle w:val="affffd"/>
              <w:spacing w:line="240" w:lineRule="auto"/>
              <w:rPr>
                <w:rFonts w:hAnsi="Times New Roman"/>
              </w:rPr>
            </w:pPr>
          </w:p>
        </w:tc>
        <w:tc>
          <w:tcPr>
            <w:tcW w:w="750" w:type="pct"/>
            <w:vMerge/>
            <w:tcBorders>
              <w:bottom w:val="single" w:sz="4" w:space="0" w:color="auto"/>
              <w:tl2br w:val="nil"/>
              <w:tr2bl w:val="nil"/>
            </w:tcBorders>
            <w:vAlign w:val="center"/>
          </w:tcPr>
          <w:p w14:paraId="7C5ACE06" w14:textId="77777777" w:rsidR="00D12939" w:rsidRDefault="00D12939">
            <w:pPr>
              <w:pStyle w:val="affffd"/>
              <w:spacing w:line="240" w:lineRule="auto"/>
              <w:rPr>
                <w:rFonts w:hAnsi="Times New Roman"/>
              </w:rPr>
            </w:pPr>
          </w:p>
        </w:tc>
        <w:tc>
          <w:tcPr>
            <w:tcW w:w="1243" w:type="pct"/>
            <w:tcBorders>
              <w:top w:val="single" w:sz="4" w:space="0" w:color="auto"/>
              <w:bottom w:val="single" w:sz="4" w:space="0" w:color="auto"/>
              <w:tl2br w:val="nil"/>
              <w:tr2bl w:val="nil"/>
            </w:tcBorders>
            <w:vAlign w:val="center"/>
          </w:tcPr>
          <w:p w14:paraId="429EB869"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填埋气收集燃烧系统（火炬燃烧）</w:t>
            </w:r>
          </w:p>
        </w:tc>
        <w:tc>
          <w:tcPr>
            <w:tcW w:w="504" w:type="pct"/>
            <w:tcBorders>
              <w:top w:val="single" w:sz="4" w:space="0" w:color="auto"/>
              <w:bottom w:val="single" w:sz="4" w:space="0" w:color="auto"/>
              <w:tl2br w:val="nil"/>
              <w:tr2bl w:val="nil"/>
            </w:tcBorders>
            <w:vAlign w:val="center"/>
          </w:tcPr>
          <w:p w14:paraId="5E157447"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1</w:t>
            </w:r>
          </w:p>
        </w:tc>
        <w:tc>
          <w:tcPr>
            <w:tcW w:w="503" w:type="pct"/>
            <w:tcBorders>
              <w:top w:val="single" w:sz="4" w:space="0" w:color="auto"/>
              <w:bottom w:val="single" w:sz="4" w:space="0" w:color="auto"/>
              <w:tl2br w:val="nil"/>
              <w:tr2bl w:val="nil"/>
            </w:tcBorders>
            <w:vAlign w:val="center"/>
          </w:tcPr>
          <w:p w14:paraId="781AA35A"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套</w:t>
            </w:r>
          </w:p>
        </w:tc>
        <w:tc>
          <w:tcPr>
            <w:tcW w:w="1273" w:type="pct"/>
            <w:vMerge/>
            <w:tcBorders>
              <w:right w:val="single" w:sz="4" w:space="0" w:color="auto"/>
              <w:tl2br w:val="nil"/>
              <w:tr2bl w:val="nil"/>
            </w:tcBorders>
            <w:vAlign w:val="center"/>
          </w:tcPr>
          <w:p w14:paraId="30F9B28D" w14:textId="77777777" w:rsidR="00D12939" w:rsidRDefault="00D12939">
            <w:pPr>
              <w:pStyle w:val="affffd"/>
              <w:spacing w:line="240" w:lineRule="auto"/>
              <w:rPr>
                <w:rFonts w:hAnsi="Times New Roman"/>
              </w:rPr>
            </w:pPr>
          </w:p>
        </w:tc>
      </w:tr>
      <w:tr w:rsidR="00D12939" w14:paraId="645C7CA2" w14:textId="77777777">
        <w:trPr>
          <w:trHeight w:val="340"/>
          <w:jc w:val="center"/>
        </w:trPr>
        <w:tc>
          <w:tcPr>
            <w:tcW w:w="727" w:type="pct"/>
            <w:vMerge/>
            <w:tcBorders>
              <w:top w:val="single" w:sz="4" w:space="0" w:color="auto"/>
              <w:left w:val="single" w:sz="4" w:space="0" w:color="auto"/>
              <w:bottom w:val="single" w:sz="4" w:space="0" w:color="auto"/>
              <w:tl2br w:val="nil"/>
              <w:tr2bl w:val="nil"/>
            </w:tcBorders>
            <w:vAlign w:val="center"/>
          </w:tcPr>
          <w:p w14:paraId="195D084D" w14:textId="77777777" w:rsidR="00D12939" w:rsidRDefault="00D12939">
            <w:pPr>
              <w:pStyle w:val="affffd"/>
              <w:spacing w:line="240" w:lineRule="auto"/>
              <w:rPr>
                <w:rFonts w:hAnsi="Times New Roman"/>
              </w:rPr>
            </w:pPr>
          </w:p>
        </w:tc>
        <w:tc>
          <w:tcPr>
            <w:tcW w:w="750" w:type="pct"/>
            <w:tcBorders>
              <w:top w:val="single" w:sz="4" w:space="0" w:color="auto"/>
              <w:bottom w:val="single" w:sz="4" w:space="0" w:color="auto"/>
              <w:tl2br w:val="nil"/>
              <w:tr2bl w:val="nil"/>
            </w:tcBorders>
            <w:vAlign w:val="center"/>
          </w:tcPr>
          <w:p w14:paraId="21143556" w14:textId="77777777" w:rsidR="00D12939" w:rsidRDefault="004F47F5">
            <w:pPr>
              <w:pStyle w:val="affffd"/>
              <w:spacing w:line="240" w:lineRule="auto"/>
              <w:rPr>
                <w:rFonts w:hAnsi="Times New Roman"/>
              </w:rPr>
            </w:pPr>
            <w:r>
              <w:rPr>
                <w:rFonts w:ascii="Times New Roman" w:eastAsia="宋体" w:hAnsi="Times New Roman" w:cs="Times New Roman"/>
              </w:rPr>
              <w:t>渗滤液收集池恶臭</w:t>
            </w:r>
          </w:p>
        </w:tc>
        <w:tc>
          <w:tcPr>
            <w:tcW w:w="1243" w:type="pct"/>
            <w:tcBorders>
              <w:top w:val="single" w:sz="4" w:space="0" w:color="auto"/>
              <w:bottom w:val="single" w:sz="4" w:space="0" w:color="auto"/>
              <w:tl2br w:val="nil"/>
              <w:tr2bl w:val="nil"/>
            </w:tcBorders>
            <w:vAlign w:val="center"/>
          </w:tcPr>
          <w:p w14:paraId="1F4EE309" w14:textId="77777777" w:rsidR="00D12939" w:rsidRDefault="004F47F5">
            <w:pPr>
              <w:pStyle w:val="affffd"/>
              <w:spacing w:line="240" w:lineRule="auto"/>
              <w:rPr>
                <w:rFonts w:hAnsi="Times New Roman"/>
              </w:rPr>
            </w:pPr>
            <w:r>
              <w:rPr>
                <w:rStyle w:val="1f8"/>
                <w:rFonts w:ascii="Times New Roman" w:eastAsia="宋体" w:hAnsi="Times New Roman" w:cs="Times New Roman"/>
              </w:rPr>
              <w:t>调节池加盖密封，喷洒除臭剂</w:t>
            </w:r>
          </w:p>
        </w:tc>
        <w:tc>
          <w:tcPr>
            <w:tcW w:w="504" w:type="pct"/>
            <w:tcBorders>
              <w:top w:val="single" w:sz="4" w:space="0" w:color="auto"/>
              <w:bottom w:val="single" w:sz="4" w:space="0" w:color="auto"/>
              <w:tl2br w:val="nil"/>
              <w:tr2bl w:val="nil"/>
            </w:tcBorders>
            <w:vAlign w:val="center"/>
          </w:tcPr>
          <w:p w14:paraId="30688BFD" w14:textId="77777777" w:rsidR="00D12939" w:rsidRDefault="004F47F5">
            <w:pPr>
              <w:pStyle w:val="affffd"/>
              <w:spacing w:line="240" w:lineRule="auto"/>
              <w:rPr>
                <w:rFonts w:hAnsi="Times New Roman"/>
              </w:rPr>
            </w:pPr>
            <w:r>
              <w:rPr>
                <w:rFonts w:ascii="Times New Roman" w:eastAsia="宋体" w:hAnsi="Times New Roman" w:cs="Times New Roman"/>
              </w:rPr>
              <w:t>1</w:t>
            </w:r>
          </w:p>
        </w:tc>
        <w:tc>
          <w:tcPr>
            <w:tcW w:w="503" w:type="pct"/>
            <w:tcBorders>
              <w:top w:val="single" w:sz="4" w:space="0" w:color="auto"/>
              <w:bottom w:val="single" w:sz="4" w:space="0" w:color="auto"/>
              <w:tl2br w:val="nil"/>
              <w:tr2bl w:val="nil"/>
            </w:tcBorders>
            <w:vAlign w:val="center"/>
          </w:tcPr>
          <w:p w14:paraId="35CF39D5" w14:textId="77777777" w:rsidR="00D12939" w:rsidRDefault="004F47F5">
            <w:pPr>
              <w:pStyle w:val="affffd"/>
              <w:spacing w:line="240" w:lineRule="auto"/>
              <w:rPr>
                <w:rFonts w:hAnsi="Times New Roman"/>
              </w:rPr>
            </w:pPr>
            <w:r>
              <w:rPr>
                <w:rFonts w:ascii="Times New Roman" w:eastAsia="宋体" w:hAnsi="Times New Roman" w:cs="Times New Roman"/>
              </w:rPr>
              <w:t>套</w:t>
            </w:r>
          </w:p>
        </w:tc>
        <w:tc>
          <w:tcPr>
            <w:tcW w:w="1273" w:type="pct"/>
            <w:vMerge/>
            <w:tcBorders>
              <w:right w:val="single" w:sz="4" w:space="0" w:color="auto"/>
              <w:tl2br w:val="nil"/>
              <w:tr2bl w:val="nil"/>
            </w:tcBorders>
            <w:vAlign w:val="center"/>
          </w:tcPr>
          <w:p w14:paraId="69EA80CF" w14:textId="77777777" w:rsidR="00D12939" w:rsidRDefault="00D12939">
            <w:pPr>
              <w:pStyle w:val="affffd"/>
              <w:spacing w:line="240" w:lineRule="auto"/>
              <w:rPr>
                <w:rFonts w:hAnsi="Times New Roman"/>
              </w:rPr>
            </w:pPr>
          </w:p>
        </w:tc>
      </w:tr>
      <w:tr w:rsidR="00D12939" w14:paraId="0707DFDB" w14:textId="77777777">
        <w:trPr>
          <w:trHeight w:val="340"/>
          <w:jc w:val="center"/>
        </w:trPr>
        <w:tc>
          <w:tcPr>
            <w:tcW w:w="727" w:type="pct"/>
            <w:vMerge/>
            <w:tcBorders>
              <w:top w:val="single" w:sz="4" w:space="0" w:color="auto"/>
              <w:left w:val="single" w:sz="4" w:space="0" w:color="auto"/>
              <w:bottom w:val="single" w:sz="4" w:space="0" w:color="auto"/>
              <w:tl2br w:val="nil"/>
              <w:tr2bl w:val="nil"/>
            </w:tcBorders>
            <w:vAlign w:val="center"/>
          </w:tcPr>
          <w:p w14:paraId="4B264138" w14:textId="77777777" w:rsidR="00D12939" w:rsidRDefault="00D12939">
            <w:pPr>
              <w:pStyle w:val="affffd"/>
              <w:spacing w:line="240" w:lineRule="auto"/>
              <w:rPr>
                <w:rFonts w:hAnsi="Times New Roman"/>
              </w:rPr>
            </w:pPr>
          </w:p>
        </w:tc>
        <w:tc>
          <w:tcPr>
            <w:tcW w:w="750" w:type="pct"/>
            <w:tcBorders>
              <w:top w:val="single" w:sz="4" w:space="0" w:color="auto"/>
              <w:bottom w:val="single" w:sz="4" w:space="0" w:color="auto"/>
              <w:tl2br w:val="nil"/>
              <w:tr2bl w:val="nil"/>
            </w:tcBorders>
            <w:vAlign w:val="center"/>
          </w:tcPr>
          <w:p w14:paraId="15A0F08A"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扬尘</w:t>
            </w:r>
          </w:p>
        </w:tc>
        <w:tc>
          <w:tcPr>
            <w:tcW w:w="1243" w:type="pct"/>
            <w:tcBorders>
              <w:top w:val="single" w:sz="4" w:space="0" w:color="auto"/>
              <w:bottom w:val="single" w:sz="4" w:space="0" w:color="auto"/>
              <w:tl2br w:val="nil"/>
              <w:tr2bl w:val="nil"/>
            </w:tcBorders>
            <w:vAlign w:val="center"/>
          </w:tcPr>
          <w:p w14:paraId="5A38A6E3"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机械推平、压实、覆土及运输车辆等产生的扬尘采用洒水抑尘，设置防护网，封场后表面及时绿化</w:t>
            </w:r>
          </w:p>
        </w:tc>
        <w:tc>
          <w:tcPr>
            <w:tcW w:w="504" w:type="pct"/>
            <w:tcBorders>
              <w:top w:val="single" w:sz="4" w:space="0" w:color="auto"/>
              <w:bottom w:val="single" w:sz="4" w:space="0" w:color="auto"/>
              <w:tl2br w:val="nil"/>
              <w:tr2bl w:val="nil"/>
            </w:tcBorders>
            <w:vAlign w:val="center"/>
          </w:tcPr>
          <w:p w14:paraId="4A673A9D"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2</w:t>
            </w:r>
          </w:p>
        </w:tc>
        <w:tc>
          <w:tcPr>
            <w:tcW w:w="503" w:type="pct"/>
            <w:tcBorders>
              <w:top w:val="single" w:sz="4" w:space="0" w:color="auto"/>
              <w:bottom w:val="single" w:sz="4" w:space="0" w:color="auto"/>
              <w:tl2br w:val="nil"/>
              <w:tr2bl w:val="nil"/>
            </w:tcBorders>
            <w:vAlign w:val="center"/>
          </w:tcPr>
          <w:p w14:paraId="7540854E"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套</w:t>
            </w:r>
          </w:p>
        </w:tc>
        <w:tc>
          <w:tcPr>
            <w:tcW w:w="1273" w:type="pct"/>
            <w:vMerge/>
            <w:tcBorders>
              <w:bottom w:val="single" w:sz="4" w:space="0" w:color="auto"/>
              <w:right w:val="single" w:sz="4" w:space="0" w:color="auto"/>
              <w:tl2br w:val="nil"/>
              <w:tr2bl w:val="nil"/>
            </w:tcBorders>
            <w:vAlign w:val="center"/>
          </w:tcPr>
          <w:p w14:paraId="4746ED3C" w14:textId="77777777" w:rsidR="00D12939" w:rsidRDefault="00D12939">
            <w:pPr>
              <w:pStyle w:val="affffd"/>
              <w:spacing w:line="240" w:lineRule="auto"/>
              <w:rPr>
                <w:rFonts w:hAnsi="Times New Roman"/>
              </w:rPr>
            </w:pPr>
          </w:p>
        </w:tc>
      </w:tr>
      <w:tr w:rsidR="00D12939" w14:paraId="7E016400" w14:textId="77777777">
        <w:trPr>
          <w:trHeight w:val="340"/>
          <w:jc w:val="center"/>
        </w:trPr>
        <w:tc>
          <w:tcPr>
            <w:tcW w:w="727" w:type="pct"/>
            <w:vMerge w:val="restart"/>
            <w:tcBorders>
              <w:top w:val="single" w:sz="4" w:space="0" w:color="auto"/>
              <w:left w:val="single" w:sz="4" w:space="0" w:color="auto"/>
              <w:tl2br w:val="nil"/>
              <w:tr2bl w:val="nil"/>
            </w:tcBorders>
            <w:vAlign w:val="center"/>
          </w:tcPr>
          <w:p w14:paraId="54238BDB" w14:textId="77777777" w:rsidR="00D12939" w:rsidRDefault="004F47F5">
            <w:pPr>
              <w:pStyle w:val="affffd"/>
              <w:spacing w:line="240" w:lineRule="auto"/>
              <w:rPr>
                <w:rFonts w:hAnsi="Times New Roman"/>
              </w:rPr>
            </w:pPr>
            <w:r>
              <w:rPr>
                <w:rFonts w:ascii="Times New Roman" w:eastAsia="宋体" w:hAnsi="Times New Roman" w:cs="Times New Roman"/>
              </w:rPr>
              <w:t>废水</w:t>
            </w:r>
          </w:p>
          <w:p w14:paraId="72B92C58" w14:textId="77777777" w:rsidR="00D12939" w:rsidRDefault="004F47F5">
            <w:pPr>
              <w:pStyle w:val="affffd"/>
              <w:spacing w:line="240" w:lineRule="auto"/>
              <w:rPr>
                <w:rFonts w:hAnsi="Times New Roman"/>
              </w:rPr>
            </w:pPr>
            <w:r>
              <w:rPr>
                <w:rFonts w:ascii="Times New Roman" w:eastAsia="宋体" w:hAnsi="Times New Roman" w:cs="Times New Roman"/>
              </w:rPr>
              <w:t>处理</w:t>
            </w:r>
          </w:p>
        </w:tc>
        <w:tc>
          <w:tcPr>
            <w:tcW w:w="750" w:type="pct"/>
            <w:vMerge w:val="restart"/>
            <w:tcBorders>
              <w:top w:val="single" w:sz="4" w:space="0" w:color="auto"/>
              <w:tl2br w:val="nil"/>
              <w:tr2bl w:val="nil"/>
            </w:tcBorders>
            <w:vAlign w:val="center"/>
          </w:tcPr>
          <w:p w14:paraId="44E7195D"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渗滤液</w:t>
            </w:r>
          </w:p>
        </w:tc>
        <w:tc>
          <w:tcPr>
            <w:tcW w:w="1243" w:type="pct"/>
            <w:tcBorders>
              <w:top w:val="single" w:sz="4" w:space="0" w:color="auto"/>
              <w:bottom w:val="single" w:sz="4" w:space="0" w:color="auto"/>
              <w:tl2br w:val="nil"/>
              <w:tr2bl w:val="nil"/>
            </w:tcBorders>
            <w:vAlign w:val="center"/>
          </w:tcPr>
          <w:p w14:paraId="70C4E61D"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新建一座渗滤液处理车间，处理规模为</w:t>
            </w:r>
            <w:r>
              <w:rPr>
                <w:rStyle w:val="1f8"/>
                <w:rFonts w:ascii="Times New Roman" w:eastAsia="宋体" w:hAnsi="Times New Roman" w:cs="Times New Roman"/>
              </w:rPr>
              <w:t>65t/d</w:t>
            </w:r>
          </w:p>
        </w:tc>
        <w:tc>
          <w:tcPr>
            <w:tcW w:w="504" w:type="pct"/>
            <w:tcBorders>
              <w:top w:val="single" w:sz="4" w:space="0" w:color="auto"/>
              <w:bottom w:val="single" w:sz="4" w:space="0" w:color="auto"/>
              <w:tl2br w:val="nil"/>
              <w:tr2bl w:val="nil"/>
            </w:tcBorders>
            <w:vAlign w:val="center"/>
          </w:tcPr>
          <w:p w14:paraId="4CBCE4DD" w14:textId="77777777" w:rsidR="00D12939" w:rsidRDefault="004F47F5">
            <w:pPr>
              <w:pStyle w:val="affffd"/>
              <w:spacing w:line="240" w:lineRule="auto"/>
              <w:rPr>
                <w:rFonts w:hAnsi="Times New Roman"/>
              </w:rPr>
            </w:pPr>
            <w:r>
              <w:rPr>
                <w:rFonts w:ascii="Times New Roman" w:eastAsia="宋体" w:hAnsi="Times New Roman" w:cs="Times New Roman"/>
              </w:rPr>
              <w:t>1</w:t>
            </w:r>
          </w:p>
        </w:tc>
        <w:tc>
          <w:tcPr>
            <w:tcW w:w="503" w:type="pct"/>
            <w:tcBorders>
              <w:top w:val="single" w:sz="4" w:space="0" w:color="auto"/>
              <w:bottom w:val="single" w:sz="4" w:space="0" w:color="auto"/>
              <w:tl2br w:val="nil"/>
              <w:tr2bl w:val="nil"/>
            </w:tcBorders>
            <w:vAlign w:val="center"/>
          </w:tcPr>
          <w:p w14:paraId="05A4D5B8" w14:textId="77777777" w:rsidR="00D12939" w:rsidRDefault="004F47F5">
            <w:pPr>
              <w:pStyle w:val="affffd"/>
              <w:spacing w:line="240" w:lineRule="auto"/>
              <w:rPr>
                <w:rFonts w:hAnsi="Times New Roman"/>
              </w:rPr>
            </w:pPr>
            <w:r>
              <w:rPr>
                <w:rFonts w:ascii="Times New Roman" w:eastAsia="宋体" w:hAnsi="Times New Roman" w:cs="Times New Roman"/>
              </w:rPr>
              <w:t>座</w:t>
            </w:r>
          </w:p>
        </w:tc>
        <w:tc>
          <w:tcPr>
            <w:tcW w:w="1273" w:type="pct"/>
            <w:vMerge w:val="restart"/>
            <w:tcBorders>
              <w:top w:val="single" w:sz="4" w:space="0" w:color="auto"/>
              <w:right w:val="single" w:sz="4" w:space="0" w:color="auto"/>
              <w:tl2br w:val="nil"/>
              <w:tr2bl w:val="nil"/>
            </w:tcBorders>
            <w:vAlign w:val="center"/>
          </w:tcPr>
          <w:p w14:paraId="1FA7A8BF" w14:textId="44D5BE6B" w:rsidR="00D12939" w:rsidRDefault="004F47F5" w:rsidP="00C27509">
            <w:pPr>
              <w:pStyle w:val="affffd"/>
              <w:spacing w:line="240" w:lineRule="auto"/>
              <w:rPr>
                <w:rFonts w:hAnsi="Times New Roman"/>
              </w:rPr>
            </w:pPr>
            <w:r>
              <w:rPr>
                <w:rFonts w:ascii="Times New Roman" w:eastAsia="宋体" w:hAnsi="Times New Roman" w:cs="Times New Roman"/>
              </w:rPr>
              <w:t>《生活垃圾填埋场污染控制标准》（</w:t>
            </w:r>
            <w:r>
              <w:rPr>
                <w:rFonts w:ascii="Times New Roman" w:eastAsia="宋体" w:hAnsi="Times New Roman" w:cs="Times New Roman"/>
              </w:rPr>
              <w:t>GB16889-2008</w:t>
            </w:r>
            <w:r>
              <w:rPr>
                <w:rFonts w:ascii="Times New Roman" w:eastAsia="宋体" w:hAnsi="Times New Roman" w:cs="Times New Roman"/>
              </w:rPr>
              <w:t>）</w:t>
            </w:r>
          </w:p>
        </w:tc>
      </w:tr>
      <w:tr w:rsidR="00D12939" w14:paraId="3AA7DD8F" w14:textId="77777777">
        <w:trPr>
          <w:trHeight w:val="340"/>
          <w:jc w:val="center"/>
        </w:trPr>
        <w:tc>
          <w:tcPr>
            <w:tcW w:w="727" w:type="pct"/>
            <w:vMerge/>
            <w:tcBorders>
              <w:left w:val="single" w:sz="4" w:space="0" w:color="auto"/>
              <w:tl2br w:val="nil"/>
              <w:tr2bl w:val="nil"/>
            </w:tcBorders>
            <w:vAlign w:val="center"/>
          </w:tcPr>
          <w:p w14:paraId="1666522F" w14:textId="77777777" w:rsidR="00D12939" w:rsidRDefault="00D12939">
            <w:pPr>
              <w:pStyle w:val="affffd"/>
              <w:spacing w:line="240" w:lineRule="auto"/>
              <w:rPr>
                <w:rFonts w:hAnsi="Times New Roman"/>
              </w:rPr>
            </w:pPr>
          </w:p>
        </w:tc>
        <w:tc>
          <w:tcPr>
            <w:tcW w:w="750" w:type="pct"/>
            <w:vMerge/>
            <w:tcBorders>
              <w:tl2br w:val="nil"/>
              <w:tr2bl w:val="nil"/>
            </w:tcBorders>
            <w:vAlign w:val="center"/>
          </w:tcPr>
          <w:p w14:paraId="6E6B840D" w14:textId="77777777" w:rsidR="00D12939" w:rsidRDefault="00D12939">
            <w:pPr>
              <w:jc w:val="center"/>
              <w:rPr>
                <w:rStyle w:val="1f8"/>
                <w:rFonts w:ascii="Times New Roman" w:eastAsia="宋体" w:hAnsi="Times New Roman" w:cs="Times New Roman"/>
              </w:rPr>
            </w:pPr>
          </w:p>
        </w:tc>
        <w:tc>
          <w:tcPr>
            <w:tcW w:w="1243" w:type="pct"/>
            <w:tcBorders>
              <w:top w:val="single" w:sz="4" w:space="0" w:color="auto"/>
              <w:bottom w:val="single" w:sz="4" w:space="0" w:color="auto"/>
              <w:tl2br w:val="nil"/>
              <w:tr2bl w:val="nil"/>
            </w:tcBorders>
            <w:vAlign w:val="center"/>
          </w:tcPr>
          <w:p w14:paraId="2DB5E2A8"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尾水采用槽罐车运输方式，运至柞水县污水处理厂</w:t>
            </w:r>
          </w:p>
        </w:tc>
        <w:tc>
          <w:tcPr>
            <w:tcW w:w="504" w:type="pct"/>
            <w:tcBorders>
              <w:top w:val="single" w:sz="4" w:space="0" w:color="auto"/>
              <w:bottom w:val="single" w:sz="4" w:space="0" w:color="auto"/>
              <w:tl2br w:val="nil"/>
              <w:tr2bl w:val="nil"/>
            </w:tcBorders>
            <w:vAlign w:val="center"/>
          </w:tcPr>
          <w:p w14:paraId="35C50B4B"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1</w:t>
            </w:r>
          </w:p>
        </w:tc>
        <w:tc>
          <w:tcPr>
            <w:tcW w:w="503" w:type="pct"/>
            <w:tcBorders>
              <w:top w:val="single" w:sz="4" w:space="0" w:color="auto"/>
              <w:bottom w:val="single" w:sz="4" w:space="0" w:color="auto"/>
              <w:tl2br w:val="nil"/>
              <w:tr2bl w:val="nil"/>
            </w:tcBorders>
            <w:vAlign w:val="center"/>
          </w:tcPr>
          <w:p w14:paraId="634F01ED"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套</w:t>
            </w:r>
          </w:p>
        </w:tc>
        <w:tc>
          <w:tcPr>
            <w:tcW w:w="1273" w:type="pct"/>
            <w:vMerge/>
            <w:tcBorders>
              <w:right w:val="single" w:sz="4" w:space="0" w:color="auto"/>
              <w:tl2br w:val="nil"/>
              <w:tr2bl w:val="nil"/>
            </w:tcBorders>
            <w:vAlign w:val="center"/>
          </w:tcPr>
          <w:p w14:paraId="6909DE73" w14:textId="77777777" w:rsidR="00D12939" w:rsidRDefault="00D12939">
            <w:pPr>
              <w:pStyle w:val="affffd"/>
              <w:spacing w:line="240" w:lineRule="auto"/>
              <w:rPr>
                <w:rFonts w:hAnsi="Times New Roman"/>
              </w:rPr>
            </w:pPr>
          </w:p>
        </w:tc>
      </w:tr>
      <w:tr w:rsidR="00D12939" w14:paraId="5FA1A1BC" w14:textId="77777777">
        <w:trPr>
          <w:trHeight w:val="340"/>
          <w:jc w:val="center"/>
        </w:trPr>
        <w:tc>
          <w:tcPr>
            <w:tcW w:w="727" w:type="pct"/>
            <w:vMerge/>
            <w:tcBorders>
              <w:left w:val="single" w:sz="4" w:space="0" w:color="auto"/>
              <w:tl2br w:val="nil"/>
              <w:tr2bl w:val="nil"/>
            </w:tcBorders>
            <w:vAlign w:val="center"/>
          </w:tcPr>
          <w:p w14:paraId="54EB937C" w14:textId="77777777" w:rsidR="00D12939" w:rsidRDefault="00D12939">
            <w:pPr>
              <w:pStyle w:val="affffd"/>
              <w:spacing w:line="240" w:lineRule="auto"/>
              <w:rPr>
                <w:rFonts w:hAnsi="Times New Roman"/>
              </w:rPr>
            </w:pPr>
          </w:p>
        </w:tc>
        <w:tc>
          <w:tcPr>
            <w:tcW w:w="750" w:type="pct"/>
            <w:tcBorders>
              <w:bottom w:val="single" w:sz="4" w:space="0" w:color="auto"/>
              <w:tl2br w:val="nil"/>
              <w:tr2bl w:val="nil"/>
            </w:tcBorders>
            <w:vAlign w:val="center"/>
          </w:tcPr>
          <w:p w14:paraId="6C85E266"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生活污水</w:t>
            </w:r>
          </w:p>
        </w:tc>
        <w:tc>
          <w:tcPr>
            <w:tcW w:w="1243" w:type="pct"/>
            <w:tcBorders>
              <w:top w:val="single" w:sz="4" w:space="0" w:color="auto"/>
              <w:bottom w:val="single" w:sz="4" w:space="0" w:color="auto"/>
              <w:tl2br w:val="nil"/>
              <w:tr2bl w:val="nil"/>
            </w:tcBorders>
            <w:vAlign w:val="center"/>
          </w:tcPr>
          <w:p w14:paraId="674B418A"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生活污水经化粪池处理后排至填埋场调节池内，进入渗沥液处理站处理</w:t>
            </w:r>
          </w:p>
        </w:tc>
        <w:tc>
          <w:tcPr>
            <w:tcW w:w="504" w:type="pct"/>
            <w:tcBorders>
              <w:top w:val="single" w:sz="4" w:space="0" w:color="auto"/>
              <w:bottom w:val="single" w:sz="4" w:space="0" w:color="auto"/>
              <w:tl2br w:val="nil"/>
              <w:tr2bl w:val="nil"/>
            </w:tcBorders>
            <w:vAlign w:val="center"/>
          </w:tcPr>
          <w:p w14:paraId="4D1E26EB"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w:t>
            </w:r>
          </w:p>
        </w:tc>
        <w:tc>
          <w:tcPr>
            <w:tcW w:w="503" w:type="pct"/>
            <w:tcBorders>
              <w:top w:val="single" w:sz="4" w:space="0" w:color="auto"/>
              <w:bottom w:val="single" w:sz="4" w:space="0" w:color="auto"/>
              <w:tl2br w:val="nil"/>
              <w:tr2bl w:val="nil"/>
            </w:tcBorders>
            <w:vAlign w:val="center"/>
          </w:tcPr>
          <w:p w14:paraId="18C7F2C5"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w:t>
            </w:r>
          </w:p>
        </w:tc>
        <w:tc>
          <w:tcPr>
            <w:tcW w:w="1273" w:type="pct"/>
            <w:vMerge/>
            <w:tcBorders>
              <w:right w:val="single" w:sz="4" w:space="0" w:color="auto"/>
              <w:tl2br w:val="nil"/>
              <w:tr2bl w:val="nil"/>
            </w:tcBorders>
            <w:vAlign w:val="center"/>
          </w:tcPr>
          <w:p w14:paraId="49B92A89" w14:textId="77777777" w:rsidR="00D12939" w:rsidRDefault="00D12939">
            <w:pPr>
              <w:pStyle w:val="affffd"/>
              <w:spacing w:line="240" w:lineRule="auto"/>
              <w:rPr>
                <w:rFonts w:hAnsi="Times New Roman"/>
              </w:rPr>
            </w:pPr>
          </w:p>
        </w:tc>
      </w:tr>
      <w:tr w:rsidR="00D12939" w14:paraId="092ABA00" w14:textId="77777777">
        <w:trPr>
          <w:trHeight w:val="340"/>
          <w:jc w:val="center"/>
        </w:trPr>
        <w:tc>
          <w:tcPr>
            <w:tcW w:w="727" w:type="pct"/>
            <w:vMerge/>
            <w:tcBorders>
              <w:left w:val="single" w:sz="4" w:space="0" w:color="auto"/>
              <w:tl2br w:val="nil"/>
              <w:tr2bl w:val="nil"/>
            </w:tcBorders>
            <w:vAlign w:val="center"/>
          </w:tcPr>
          <w:p w14:paraId="56C68C93" w14:textId="77777777" w:rsidR="00D12939" w:rsidRDefault="00D12939">
            <w:pPr>
              <w:pStyle w:val="affffd"/>
              <w:spacing w:line="240" w:lineRule="auto"/>
              <w:rPr>
                <w:rFonts w:hAnsi="Times New Roman"/>
              </w:rPr>
            </w:pPr>
          </w:p>
        </w:tc>
        <w:tc>
          <w:tcPr>
            <w:tcW w:w="750" w:type="pct"/>
            <w:tcBorders>
              <w:tl2br w:val="nil"/>
              <w:tr2bl w:val="nil"/>
            </w:tcBorders>
            <w:vAlign w:val="center"/>
          </w:tcPr>
          <w:p w14:paraId="1A0BD718"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反冲洗废水、渗滤液处理车间地面冲洗废水</w:t>
            </w:r>
          </w:p>
        </w:tc>
        <w:tc>
          <w:tcPr>
            <w:tcW w:w="1243" w:type="pct"/>
            <w:tcBorders>
              <w:top w:val="single" w:sz="4" w:space="0" w:color="auto"/>
              <w:bottom w:val="single" w:sz="4" w:space="0" w:color="auto"/>
              <w:tl2br w:val="nil"/>
              <w:tr2bl w:val="nil"/>
            </w:tcBorders>
            <w:vAlign w:val="center"/>
          </w:tcPr>
          <w:p w14:paraId="53477894"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进入渗沥液处理站处理</w:t>
            </w:r>
          </w:p>
        </w:tc>
        <w:tc>
          <w:tcPr>
            <w:tcW w:w="504" w:type="pct"/>
            <w:tcBorders>
              <w:top w:val="single" w:sz="4" w:space="0" w:color="auto"/>
              <w:bottom w:val="single" w:sz="4" w:space="0" w:color="auto"/>
              <w:tl2br w:val="nil"/>
              <w:tr2bl w:val="nil"/>
            </w:tcBorders>
            <w:vAlign w:val="center"/>
          </w:tcPr>
          <w:p w14:paraId="77E99CD4"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w:t>
            </w:r>
          </w:p>
        </w:tc>
        <w:tc>
          <w:tcPr>
            <w:tcW w:w="503" w:type="pct"/>
            <w:tcBorders>
              <w:top w:val="single" w:sz="4" w:space="0" w:color="auto"/>
              <w:bottom w:val="single" w:sz="4" w:space="0" w:color="auto"/>
              <w:tl2br w:val="nil"/>
              <w:tr2bl w:val="nil"/>
            </w:tcBorders>
            <w:vAlign w:val="center"/>
          </w:tcPr>
          <w:p w14:paraId="583273C4"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w:t>
            </w:r>
          </w:p>
        </w:tc>
        <w:tc>
          <w:tcPr>
            <w:tcW w:w="1273" w:type="pct"/>
            <w:vMerge/>
            <w:tcBorders>
              <w:right w:val="single" w:sz="4" w:space="0" w:color="auto"/>
              <w:tl2br w:val="nil"/>
              <w:tr2bl w:val="nil"/>
            </w:tcBorders>
            <w:vAlign w:val="center"/>
          </w:tcPr>
          <w:p w14:paraId="228FFEB2" w14:textId="77777777" w:rsidR="00D12939" w:rsidRDefault="00D12939">
            <w:pPr>
              <w:pStyle w:val="affffd"/>
              <w:spacing w:line="240" w:lineRule="auto"/>
              <w:rPr>
                <w:rFonts w:hAnsi="Times New Roman"/>
              </w:rPr>
            </w:pPr>
          </w:p>
        </w:tc>
      </w:tr>
      <w:tr w:rsidR="00D12939" w14:paraId="4CEEEAFB" w14:textId="77777777">
        <w:trPr>
          <w:trHeight w:val="340"/>
          <w:jc w:val="center"/>
        </w:trPr>
        <w:tc>
          <w:tcPr>
            <w:tcW w:w="727" w:type="pct"/>
            <w:vMerge/>
            <w:tcBorders>
              <w:left w:val="single" w:sz="4" w:space="0" w:color="auto"/>
              <w:tl2br w:val="nil"/>
              <w:tr2bl w:val="nil"/>
            </w:tcBorders>
            <w:vAlign w:val="center"/>
          </w:tcPr>
          <w:p w14:paraId="472E427A" w14:textId="77777777" w:rsidR="00D12939" w:rsidRDefault="00D12939">
            <w:pPr>
              <w:pStyle w:val="affffd"/>
              <w:spacing w:line="240" w:lineRule="auto"/>
              <w:rPr>
                <w:rFonts w:hAnsi="Times New Roman"/>
              </w:rPr>
            </w:pPr>
          </w:p>
        </w:tc>
        <w:tc>
          <w:tcPr>
            <w:tcW w:w="750" w:type="pct"/>
            <w:tcBorders>
              <w:bottom w:val="single" w:sz="4" w:space="0" w:color="auto"/>
              <w:tl2br w:val="nil"/>
              <w:tr2bl w:val="nil"/>
            </w:tcBorders>
            <w:vAlign w:val="center"/>
          </w:tcPr>
          <w:p w14:paraId="54B9302A" w14:textId="77777777" w:rsidR="00D12939" w:rsidRDefault="004F47F5">
            <w:pPr>
              <w:jc w:val="center"/>
              <w:rPr>
                <w:rStyle w:val="1f8"/>
                <w:rFonts w:ascii="Times New Roman" w:eastAsia="宋体" w:hAnsi="Times New Roman" w:cs="Times New Roman"/>
              </w:rPr>
            </w:pPr>
            <w:r>
              <w:rPr>
                <w:rFonts w:ascii="Times New Roman" w:eastAsia="宋体" w:hAnsi="Times New Roman" w:cs="Times New Roman"/>
                <w:szCs w:val="21"/>
              </w:rPr>
              <w:t>洗车废水</w:t>
            </w:r>
          </w:p>
        </w:tc>
        <w:tc>
          <w:tcPr>
            <w:tcW w:w="1243" w:type="pct"/>
            <w:tcBorders>
              <w:top w:val="single" w:sz="4" w:space="0" w:color="auto"/>
              <w:bottom w:val="single" w:sz="4" w:space="0" w:color="auto"/>
              <w:tl2br w:val="nil"/>
              <w:tr2bl w:val="nil"/>
            </w:tcBorders>
            <w:vAlign w:val="center"/>
          </w:tcPr>
          <w:p w14:paraId="5F79A009"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项目洗车废水经自然沉淀处理后全部回用于填埋场洒水降尘</w:t>
            </w:r>
          </w:p>
        </w:tc>
        <w:tc>
          <w:tcPr>
            <w:tcW w:w="504" w:type="pct"/>
            <w:tcBorders>
              <w:top w:val="single" w:sz="4" w:space="0" w:color="auto"/>
              <w:bottom w:val="single" w:sz="4" w:space="0" w:color="auto"/>
              <w:tl2br w:val="nil"/>
              <w:tr2bl w:val="nil"/>
            </w:tcBorders>
            <w:vAlign w:val="center"/>
          </w:tcPr>
          <w:p w14:paraId="57FD5EDF"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w:t>
            </w:r>
          </w:p>
        </w:tc>
        <w:tc>
          <w:tcPr>
            <w:tcW w:w="503" w:type="pct"/>
            <w:tcBorders>
              <w:top w:val="single" w:sz="4" w:space="0" w:color="auto"/>
              <w:bottom w:val="single" w:sz="4" w:space="0" w:color="auto"/>
              <w:tl2br w:val="nil"/>
              <w:tr2bl w:val="nil"/>
            </w:tcBorders>
            <w:vAlign w:val="center"/>
          </w:tcPr>
          <w:p w14:paraId="2E2D768A"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w:t>
            </w:r>
          </w:p>
        </w:tc>
        <w:tc>
          <w:tcPr>
            <w:tcW w:w="1273" w:type="pct"/>
            <w:vMerge/>
            <w:tcBorders>
              <w:right w:val="single" w:sz="4" w:space="0" w:color="auto"/>
              <w:tl2br w:val="nil"/>
              <w:tr2bl w:val="nil"/>
            </w:tcBorders>
            <w:vAlign w:val="center"/>
          </w:tcPr>
          <w:p w14:paraId="21296AB2" w14:textId="77777777" w:rsidR="00D12939" w:rsidRDefault="00D12939">
            <w:pPr>
              <w:pStyle w:val="affffd"/>
              <w:spacing w:line="240" w:lineRule="auto"/>
              <w:rPr>
                <w:rFonts w:hAnsi="Times New Roman"/>
              </w:rPr>
            </w:pPr>
          </w:p>
        </w:tc>
      </w:tr>
      <w:tr w:rsidR="00D12939" w14:paraId="508B8B49" w14:textId="77777777">
        <w:trPr>
          <w:trHeight w:val="340"/>
          <w:jc w:val="center"/>
        </w:trPr>
        <w:tc>
          <w:tcPr>
            <w:tcW w:w="727" w:type="pct"/>
            <w:vMerge/>
            <w:tcBorders>
              <w:left w:val="single" w:sz="4" w:space="0" w:color="auto"/>
              <w:bottom w:val="single" w:sz="4" w:space="0" w:color="auto"/>
              <w:tl2br w:val="nil"/>
              <w:tr2bl w:val="nil"/>
            </w:tcBorders>
            <w:vAlign w:val="center"/>
          </w:tcPr>
          <w:p w14:paraId="04B9817E" w14:textId="77777777" w:rsidR="00D12939" w:rsidRDefault="00D12939">
            <w:pPr>
              <w:pStyle w:val="affffd"/>
              <w:spacing w:line="240" w:lineRule="auto"/>
              <w:rPr>
                <w:rFonts w:hAnsi="Times New Roman"/>
              </w:rPr>
            </w:pPr>
          </w:p>
        </w:tc>
        <w:tc>
          <w:tcPr>
            <w:tcW w:w="750" w:type="pct"/>
            <w:tcBorders>
              <w:bottom w:val="single" w:sz="4" w:space="0" w:color="auto"/>
              <w:tl2br w:val="nil"/>
              <w:tr2bl w:val="nil"/>
            </w:tcBorders>
            <w:vAlign w:val="center"/>
          </w:tcPr>
          <w:p w14:paraId="5BA97E3D"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地下水污染监测</w:t>
            </w:r>
          </w:p>
        </w:tc>
        <w:tc>
          <w:tcPr>
            <w:tcW w:w="1243" w:type="pct"/>
            <w:tcBorders>
              <w:top w:val="single" w:sz="4" w:space="0" w:color="auto"/>
              <w:bottom w:val="single" w:sz="4" w:space="0" w:color="auto"/>
              <w:tl2br w:val="nil"/>
              <w:tr2bl w:val="nil"/>
            </w:tcBorders>
            <w:vAlign w:val="center"/>
          </w:tcPr>
          <w:p w14:paraId="105CBE3C"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监测井的布设</w:t>
            </w:r>
          </w:p>
        </w:tc>
        <w:tc>
          <w:tcPr>
            <w:tcW w:w="504" w:type="pct"/>
            <w:tcBorders>
              <w:top w:val="single" w:sz="4" w:space="0" w:color="auto"/>
              <w:bottom w:val="single" w:sz="4" w:space="0" w:color="auto"/>
              <w:tl2br w:val="nil"/>
              <w:tr2bl w:val="nil"/>
            </w:tcBorders>
            <w:vAlign w:val="center"/>
          </w:tcPr>
          <w:p w14:paraId="50FAAFA1"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3</w:t>
            </w:r>
          </w:p>
        </w:tc>
        <w:tc>
          <w:tcPr>
            <w:tcW w:w="503" w:type="pct"/>
            <w:tcBorders>
              <w:top w:val="single" w:sz="4" w:space="0" w:color="auto"/>
              <w:bottom w:val="single" w:sz="4" w:space="0" w:color="auto"/>
              <w:tl2br w:val="nil"/>
              <w:tr2bl w:val="nil"/>
            </w:tcBorders>
            <w:vAlign w:val="center"/>
          </w:tcPr>
          <w:p w14:paraId="3C30974B" w14:textId="77777777" w:rsidR="00D12939" w:rsidRDefault="004F47F5">
            <w:pPr>
              <w:jc w:val="center"/>
              <w:rPr>
                <w:rStyle w:val="1f8"/>
                <w:rFonts w:ascii="Times New Roman" w:eastAsia="宋体" w:hAnsi="Times New Roman" w:cs="Times New Roman"/>
              </w:rPr>
            </w:pPr>
            <w:r>
              <w:rPr>
                <w:rStyle w:val="1f8"/>
                <w:rFonts w:ascii="Times New Roman" w:eastAsia="宋体" w:hAnsi="Times New Roman" w:cs="Times New Roman"/>
              </w:rPr>
              <w:t>眼</w:t>
            </w:r>
          </w:p>
        </w:tc>
        <w:tc>
          <w:tcPr>
            <w:tcW w:w="1273" w:type="pct"/>
            <w:vMerge/>
            <w:tcBorders>
              <w:bottom w:val="single" w:sz="4" w:space="0" w:color="auto"/>
              <w:right w:val="single" w:sz="4" w:space="0" w:color="auto"/>
              <w:tl2br w:val="nil"/>
              <w:tr2bl w:val="nil"/>
            </w:tcBorders>
            <w:vAlign w:val="center"/>
          </w:tcPr>
          <w:p w14:paraId="2F28EFFD" w14:textId="77777777" w:rsidR="00D12939" w:rsidRDefault="00D12939">
            <w:pPr>
              <w:pStyle w:val="affffd"/>
              <w:spacing w:line="240" w:lineRule="auto"/>
              <w:rPr>
                <w:rFonts w:hAnsi="Times New Roman"/>
              </w:rPr>
            </w:pPr>
          </w:p>
        </w:tc>
      </w:tr>
      <w:tr w:rsidR="00D12939" w14:paraId="4FD6C220" w14:textId="77777777">
        <w:trPr>
          <w:trHeight w:val="340"/>
          <w:jc w:val="center"/>
        </w:trPr>
        <w:tc>
          <w:tcPr>
            <w:tcW w:w="727" w:type="pct"/>
            <w:tcBorders>
              <w:top w:val="single" w:sz="4" w:space="0" w:color="auto"/>
              <w:left w:val="single" w:sz="4" w:space="0" w:color="auto"/>
              <w:bottom w:val="single" w:sz="4" w:space="0" w:color="auto"/>
              <w:tl2br w:val="nil"/>
              <w:tr2bl w:val="nil"/>
            </w:tcBorders>
            <w:vAlign w:val="center"/>
          </w:tcPr>
          <w:p w14:paraId="146B4936" w14:textId="77777777" w:rsidR="00D12939" w:rsidRDefault="004F47F5">
            <w:pPr>
              <w:pStyle w:val="affffd"/>
              <w:spacing w:line="240" w:lineRule="auto"/>
              <w:rPr>
                <w:rFonts w:hAnsi="Times New Roman"/>
              </w:rPr>
            </w:pPr>
            <w:r>
              <w:rPr>
                <w:rFonts w:ascii="Times New Roman" w:eastAsia="宋体" w:hAnsi="Times New Roman" w:cs="Times New Roman"/>
              </w:rPr>
              <w:t>噪声</w:t>
            </w:r>
          </w:p>
          <w:p w14:paraId="72E46059" w14:textId="77777777" w:rsidR="00D12939" w:rsidRDefault="004F47F5">
            <w:pPr>
              <w:pStyle w:val="affffd"/>
              <w:spacing w:line="240" w:lineRule="auto"/>
              <w:rPr>
                <w:rFonts w:hAnsi="Times New Roman"/>
              </w:rPr>
            </w:pPr>
            <w:r>
              <w:rPr>
                <w:rFonts w:ascii="Times New Roman" w:eastAsia="宋体" w:hAnsi="Times New Roman" w:cs="Times New Roman"/>
              </w:rPr>
              <w:t>治理</w:t>
            </w:r>
          </w:p>
        </w:tc>
        <w:tc>
          <w:tcPr>
            <w:tcW w:w="1993" w:type="pct"/>
            <w:gridSpan w:val="2"/>
            <w:tcBorders>
              <w:top w:val="single" w:sz="4" w:space="0" w:color="auto"/>
              <w:bottom w:val="single" w:sz="4" w:space="0" w:color="auto"/>
              <w:tl2br w:val="nil"/>
              <w:tr2bl w:val="nil"/>
            </w:tcBorders>
            <w:vAlign w:val="center"/>
          </w:tcPr>
          <w:p w14:paraId="3E513E54" w14:textId="77777777" w:rsidR="00D12939" w:rsidRDefault="004F47F5">
            <w:pPr>
              <w:pStyle w:val="affffd"/>
              <w:spacing w:line="240" w:lineRule="auto"/>
              <w:rPr>
                <w:rFonts w:hAnsi="Times New Roman"/>
              </w:rPr>
            </w:pPr>
            <w:r>
              <w:rPr>
                <w:rStyle w:val="1f8"/>
                <w:rFonts w:ascii="Times New Roman" w:eastAsia="宋体" w:hAnsi="Times New Roman" w:cs="Times New Roman"/>
              </w:rPr>
              <w:t>选用低噪声设备，加强设备维护保养；加强收运车辆管理等方式降低噪声影响</w:t>
            </w:r>
          </w:p>
        </w:tc>
        <w:tc>
          <w:tcPr>
            <w:tcW w:w="504" w:type="pct"/>
            <w:tcBorders>
              <w:top w:val="single" w:sz="4" w:space="0" w:color="auto"/>
              <w:bottom w:val="single" w:sz="4" w:space="0" w:color="auto"/>
              <w:tl2br w:val="nil"/>
              <w:tr2bl w:val="nil"/>
            </w:tcBorders>
            <w:vAlign w:val="center"/>
          </w:tcPr>
          <w:p w14:paraId="4DD0EA11" w14:textId="77777777" w:rsidR="00D12939" w:rsidRDefault="004F47F5">
            <w:pPr>
              <w:pStyle w:val="affffd"/>
              <w:spacing w:line="240" w:lineRule="auto"/>
              <w:rPr>
                <w:rFonts w:hAnsi="Times New Roman"/>
              </w:rPr>
            </w:pPr>
            <w:r>
              <w:rPr>
                <w:rFonts w:ascii="Times New Roman" w:eastAsia="宋体" w:hAnsi="Times New Roman" w:cs="Times New Roman"/>
              </w:rPr>
              <w:t>/</w:t>
            </w:r>
          </w:p>
        </w:tc>
        <w:tc>
          <w:tcPr>
            <w:tcW w:w="503" w:type="pct"/>
            <w:tcBorders>
              <w:top w:val="single" w:sz="4" w:space="0" w:color="auto"/>
              <w:bottom w:val="single" w:sz="4" w:space="0" w:color="auto"/>
              <w:tl2br w:val="nil"/>
              <w:tr2bl w:val="nil"/>
            </w:tcBorders>
            <w:vAlign w:val="center"/>
          </w:tcPr>
          <w:p w14:paraId="62B067F0" w14:textId="77777777" w:rsidR="00D12939" w:rsidRDefault="004F47F5">
            <w:pPr>
              <w:pStyle w:val="affffd"/>
              <w:spacing w:line="240" w:lineRule="auto"/>
              <w:rPr>
                <w:rFonts w:hAnsi="Times New Roman"/>
              </w:rPr>
            </w:pPr>
            <w:r>
              <w:rPr>
                <w:rFonts w:ascii="Times New Roman" w:eastAsia="宋体" w:hAnsi="Times New Roman" w:cs="Times New Roman"/>
              </w:rPr>
              <w:t>/</w:t>
            </w:r>
          </w:p>
        </w:tc>
        <w:tc>
          <w:tcPr>
            <w:tcW w:w="1273" w:type="pct"/>
            <w:tcBorders>
              <w:top w:val="single" w:sz="4" w:space="0" w:color="auto"/>
              <w:bottom w:val="single" w:sz="4" w:space="0" w:color="auto"/>
              <w:right w:val="single" w:sz="4" w:space="0" w:color="auto"/>
              <w:tl2br w:val="nil"/>
              <w:tr2bl w:val="nil"/>
            </w:tcBorders>
            <w:vAlign w:val="center"/>
          </w:tcPr>
          <w:p w14:paraId="24905342" w14:textId="77777777" w:rsidR="00D12939" w:rsidRDefault="004F47F5">
            <w:pPr>
              <w:pStyle w:val="affffd"/>
              <w:spacing w:line="240" w:lineRule="auto"/>
              <w:rPr>
                <w:rFonts w:hAnsi="Times New Roman"/>
              </w:rPr>
            </w:pPr>
            <w:r>
              <w:rPr>
                <w:rFonts w:ascii="Times New Roman" w:eastAsia="宋体" w:hAnsi="Times New Roman" w:cs="Times New Roman"/>
              </w:rPr>
              <w:t>《工业企业厂界环境噪声排放标准》（</w:t>
            </w:r>
            <w:r>
              <w:rPr>
                <w:rFonts w:ascii="Times New Roman" w:eastAsia="宋体" w:hAnsi="Times New Roman" w:cs="Times New Roman"/>
              </w:rPr>
              <w:t>GB12348-2008</w:t>
            </w:r>
            <w:r>
              <w:rPr>
                <w:rFonts w:ascii="Times New Roman" w:eastAsia="宋体" w:hAnsi="Times New Roman" w:cs="Times New Roman"/>
              </w:rPr>
              <w:t>）</w:t>
            </w:r>
            <w:r>
              <w:rPr>
                <w:rFonts w:ascii="Times New Roman" w:eastAsia="宋体" w:hAnsi="Times New Roman" w:cs="Times New Roman"/>
              </w:rPr>
              <w:t>2</w:t>
            </w:r>
            <w:r>
              <w:rPr>
                <w:rFonts w:ascii="Times New Roman" w:eastAsia="宋体" w:hAnsi="Times New Roman" w:cs="Times New Roman"/>
              </w:rPr>
              <w:t>类标准</w:t>
            </w:r>
          </w:p>
        </w:tc>
      </w:tr>
      <w:tr w:rsidR="00C27509" w14:paraId="1F6EA086" w14:textId="77777777">
        <w:trPr>
          <w:trHeight w:val="340"/>
          <w:jc w:val="center"/>
        </w:trPr>
        <w:tc>
          <w:tcPr>
            <w:tcW w:w="727" w:type="pct"/>
            <w:tcBorders>
              <w:top w:val="single" w:sz="4" w:space="0" w:color="auto"/>
              <w:left w:val="single" w:sz="4" w:space="0" w:color="auto"/>
              <w:bottom w:val="single" w:sz="4" w:space="0" w:color="auto"/>
              <w:tl2br w:val="nil"/>
              <w:tr2bl w:val="nil"/>
            </w:tcBorders>
            <w:vAlign w:val="center"/>
          </w:tcPr>
          <w:p w14:paraId="5BA9EE48" w14:textId="48AD687C" w:rsidR="00C27509" w:rsidRDefault="00C27509" w:rsidP="00C27509">
            <w:pPr>
              <w:pStyle w:val="affffd"/>
              <w:spacing w:line="240" w:lineRule="auto"/>
              <w:rPr>
                <w:rFonts w:ascii="Times New Roman" w:eastAsia="宋体" w:hAnsi="Times New Roman" w:cs="Times New Roman"/>
              </w:rPr>
            </w:pPr>
            <w:r>
              <w:rPr>
                <w:rFonts w:ascii="Times New Roman" w:eastAsia="宋体" w:hAnsi="Times New Roman" w:cs="Times New Roman" w:hint="eastAsia"/>
                <w:color w:val="FF0000"/>
              </w:rPr>
              <w:t>防渗工程</w:t>
            </w:r>
          </w:p>
        </w:tc>
        <w:tc>
          <w:tcPr>
            <w:tcW w:w="1993" w:type="pct"/>
            <w:gridSpan w:val="2"/>
            <w:tcBorders>
              <w:top w:val="single" w:sz="4" w:space="0" w:color="auto"/>
              <w:bottom w:val="single" w:sz="4" w:space="0" w:color="auto"/>
              <w:tl2br w:val="nil"/>
              <w:tr2bl w:val="nil"/>
            </w:tcBorders>
            <w:vAlign w:val="center"/>
          </w:tcPr>
          <w:p w14:paraId="212732B9" w14:textId="3F8E3E01" w:rsidR="00C27509" w:rsidRDefault="00C27509" w:rsidP="00C27509">
            <w:pPr>
              <w:pStyle w:val="affffd"/>
              <w:spacing w:line="240" w:lineRule="auto"/>
              <w:rPr>
                <w:rStyle w:val="1f8"/>
                <w:rFonts w:ascii="Times New Roman" w:eastAsia="宋体" w:hAnsi="Times New Roman" w:cs="Times New Roman"/>
              </w:rPr>
            </w:pPr>
            <w:r>
              <w:rPr>
                <w:rStyle w:val="1f8"/>
                <w:rFonts w:ascii="Times New Roman" w:eastAsia="宋体" w:hAnsi="Times New Roman" w:cs="Times New Roman" w:hint="eastAsia"/>
                <w:color w:val="FF0000"/>
              </w:rPr>
              <w:t>渗滤液调节池、渗滤液处理站各类废水池、</w:t>
            </w:r>
            <w:r>
              <w:rPr>
                <w:rFonts w:ascii="Times New Roman" w:eastAsia="宋体" w:hAnsi="Times New Roman" w:cs="Times New Roman"/>
                <w:color w:val="FF0000"/>
              </w:rPr>
              <w:t>填埋库区</w:t>
            </w:r>
            <w:r>
              <w:rPr>
                <w:rFonts w:ascii="Times New Roman" w:eastAsia="宋体" w:hAnsi="Times New Roman" w:cs="Times New Roman" w:hint="eastAsia"/>
                <w:color w:val="FF0000"/>
              </w:rPr>
              <w:t>重点防渗，</w:t>
            </w:r>
            <w:r>
              <w:rPr>
                <w:rFonts w:ascii="Times New Roman" w:eastAsia="宋体" w:hAnsi="Times New Roman" w:cs="Times New Roman"/>
                <w:color w:val="FF0000"/>
              </w:rPr>
              <w:t>等效黏土防渗层</w:t>
            </w:r>
            <w:r>
              <w:rPr>
                <w:rFonts w:ascii="Times New Roman" w:eastAsia="宋体" w:hAnsi="Times New Roman" w:cs="Times New Roman"/>
                <w:color w:val="FF0000"/>
              </w:rPr>
              <w:t>Mb≥6m</w:t>
            </w:r>
            <w:r>
              <w:rPr>
                <w:rFonts w:ascii="Times New Roman" w:eastAsia="宋体" w:hAnsi="Times New Roman" w:cs="Times New Roman"/>
                <w:color w:val="FF0000"/>
              </w:rPr>
              <w:t>，</w:t>
            </w:r>
            <w:r>
              <w:rPr>
                <w:rFonts w:ascii="Times New Roman" w:eastAsia="宋体" w:hAnsi="Times New Roman" w:cs="Times New Roman"/>
                <w:color w:val="FF0000"/>
              </w:rPr>
              <w:t>K≤1.0×10</w:t>
            </w:r>
            <w:r>
              <w:rPr>
                <w:rFonts w:ascii="Times New Roman" w:eastAsia="宋体" w:hAnsi="Times New Roman" w:cs="Times New Roman"/>
                <w:color w:val="FF0000"/>
                <w:vertAlign w:val="superscript"/>
              </w:rPr>
              <w:t>--7</w:t>
            </w:r>
            <w:r>
              <w:rPr>
                <w:rFonts w:ascii="Times New Roman" w:eastAsia="宋体" w:hAnsi="Times New Roman" w:cs="Times New Roman"/>
                <w:color w:val="FF0000"/>
              </w:rPr>
              <w:t>cm/s</w:t>
            </w:r>
            <w:r>
              <w:rPr>
                <w:rFonts w:ascii="Times New Roman" w:eastAsia="宋体" w:hAnsi="Times New Roman" w:cs="Times New Roman" w:hint="eastAsia"/>
                <w:color w:val="FF0000"/>
              </w:rPr>
              <w:t>；渗滤液处理车间，一般防渗，</w:t>
            </w:r>
            <w:r>
              <w:rPr>
                <w:rFonts w:ascii="Times New Roman" w:eastAsia="宋体" w:hAnsi="Times New Roman" w:cs="Times New Roman"/>
                <w:color w:val="FF0000"/>
              </w:rPr>
              <w:t>等效黏土防渗层</w:t>
            </w:r>
            <w:r>
              <w:rPr>
                <w:rFonts w:ascii="Times New Roman" w:eastAsia="宋体" w:hAnsi="Times New Roman" w:cs="Times New Roman"/>
                <w:color w:val="FF0000"/>
              </w:rPr>
              <w:t>Mb≥1.5m</w:t>
            </w:r>
          </w:p>
        </w:tc>
        <w:tc>
          <w:tcPr>
            <w:tcW w:w="504" w:type="pct"/>
            <w:tcBorders>
              <w:top w:val="single" w:sz="4" w:space="0" w:color="auto"/>
              <w:bottom w:val="single" w:sz="4" w:space="0" w:color="auto"/>
              <w:tl2br w:val="nil"/>
              <w:tr2bl w:val="nil"/>
            </w:tcBorders>
            <w:vAlign w:val="center"/>
          </w:tcPr>
          <w:p w14:paraId="77D1B2A1" w14:textId="4EED87DA" w:rsidR="00C27509" w:rsidRPr="00C27509" w:rsidRDefault="00C27509" w:rsidP="00C27509">
            <w:pPr>
              <w:pStyle w:val="affffd"/>
              <w:spacing w:line="240" w:lineRule="auto"/>
              <w:rPr>
                <w:rFonts w:ascii="Times New Roman" w:eastAsia="宋体" w:hAnsi="Times New Roman" w:cs="Times New Roman"/>
                <w:color w:val="FF0000"/>
              </w:rPr>
            </w:pPr>
            <w:r w:rsidRPr="00C27509">
              <w:rPr>
                <w:rFonts w:ascii="Times New Roman" w:eastAsia="宋体" w:hAnsi="Times New Roman" w:cs="Times New Roman" w:hint="eastAsia"/>
                <w:color w:val="FF0000"/>
              </w:rPr>
              <w:t>/</w:t>
            </w:r>
          </w:p>
        </w:tc>
        <w:tc>
          <w:tcPr>
            <w:tcW w:w="503" w:type="pct"/>
            <w:tcBorders>
              <w:top w:val="single" w:sz="4" w:space="0" w:color="auto"/>
              <w:bottom w:val="single" w:sz="4" w:space="0" w:color="auto"/>
              <w:tl2br w:val="nil"/>
              <w:tr2bl w:val="nil"/>
            </w:tcBorders>
            <w:vAlign w:val="center"/>
          </w:tcPr>
          <w:p w14:paraId="42BEB902" w14:textId="098187B9" w:rsidR="00C27509" w:rsidRPr="00C27509" w:rsidRDefault="00C27509" w:rsidP="00C27509">
            <w:pPr>
              <w:pStyle w:val="affffd"/>
              <w:spacing w:line="240" w:lineRule="auto"/>
              <w:rPr>
                <w:rFonts w:ascii="Times New Roman" w:eastAsia="宋体" w:hAnsi="Times New Roman" w:cs="Times New Roman"/>
                <w:color w:val="FF0000"/>
              </w:rPr>
            </w:pPr>
            <w:r w:rsidRPr="00C27509">
              <w:rPr>
                <w:rFonts w:ascii="Times New Roman" w:eastAsia="宋体" w:hAnsi="Times New Roman" w:cs="Times New Roman" w:hint="eastAsia"/>
                <w:color w:val="FF0000"/>
              </w:rPr>
              <w:t>/</w:t>
            </w:r>
          </w:p>
        </w:tc>
        <w:tc>
          <w:tcPr>
            <w:tcW w:w="1273" w:type="pct"/>
            <w:tcBorders>
              <w:top w:val="single" w:sz="4" w:space="0" w:color="auto"/>
              <w:bottom w:val="single" w:sz="4" w:space="0" w:color="auto"/>
              <w:right w:val="single" w:sz="4" w:space="0" w:color="auto"/>
              <w:tl2br w:val="nil"/>
              <w:tr2bl w:val="nil"/>
            </w:tcBorders>
            <w:vAlign w:val="center"/>
          </w:tcPr>
          <w:p w14:paraId="29CC5892" w14:textId="39F70408" w:rsidR="00C27509" w:rsidRPr="00C27509" w:rsidRDefault="00C27509" w:rsidP="00C27509">
            <w:pPr>
              <w:pStyle w:val="affffd"/>
              <w:spacing w:line="240" w:lineRule="auto"/>
              <w:rPr>
                <w:rFonts w:ascii="Times New Roman" w:eastAsia="宋体" w:hAnsi="Times New Roman" w:cs="Times New Roman"/>
                <w:color w:val="FF0000"/>
              </w:rPr>
            </w:pPr>
            <w:r w:rsidRPr="00C27509">
              <w:rPr>
                <w:rFonts w:ascii="Times New Roman" w:eastAsia="宋体" w:hAnsi="Times New Roman" w:cs="Times New Roman"/>
                <w:color w:val="FF0000"/>
              </w:rPr>
              <w:t>《生活垃圾填埋场污染控制标准》（</w:t>
            </w:r>
            <w:r w:rsidRPr="00C27509">
              <w:rPr>
                <w:rFonts w:ascii="Times New Roman" w:eastAsia="宋体" w:hAnsi="Times New Roman" w:cs="Times New Roman"/>
                <w:color w:val="FF0000"/>
              </w:rPr>
              <w:t>GB16889-2008</w:t>
            </w:r>
            <w:r w:rsidRPr="00C27509">
              <w:rPr>
                <w:rFonts w:ascii="Times New Roman" w:eastAsia="宋体" w:hAnsi="Times New Roman" w:cs="Times New Roman"/>
                <w:color w:val="FF0000"/>
              </w:rPr>
              <w:t>）</w:t>
            </w:r>
          </w:p>
        </w:tc>
      </w:tr>
      <w:tr w:rsidR="00C27509" w14:paraId="6A5F498C" w14:textId="77777777">
        <w:trPr>
          <w:trHeight w:val="898"/>
          <w:jc w:val="center"/>
        </w:trPr>
        <w:tc>
          <w:tcPr>
            <w:tcW w:w="727" w:type="pct"/>
            <w:tcBorders>
              <w:top w:val="single" w:sz="4" w:space="0" w:color="auto"/>
              <w:left w:val="single" w:sz="4" w:space="0" w:color="auto"/>
              <w:bottom w:val="single" w:sz="4" w:space="0" w:color="auto"/>
              <w:tl2br w:val="nil"/>
              <w:tr2bl w:val="nil"/>
            </w:tcBorders>
            <w:vAlign w:val="center"/>
          </w:tcPr>
          <w:p w14:paraId="7CE21379" w14:textId="77777777" w:rsidR="00C27509" w:rsidRDefault="00C27509" w:rsidP="00C27509">
            <w:pPr>
              <w:pStyle w:val="affffd"/>
              <w:spacing w:line="240" w:lineRule="auto"/>
              <w:rPr>
                <w:rFonts w:hAnsi="Times New Roman"/>
              </w:rPr>
            </w:pPr>
            <w:r>
              <w:rPr>
                <w:rStyle w:val="1f8"/>
                <w:rFonts w:ascii="Times New Roman" w:eastAsia="宋体" w:hAnsi="Times New Roman" w:cs="Times New Roman"/>
              </w:rPr>
              <w:lastRenderedPageBreak/>
              <w:t>绿化</w:t>
            </w:r>
          </w:p>
        </w:tc>
        <w:tc>
          <w:tcPr>
            <w:tcW w:w="1993" w:type="pct"/>
            <w:gridSpan w:val="2"/>
            <w:tcBorders>
              <w:top w:val="single" w:sz="4" w:space="0" w:color="auto"/>
              <w:tl2br w:val="nil"/>
              <w:tr2bl w:val="nil"/>
            </w:tcBorders>
            <w:vAlign w:val="center"/>
          </w:tcPr>
          <w:p w14:paraId="0811FE99" w14:textId="77777777" w:rsidR="00C27509" w:rsidRDefault="00C27509" w:rsidP="00C27509">
            <w:pPr>
              <w:pStyle w:val="affffd"/>
              <w:spacing w:line="240" w:lineRule="auto"/>
              <w:jc w:val="both"/>
              <w:rPr>
                <w:rFonts w:hAnsi="Times New Roman"/>
                <w:szCs w:val="20"/>
                <w:lang w:val="zh-CN"/>
              </w:rPr>
            </w:pPr>
            <w:r>
              <w:rPr>
                <w:rFonts w:ascii="Times New Roman" w:eastAsia="宋体" w:hAnsi="Times New Roman" w:cs="Times New Roman"/>
              </w:rPr>
              <w:t>环库区设置绿化隔离带，在填埋区旁、渗沥液调节池、场区空地及填埋场形成的最终平台及坡面上进行绿化。</w:t>
            </w:r>
          </w:p>
        </w:tc>
        <w:tc>
          <w:tcPr>
            <w:tcW w:w="504" w:type="pct"/>
            <w:tcBorders>
              <w:top w:val="single" w:sz="4" w:space="0" w:color="auto"/>
              <w:tl2br w:val="nil"/>
              <w:tr2bl w:val="nil"/>
            </w:tcBorders>
            <w:vAlign w:val="center"/>
          </w:tcPr>
          <w:p w14:paraId="3560EDF4" w14:textId="77777777" w:rsidR="00C27509" w:rsidRDefault="00C27509" w:rsidP="00C27509">
            <w:pPr>
              <w:jc w:val="center"/>
              <w:rPr>
                <w:rStyle w:val="1f8"/>
                <w:rFonts w:ascii="Times New Roman" w:eastAsia="宋体" w:hAnsi="Times New Roman" w:cs="Times New Roman"/>
              </w:rPr>
            </w:pPr>
            <w:r>
              <w:rPr>
                <w:rFonts w:ascii="Times New Roman" w:eastAsia="宋体" w:hAnsi="Times New Roman" w:cs="Times New Roman"/>
                <w:szCs w:val="21"/>
              </w:rPr>
              <w:t>/</w:t>
            </w:r>
          </w:p>
        </w:tc>
        <w:tc>
          <w:tcPr>
            <w:tcW w:w="503" w:type="pct"/>
            <w:tcBorders>
              <w:top w:val="single" w:sz="4" w:space="0" w:color="auto"/>
              <w:bottom w:val="single" w:sz="4" w:space="0" w:color="auto"/>
              <w:tl2br w:val="nil"/>
              <w:tr2bl w:val="nil"/>
            </w:tcBorders>
            <w:vAlign w:val="center"/>
          </w:tcPr>
          <w:p w14:paraId="62957039" w14:textId="77777777" w:rsidR="00C27509" w:rsidRDefault="00C27509" w:rsidP="00C27509">
            <w:pPr>
              <w:jc w:val="center"/>
              <w:rPr>
                <w:rStyle w:val="1f8"/>
                <w:rFonts w:ascii="Times New Roman" w:eastAsia="宋体" w:hAnsi="Times New Roman" w:cs="Times New Roman"/>
              </w:rPr>
            </w:pPr>
            <w:r>
              <w:rPr>
                <w:rStyle w:val="1f8"/>
                <w:rFonts w:ascii="Times New Roman" w:eastAsia="宋体" w:hAnsi="Times New Roman" w:cs="Times New Roman"/>
              </w:rPr>
              <w:t>/</w:t>
            </w:r>
          </w:p>
        </w:tc>
        <w:tc>
          <w:tcPr>
            <w:tcW w:w="1273" w:type="pct"/>
            <w:tcBorders>
              <w:top w:val="single" w:sz="4" w:space="0" w:color="auto"/>
              <w:bottom w:val="single" w:sz="4" w:space="0" w:color="auto"/>
              <w:right w:val="single" w:sz="4" w:space="0" w:color="auto"/>
              <w:tl2br w:val="nil"/>
              <w:tr2bl w:val="nil"/>
            </w:tcBorders>
            <w:vAlign w:val="center"/>
          </w:tcPr>
          <w:p w14:paraId="19FF1898" w14:textId="77777777" w:rsidR="00C27509" w:rsidRDefault="00C27509" w:rsidP="00C27509">
            <w:pPr>
              <w:pStyle w:val="affffd"/>
              <w:spacing w:line="240" w:lineRule="auto"/>
              <w:rPr>
                <w:rFonts w:hAnsi="Times New Roman"/>
              </w:rPr>
            </w:pPr>
            <w:r>
              <w:rPr>
                <w:rFonts w:ascii="Times New Roman" w:eastAsia="宋体" w:hAnsi="Times New Roman" w:cs="Times New Roman"/>
              </w:rPr>
              <w:t>满足相关要求</w:t>
            </w:r>
          </w:p>
        </w:tc>
      </w:tr>
    </w:tbl>
    <w:p w14:paraId="649560E4" w14:textId="77777777" w:rsidR="00D12939" w:rsidRDefault="004F47F5">
      <w:pPr>
        <w:pStyle w:val="2"/>
        <w:spacing w:line="360" w:lineRule="auto"/>
        <w:ind w:firstLineChars="165" w:firstLine="462"/>
        <w:rPr>
          <w:sz w:val="28"/>
        </w:rPr>
      </w:pPr>
      <w:bookmarkStart w:id="678" w:name="_Toc121411836"/>
      <w:bookmarkStart w:id="679" w:name="_Toc530918916"/>
      <w:bookmarkStart w:id="680" w:name="_Toc4766419"/>
      <w:bookmarkStart w:id="681" w:name="_Toc120561874"/>
      <w:bookmarkStart w:id="682" w:name="_Toc28857126"/>
      <w:bookmarkStart w:id="683" w:name="_Toc30089333"/>
      <w:r>
        <w:rPr>
          <w:sz w:val="28"/>
        </w:rPr>
        <w:t xml:space="preserve">11.5 </w:t>
      </w:r>
      <w:r>
        <w:rPr>
          <w:rFonts w:hint="eastAsia"/>
          <w:sz w:val="28"/>
        </w:rPr>
        <w:t>总量控制指标</w:t>
      </w:r>
      <w:bookmarkEnd w:id="678"/>
    </w:p>
    <w:p w14:paraId="5845D6EB" w14:textId="77777777" w:rsidR="00D12939" w:rsidRDefault="004F47F5">
      <w:pPr>
        <w:adjustRightInd w:val="0"/>
        <w:snapToGrid w:val="0"/>
        <w:spacing w:beforeLines="50" w:before="156" w:line="360" w:lineRule="auto"/>
        <w:ind w:firstLine="480"/>
        <w:rPr>
          <w:rFonts w:ascii="Times New Roman" w:eastAsia="宋体" w:hAnsi="Times New Roman" w:cs="Times New Roman"/>
          <w:sz w:val="24"/>
        </w:rPr>
      </w:pPr>
      <w:r>
        <w:rPr>
          <w:rFonts w:ascii="Times New Roman" w:eastAsia="宋体" w:hAnsi="Times New Roman" w:cs="Times New Roman"/>
          <w:sz w:val="24"/>
        </w:rPr>
        <w:t>根据《建设项目主要污染物排放总量指标审核及管理暂行办法》（环发</w:t>
      </w:r>
      <w:r>
        <w:rPr>
          <w:rFonts w:ascii="Times New Roman" w:eastAsia="宋体" w:hAnsi="Times New Roman" w:cs="Times New Roman" w:hint="eastAsia"/>
          <w:sz w:val="24"/>
        </w:rPr>
        <w:t>[</w:t>
      </w:r>
      <w:r>
        <w:rPr>
          <w:rFonts w:ascii="Times New Roman" w:eastAsia="宋体" w:hAnsi="Times New Roman" w:cs="Times New Roman"/>
          <w:sz w:val="24"/>
        </w:rPr>
        <w:t>2014</w:t>
      </w:r>
      <w:r>
        <w:rPr>
          <w:rFonts w:ascii="Times New Roman" w:eastAsia="宋体" w:hAnsi="Times New Roman" w:cs="Times New Roman" w:hint="eastAsia"/>
          <w:sz w:val="24"/>
        </w:rPr>
        <w:t>]</w:t>
      </w:r>
      <w:r>
        <w:rPr>
          <w:rFonts w:ascii="Times New Roman" w:eastAsia="宋体" w:hAnsi="Times New Roman" w:cs="Times New Roman"/>
          <w:sz w:val="24"/>
        </w:rPr>
        <w:t>197</w:t>
      </w:r>
      <w:r>
        <w:rPr>
          <w:rFonts w:ascii="Times New Roman" w:eastAsia="宋体" w:hAnsi="Times New Roman" w:cs="Times New Roman"/>
          <w:sz w:val="24"/>
        </w:rPr>
        <w:t>号），</w:t>
      </w:r>
      <w:r>
        <w:rPr>
          <w:rFonts w:ascii="Times New Roman" w:eastAsia="宋体" w:hAnsi="Times New Roman" w:cs="Times New Roman" w:hint="eastAsia"/>
          <w:sz w:val="24"/>
        </w:rPr>
        <w:t>“</w:t>
      </w:r>
      <w:r>
        <w:rPr>
          <w:rFonts w:ascii="Times New Roman" w:eastAsia="宋体" w:hAnsi="Times New Roman" w:cs="Times New Roman"/>
          <w:sz w:val="24"/>
        </w:rPr>
        <w:t>本办法适用于各级环境保护主管部门对建设项目（不含城镇生活污水处理厂、垃圾处理场、危险废物和医疗废物处置厂）主要污染物排放总量指标的审核与管理。</w:t>
      </w:r>
      <w:r>
        <w:rPr>
          <w:rFonts w:ascii="Times New Roman" w:eastAsia="宋体" w:hAnsi="Times New Roman" w:cs="Times New Roman" w:hint="eastAsia"/>
          <w:sz w:val="24"/>
        </w:rPr>
        <w:t>”</w:t>
      </w:r>
      <w:r>
        <w:rPr>
          <w:rFonts w:ascii="Times New Roman" w:eastAsia="宋体" w:hAnsi="Times New Roman" w:cs="Times New Roman"/>
          <w:sz w:val="24"/>
        </w:rPr>
        <w:t>本项目属于城镇生活垃圾填埋场项目，因此产生的主要污染物均不在总量控制指标范围内。</w:t>
      </w:r>
    </w:p>
    <w:p w14:paraId="0A52E791" w14:textId="77777777" w:rsidR="00D12939" w:rsidRDefault="004F47F5">
      <w:pPr>
        <w:pStyle w:val="2"/>
        <w:spacing w:line="360" w:lineRule="auto"/>
        <w:ind w:firstLineChars="165" w:firstLine="462"/>
        <w:rPr>
          <w:sz w:val="28"/>
        </w:rPr>
      </w:pPr>
      <w:bookmarkStart w:id="684" w:name="_Toc121411837"/>
      <w:r>
        <w:rPr>
          <w:sz w:val="28"/>
        </w:rPr>
        <w:t xml:space="preserve">11.6 </w:t>
      </w:r>
      <w:r>
        <w:rPr>
          <w:sz w:val="28"/>
        </w:rPr>
        <w:t>企业信息公开</w:t>
      </w:r>
      <w:bookmarkEnd w:id="679"/>
      <w:bookmarkEnd w:id="680"/>
      <w:bookmarkEnd w:id="681"/>
      <w:bookmarkEnd w:id="682"/>
      <w:bookmarkEnd w:id="684"/>
    </w:p>
    <w:p w14:paraId="298A5243" w14:textId="77777777" w:rsidR="00D12939" w:rsidRDefault="004F47F5">
      <w:pPr>
        <w:pStyle w:val="-ls"/>
        <w:ind w:firstLine="480"/>
        <w:rPr>
          <w:rFonts w:ascii="Times New Roman" w:eastAsia="宋体" w:hAnsi="Times New Roman" w:cs="Times New Roman"/>
        </w:rPr>
      </w:pPr>
      <w:r>
        <w:rPr>
          <w:rFonts w:ascii="Times New Roman" w:eastAsia="宋体" w:hAnsi="Times New Roman" w:cs="Times New Roman"/>
        </w:rPr>
        <w:t>根据环境保护部印发的《建设项目环境保护事中事后监督管理办法（试行）》（环发</w:t>
      </w:r>
      <w:r>
        <w:rPr>
          <w:rFonts w:ascii="Times New Roman" w:eastAsia="宋体" w:hAnsi="Times New Roman" w:cs="Times New Roman"/>
        </w:rPr>
        <w:t>[2015]163</w:t>
      </w:r>
      <w:r>
        <w:rPr>
          <w:rFonts w:ascii="Times New Roman" w:eastAsia="宋体" w:hAnsi="Times New Roman" w:cs="Times New Roman"/>
        </w:rPr>
        <w:t>号）的规定，并结合《关于印发</w:t>
      </w:r>
      <w:r>
        <w:rPr>
          <w:rFonts w:ascii="Times New Roman" w:eastAsia="宋体" w:hAnsi="Times New Roman" w:cs="Times New Roman"/>
        </w:rPr>
        <w:t>&lt;</w:t>
      </w:r>
      <w:r>
        <w:rPr>
          <w:rFonts w:ascii="Times New Roman" w:eastAsia="宋体" w:hAnsi="Times New Roman" w:cs="Times New Roman"/>
        </w:rPr>
        <w:t>排污许可证管理暂行规定</w:t>
      </w:r>
      <w:r>
        <w:rPr>
          <w:rFonts w:ascii="Times New Roman" w:eastAsia="宋体" w:hAnsi="Times New Roman" w:cs="Times New Roman"/>
        </w:rPr>
        <w:t>&gt;</w:t>
      </w:r>
      <w:r>
        <w:rPr>
          <w:rFonts w:ascii="Times New Roman" w:eastAsia="宋体" w:hAnsi="Times New Roman" w:cs="Times New Roman"/>
        </w:rPr>
        <w:t>的通知》（环水体</w:t>
      </w:r>
      <w:r>
        <w:rPr>
          <w:rFonts w:ascii="Times New Roman" w:eastAsia="宋体" w:hAnsi="Times New Roman" w:cs="Times New Roman"/>
        </w:rPr>
        <w:t>[2016]186</w:t>
      </w:r>
      <w:r>
        <w:rPr>
          <w:rFonts w:ascii="Times New Roman" w:eastAsia="宋体" w:hAnsi="Times New Roman" w:cs="Times New Roman"/>
        </w:rPr>
        <w:t>号）中的相关要求。</w:t>
      </w:r>
    </w:p>
    <w:p w14:paraId="3A828ABD" w14:textId="77777777" w:rsidR="00D12939" w:rsidRDefault="004F47F5">
      <w:pPr>
        <w:pStyle w:val="-ls"/>
        <w:ind w:firstLine="480"/>
        <w:rPr>
          <w:rFonts w:ascii="Times New Roman" w:eastAsia="宋体" w:hAnsi="Times New Roman" w:cs="Times New Roman"/>
        </w:rPr>
      </w:pPr>
      <w:r>
        <w:rPr>
          <w:rFonts w:ascii="Times New Roman" w:eastAsia="宋体" w:hAnsi="Times New Roman" w:cs="Times New Roman"/>
        </w:rPr>
        <w:t>建设单位应主动先向社会公开本项目的环境影响评价文件，污染防治设施的建设情况、污染物排放情况以及单位自行监测情况，环境风险应急预案及应对情况。</w:t>
      </w:r>
    </w:p>
    <w:p w14:paraId="3D11498E" w14:textId="77777777" w:rsidR="00D12939" w:rsidRDefault="004F47F5">
      <w:pPr>
        <w:pStyle w:val="-ls"/>
        <w:ind w:firstLine="480"/>
        <w:rPr>
          <w:rFonts w:ascii="Times New Roman" w:eastAsia="宋体" w:hAnsi="Times New Roman" w:cs="Times New Roman"/>
        </w:rPr>
      </w:pPr>
      <w:r>
        <w:rPr>
          <w:rFonts w:ascii="Times New Roman" w:eastAsia="宋体" w:hAnsi="Times New Roman" w:cs="Times New Roman"/>
        </w:rPr>
        <w:t>除涉及国家机密或商业秘密之外，对于监测计划中涉及污染物定期的监测结果应以文本形式在网络平台或对外发放对外进行公开。</w:t>
      </w:r>
    </w:p>
    <w:p w14:paraId="5B3F9EB5" w14:textId="77777777" w:rsidR="00D12939" w:rsidRDefault="004F47F5">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rPr>
        <w:t>同时应根据厂区实际情况制定相应的应急预案并向周边群众和社会公开。</w:t>
      </w:r>
    </w:p>
    <w:bookmarkEnd w:id="683"/>
    <w:p w14:paraId="32B86297" w14:textId="77777777" w:rsidR="00D12939" w:rsidRDefault="00D12939">
      <w:pPr>
        <w:spacing w:line="360" w:lineRule="auto"/>
        <w:ind w:firstLineChars="200" w:firstLine="480"/>
        <w:rPr>
          <w:rFonts w:ascii="Times New Roman" w:eastAsia="宋体" w:hAnsi="Times New Roman" w:cs="Times New Roman"/>
          <w:sz w:val="24"/>
        </w:rPr>
        <w:sectPr w:rsidR="00D12939">
          <w:pgSz w:w="11906" w:h="16838"/>
          <w:pgMar w:top="1440" w:right="1080" w:bottom="1440" w:left="1080" w:header="851" w:footer="992" w:gutter="0"/>
          <w:cols w:space="720"/>
          <w:docGrid w:type="linesAndChars" w:linePitch="312"/>
        </w:sectPr>
      </w:pPr>
    </w:p>
    <w:p w14:paraId="66AB16B7" w14:textId="77777777" w:rsidR="00D12939" w:rsidRDefault="004F47F5">
      <w:pPr>
        <w:pStyle w:val="1"/>
        <w:jc w:val="center"/>
        <w:rPr>
          <w:sz w:val="30"/>
          <w:szCs w:val="30"/>
        </w:rPr>
      </w:pPr>
      <w:bookmarkStart w:id="685" w:name="_Toc121411838"/>
      <w:bookmarkStart w:id="686" w:name="_Toc41343055"/>
      <w:r>
        <w:rPr>
          <w:sz w:val="30"/>
          <w:szCs w:val="30"/>
        </w:rPr>
        <w:lastRenderedPageBreak/>
        <w:t xml:space="preserve">12 </w:t>
      </w:r>
      <w:r>
        <w:rPr>
          <w:sz w:val="30"/>
          <w:szCs w:val="30"/>
        </w:rPr>
        <w:t>环境影响评价结论</w:t>
      </w:r>
      <w:bookmarkEnd w:id="685"/>
      <w:bookmarkEnd w:id="686"/>
    </w:p>
    <w:p w14:paraId="4C935ED8" w14:textId="77777777" w:rsidR="00D12939" w:rsidRDefault="004F47F5">
      <w:pPr>
        <w:pStyle w:val="2"/>
        <w:spacing w:line="360" w:lineRule="auto"/>
        <w:ind w:firstLineChars="165" w:firstLine="462"/>
        <w:rPr>
          <w:sz w:val="28"/>
        </w:rPr>
      </w:pPr>
      <w:bookmarkStart w:id="687" w:name="_Toc121411839"/>
      <w:bookmarkStart w:id="688" w:name="_Toc41343056"/>
      <w:r>
        <w:rPr>
          <w:rFonts w:hint="eastAsia"/>
          <w:sz w:val="28"/>
        </w:rPr>
        <w:t>1</w:t>
      </w:r>
      <w:r>
        <w:rPr>
          <w:sz w:val="28"/>
        </w:rPr>
        <w:t>2.1</w:t>
      </w:r>
      <w:r>
        <w:rPr>
          <w:sz w:val="28"/>
        </w:rPr>
        <w:t>建设项目概况</w:t>
      </w:r>
      <w:bookmarkEnd w:id="687"/>
      <w:bookmarkEnd w:id="688"/>
    </w:p>
    <w:p w14:paraId="4CAA61AE"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柞水县固体废弃物综合处置场项目</w:t>
      </w:r>
      <w:r>
        <w:rPr>
          <w:sz w:val="24"/>
          <w:szCs w:val="24"/>
        </w:rPr>
        <w:t>位于</w:t>
      </w:r>
      <w:r>
        <w:rPr>
          <w:rFonts w:ascii="Times New Roman" w:eastAsia="宋体" w:hAnsi="Times New Roman" w:cs="Times New Roman"/>
          <w:kern w:val="0"/>
          <w:sz w:val="24"/>
          <w:szCs w:val="24"/>
        </w:rPr>
        <w:t>商洛市柞水县小六里沟</w:t>
      </w:r>
      <w:r>
        <w:rPr>
          <w:sz w:val="24"/>
          <w:szCs w:val="24"/>
        </w:rPr>
        <w:t>，</w:t>
      </w:r>
      <w:r>
        <w:rPr>
          <w:rFonts w:ascii="Times New Roman" w:eastAsia="宋体" w:hAnsi="Times New Roman" w:cs="Times New Roman"/>
          <w:sz w:val="24"/>
          <w:szCs w:val="24"/>
        </w:rPr>
        <w:t>项目分两期建设，一期建设</w:t>
      </w:r>
      <w:r>
        <w:rPr>
          <w:rFonts w:ascii="Times New Roman" w:eastAsia="宋体" w:hAnsi="Times New Roman" w:cs="Times New Roman"/>
          <w:kern w:val="0"/>
          <w:sz w:val="24"/>
          <w:szCs w:val="24"/>
        </w:rPr>
        <w:t>生活垃圾填埋库区、渗沥液处理区和生活区</w:t>
      </w:r>
      <w:r>
        <w:rPr>
          <w:rFonts w:ascii="Times New Roman" w:eastAsia="宋体" w:hAnsi="Times New Roman" w:cs="Times New Roman"/>
          <w:sz w:val="24"/>
          <w:szCs w:val="24"/>
        </w:rPr>
        <w:t>，二期建设</w:t>
      </w:r>
      <w:r>
        <w:rPr>
          <w:rFonts w:ascii="Times New Roman" w:eastAsia="宋体" w:hAnsi="Times New Roman" w:cs="Times New Roman"/>
          <w:kern w:val="0"/>
          <w:sz w:val="24"/>
          <w:szCs w:val="24"/>
        </w:rPr>
        <w:t>飞灰填埋库区</w:t>
      </w:r>
      <w:r>
        <w:rPr>
          <w:rFonts w:ascii="Times New Roman" w:eastAsia="宋体" w:hAnsi="Times New Roman" w:cs="Times New Roman"/>
          <w:sz w:val="24"/>
          <w:szCs w:val="24"/>
        </w:rPr>
        <w:t>。</w:t>
      </w:r>
      <w:r>
        <w:rPr>
          <w:rFonts w:ascii="Times New Roman" w:eastAsia="宋体" w:hAnsi="Times New Roman" w:cs="Times New Roman"/>
          <w:kern w:val="0"/>
          <w:sz w:val="24"/>
          <w:szCs w:val="24"/>
        </w:rPr>
        <w:t>其中一期生活垃圾填埋总设计库容约</w:t>
      </w:r>
      <w:r>
        <w:rPr>
          <w:rFonts w:ascii="Times New Roman" w:eastAsia="宋体" w:hAnsi="Times New Roman" w:cs="Times New Roman"/>
          <w:kern w:val="0"/>
          <w:sz w:val="24"/>
          <w:szCs w:val="24"/>
        </w:rPr>
        <w:t>65.49</w:t>
      </w:r>
      <w:r>
        <w:rPr>
          <w:rFonts w:ascii="Times New Roman" w:eastAsia="宋体" w:hAnsi="Times New Roman" w:cs="Times New Roman"/>
          <w:kern w:val="0"/>
          <w:sz w:val="24"/>
          <w:szCs w:val="24"/>
        </w:rPr>
        <w:t>万</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kern w:val="0"/>
          <w:sz w:val="24"/>
          <w:szCs w:val="24"/>
        </w:rPr>
        <w:t>，使用年限为</w:t>
      </w:r>
      <w:r>
        <w:rPr>
          <w:rFonts w:ascii="Times New Roman" w:eastAsia="宋体" w:hAnsi="Times New Roman" w:cs="Times New Roman"/>
          <w:kern w:val="0"/>
          <w:sz w:val="24"/>
          <w:szCs w:val="24"/>
        </w:rPr>
        <w:t>13</w:t>
      </w:r>
      <w:r>
        <w:rPr>
          <w:rFonts w:ascii="Times New Roman" w:eastAsia="宋体" w:hAnsi="Times New Roman" w:cs="Times New Roman"/>
          <w:kern w:val="0"/>
          <w:sz w:val="24"/>
          <w:szCs w:val="24"/>
        </w:rPr>
        <w:t>年；二期飞灰填埋总设计库容约</w:t>
      </w:r>
      <w:r>
        <w:rPr>
          <w:rFonts w:ascii="Times New Roman" w:eastAsia="宋体" w:hAnsi="Times New Roman" w:cs="Times New Roman"/>
          <w:kern w:val="0"/>
          <w:sz w:val="24"/>
          <w:szCs w:val="24"/>
        </w:rPr>
        <w:t xml:space="preserve">20.70 </w:t>
      </w:r>
      <w:r>
        <w:rPr>
          <w:rFonts w:ascii="Times New Roman" w:eastAsia="宋体" w:hAnsi="Times New Roman" w:cs="Times New Roman"/>
          <w:kern w:val="0"/>
          <w:sz w:val="24"/>
          <w:szCs w:val="24"/>
        </w:rPr>
        <w:t>万</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vertAlign w:val="superscript"/>
        </w:rPr>
        <w:t>3</w:t>
      </w:r>
      <w:r>
        <w:rPr>
          <w:rFonts w:ascii="Times New Roman" w:eastAsia="宋体" w:hAnsi="Times New Roman" w:cs="Times New Roman" w:hint="eastAsia"/>
          <w:kern w:val="0"/>
          <w:sz w:val="24"/>
          <w:szCs w:val="24"/>
        </w:rPr>
        <w:t>，</w:t>
      </w:r>
      <w:r>
        <w:rPr>
          <w:rFonts w:ascii="Times New Roman" w:eastAsia="宋体" w:hAnsi="Times New Roman" w:cs="Times New Roman"/>
          <w:kern w:val="0"/>
          <w:sz w:val="24"/>
          <w:szCs w:val="24"/>
        </w:rPr>
        <w:t>使用年限为</w:t>
      </w:r>
      <w:r>
        <w:rPr>
          <w:rFonts w:ascii="Times New Roman" w:eastAsia="宋体" w:hAnsi="Times New Roman" w:cs="Times New Roman"/>
          <w:kern w:val="0"/>
          <w:sz w:val="24"/>
          <w:szCs w:val="24"/>
        </w:rPr>
        <w:t>20</w:t>
      </w:r>
      <w:r>
        <w:rPr>
          <w:rFonts w:ascii="Times New Roman" w:eastAsia="宋体" w:hAnsi="Times New Roman" w:cs="Times New Roman"/>
          <w:kern w:val="0"/>
          <w:sz w:val="24"/>
          <w:szCs w:val="24"/>
        </w:rPr>
        <w:t>年</w:t>
      </w:r>
      <w:r>
        <w:rPr>
          <w:rFonts w:ascii="Times New Roman" w:eastAsia="宋体" w:hAnsi="Times New Roman" w:cs="Times New Roman"/>
          <w:b/>
          <w:sz w:val="24"/>
          <w:szCs w:val="24"/>
        </w:rPr>
        <w:t>。</w:t>
      </w:r>
      <w:r>
        <w:rPr>
          <w:rFonts w:ascii="Times New Roman" w:eastAsia="宋体" w:hAnsi="Times New Roman" w:cs="Times New Roman" w:hint="eastAsia"/>
          <w:b/>
          <w:sz w:val="24"/>
          <w:szCs w:val="24"/>
        </w:rPr>
        <w:t>本次评价仅涉及一期工程，后期建设二期工程前需另行办理环境影响评价等相关手续。</w:t>
      </w:r>
      <w:r>
        <w:rPr>
          <w:rFonts w:ascii="Times New Roman" w:eastAsia="宋体" w:hAnsi="Times New Roman" w:cs="Times New Roman"/>
          <w:sz w:val="24"/>
          <w:szCs w:val="24"/>
        </w:rPr>
        <w:t>填埋服务范围</w:t>
      </w:r>
      <w:r>
        <w:rPr>
          <w:rFonts w:ascii="Times New Roman" w:eastAsia="宋体" w:hAnsi="Times New Roman" w:cs="Times New Roman" w:hint="eastAsia"/>
          <w:sz w:val="24"/>
          <w:szCs w:val="24"/>
        </w:rPr>
        <w:t>为</w:t>
      </w:r>
      <w:r>
        <w:rPr>
          <w:rFonts w:ascii="Times New Roman" w:eastAsia="宋体" w:hAnsi="Times New Roman" w:cs="Times New Roman"/>
          <w:kern w:val="0"/>
          <w:sz w:val="24"/>
          <w:szCs w:val="24"/>
        </w:rPr>
        <w:t>柞水县生活垃圾，设计日处理规模为</w:t>
      </w:r>
      <w:r>
        <w:rPr>
          <w:rFonts w:ascii="Times New Roman" w:eastAsia="宋体" w:hAnsi="Times New Roman" w:cs="Times New Roman"/>
          <w:kern w:val="0"/>
          <w:sz w:val="24"/>
          <w:szCs w:val="24"/>
        </w:rPr>
        <w:t>110t/d</w:t>
      </w:r>
      <w:r>
        <w:rPr>
          <w:rFonts w:ascii="Times New Roman" w:eastAsia="宋体" w:hAnsi="Times New Roman" w:cs="Times New Roman" w:hint="eastAsia"/>
          <w:kern w:val="0"/>
          <w:sz w:val="24"/>
          <w:szCs w:val="24"/>
        </w:rPr>
        <w:t>。</w:t>
      </w:r>
      <w:r>
        <w:rPr>
          <w:rFonts w:ascii="Times New Roman" w:eastAsia="宋体" w:hAnsi="Times New Roman" w:cs="Times New Roman"/>
          <w:sz w:val="24"/>
          <w:szCs w:val="24"/>
        </w:rPr>
        <w:t>依据《生活垃圾卫生填埋处理技术规范》（</w:t>
      </w:r>
      <w:r>
        <w:rPr>
          <w:rFonts w:ascii="Times New Roman" w:eastAsia="宋体" w:hAnsi="Times New Roman" w:cs="Times New Roman"/>
          <w:sz w:val="24"/>
          <w:szCs w:val="24"/>
        </w:rPr>
        <w:t>GB50869-2013</w:t>
      </w:r>
      <w:r>
        <w:rPr>
          <w:rFonts w:ascii="Times New Roman" w:eastAsia="宋体" w:hAnsi="Times New Roman" w:cs="Times New Roman"/>
          <w:sz w:val="24"/>
          <w:szCs w:val="24"/>
        </w:rPr>
        <w:t>），按建设规模分，该垃圾填埋场为</w:t>
      </w:r>
      <w:r>
        <w:rPr>
          <w:rFonts w:ascii="Times New Roman" w:eastAsia="宋体" w:hAnsi="Times New Roman" w:cs="Times New Roman"/>
          <w:sz w:val="24"/>
          <w:szCs w:val="24"/>
        </w:rPr>
        <w:t>Ⅳ</w:t>
      </w:r>
      <w:r>
        <w:rPr>
          <w:rFonts w:ascii="Times New Roman" w:eastAsia="宋体" w:hAnsi="Times New Roman" w:cs="Times New Roman"/>
          <w:sz w:val="24"/>
          <w:szCs w:val="24"/>
        </w:rPr>
        <w:t>类填埋场</w:t>
      </w:r>
      <w:r>
        <w:rPr>
          <w:rFonts w:ascii="Times New Roman" w:eastAsia="宋体" w:hAnsi="Times New Roman" w:cs="Times New Roman" w:hint="eastAsia"/>
          <w:sz w:val="24"/>
          <w:szCs w:val="24"/>
        </w:rPr>
        <w:t>。一期建设生活垃圾填埋库区、渗沥液处理区和生活区，</w:t>
      </w:r>
      <w:r>
        <w:rPr>
          <w:rFonts w:ascii="Times New Roman" w:eastAsia="宋体" w:hAnsi="Times New Roman" w:cs="Times New Roman"/>
          <w:sz w:val="24"/>
          <w:szCs w:val="24"/>
        </w:rPr>
        <w:t>二期建设</w:t>
      </w:r>
      <w:r>
        <w:rPr>
          <w:rFonts w:ascii="Times New Roman" w:eastAsia="宋体" w:hAnsi="Times New Roman" w:cs="Times New Roman"/>
          <w:kern w:val="0"/>
          <w:sz w:val="24"/>
          <w:szCs w:val="24"/>
        </w:rPr>
        <w:t>飞灰填埋库区</w:t>
      </w:r>
      <w:r>
        <w:rPr>
          <w:rFonts w:ascii="Times New Roman" w:eastAsia="宋体" w:hAnsi="Times New Roman" w:cs="Times New Roman"/>
          <w:sz w:val="24"/>
          <w:szCs w:val="24"/>
        </w:rPr>
        <w:t>。</w:t>
      </w:r>
      <w:r>
        <w:rPr>
          <w:rFonts w:ascii="Times New Roman" w:eastAsia="宋体" w:hAnsi="Times New Roman" w:cs="Times New Roman"/>
          <w:kern w:val="0"/>
          <w:sz w:val="24"/>
          <w:szCs w:val="24"/>
        </w:rPr>
        <w:t>其中一期</w:t>
      </w:r>
      <w:r>
        <w:rPr>
          <w:rFonts w:ascii="Times New Roman" w:eastAsia="宋体" w:hAnsi="Times New Roman" w:cs="Times New Roman" w:hint="eastAsia"/>
          <w:kern w:val="0"/>
          <w:sz w:val="24"/>
          <w:szCs w:val="24"/>
        </w:rPr>
        <w:t>工程</w:t>
      </w:r>
      <w:r>
        <w:rPr>
          <w:rFonts w:ascii="Times New Roman" w:eastAsia="宋体" w:hAnsi="Times New Roman" w:cs="Times New Roman" w:hint="eastAsia"/>
          <w:sz w:val="24"/>
          <w:szCs w:val="24"/>
        </w:rPr>
        <w:t>具体建设内容如下：</w:t>
      </w:r>
    </w:p>
    <w:p w14:paraId="3F72288D"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生活垃圾填埋库区：主要包括防渗工程、坝体工程、地下水收集导排系统、地表水收集导排</w:t>
      </w:r>
      <w:r>
        <w:rPr>
          <w:rFonts w:ascii="Times New Roman" w:eastAsia="宋体" w:hAnsi="Times New Roman" w:cs="Times New Roman"/>
          <w:sz w:val="24"/>
          <w:szCs w:val="24"/>
        </w:rPr>
        <w:t>系统、渗沥液收集导排系统、填埋气体导排系统、道路工程及绿化等；</w:t>
      </w:r>
    </w:p>
    <w:p w14:paraId="198A88FC"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渗沥液处理区：主要包括渗沥液调节池及渗沥液处理站等设施；</w:t>
      </w:r>
    </w:p>
    <w:p w14:paraId="72B5E444" w14:textId="77777777" w:rsidR="00D12939" w:rsidRDefault="004F47F5">
      <w:pPr>
        <w:autoSpaceDE w:val="0"/>
        <w:autoSpaceDN w:val="0"/>
        <w:adjustRightIn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管理区：主要包括综合楼、机修车间及门房等设施。</w:t>
      </w:r>
    </w:p>
    <w:p w14:paraId="4702F1CC" w14:textId="77777777" w:rsidR="00D12939" w:rsidRDefault="004F47F5">
      <w:pPr>
        <w:pStyle w:val="2"/>
        <w:spacing w:line="360" w:lineRule="auto"/>
        <w:ind w:firstLineChars="165" w:firstLine="462"/>
        <w:rPr>
          <w:sz w:val="28"/>
        </w:rPr>
      </w:pPr>
      <w:bookmarkStart w:id="689" w:name="_Toc121411840"/>
      <w:bookmarkStart w:id="690" w:name="_Toc41343057"/>
      <w:r>
        <w:rPr>
          <w:rFonts w:hint="eastAsia"/>
          <w:sz w:val="28"/>
        </w:rPr>
        <w:t>1</w:t>
      </w:r>
      <w:r>
        <w:rPr>
          <w:sz w:val="28"/>
        </w:rPr>
        <w:t>2.2</w:t>
      </w:r>
      <w:r>
        <w:rPr>
          <w:sz w:val="28"/>
        </w:rPr>
        <w:t>区域环境质量现状</w:t>
      </w:r>
      <w:bookmarkEnd w:id="689"/>
      <w:bookmarkEnd w:id="690"/>
    </w:p>
    <w:p w14:paraId="57030AEE" w14:textId="77777777" w:rsidR="00D12939" w:rsidRDefault="004F47F5">
      <w:pPr>
        <w:pStyle w:val="affffffffe"/>
        <w:ind w:firstLine="496"/>
        <w:rPr>
          <w:color w:val="auto"/>
        </w:rPr>
      </w:pPr>
      <w:r>
        <w:rPr>
          <w:color w:val="auto"/>
        </w:rPr>
        <w:t>（</w:t>
      </w:r>
      <w:r>
        <w:rPr>
          <w:color w:val="auto"/>
        </w:rPr>
        <w:t>1</w:t>
      </w:r>
      <w:r>
        <w:rPr>
          <w:color w:val="auto"/>
        </w:rPr>
        <w:t>）环境空气质量</w:t>
      </w:r>
    </w:p>
    <w:p w14:paraId="2AC734EA" w14:textId="77777777" w:rsidR="00D12939" w:rsidRDefault="004F47F5">
      <w:pPr>
        <w:pStyle w:val="affffffffe"/>
        <w:ind w:firstLine="496"/>
        <w:rPr>
          <w:color w:val="auto"/>
        </w:rPr>
      </w:pPr>
      <w:r>
        <w:rPr>
          <w:rFonts w:hint="eastAsia"/>
          <w:color w:val="auto"/>
        </w:rPr>
        <w:t>柞水县</w:t>
      </w:r>
      <w:r>
        <w:rPr>
          <w:color w:val="auto"/>
        </w:rPr>
        <w:t>SO</w:t>
      </w:r>
      <w:r>
        <w:rPr>
          <w:color w:val="auto"/>
          <w:vertAlign w:val="subscript"/>
        </w:rPr>
        <w:t>2</w:t>
      </w:r>
      <w:r>
        <w:rPr>
          <w:rFonts w:hint="eastAsia"/>
          <w:color w:val="auto"/>
        </w:rPr>
        <w:t>、</w:t>
      </w:r>
      <w:r>
        <w:rPr>
          <w:color w:val="auto"/>
        </w:rPr>
        <w:t>NO</w:t>
      </w:r>
      <w:r>
        <w:rPr>
          <w:color w:val="auto"/>
          <w:vertAlign w:val="subscript"/>
        </w:rPr>
        <w:t>2</w:t>
      </w:r>
      <w:r>
        <w:rPr>
          <w:rFonts w:hint="eastAsia"/>
          <w:color w:val="auto"/>
        </w:rPr>
        <w:t>、</w:t>
      </w:r>
      <w:r>
        <w:rPr>
          <w:color w:val="auto"/>
        </w:rPr>
        <w:t>PM</w:t>
      </w:r>
      <w:r>
        <w:rPr>
          <w:color w:val="auto"/>
          <w:vertAlign w:val="subscript"/>
        </w:rPr>
        <w:t>10</w:t>
      </w:r>
      <w:r>
        <w:rPr>
          <w:rFonts w:hint="eastAsia"/>
          <w:color w:val="auto"/>
        </w:rPr>
        <w:t>、</w:t>
      </w:r>
      <w:r>
        <w:rPr>
          <w:color w:val="auto"/>
        </w:rPr>
        <w:t>PM</w:t>
      </w:r>
      <w:r>
        <w:rPr>
          <w:color w:val="auto"/>
          <w:vertAlign w:val="subscript"/>
        </w:rPr>
        <w:t>2.5</w:t>
      </w:r>
      <w:r>
        <w:rPr>
          <w:rFonts w:hint="eastAsia"/>
          <w:color w:val="auto"/>
        </w:rPr>
        <w:t>、</w:t>
      </w:r>
      <w:r>
        <w:rPr>
          <w:color w:val="auto"/>
        </w:rPr>
        <w:t>CO</w:t>
      </w:r>
      <w:r>
        <w:rPr>
          <w:rFonts w:hint="eastAsia"/>
          <w:color w:val="auto"/>
        </w:rPr>
        <w:t>和</w:t>
      </w:r>
      <w:r>
        <w:rPr>
          <w:color w:val="auto"/>
        </w:rPr>
        <w:t>O</w:t>
      </w:r>
      <w:r>
        <w:rPr>
          <w:color w:val="auto"/>
          <w:vertAlign w:val="subscript"/>
        </w:rPr>
        <w:t>3</w:t>
      </w:r>
      <w:r>
        <w:rPr>
          <w:rFonts w:hint="eastAsia"/>
          <w:color w:val="auto"/>
        </w:rPr>
        <w:t>满足《环境空气质量标准》（</w:t>
      </w:r>
      <w:r>
        <w:rPr>
          <w:color w:val="auto"/>
        </w:rPr>
        <w:t>GB3095-2012</w:t>
      </w:r>
      <w:r>
        <w:rPr>
          <w:rFonts w:hint="eastAsia"/>
          <w:color w:val="auto"/>
        </w:rPr>
        <w:t>）中二类标准限值的要求，本项目所在区域属于达标区。</w:t>
      </w:r>
    </w:p>
    <w:p w14:paraId="3745B06D" w14:textId="77777777" w:rsidR="00D12939" w:rsidRDefault="004F47F5">
      <w:pPr>
        <w:spacing w:line="360" w:lineRule="auto"/>
        <w:ind w:firstLine="480"/>
        <w:rPr>
          <w:rFonts w:ascii="Times New Roman" w:eastAsia="宋体" w:hAnsi="Times New Roman" w:cs="Times New Roman"/>
          <w:szCs w:val="24"/>
        </w:rPr>
      </w:pPr>
      <w:r>
        <w:rPr>
          <w:rFonts w:ascii="Times New Roman" w:eastAsia="宋体" w:hAnsi="Times New Roman" w:cs="Times New Roman" w:hint="eastAsia"/>
          <w:sz w:val="24"/>
          <w:szCs w:val="24"/>
        </w:rPr>
        <w:t>项目拟建地补充监测</w:t>
      </w:r>
      <w:r>
        <w:rPr>
          <w:rFonts w:ascii="Times New Roman" w:eastAsia="宋体" w:hAnsi="Times New Roman" w:cs="Times New Roman"/>
          <w:sz w:val="24"/>
          <w:szCs w:val="24"/>
        </w:rPr>
        <w:t>TSP</w:t>
      </w:r>
      <w:r>
        <w:rPr>
          <w:rFonts w:ascii="Times New Roman" w:eastAsia="宋体" w:hAnsi="Times New Roman" w:cs="Times New Roman"/>
          <w:sz w:val="24"/>
          <w:szCs w:val="24"/>
        </w:rPr>
        <w:t>日均值满足《环境空气质量标准》</w:t>
      </w:r>
      <w:r>
        <w:rPr>
          <w:rFonts w:ascii="Times New Roman" w:eastAsia="宋体" w:hAnsi="Times New Roman" w:cs="Times New Roman"/>
          <w:sz w:val="24"/>
          <w:szCs w:val="24"/>
        </w:rPr>
        <w:t>(GB3095-2012)</w:t>
      </w:r>
      <w:r>
        <w:rPr>
          <w:rFonts w:ascii="Times New Roman" w:eastAsia="宋体" w:hAnsi="Times New Roman" w:cs="Times New Roman"/>
          <w:sz w:val="24"/>
          <w:szCs w:val="24"/>
        </w:rPr>
        <w:t>中二级质量标准，</w:t>
      </w:r>
      <w:r>
        <w:rPr>
          <w:rFonts w:ascii="Times New Roman" w:eastAsia="宋体" w:hAnsi="Times New Roman" w:cs="Times New Roman" w:hint="eastAsia"/>
          <w:sz w:val="24"/>
          <w:szCs w:val="24"/>
        </w:rPr>
        <w:t>氨和硫化氢监测浓度</w:t>
      </w:r>
      <w:r>
        <w:rPr>
          <w:rFonts w:ascii="Times New Roman" w:eastAsia="宋体" w:hAnsi="Times New Roman" w:cs="Times New Roman"/>
          <w:sz w:val="24"/>
          <w:szCs w:val="24"/>
        </w:rPr>
        <w:t>满足《环境影响评价技术导则大气环境》（</w:t>
      </w:r>
      <w:r>
        <w:rPr>
          <w:rFonts w:ascii="Times New Roman" w:eastAsia="宋体" w:hAnsi="Times New Roman" w:cs="Times New Roman"/>
          <w:sz w:val="24"/>
          <w:szCs w:val="24"/>
        </w:rPr>
        <w:t>HJ2.2-2018</w:t>
      </w:r>
      <w:r>
        <w:rPr>
          <w:rFonts w:ascii="Times New Roman" w:eastAsia="宋体" w:hAnsi="Times New Roman" w:cs="Times New Roman"/>
          <w:sz w:val="24"/>
          <w:szCs w:val="24"/>
        </w:rPr>
        <w:t>）附录</w:t>
      </w:r>
      <w:r>
        <w:rPr>
          <w:rFonts w:ascii="Times New Roman" w:eastAsia="宋体" w:hAnsi="Times New Roman" w:cs="Times New Roman"/>
          <w:sz w:val="24"/>
          <w:szCs w:val="24"/>
        </w:rPr>
        <w:t>D</w:t>
      </w:r>
      <w:r>
        <w:rPr>
          <w:rFonts w:ascii="Times New Roman" w:eastAsia="宋体" w:hAnsi="Times New Roman" w:cs="Times New Roman"/>
          <w:sz w:val="24"/>
          <w:szCs w:val="24"/>
        </w:rPr>
        <w:t>中其他污染物空气质量浓度参考限值。</w:t>
      </w:r>
    </w:p>
    <w:p w14:paraId="078E2104" w14:textId="77777777" w:rsidR="00D12939" w:rsidRDefault="004F47F5">
      <w:pPr>
        <w:pStyle w:val="affffffffe"/>
        <w:ind w:firstLine="496"/>
        <w:rPr>
          <w:color w:val="auto"/>
        </w:rPr>
      </w:pPr>
      <w:r>
        <w:rPr>
          <w:color w:val="auto"/>
        </w:rPr>
        <w:t>（</w:t>
      </w:r>
      <w:r>
        <w:rPr>
          <w:color w:val="auto"/>
        </w:rPr>
        <w:t>2</w:t>
      </w:r>
      <w:r>
        <w:rPr>
          <w:color w:val="auto"/>
        </w:rPr>
        <w:t>）声环境质量现状</w:t>
      </w:r>
    </w:p>
    <w:p w14:paraId="72953AA4" w14:textId="77777777" w:rsidR="00D12939" w:rsidRDefault="004F47F5">
      <w:pPr>
        <w:pStyle w:val="affffffffe"/>
        <w:ind w:firstLine="496"/>
        <w:rPr>
          <w:color w:val="auto"/>
        </w:rPr>
      </w:pPr>
      <w:r>
        <w:rPr>
          <w:rFonts w:hint="eastAsia"/>
          <w:color w:val="auto"/>
        </w:rPr>
        <w:t>拟建项目厂界四周昼间、夜间噪声监测值均满足《声环境质量标准》（</w:t>
      </w:r>
      <w:r>
        <w:rPr>
          <w:color w:val="auto"/>
        </w:rPr>
        <w:t>GB3096-2008</w:t>
      </w:r>
      <w:r>
        <w:rPr>
          <w:color w:val="auto"/>
        </w:rPr>
        <w:t>）中的</w:t>
      </w:r>
      <w:r>
        <w:rPr>
          <w:color w:val="auto"/>
        </w:rPr>
        <w:t>2</w:t>
      </w:r>
      <w:r>
        <w:rPr>
          <w:color w:val="auto"/>
        </w:rPr>
        <w:t>类区标准要求。</w:t>
      </w:r>
    </w:p>
    <w:p w14:paraId="61F79B83" w14:textId="77777777" w:rsidR="00D12939" w:rsidRDefault="004F47F5">
      <w:pPr>
        <w:pStyle w:val="affffffffe"/>
        <w:ind w:firstLine="496"/>
        <w:rPr>
          <w:color w:val="auto"/>
        </w:rPr>
      </w:pPr>
      <w:r>
        <w:rPr>
          <w:color w:val="auto"/>
        </w:rPr>
        <w:t>（</w:t>
      </w:r>
      <w:r>
        <w:rPr>
          <w:color w:val="auto"/>
        </w:rPr>
        <w:t>3</w:t>
      </w:r>
      <w:r>
        <w:rPr>
          <w:color w:val="auto"/>
        </w:rPr>
        <w:t>）地下水质量现状</w:t>
      </w:r>
    </w:p>
    <w:p w14:paraId="7315ED31" w14:textId="77777777" w:rsidR="00D12939" w:rsidRDefault="004F47F5">
      <w:pPr>
        <w:pStyle w:val="affffffffe"/>
        <w:ind w:firstLine="496"/>
        <w:rPr>
          <w:color w:val="auto"/>
        </w:rPr>
      </w:pPr>
      <w:r>
        <w:rPr>
          <w:color w:val="auto"/>
        </w:rPr>
        <w:t>各监测点因子在监测期均能满足《地下水质量标准》（</w:t>
      </w:r>
      <w:r>
        <w:rPr>
          <w:color w:val="auto"/>
        </w:rPr>
        <w:t>GB/T14848-2017</w:t>
      </w:r>
      <w:r>
        <w:rPr>
          <w:color w:val="auto"/>
        </w:rPr>
        <w:t>）中的</w:t>
      </w:r>
      <w:r>
        <w:rPr>
          <w:rFonts w:hint="eastAsia"/>
          <w:color w:val="auto"/>
        </w:rPr>
        <w:t>Ⅲ</w:t>
      </w:r>
      <w:r>
        <w:rPr>
          <w:color w:val="auto"/>
        </w:rPr>
        <w:t>类标准。表明评价区区域地下水水质良好。</w:t>
      </w:r>
    </w:p>
    <w:p w14:paraId="2B3973A1" w14:textId="77777777" w:rsidR="00D12939" w:rsidRDefault="004F47F5">
      <w:pPr>
        <w:pStyle w:val="affffffffe"/>
        <w:ind w:firstLine="496"/>
        <w:rPr>
          <w:color w:val="auto"/>
        </w:rPr>
      </w:pPr>
      <w:r>
        <w:rPr>
          <w:color w:val="auto"/>
        </w:rPr>
        <w:t>（</w:t>
      </w:r>
      <w:r>
        <w:rPr>
          <w:color w:val="auto"/>
        </w:rPr>
        <w:t>4</w:t>
      </w:r>
      <w:r>
        <w:rPr>
          <w:color w:val="auto"/>
        </w:rPr>
        <w:t>）土壤环境质量现状</w:t>
      </w:r>
    </w:p>
    <w:p w14:paraId="5615A0A8" w14:textId="77777777" w:rsidR="00D12939" w:rsidRDefault="004F47F5">
      <w:pPr>
        <w:pStyle w:val="affffffffe"/>
        <w:ind w:firstLine="496"/>
        <w:rPr>
          <w:color w:val="auto"/>
        </w:rPr>
      </w:pPr>
      <w:r>
        <w:rPr>
          <w:color w:val="auto"/>
        </w:rPr>
        <w:lastRenderedPageBreak/>
        <w:t>项目所在区域土壤环境质量满足《土壤环境质量建设用地土壤污染风险管控标准（试行）》（</w:t>
      </w:r>
      <w:r>
        <w:rPr>
          <w:color w:val="auto"/>
        </w:rPr>
        <w:t>GB36600-2018</w:t>
      </w:r>
      <w:r>
        <w:rPr>
          <w:color w:val="auto"/>
        </w:rPr>
        <w:t>）第二类用地筛选值。</w:t>
      </w:r>
    </w:p>
    <w:p w14:paraId="16C13D94" w14:textId="77777777" w:rsidR="00D12939" w:rsidRDefault="004F47F5">
      <w:pPr>
        <w:pStyle w:val="affffffffe"/>
        <w:ind w:firstLine="496"/>
        <w:rPr>
          <w:color w:val="auto"/>
        </w:rPr>
      </w:pPr>
      <w:r>
        <w:rPr>
          <w:color w:val="auto"/>
        </w:rPr>
        <w:t>（</w:t>
      </w:r>
      <w:r>
        <w:rPr>
          <w:color w:val="auto"/>
        </w:rPr>
        <w:t>5</w:t>
      </w:r>
      <w:r>
        <w:rPr>
          <w:color w:val="auto"/>
        </w:rPr>
        <w:t>）</w:t>
      </w:r>
      <w:r>
        <w:rPr>
          <w:rFonts w:hint="eastAsia"/>
          <w:color w:val="auto"/>
        </w:rPr>
        <w:t>地表水</w:t>
      </w:r>
      <w:r>
        <w:rPr>
          <w:color w:val="auto"/>
        </w:rPr>
        <w:t>环境质量现状</w:t>
      </w:r>
    </w:p>
    <w:p w14:paraId="0E640380" w14:textId="77777777" w:rsidR="00D12939" w:rsidRDefault="004F47F5">
      <w:pPr>
        <w:spacing w:line="360" w:lineRule="auto"/>
        <w:ind w:firstLine="480"/>
        <w:rPr>
          <w:rFonts w:ascii="Times New Roman" w:eastAsia="宋体" w:hAnsi="Times New Roman" w:cs="Times New Roman"/>
          <w:sz w:val="24"/>
          <w:szCs w:val="24"/>
        </w:rPr>
      </w:pPr>
      <w:r>
        <w:rPr>
          <w:rFonts w:ascii="Times New Roman" w:eastAsia="宋体" w:hAnsi="Times New Roman" w:cs="Times New Roman"/>
          <w:sz w:val="24"/>
          <w:szCs w:val="24"/>
        </w:rPr>
        <w:t>根据商洛市环保局发布的</w:t>
      </w:r>
      <w:r>
        <w:rPr>
          <w:rFonts w:ascii="Times New Roman" w:eastAsia="宋体" w:hAnsi="Times New Roman" w:cs="Times New Roman"/>
          <w:sz w:val="24"/>
          <w:szCs w:val="24"/>
        </w:rPr>
        <w:t>2022</w:t>
      </w:r>
      <w:r>
        <w:rPr>
          <w:rFonts w:ascii="Times New Roman" w:eastAsia="宋体" w:hAnsi="Times New Roman" w:cs="Times New Roman"/>
          <w:sz w:val="24"/>
          <w:szCs w:val="24"/>
        </w:rPr>
        <w:t>年第三季度环境质量公报地表水环境质量水质检测结果显示，乾佑河</w:t>
      </w:r>
      <w:r>
        <w:rPr>
          <w:rFonts w:ascii="Times New Roman" w:eastAsia="宋体" w:hAnsi="Times New Roman" w:cs="Times New Roman"/>
          <w:sz w:val="24"/>
          <w:szCs w:val="24"/>
        </w:rPr>
        <w:t>2</w:t>
      </w:r>
      <w:r>
        <w:rPr>
          <w:rFonts w:ascii="Times New Roman" w:eastAsia="宋体" w:hAnsi="Times New Roman" w:cs="Times New Roman"/>
          <w:sz w:val="24"/>
          <w:szCs w:val="24"/>
        </w:rPr>
        <w:t>个监控断面监测结果显示：古道岭、青铜关断面水质均达到《地表水环境质量标准》</w:t>
      </w:r>
      <w:r>
        <w:rPr>
          <w:rFonts w:ascii="Times New Roman" w:eastAsia="宋体" w:hAnsi="Times New Roman" w:cs="Times New Roman"/>
          <w:sz w:val="24"/>
          <w:szCs w:val="24"/>
        </w:rPr>
        <w:t>(GB3838-2002)Ⅱ</w:t>
      </w:r>
      <w:r>
        <w:rPr>
          <w:rFonts w:ascii="Times New Roman" w:eastAsia="宋体" w:hAnsi="Times New Roman" w:cs="Times New Roman"/>
          <w:sz w:val="24"/>
          <w:szCs w:val="24"/>
        </w:rPr>
        <w:t>类标准，</w:t>
      </w:r>
      <w:r>
        <w:rPr>
          <w:rFonts w:ascii="Times New Roman" w:eastAsia="宋体" w:hAnsi="Times New Roman" w:cs="Times New Roman" w:hint="eastAsia"/>
          <w:sz w:val="24"/>
          <w:szCs w:val="24"/>
        </w:rPr>
        <w:t>补充监测场区东侧河流各项监测指标</w:t>
      </w:r>
      <w:r>
        <w:rPr>
          <w:rFonts w:ascii="Times New Roman" w:eastAsia="宋体" w:hAnsi="Times New Roman" w:cs="Times New Roman"/>
          <w:sz w:val="24"/>
          <w:szCs w:val="24"/>
        </w:rPr>
        <w:t>均满足《地表水环境质量标准》（</w:t>
      </w:r>
      <w:r>
        <w:rPr>
          <w:rFonts w:ascii="Times New Roman" w:eastAsia="宋体" w:hAnsi="Times New Roman" w:cs="Times New Roman"/>
          <w:sz w:val="24"/>
          <w:szCs w:val="24"/>
        </w:rPr>
        <w:t>GB3838-2002</w:t>
      </w:r>
      <w:r>
        <w:rPr>
          <w:rFonts w:ascii="Times New Roman" w:eastAsia="宋体" w:hAnsi="Times New Roman" w:cs="Times New Roman"/>
          <w:sz w:val="24"/>
          <w:szCs w:val="24"/>
        </w:rPr>
        <w:t>）</w:t>
      </w:r>
      <w:r>
        <w:rPr>
          <w:rFonts w:ascii="Times New Roman" w:eastAsia="宋体" w:hAnsi="Times New Roman" w:cs="Times New Roman"/>
          <w:sz w:val="24"/>
          <w:szCs w:val="24"/>
        </w:rPr>
        <w:t>Ⅱ</w:t>
      </w:r>
      <w:r>
        <w:rPr>
          <w:rFonts w:ascii="Times New Roman" w:eastAsia="宋体" w:hAnsi="Times New Roman" w:cs="Times New Roman"/>
          <w:sz w:val="24"/>
          <w:szCs w:val="24"/>
        </w:rPr>
        <w:t>类标准要求</w:t>
      </w:r>
      <w:r>
        <w:rPr>
          <w:rFonts w:ascii="Times New Roman" w:eastAsia="宋体" w:hAnsi="Times New Roman" w:cs="Times New Roman" w:hint="eastAsia"/>
          <w:sz w:val="24"/>
          <w:szCs w:val="24"/>
        </w:rPr>
        <w:t>，项目拟建地</w:t>
      </w:r>
      <w:r>
        <w:rPr>
          <w:rFonts w:ascii="Times New Roman" w:eastAsia="宋体" w:hAnsi="Times New Roman" w:cs="Times New Roman"/>
          <w:sz w:val="24"/>
          <w:szCs w:val="24"/>
        </w:rPr>
        <w:t>区域地表水</w:t>
      </w:r>
      <w:r>
        <w:rPr>
          <w:rFonts w:ascii="Times New Roman" w:eastAsia="宋体" w:hAnsi="Times New Roman" w:cs="Times New Roman" w:hint="eastAsia"/>
          <w:sz w:val="24"/>
          <w:szCs w:val="24"/>
        </w:rPr>
        <w:t>环境</w:t>
      </w:r>
      <w:r>
        <w:rPr>
          <w:rFonts w:ascii="Times New Roman" w:eastAsia="宋体" w:hAnsi="Times New Roman" w:cs="Times New Roman"/>
          <w:sz w:val="24"/>
          <w:szCs w:val="24"/>
        </w:rPr>
        <w:t>质量较好。</w:t>
      </w:r>
    </w:p>
    <w:p w14:paraId="2DE709D6" w14:textId="77777777" w:rsidR="00D12939" w:rsidRDefault="004F47F5">
      <w:pPr>
        <w:pStyle w:val="2"/>
        <w:spacing w:line="360" w:lineRule="auto"/>
        <w:ind w:firstLineChars="165" w:firstLine="462"/>
        <w:rPr>
          <w:sz w:val="28"/>
        </w:rPr>
      </w:pPr>
      <w:bookmarkStart w:id="691" w:name="_Toc121411841"/>
      <w:bookmarkStart w:id="692" w:name="_Toc41343058"/>
      <w:r>
        <w:rPr>
          <w:rFonts w:hint="eastAsia"/>
          <w:sz w:val="28"/>
        </w:rPr>
        <w:t>1</w:t>
      </w:r>
      <w:r>
        <w:rPr>
          <w:sz w:val="28"/>
        </w:rPr>
        <w:t>2.3</w:t>
      </w:r>
      <w:r>
        <w:rPr>
          <w:rFonts w:hint="eastAsia"/>
          <w:sz w:val="28"/>
        </w:rPr>
        <w:t>环境</w:t>
      </w:r>
      <w:r>
        <w:rPr>
          <w:sz w:val="28"/>
        </w:rPr>
        <w:t>影响评价结论</w:t>
      </w:r>
      <w:bookmarkEnd w:id="691"/>
      <w:bookmarkEnd w:id="692"/>
    </w:p>
    <w:p w14:paraId="13712366"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93" w:name="_Toc41343059"/>
      <w:bookmarkStart w:id="694" w:name="_Toc121411842"/>
      <w:r>
        <w:rPr>
          <w:rFonts w:ascii="Times New Roman" w:eastAsia="黑体" w:hAnsi="Times New Roman" w:cs="Times New Roman" w:hint="eastAsia"/>
          <w:b w:val="0"/>
          <w:sz w:val="24"/>
        </w:rPr>
        <w:t>1</w:t>
      </w:r>
      <w:r>
        <w:rPr>
          <w:rFonts w:ascii="Times New Roman" w:eastAsia="黑体" w:hAnsi="Times New Roman" w:cs="Times New Roman"/>
          <w:b w:val="0"/>
          <w:sz w:val="24"/>
        </w:rPr>
        <w:t>2.3.1</w:t>
      </w:r>
      <w:r>
        <w:rPr>
          <w:rFonts w:ascii="Times New Roman" w:eastAsia="黑体" w:hAnsi="Times New Roman" w:cs="Times New Roman" w:hint="eastAsia"/>
          <w:b w:val="0"/>
          <w:sz w:val="24"/>
        </w:rPr>
        <w:t>大气</w:t>
      </w:r>
      <w:r>
        <w:rPr>
          <w:rFonts w:ascii="Times New Roman" w:eastAsia="黑体" w:hAnsi="Times New Roman" w:cs="Times New Roman"/>
          <w:b w:val="0"/>
          <w:sz w:val="24"/>
        </w:rPr>
        <w:t>环境影响评价结论</w:t>
      </w:r>
      <w:bookmarkEnd w:id="693"/>
      <w:bookmarkEnd w:id="694"/>
    </w:p>
    <w:p w14:paraId="7667AC8F" w14:textId="77777777" w:rsidR="00D12939" w:rsidRDefault="004F47F5">
      <w:pPr>
        <w:pStyle w:val="af5"/>
        <w:spacing w:after="0" w:line="360" w:lineRule="auto"/>
        <w:ind w:firstLine="480"/>
        <w:rPr>
          <w:kern w:val="2"/>
          <w:szCs w:val="22"/>
        </w:rPr>
      </w:pPr>
      <w:r>
        <w:rPr>
          <w:kern w:val="2"/>
          <w:szCs w:val="22"/>
        </w:rPr>
        <w:t>本项目运营期所产生的废气主要为</w:t>
      </w:r>
      <w:r>
        <w:rPr>
          <w:rFonts w:hint="eastAsia"/>
          <w:kern w:val="2"/>
          <w:szCs w:val="22"/>
        </w:rPr>
        <w:t>填埋废气、调节池和渗滤液处理站恶臭、填埋作业扬尘和垃圾填埋场恶臭</w:t>
      </w:r>
      <w:r>
        <w:rPr>
          <w:kern w:val="2"/>
          <w:szCs w:val="22"/>
        </w:rPr>
        <w:t>。</w:t>
      </w:r>
    </w:p>
    <w:p w14:paraId="0253E61C" w14:textId="3B648A40" w:rsidR="00D12939" w:rsidRDefault="004F47F5">
      <w:pPr>
        <w:pStyle w:val="affffffffe"/>
        <w:ind w:firstLine="496"/>
        <w:rPr>
          <w:rStyle w:val="3CharCharCharCharCharChar2"/>
          <w:color w:val="auto"/>
        </w:rPr>
      </w:pPr>
      <w:r>
        <w:rPr>
          <w:color w:val="auto"/>
        </w:rPr>
        <w:t>填埋场废气主要成分为</w:t>
      </w:r>
      <w:r>
        <w:rPr>
          <w:color w:val="auto"/>
        </w:rPr>
        <w:t>CH</w:t>
      </w:r>
      <w:r>
        <w:rPr>
          <w:color w:val="auto"/>
          <w:vertAlign w:val="subscript"/>
        </w:rPr>
        <w:t>4</w:t>
      </w:r>
      <w:r>
        <w:rPr>
          <w:color w:val="auto"/>
        </w:rPr>
        <w:t>、</w:t>
      </w:r>
      <w:r>
        <w:rPr>
          <w:color w:val="auto"/>
        </w:rPr>
        <w:t>CO</w:t>
      </w:r>
      <w:r>
        <w:rPr>
          <w:color w:val="auto"/>
          <w:vertAlign w:val="subscript"/>
        </w:rPr>
        <w:t>2</w:t>
      </w:r>
      <w:r>
        <w:rPr>
          <w:rStyle w:val="3CharCharCharCharCharChar2"/>
          <w:color w:val="auto"/>
        </w:rPr>
        <w:t>，</w:t>
      </w:r>
      <w:r>
        <w:rPr>
          <w:rFonts w:hint="eastAsia"/>
          <w:color w:val="auto"/>
        </w:rPr>
        <w:t>项目初步设计中前期不考虑填埋气体的利用，采用导气石笼收集导排垃圾降解时产生的填埋气体，后期气体浓度局部较高时采用燃烧处理</w:t>
      </w:r>
      <w:r>
        <w:rPr>
          <w:rStyle w:val="3CharCharCharCharCharChar2"/>
          <w:color w:val="auto"/>
        </w:rPr>
        <w:t>；</w:t>
      </w:r>
      <w:r>
        <w:rPr>
          <w:color w:val="auto"/>
        </w:rPr>
        <w:t>渗滤液处理过程中产生恶臭，主要成分是</w:t>
      </w:r>
      <w:r>
        <w:rPr>
          <w:color w:val="auto"/>
        </w:rPr>
        <w:t>H</w:t>
      </w:r>
      <w:r>
        <w:rPr>
          <w:color w:val="auto"/>
          <w:vertAlign w:val="subscript"/>
        </w:rPr>
        <w:t>2</w:t>
      </w:r>
      <w:r>
        <w:rPr>
          <w:color w:val="auto"/>
        </w:rPr>
        <w:t>S</w:t>
      </w:r>
      <w:r>
        <w:rPr>
          <w:color w:val="auto"/>
        </w:rPr>
        <w:t>、</w:t>
      </w:r>
      <w:r>
        <w:rPr>
          <w:color w:val="auto"/>
        </w:rPr>
        <w:t>NH</w:t>
      </w:r>
      <w:r>
        <w:rPr>
          <w:color w:val="auto"/>
          <w:vertAlign w:val="subscript"/>
        </w:rPr>
        <w:t>3</w:t>
      </w:r>
      <w:r>
        <w:rPr>
          <w:rStyle w:val="3CharCharCharCharCharChar2"/>
          <w:color w:val="auto"/>
        </w:rPr>
        <w:t>，</w:t>
      </w:r>
      <w:r>
        <w:rPr>
          <w:color w:val="auto"/>
        </w:rPr>
        <w:t>渗滤液调节池</w:t>
      </w:r>
      <w:r>
        <w:rPr>
          <w:rFonts w:hint="eastAsia"/>
          <w:color w:val="auto"/>
        </w:rPr>
        <w:t>和渗滤液处理站均</w:t>
      </w:r>
      <w:r>
        <w:rPr>
          <w:color w:val="auto"/>
        </w:rPr>
        <w:t>加盖封闭</w:t>
      </w:r>
      <w:r>
        <w:rPr>
          <w:rFonts w:hint="eastAsia"/>
          <w:color w:val="auto"/>
        </w:rPr>
        <w:t>，恶臭气体经收集后进入离子除臭系统，处理达标的尾气经过</w:t>
      </w:r>
      <w:r>
        <w:rPr>
          <w:rFonts w:hint="eastAsia"/>
          <w:color w:val="auto"/>
        </w:rPr>
        <w:t>1</w:t>
      </w:r>
      <w:r>
        <w:rPr>
          <w:color w:val="auto"/>
        </w:rPr>
        <w:t>5</w:t>
      </w:r>
      <w:r>
        <w:rPr>
          <w:rFonts w:hint="eastAsia"/>
          <w:color w:val="auto"/>
        </w:rPr>
        <w:t>m</w:t>
      </w:r>
      <w:r>
        <w:rPr>
          <w:rFonts w:hint="eastAsia"/>
          <w:color w:val="auto"/>
        </w:rPr>
        <w:t>高的排气筒外排。</w:t>
      </w:r>
      <w:r>
        <w:rPr>
          <w:color w:val="auto"/>
        </w:rPr>
        <w:t>垃圾装卸、填埋场作业过程中及运输车辆运行产生的扬尘，</w:t>
      </w:r>
      <w:r>
        <w:rPr>
          <w:rStyle w:val="3CharCharCharCharCharChar2"/>
          <w:color w:val="auto"/>
        </w:rPr>
        <w:t>采用定期</w:t>
      </w:r>
      <w:r>
        <w:rPr>
          <w:color w:val="auto"/>
        </w:rPr>
        <w:t>洒水</w:t>
      </w:r>
      <w:r>
        <w:rPr>
          <w:rStyle w:val="3CharCharCharCharCharChar2"/>
          <w:color w:val="auto"/>
        </w:rPr>
        <w:t>降尘等方式降低扬尘污染。</w:t>
      </w:r>
      <w:r>
        <w:rPr>
          <w:rFonts w:hint="eastAsia"/>
          <w:color w:val="auto"/>
        </w:rPr>
        <w:t>垃圾处理过程中产生的恶臭气体主要是垃圾中的有机物质分解产生的，主要有</w:t>
      </w:r>
      <w:r>
        <w:rPr>
          <w:rFonts w:hint="eastAsia"/>
          <w:color w:val="auto"/>
        </w:rPr>
        <w:t>NH</w:t>
      </w:r>
      <w:r>
        <w:rPr>
          <w:rFonts w:hint="eastAsia"/>
          <w:color w:val="auto"/>
          <w:vertAlign w:val="subscript"/>
        </w:rPr>
        <w:t>3</w:t>
      </w:r>
      <w:r>
        <w:rPr>
          <w:rFonts w:hint="eastAsia"/>
          <w:color w:val="auto"/>
        </w:rPr>
        <w:t>、</w:t>
      </w:r>
      <w:r>
        <w:rPr>
          <w:rFonts w:hint="eastAsia"/>
          <w:color w:val="auto"/>
        </w:rPr>
        <w:t>H</w:t>
      </w:r>
      <w:r>
        <w:rPr>
          <w:rFonts w:hint="eastAsia"/>
          <w:color w:val="auto"/>
          <w:vertAlign w:val="subscript"/>
        </w:rPr>
        <w:t>2</w:t>
      </w:r>
      <w:r>
        <w:rPr>
          <w:rFonts w:hint="eastAsia"/>
          <w:color w:val="auto"/>
        </w:rPr>
        <w:t>S</w:t>
      </w:r>
      <w:r>
        <w:rPr>
          <w:rFonts w:hint="eastAsia"/>
          <w:color w:val="auto"/>
        </w:rPr>
        <w:t>等气体，主要产生于垃圾的厌氧过程，定期喷洒药物，喷洒消臭、脱臭剂和杀虫剂，减少恶臭气体挥发。</w:t>
      </w:r>
    </w:p>
    <w:p w14:paraId="67AF72E5" w14:textId="77777777" w:rsidR="00D12939" w:rsidRDefault="004F47F5">
      <w:pPr>
        <w:spacing w:line="360" w:lineRule="auto"/>
        <w:ind w:firstLineChars="200" w:firstLine="420"/>
        <w:rPr>
          <w:rFonts w:ascii="Times New Roman" w:eastAsia="宋体" w:hAnsi="Times New Roman" w:cs="Times New Roman"/>
          <w:sz w:val="24"/>
        </w:rPr>
      </w:pPr>
      <w:r>
        <w:t>本</w:t>
      </w:r>
      <w:r>
        <w:rPr>
          <w:rFonts w:hint="eastAsia"/>
        </w:rPr>
        <w:t>项目</w:t>
      </w:r>
      <w:r>
        <w:rPr>
          <w:rFonts w:ascii="Times New Roman" w:eastAsia="宋体" w:hAnsi="Times New Roman" w:cs="Times New Roman"/>
          <w:sz w:val="24"/>
        </w:rPr>
        <w:t>本项目填埋场</w:t>
      </w:r>
      <w:r>
        <w:rPr>
          <w:rFonts w:ascii="Times New Roman" w:eastAsia="宋体" w:hAnsi="Times New Roman" w:cs="Times New Roman" w:hint="eastAsia"/>
          <w:sz w:val="24"/>
        </w:rPr>
        <w:t>填埋废气在未点燃的状态下，</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1.24E-02</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6.20%</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7.44E-04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7.44%</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248m</w:t>
      </w:r>
      <w:r>
        <w:rPr>
          <w:rFonts w:ascii="Times New Roman" w:eastAsia="宋体" w:hAnsi="Times New Roman" w:cs="Times New Roman"/>
          <w:sz w:val="24"/>
        </w:rPr>
        <w:t>处。填埋场</w:t>
      </w:r>
      <w:r>
        <w:rPr>
          <w:rFonts w:ascii="Times New Roman" w:eastAsia="宋体" w:hAnsi="Times New Roman" w:cs="Times New Roman" w:hint="eastAsia"/>
          <w:sz w:val="24"/>
        </w:rPr>
        <w:t>填埋废气在点燃的状态下，</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2.79E-03</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1.39%</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1.67E-04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1.67%</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220m</w:t>
      </w:r>
      <w:r>
        <w:rPr>
          <w:rFonts w:ascii="Times New Roman" w:eastAsia="宋体" w:hAnsi="Times New Roman" w:cs="Times New Roman"/>
          <w:sz w:val="24"/>
        </w:rPr>
        <w:t>处。</w:t>
      </w:r>
      <w:r>
        <w:rPr>
          <w:rFonts w:ascii="Times New Roman" w:eastAsia="宋体" w:hAnsi="Times New Roman" w:cs="Times New Roman" w:hint="eastAsia"/>
          <w:sz w:val="24"/>
        </w:rPr>
        <w:t>调节池无组织排放的</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7.29E-03</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3.65%</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1.01E-04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1.01%</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16m</w:t>
      </w:r>
      <w:r>
        <w:rPr>
          <w:rFonts w:ascii="Times New Roman" w:eastAsia="宋体" w:hAnsi="Times New Roman" w:cs="Times New Roman"/>
          <w:sz w:val="24"/>
        </w:rPr>
        <w:t>处。</w:t>
      </w:r>
      <w:r>
        <w:rPr>
          <w:rFonts w:ascii="Times New Roman" w:eastAsia="宋体" w:hAnsi="Times New Roman" w:cs="Times New Roman" w:hint="eastAsia"/>
          <w:sz w:val="24"/>
        </w:rPr>
        <w:t>渗滤液处理站无组织排放的</w:t>
      </w:r>
      <w:r>
        <w:rPr>
          <w:rFonts w:ascii="Times New Roman" w:eastAsia="宋体" w:hAnsi="Times New Roman" w:cs="Times New Roman"/>
          <w:sz w:val="24"/>
        </w:rPr>
        <w:t>NH</w:t>
      </w:r>
      <w:r>
        <w:rPr>
          <w:rFonts w:ascii="Times New Roman" w:eastAsia="宋体" w:hAnsi="Times New Roman" w:cs="Times New Roman"/>
          <w:sz w:val="24"/>
          <w:vertAlign w:val="subscript"/>
        </w:rPr>
        <w:t>3</w:t>
      </w:r>
      <w:r>
        <w:rPr>
          <w:rFonts w:ascii="Times New Roman" w:eastAsia="宋体" w:hAnsi="Times New Roman" w:cs="Times New Roman"/>
          <w:sz w:val="24"/>
        </w:rPr>
        <w:t>最大浓度为</w:t>
      </w:r>
      <w:r>
        <w:rPr>
          <w:rFonts w:ascii="Times New Roman" w:eastAsia="宋体" w:hAnsi="Times New Roman" w:cs="Times New Roman"/>
          <w:sz w:val="24"/>
          <w:szCs w:val="24"/>
        </w:rPr>
        <w:t>1.12E-02</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5.44%</w:t>
      </w:r>
      <w:r>
        <w:rPr>
          <w:rFonts w:ascii="Times New Roman" w:eastAsia="宋体" w:hAnsi="Times New Roman" w:cs="Times New Roman" w:hint="eastAsia"/>
          <w:sz w:val="24"/>
          <w:szCs w:val="24"/>
        </w:rPr>
        <w:t>；</w:t>
      </w:r>
      <w:r>
        <w:rPr>
          <w:rFonts w:ascii="Times New Roman" w:eastAsia="宋体" w:hAnsi="Times New Roman" w:cs="Times New Roman"/>
          <w:sz w:val="24"/>
        </w:rPr>
        <w:t>H</w:t>
      </w:r>
      <w:r>
        <w:rPr>
          <w:rFonts w:ascii="Times New Roman" w:eastAsia="宋体" w:hAnsi="Times New Roman" w:cs="Times New Roman"/>
          <w:sz w:val="24"/>
          <w:vertAlign w:val="subscript"/>
        </w:rPr>
        <w:t>2</w:t>
      </w:r>
      <w:r>
        <w:rPr>
          <w:rFonts w:ascii="Times New Roman" w:eastAsia="宋体" w:hAnsi="Times New Roman" w:cs="Times New Roman"/>
          <w:sz w:val="24"/>
        </w:rPr>
        <w:t>S</w:t>
      </w:r>
      <w:r>
        <w:rPr>
          <w:rFonts w:ascii="Times New Roman" w:eastAsia="宋体" w:hAnsi="Times New Roman" w:cs="Times New Roman"/>
          <w:sz w:val="24"/>
        </w:rPr>
        <w:t>最大浓度为</w:t>
      </w:r>
      <w:r>
        <w:rPr>
          <w:rFonts w:ascii="Times New Roman" w:eastAsia="宋体" w:hAnsi="Times New Roman" w:cs="Times New Roman"/>
          <w:sz w:val="24"/>
          <w:szCs w:val="24"/>
        </w:rPr>
        <w:t>1.58E-04</w:t>
      </w:r>
      <w:r>
        <w:rPr>
          <w:rFonts w:ascii="Times New Roman" w:eastAsia="宋体" w:hAnsi="Times New Roman" w:cs="Times New Roman" w:hint="eastAsia"/>
          <w:sz w:val="24"/>
          <w:szCs w:val="24"/>
        </w:rPr>
        <w:t>m</w:t>
      </w:r>
      <w:r>
        <w:rPr>
          <w:rFonts w:ascii="Times New Roman" w:eastAsia="宋体" w:hAnsi="Times New Roman" w:cs="Times New Roman"/>
          <w:sz w:val="24"/>
          <w:szCs w:val="24"/>
        </w:rPr>
        <w:t>g/m</w:t>
      </w:r>
      <w:r>
        <w:rPr>
          <w:rFonts w:ascii="Times New Roman" w:eastAsia="宋体" w:hAnsi="Times New Roman" w:cs="Times New Roman"/>
          <w:sz w:val="24"/>
          <w:szCs w:val="24"/>
          <w:vertAlign w:val="superscript"/>
        </w:rPr>
        <w:t>3</w:t>
      </w:r>
      <w:r>
        <w:rPr>
          <w:rFonts w:ascii="Times New Roman" w:eastAsia="宋体" w:hAnsi="Times New Roman" w:cs="Times New Roman"/>
          <w:sz w:val="24"/>
          <w:szCs w:val="24"/>
        </w:rPr>
        <w:t>，占标率为</w:t>
      </w:r>
      <w:r>
        <w:rPr>
          <w:rFonts w:ascii="Times New Roman" w:eastAsia="宋体" w:hAnsi="Times New Roman" w:cs="Times New Roman"/>
          <w:sz w:val="24"/>
          <w:szCs w:val="24"/>
        </w:rPr>
        <w:t>1.58%</w:t>
      </w:r>
      <w:r>
        <w:rPr>
          <w:rFonts w:ascii="Times New Roman" w:eastAsia="宋体" w:hAnsi="Times New Roman" w:cs="Times New Roman" w:hint="eastAsia"/>
          <w:sz w:val="24"/>
        </w:rPr>
        <w:t>，</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21m</w:t>
      </w:r>
      <w:r>
        <w:rPr>
          <w:rFonts w:ascii="Times New Roman" w:eastAsia="宋体" w:hAnsi="Times New Roman" w:cs="Times New Roman"/>
          <w:sz w:val="24"/>
        </w:rPr>
        <w:t>处。</w:t>
      </w:r>
      <w:r>
        <w:rPr>
          <w:rFonts w:ascii="Times New Roman" w:eastAsia="宋体" w:hAnsi="Times New Roman" w:cs="Times New Roman" w:hint="eastAsia"/>
          <w:sz w:val="24"/>
        </w:rPr>
        <w:t>填埋区</w:t>
      </w:r>
      <w:r>
        <w:rPr>
          <w:rFonts w:ascii="Times New Roman" w:eastAsia="宋体" w:hAnsi="Times New Roman" w:cs="Times New Roman"/>
          <w:sz w:val="24"/>
        </w:rPr>
        <w:t>无组织粉尘最大落地浓度为</w:t>
      </w:r>
      <w:r>
        <w:rPr>
          <w:rFonts w:ascii="Times New Roman" w:eastAsia="宋体" w:hAnsi="Times New Roman" w:cs="Times New Roman"/>
          <w:sz w:val="24"/>
        </w:rPr>
        <w:t>2.38E-03</w:t>
      </w:r>
      <w:r>
        <w:rPr>
          <w:rFonts w:ascii="Times New Roman" w:eastAsia="宋体" w:hAnsi="Times New Roman" w:cs="Times New Roman" w:hint="eastAsia"/>
          <w:sz w:val="24"/>
        </w:rPr>
        <w:t>m</w:t>
      </w:r>
      <w:r>
        <w:rPr>
          <w:rFonts w:ascii="Times New Roman" w:eastAsia="宋体" w:hAnsi="Times New Roman" w:cs="Times New Roman"/>
          <w:sz w:val="24"/>
        </w:rPr>
        <w:t>g/m</w:t>
      </w:r>
      <w:r>
        <w:rPr>
          <w:rFonts w:ascii="Times New Roman" w:eastAsia="宋体" w:hAnsi="Times New Roman" w:cs="Times New Roman"/>
          <w:sz w:val="24"/>
          <w:vertAlign w:val="superscript"/>
        </w:rPr>
        <w:t>3</w:t>
      </w:r>
      <w:r>
        <w:rPr>
          <w:rFonts w:ascii="Times New Roman" w:eastAsia="宋体" w:hAnsi="Times New Roman" w:cs="Times New Roman"/>
          <w:sz w:val="24"/>
        </w:rPr>
        <w:t>，占标率为</w:t>
      </w:r>
      <w:r>
        <w:rPr>
          <w:rFonts w:ascii="Times New Roman" w:eastAsia="宋体" w:hAnsi="Times New Roman" w:cs="Times New Roman"/>
          <w:sz w:val="24"/>
        </w:rPr>
        <w:t>0.26%</w:t>
      </w:r>
      <w:r>
        <w:rPr>
          <w:rFonts w:ascii="Times New Roman" w:eastAsia="宋体" w:hAnsi="Times New Roman" w:cs="Times New Roman"/>
          <w:sz w:val="24"/>
        </w:rPr>
        <w:t>，最大浓度出现的距离为源中心下方向</w:t>
      </w:r>
      <w:r>
        <w:rPr>
          <w:rFonts w:ascii="Times New Roman" w:eastAsia="宋体" w:hAnsi="Times New Roman" w:cs="Times New Roman"/>
          <w:sz w:val="24"/>
        </w:rPr>
        <w:t>220m</w:t>
      </w:r>
      <w:r>
        <w:rPr>
          <w:rFonts w:ascii="Times New Roman" w:eastAsia="宋体" w:hAnsi="Times New Roman" w:cs="Times New Roman"/>
          <w:sz w:val="24"/>
        </w:rPr>
        <w:t>处。</w:t>
      </w:r>
    </w:p>
    <w:p w14:paraId="50D7BA45" w14:textId="77777777" w:rsidR="00D12939" w:rsidRDefault="004F47F5">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本项目无组织排放中各污染源的各污染物预测最大落地浓度均满足</w:t>
      </w:r>
      <w:r>
        <w:rPr>
          <w:rFonts w:ascii="Times New Roman" w:eastAsia="宋体" w:hAnsi="Times New Roman" w:cs="Times New Roman"/>
          <w:sz w:val="24"/>
        </w:rPr>
        <w:t>《环境影响评价技术导则</w:t>
      </w:r>
      <w:r>
        <w:rPr>
          <w:rFonts w:ascii="Times New Roman" w:eastAsia="宋体" w:hAnsi="Times New Roman" w:cs="Times New Roman"/>
          <w:sz w:val="24"/>
        </w:rPr>
        <w:t>·</w:t>
      </w:r>
      <w:r>
        <w:rPr>
          <w:rFonts w:ascii="Times New Roman" w:eastAsia="宋体" w:hAnsi="Times New Roman" w:cs="Times New Roman"/>
          <w:sz w:val="24"/>
        </w:rPr>
        <w:t>大气环境》（</w:t>
      </w:r>
      <w:r>
        <w:rPr>
          <w:rFonts w:ascii="Times New Roman" w:eastAsia="宋体" w:hAnsi="Times New Roman" w:cs="Times New Roman"/>
          <w:sz w:val="24"/>
        </w:rPr>
        <w:t>HJ2.2-2018</w:t>
      </w:r>
      <w:r>
        <w:rPr>
          <w:rFonts w:ascii="Times New Roman" w:eastAsia="宋体" w:hAnsi="Times New Roman" w:cs="Times New Roman"/>
          <w:sz w:val="24"/>
        </w:rPr>
        <w:t>）附录</w:t>
      </w:r>
      <w:r>
        <w:rPr>
          <w:rFonts w:ascii="Times New Roman" w:eastAsia="宋体" w:hAnsi="Times New Roman" w:cs="Times New Roman"/>
          <w:sz w:val="24"/>
        </w:rPr>
        <w:t>D</w:t>
      </w:r>
      <w:r>
        <w:rPr>
          <w:rFonts w:ascii="Times New Roman" w:eastAsia="宋体" w:hAnsi="Times New Roman" w:cs="Times New Roman" w:hint="eastAsia"/>
          <w:sz w:val="24"/>
        </w:rPr>
        <w:t>，其中</w:t>
      </w:r>
      <w:r>
        <w:rPr>
          <w:rFonts w:ascii="Times New Roman" w:eastAsia="宋体" w:hAnsi="Times New Roman" w:cs="Times New Roman"/>
          <w:sz w:val="24"/>
        </w:rPr>
        <w:t>TSP</w:t>
      </w:r>
      <w:r>
        <w:rPr>
          <w:rFonts w:ascii="Times New Roman" w:eastAsia="宋体" w:hAnsi="Times New Roman" w:cs="Times New Roman" w:hint="eastAsia"/>
          <w:sz w:val="24"/>
        </w:rPr>
        <w:t>预测最大落地</w:t>
      </w:r>
      <w:r>
        <w:rPr>
          <w:rFonts w:ascii="Times New Roman" w:eastAsia="宋体" w:hAnsi="Times New Roman" w:cs="Times New Roman"/>
          <w:sz w:val="24"/>
        </w:rPr>
        <w:t>浓度值满足环境空气质量标准》（</w:t>
      </w:r>
      <w:r>
        <w:rPr>
          <w:rFonts w:ascii="Times New Roman" w:eastAsia="宋体" w:hAnsi="Times New Roman" w:cs="Times New Roman"/>
          <w:sz w:val="24"/>
        </w:rPr>
        <w:t>GB3095-2012</w:t>
      </w:r>
      <w:r>
        <w:rPr>
          <w:rFonts w:ascii="Times New Roman" w:eastAsia="宋体" w:hAnsi="Times New Roman" w:cs="Times New Roman"/>
          <w:sz w:val="24"/>
        </w:rPr>
        <w:t>）中相关标准，因此</w:t>
      </w:r>
      <w:r>
        <w:rPr>
          <w:rFonts w:ascii="Times New Roman" w:eastAsia="宋体" w:hAnsi="Times New Roman" w:cs="Times New Roman" w:hint="eastAsia"/>
          <w:sz w:val="24"/>
        </w:rPr>
        <w:t>本项目废气</w:t>
      </w:r>
      <w:r>
        <w:rPr>
          <w:rFonts w:ascii="Times New Roman" w:eastAsia="宋体" w:hAnsi="Times New Roman" w:cs="Times New Roman"/>
          <w:sz w:val="24"/>
        </w:rPr>
        <w:t>对周围环境的影响较小。</w:t>
      </w:r>
    </w:p>
    <w:p w14:paraId="7F11DC4D"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95" w:name="_Toc41343060"/>
      <w:bookmarkStart w:id="696" w:name="_Toc121411843"/>
      <w:r>
        <w:rPr>
          <w:rFonts w:ascii="Times New Roman" w:eastAsia="黑体" w:hAnsi="Times New Roman" w:cs="Times New Roman" w:hint="eastAsia"/>
          <w:b w:val="0"/>
          <w:sz w:val="24"/>
        </w:rPr>
        <w:t>1</w:t>
      </w:r>
      <w:r>
        <w:rPr>
          <w:rFonts w:ascii="Times New Roman" w:eastAsia="黑体" w:hAnsi="Times New Roman" w:cs="Times New Roman"/>
          <w:b w:val="0"/>
          <w:sz w:val="24"/>
        </w:rPr>
        <w:t>2.3.2</w:t>
      </w:r>
      <w:r>
        <w:rPr>
          <w:rFonts w:ascii="Times New Roman" w:eastAsia="黑体" w:hAnsi="Times New Roman" w:cs="Times New Roman" w:hint="eastAsia"/>
          <w:b w:val="0"/>
          <w:sz w:val="24"/>
        </w:rPr>
        <w:t>地表水</w:t>
      </w:r>
      <w:r>
        <w:rPr>
          <w:rFonts w:ascii="Times New Roman" w:eastAsia="黑体" w:hAnsi="Times New Roman" w:cs="Times New Roman"/>
          <w:b w:val="0"/>
          <w:sz w:val="24"/>
        </w:rPr>
        <w:t>环境影响分析结论</w:t>
      </w:r>
      <w:bookmarkEnd w:id="695"/>
      <w:bookmarkEnd w:id="696"/>
    </w:p>
    <w:p w14:paraId="6B3D841C" w14:textId="77777777" w:rsidR="00D12939" w:rsidRDefault="004F47F5">
      <w:pPr>
        <w:autoSpaceDE w:val="0"/>
        <w:autoSpaceDN w:val="0"/>
        <w:adjustRightInd w:val="0"/>
        <w:spacing w:line="360" w:lineRule="auto"/>
        <w:ind w:firstLineChars="200" w:firstLine="480"/>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项目运营期废水主要有垃圾渗滤液、渗滤液处理站反冲洗废水、渗滤液处理站地面冲洗废水、洗车废水和员工生活污水。员工生活污水经化粪池处理后和反冲洗废水、地面冲洗废水、垃圾渗滤液均进入渗滤液处理站进行处理，洗车废水经简单沉淀后回用于填埋场洒水抑尘。根据水平衡，最后进入渗滤液处理站的废水量为</w:t>
      </w:r>
      <w:r>
        <w:rPr>
          <w:rFonts w:ascii="Times New Roman" w:eastAsia="宋体" w:hAnsi="Times New Roman" w:cs="Times New Roman"/>
          <w:sz w:val="24"/>
          <w:szCs w:val="18"/>
        </w:rPr>
        <w:t>47.704m</w:t>
      </w:r>
      <w:r>
        <w:rPr>
          <w:rFonts w:ascii="Times New Roman" w:eastAsia="宋体" w:hAnsi="Times New Roman" w:cs="Times New Roman"/>
          <w:sz w:val="24"/>
          <w:szCs w:val="18"/>
          <w:vertAlign w:val="superscript"/>
        </w:rPr>
        <w:t>3</w:t>
      </w:r>
      <w:r>
        <w:rPr>
          <w:rFonts w:ascii="Times New Roman" w:eastAsia="宋体" w:hAnsi="Times New Roman" w:cs="Times New Roman"/>
          <w:sz w:val="24"/>
          <w:szCs w:val="18"/>
        </w:rPr>
        <w:t>/d</w:t>
      </w:r>
      <w:r>
        <w:rPr>
          <w:rFonts w:ascii="Times New Roman" w:eastAsia="宋体" w:hAnsi="Times New Roman" w:cs="Times New Roman"/>
          <w:sz w:val="24"/>
          <w:szCs w:val="18"/>
        </w:rPr>
        <w:t>，渗滤液处理站设计规模为</w:t>
      </w:r>
      <w:r>
        <w:rPr>
          <w:rFonts w:ascii="Times New Roman" w:eastAsia="宋体" w:hAnsi="Times New Roman" w:cs="Times New Roman"/>
          <w:sz w:val="24"/>
          <w:szCs w:val="18"/>
        </w:rPr>
        <w:t>65m</w:t>
      </w:r>
      <w:r>
        <w:rPr>
          <w:rFonts w:ascii="Times New Roman" w:eastAsia="宋体" w:hAnsi="Times New Roman" w:cs="Times New Roman"/>
          <w:sz w:val="24"/>
          <w:szCs w:val="18"/>
          <w:vertAlign w:val="superscript"/>
        </w:rPr>
        <w:t>3</w:t>
      </w:r>
      <w:r>
        <w:rPr>
          <w:rFonts w:ascii="Times New Roman" w:eastAsia="宋体" w:hAnsi="Times New Roman" w:cs="Times New Roman"/>
          <w:sz w:val="24"/>
          <w:szCs w:val="18"/>
        </w:rPr>
        <w:t>/d</w:t>
      </w:r>
      <w:r>
        <w:rPr>
          <w:rFonts w:ascii="Times New Roman" w:eastAsia="宋体" w:hAnsi="Times New Roman" w:cs="Times New Roman"/>
          <w:sz w:val="24"/>
          <w:szCs w:val="18"/>
        </w:rPr>
        <w:t>，处理工艺为</w:t>
      </w:r>
      <w:r>
        <w:rPr>
          <w:rFonts w:ascii="Times New Roman" w:eastAsia="宋体" w:hAnsi="Times New Roman" w:cs="Times New Roman"/>
          <w:sz w:val="24"/>
        </w:rPr>
        <w:t>预处理</w:t>
      </w:r>
      <w:r>
        <w:rPr>
          <w:rFonts w:ascii="Times New Roman" w:eastAsia="宋体" w:hAnsi="Times New Roman" w:cs="Times New Roman"/>
          <w:sz w:val="24"/>
        </w:rPr>
        <w:t>-</w:t>
      </w:r>
      <w:r>
        <w:rPr>
          <w:rFonts w:ascii="Times New Roman" w:eastAsia="宋体" w:hAnsi="Times New Roman" w:cs="Times New Roman"/>
          <w:sz w:val="24"/>
        </w:rPr>
        <w:t>一体化反应池</w:t>
      </w:r>
      <w:r>
        <w:rPr>
          <w:rFonts w:ascii="Times New Roman" w:eastAsia="宋体" w:hAnsi="Times New Roman" w:cs="Times New Roman"/>
          <w:sz w:val="24"/>
        </w:rPr>
        <w:t>-</w:t>
      </w:r>
      <w:r>
        <w:rPr>
          <w:rFonts w:ascii="Times New Roman" w:eastAsia="宋体" w:hAnsi="Times New Roman" w:cs="Times New Roman"/>
          <w:sz w:val="24"/>
        </w:rPr>
        <w:t>气浮</w:t>
      </w:r>
      <w:r>
        <w:rPr>
          <w:rFonts w:ascii="Times New Roman" w:eastAsia="宋体" w:hAnsi="Times New Roman" w:cs="Times New Roman"/>
          <w:sz w:val="24"/>
        </w:rPr>
        <w:t>-</w:t>
      </w:r>
      <w:r>
        <w:rPr>
          <w:rFonts w:ascii="Times New Roman" w:eastAsia="宋体" w:hAnsi="Times New Roman" w:cs="Times New Roman"/>
          <w:sz w:val="24"/>
        </w:rPr>
        <w:t>斜板沉淀</w:t>
      </w:r>
      <w:r>
        <w:rPr>
          <w:rFonts w:ascii="Times New Roman" w:eastAsia="宋体" w:hAnsi="Times New Roman" w:cs="Times New Roman"/>
          <w:sz w:val="24"/>
        </w:rPr>
        <w:t>-A</w:t>
      </w:r>
      <w:r>
        <w:rPr>
          <w:rFonts w:ascii="Times New Roman" w:eastAsia="宋体" w:hAnsi="Times New Roman" w:cs="Times New Roman"/>
          <w:sz w:val="24"/>
          <w:vertAlign w:val="superscript"/>
        </w:rPr>
        <w:t>2</w:t>
      </w:r>
      <w:r>
        <w:rPr>
          <w:rFonts w:ascii="Times New Roman" w:eastAsia="宋体" w:hAnsi="Times New Roman" w:cs="Times New Roman"/>
          <w:sz w:val="24"/>
        </w:rPr>
        <w:t>/O-MBR</w:t>
      </w:r>
      <w:r>
        <w:rPr>
          <w:rFonts w:ascii="Times New Roman" w:eastAsia="宋体" w:hAnsi="Times New Roman" w:cs="Times New Roman"/>
          <w:sz w:val="24"/>
        </w:rPr>
        <w:t>膜池</w:t>
      </w:r>
      <w:r>
        <w:rPr>
          <w:rFonts w:ascii="Times New Roman" w:eastAsia="宋体" w:hAnsi="Times New Roman" w:cs="Times New Roman"/>
          <w:sz w:val="24"/>
        </w:rPr>
        <w:t>-</w:t>
      </w:r>
      <w:r>
        <w:rPr>
          <w:rFonts w:ascii="Times New Roman" w:eastAsia="宋体" w:hAnsi="Times New Roman" w:cs="Times New Roman"/>
          <w:sz w:val="24"/>
        </w:rPr>
        <w:t>纳滤</w:t>
      </w:r>
      <w:r>
        <w:rPr>
          <w:rFonts w:ascii="Times New Roman" w:eastAsia="宋体" w:hAnsi="Times New Roman" w:cs="Times New Roman"/>
          <w:sz w:val="24"/>
        </w:rPr>
        <w:t>-</w:t>
      </w:r>
      <w:r>
        <w:rPr>
          <w:rFonts w:ascii="Times New Roman" w:eastAsia="宋体" w:hAnsi="Times New Roman" w:cs="Times New Roman"/>
          <w:sz w:val="24"/>
        </w:rPr>
        <w:t>反渗透，</w:t>
      </w:r>
      <w:r>
        <w:rPr>
          <w:rFonts w:ascii="Times New Roman" w:eastAsia="宋体" w:hAnsi="Times New Roman" w:cs="Times New Roman"/>
          <w:kern w:val="0"/>
          <w:sz w:val="24"/>
        </w:rPr>
        <w:t>填埋场渗沥液经收集处理</w:t>
      </w:r>
      <w:r>
        <w:rPr>
          <w:rFonts w:ascii="Times New Roman" w:eastAsia="宋体" w:hAnsi="Times New Roman" w:cs="Times New Roman" w:hint="eastAsia"/>
          <w:kern w:val="0"/>
          <w:sz w:val="24"/>
        </w:rPr>
        <w:t>满足《生活垃圾填埋场污染控制标准》（</w:t>
      </w:r>
      <w:r>
        <w:rPr>
          <w:rFonts w:ascii="Times New Roman" w:eastAsia="宋体" w:hAnsi="Times New Roman" w:cs="Times New Roman"/>
          <w:kern w:val="0"/>
          <w:sz w:val="24"/>
        </w:rPr>
        <w:t>GB 16889-2008</w:t>
      </w:r>
      <w:r>
        <w:rPr>
          <w:rFonts w:ascii="Times New Roman" w:eastAsia="宋体" w:hAnsi="Times New Roman" w:cs="Times New Roman"/>
          <w:kern w:val="0"/>
          <w:sz w:val="24"/>
        </w:rPr>
        <w:t>）表</w:t>
      </w:r>
      <w:r>
        <w:rPr>
          <w:rFonts w:ascii="Times New Roman" w:eastAsia="宋体" w:hAnsi="Times New Roman" w:cs="Times New Roman"/>
          <w:kern w:val="0"/>
          <w:sz w:val="24"/>
        </w:rPr>
        <w:t xml:space="preserve">2 </w:t>
      </w:r>
      <w:r>
        <w:rPr>
          <w:rFonts w:ascii="Times New Roman" w:eastAsia="宋体" w:hAnsi="Times New Roman" w:cs="Times New Roman"/>
          <w:kern w:val="0"/>
          <w:sz w:val="24"/>
        </w:rPr>
        <w:t>规定的</w:t>
      </w:r>
      <w:r>
        <w:rPr>
          <w:rFonts w:ascii="Times New Roman" w:eastAsia="宋体" w:hAnsi="Times New Roman" w:cs="Times New Roman" w:hint="eastAsia"/>
          <w:kern w:val="0"/>
          <w:sz w:val="24"/>
        </w:rPr>
        <w:t>限值</w:t>
      </w:r>
      <w:r>
        <w:rPr>
          <w:rFonts w:ascii="Times New Roman" w:eastAsia="宋体" w:hAnsi="Times New Roman" w:cs="Times New Roman"/>
          <w:kern w:val="0"/>
          <w:sz w:val="24"/>
        </w:rPr>
        <w:t>后，</w:t>
      </w:r>
      <w:r>
        <w:rPr>
          <w:rFonts w:ascii="Times New Roman" w:eastAsia="宋体" w:hAnsi="Times New Roman" w:cs="Times New Roman" w:hint="eastAsia"/>
          <w:kern w:val="0"/>
          <w:sz w:val="24"/>
        </w:rPr>
        <w:t>部分回用于库区洒水，剩余尾水</w:t>
      </w:r>
      <w:r>
        <w:rPr>
          <w:rFonts w:ascii="Times New Roman" w:eastAsia="宋体" w:hAnsi="Times New Roman" w:cs="Times New Roman"/>
          <w:kern w:val="0"/>
          <w:sz w:val="24"/>
        </w:rPr>
        <w:t>采用槽罐车运输方式，运至柞水县污水处理厂</w:t>
      </w:r>
      <w:r>
        <w:rPr>
          <w:rFonts w:ascii="Times New Roman" w:eastAsia="宋体" w:hAnsi="Times New Roman" w:cs="Times New Roman" w:hint="eastAsia"/>
          <w:kern w:val="0"/>
          <w:sz w:val="24"/>
        </w:rPr>
        <w:t>进一步处理，对地表水环境影响较小。</w:t>
      </w:r>
    </w:p>
    <w:p w14:paraId="3202160A"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97" w:name="_Toc41343061"/>
      <w:bookmarkStart w:id="698" w:name="_Toc121411844"/>
      <w:r>
        <w:rPr>
          <w:rFonts w:ascii="Times New Roman" w:eastAsia="黑体" w:hAnsi="Times New Roman" w:cs="Times New Roman" w:hint="eastAsia"/>
          <w:b w:val="0"/>
          <w:sz w:val="24"/>
        </w:rPr>
        <w:t>1</w:t>
      </w:r>
      <w:r>
        <w:rPr>
          <w:rFonts w:ascii="Times New Roman" w:eastAsia="黑体" w:hAnsi="Times New Roman" w:cs="Times New Roman"/>
          <w:b w:val="0"/>
          <w:sz w:val="24"/>
        </w:rPr>
        <w:t>2.3.3</w:t>
      </w:r>
      <w:r>
        <w:rPr>
          <w:rFonts w:ascii="Times New Roman" w:eastAsia="黑体" w:hAnsi="Times New Roman" w:cs="Times New Roman"/>
          <w:b w:val="0"/>
          <w:sz w:val="24"/>
        </w:rPr>
        <w:t>地下水环境影响分析结论</w:t>
      </w:r>
      <w:bookmarkEnd w:id="697"/>
      <w:bookmarkEnd w:id="698"/>
    </w:p>
    <w:p w14:paraId="15145ED1" w14:textId="77777777" w:rsidR="00D12939" w:rsidRDefault="004F47F5">
      <w:pPr>
        <w:pStyle w:val="affffffffe"/>
        <w:ind w:firstLine="496"/>
        <w:rPr>
          <w:color w:val="auto"/>
        </w:rPr>
      </w:pPr>
      <w:r>
        <w:rPr>
          <w:color w:val="auto"/>
        </w:rPr>
        <w:t>本项目运营期地下水污染源主要是垃圾渗滤液</w:t>
      </w:r>
      <w:r>
        <w:rPr>
          <w:rFonts w:hint="eastAsia"/>
          <w:color w:val="auto"/>
        </w:rPr>
        <w:t>，</w:t>
      </w:r>
      <w:r>
        <w:rPr>
          <w:color w:val="auto"/>
        </w:rPr>
        <w:t>项目垃圾填埋库及边坡、渗滤液调节池均采取重点防渗处理，正常工况下，污水调节池均按相关标准要求做好防渗措施，污染物不可能穿透防渗膜，对地下水无影响。</w:t>
      </w:r>
    </w:p>
    <w:p w14:paraId="498641F4" w14:textId="77777777" w:rsidR="00D12939" w:rsidRDefault="004F47F5">
      <w:pPr>
        <w:pStyle w:val="affffffffe"/>
        <w:ind w:firstLine="496"/>
        <w:rPr>
          <w:color w:val="auto"/>
        </w:rPr>
      </w:pPr>
      <w:r>
        <w:rPr>
          <w:color w:val="auto"/>
        </w:rPr>
        <w:t>非正常状况下，</w:t>
      </w:r>
      <w:r>
        <w:rPr>
          <w:snapToGrid w:val="0"/>
          <w:color w:val="auto"/>
          <w:szCs w:val="21"/>
        </w:rPr>
        <w:t>渗滤液调节池底部发生破损，渗滤液渗漏并不能及时处理</w:t>
      </w:r>
      <w:r>
        <w:rPr>
          <w:color w:val="auto"/>
        </w:rPr>
        <w:t>，根据预测结果表明，对周围地下影响较小。</w:t>
      </w:r>
    </w:p>
    <w:p w14:paraId="3E9D192A" w14:textId="77777777" w:rsidR="00D12939" w:rsidRDefault="004F47F5">
      <w:pPr>
        <w:pStyle w:val="affffffffe"/>
        <w:ind w:firstLine="496"/>
        <w:rPr>
          <w:color w:val="auto"/>
        </w:rPr>
      </w:pPr>
      <w:r>
        <w:rPr>
          <w:color w:val="auto"/>
        </w:rPr>
        <w:t>综上，在严格按照设计施工同时严格落实环评提出的地下水保护措施的基础上，拟建项目对区域地下水的影响较小。</w:t>
      </w:r>
    </w:p>
    <w:p w14:paraId="2BDB2CD6"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699" w:name="_Toc121411845"/>
      <w:bookmarkStart w:id="700" w:name="_Toc41343062"/>
      <w:r>
        <w:rPr>
          <w:rFonts w:ascii="Times New Roman" w:eastAsia="黑体" w:hAnsi="Times New Roman" w:cs="Times New Roman" w:hint="eastAsia"/>
          <w:b w:val="0"/>
          <w:sz w:val="24"/>
        </w:rPr>
        <w:t>1</w:t>
      </w:r>
      <w:r>
        <w:rPr>
          <w:rFonts w:ascii="Times New Roman" w:eastAsia="黑体" w:hAnsi="Times New Roman" w:cs="Times New Roman"/>
          <w:b w:val="0"/>
          <w:sz w:val="24"/>
        </w:rPr>
        <w:t>2.3.4</w:t>
      </w:r>
      <w:r>
        <w:rPr>
          <w:rFonts w:ascii="Times New Roman" w:eastAsia="黑体" w:hAnsi="Times New Roman" w:cs="Times New Roman" w:hint="eastAsia"/>
          <w:b w:val="0"/>
          <w:sz w:val="24"/>
        </w:rPr>
        <w:t>声</w:t>
      </w:r>
      <w:r>
        <w:rPr>
          <w:rFonts w:ascii="Times New Roman" w:eastAsia="黑体" w:hAnsi="Times New Roman" w:cs="Times New Roman"/>
          <w:b w:val="0"/>
          <w:sz w:val="24"/>
        </w:rPr>
        <w:t>环境影响分析结论</w:t>
      </w:r>
      <w:bookmarkEnd w:id="699"/>
      <w:bookmarkEnd w:id="700"/>
    </w:p>
    <w:p w14:paraId="1253D9A6" w14:textId="77777777" w:rsidR="00D12939" w:rsidRDefault="004F47F5">
      <w:pPr>
        <w:pStyle w:val="affffffffe"/>
        <w:ind w:firstLine="496"/>
        <w:rPr>
          <w:color w:val="auto"/>
        </w:rPr>
      </w:pPr>
      <w:r>
        <w:rPr>
          <w:color w:val="auto"/>
        </w:rPr>
        <w:t>项目运营期噪声主要来源于垃圾填埋机械设备及运输车辆，其噪声特征具有流动性和暂时性。项目采取选用低噪声设备、运输车辆限速、禁止鸣笛、加强填埋区周围两侧的绿化等方式降低噪声影响。填埋区噪声经过选取低噪声设备、绿化、距离衰减后能够达到《工业企业厂界噪声排放标准》（</w:t>
      </w:r>
      <w:r>
        <w:rPr>
          <w:color w:val="auto"/>
        </w:rPr>
        <w:t>GB12348-2008</w:t>
      </w:r>
      <w:r>
        <w:rPr>
          <w:color w:val="auto"/>
        </w:rPr>
        <w:t>）中的</w:t>
      </w:r>
      <w:r>
        <w:rPr>
          <w:color w:val="auto"/>
        </w:rPr>
        <w:t>2</w:t>
      </w:r>
      <w:r>
        <w:rPr>
          <w:color w:val="auto"/>
        </w:rPr>
        <w:t>类标准要求。</w:t>
      </w:r>
    </w:p>
    <w:p w14:paraId="35D168DB"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701" w:name="_Toc121411846"/>
      <w:bookmarkStart w:id="702" w:name="_Toc41343063"/>
      <w:r>
        <w:rPr>
          <w:rFonts w:ascii="Times New Roman" w:eastAsia="黑体" w:hAnsi="Times New Roman" w:cs="Times New Roman" w:hint="eastAsia"/>
          <w:b w:val="0"/>
          <w:sz w:val="24"/>
        </w:rPr>
        <w:t>1</w:t>
      </w:r>
      <w:r>
        <w:rPr>
          <w:rFonts w:ascii="Times New Roman" w:eastAsia="黑体" w:hAnsi="Times New Roman" w:cs="Times New Roman"/>
          <w:b w:val="0"/>
          <w:sz w:val="24"/>
        </w:rPr>
        <w:t>2.3.5</w:t>
      </w:r>
      <w:r>
        <w:rPr>
          <w:rFonts w:ascii="Times New Roman" w:eastAsia="黑体" w:hAnsi="Times New Roman" w:cs="Times New Roman"/>
          <w:b w:val="0"/>
          <w:sz w:val="24"/>
        </w:rPr>
        <w:t>固体废物影响分析结论</w:t>
      </w:r>
      <w:bookmarkEnd w:id="701"/>
      <w:bookmarkEnd w:id="702"/>
    </w:p>
    <w:p w14:paraId="3DB07233" w14:textId="77777777" w:rsidR="00D12939" w:rsidRDefault="004F47F5">
      <w:pPr>
        <w:pStyle w:val="affffffffe"/>
        <w:ind w:firstLine="496"/>
        <w:rPr>
          <w:color w:val="auto"/>
        </w:rPr>
      </w:pPr>
      <w:r>
        <w:rPr>
          <w:color w:val="auto"/>
        </w:rPr>
        <w:t>运营期项目产生的固体废物主要为生活垃圾、污水处理产生的污泥、废机油、渗滤液处理站废膜、污水处理药品和除臭剂废包装等</w:t>
      </w:r>
      <w:r>
        <w:rPr>
          <w:rFonts w:hint="eastAsia"/>
          <w:color w:val="auto"/>
        </w:rPr>
        <w:t>。</w:t>
      </w:r>
      <w:r>
        <w:rPr>
          <w:color w:val="auto"/>
        </w:rPr>
        <w:t>生活垃圾集中收集后运至本项目填埋场进行填埋处置</w:t>
      </w:r>
      <w:r>
        <w:rPr>
          <w:rFonts w:hint="eastAsia"/>
          <w:color w:val="auto"/>
        </w:rPr>
        <w:t>；</w:t>
      </w:r>
      <w:r>
        <w:rPr>
          <w:rFonts w:hint="eastAsia"/>
          <w:color w:val="auto"/>
          <w:szCs w:val="28"/>
        </w:rPr>
        <w:t>污泥</w:t>
      </w:r>
      <w:r>
        <w:rPr>
          <w:color w:val="auto"/>
        </w:rPr>
        <w:t>经脱水</w:t>
      </w:r>
      <w:r>
        <w:rPr>
          <w:rFonts w:hint="eastAsia"/>
          <w:color w:val="auto"/>
        </w:rPr>
        <w:t>至</w:t>
      </w:r>
      <w:r>
        <w:rPr>
          <w:color w:val="auto"/>
        </w:rPr>
        <w:t>含水率低于</w:t>
      </w:r>
      <w:r>
        <w:rPr>
          <w:rFonts w:hint="eastAsia"/>
          <w:color w:val="auto"/>
        </w:rPr>
        <w:t>60%</w:t>
      </w:r>
      <w:r>
        <w:rPr>
          <w:rFonts w:hint="eastAsia"/>
          <w:color w:val="auto"/>
        </w:rPr>
        <w:t>后运至填埋场填埋</w:t>
      </w:r>
      <w:r>
        <w:rPr>
          <w:color w:val="auto"/>
        </w:rPr>
        <w:t>。</w:t>
      </w:r>
      <w:r>
        <w:rPr>
          <w:rFonts w:hint="eastAsia"/>
          <w:color w:val="auto"/>
        </w:rPr>
        <w:t>本项目运营期机械设备维修和</w:t>
      </w:r>
      <w:r>
        <w:rPr>
          <w:rFonts w:hint="eastAsia"/>
          <w:color w:val="auto"/>
        </w:rPr>
        <w:lastRenderedPageBreak/>
        <w:t>保养产生废机油、</w:t>
      </w:r>
      <w:r>
        <w:rPr>
          <w:color w:val="auto"/>
        </w:rPr>
        <w:t>渗滤液处理站废膜、污水处理药品和除臭剂废包装等</w:t>
      </w:r>
      <w:r>
        <w:rPr>
          <w:rFonts w:hint="eastAsia"/>
          <w:color w:val="auto"/>
        </w:rPr>
        <w:t>危险废物</w:t>
      </w:r>
      <w:r>
        <w:rPr>
          <w:color w:val="auto"/>
        </w:rPr>
        <w:t>收集后暂存于危废暂存间，定期交由有资质单位处置。</w:t>
      </w:r>
    </w:p>
    <w:p w14:paraId="3519E3CC" w14:textId="77777777" w:rsidR="00D12939" w:rsidRDefault="004F47F5">
      <w:pPr>
        <w:pStyle w:val="affffffffe"/>
        <w:ind w:firstLine="496"/>
        <w:rPr>
          <w:color w:val="auto"/>
        </w:rPr>
      </w:pPr>
      <w:r>
        <w:rPr>
          <w:color w:val="auto"/>
        </w:rPr>
        <w:t>项目产生的固体废物</w:t>
      </w:r>
      <w:r>
        <w:rPr>
          <w:rFonts w:hint="eastAsia"/>
          <w:color w:val="auto"/>
        </w:rPr>
        <w:t>均可合理处置，</w:t>
      </w:r>
      <w:r>
        <w:rPr>
          <w:color w:val="auto"/>
        </w:rPr>
        <w:t>在加强日常监督管理下，不会对环境产生二次污染，对环境影响小。</w:t>
      </w:r>
    </w:p>
    <w:p w14:paraId="3D44D7B6"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703" w:name="_Toc41343064"/>
      <w:bookmarkStart w:id="704" w:name="_Toc121411847"/>
      <w:r>
        <w:rPr>
          <w:rFonts w:ascii="Times New Roman" w:eastAsia="黑体" w:hAnsi="Times New Roman" w:cs="Times New Roman" w:hint="eastAsia"/>
          <w:b w:val="0"/>
          <w:sz w:val="24"/>
        </w:rPr>
        <w:t>1</w:t>
      </w:r>
      <w:r>
        <w:rPr>
          <w:rFonts w:ascii="Times New Roman" w:eastAsia="黑体" w:hAnsi="Times New Roman" w:cs="Times New Roman"/>
          <w:b w:val="0"/>
          <w:sz w:val="24"/>
        </w:rPr>
        <w:t>2.3.6</w:t>
      </w:r>
      <w:r>
        <w:rPr>
          <w:rFonts w:ascii="Times New Roman" w:eastAsia="黑体" w:hAnsi="Times New Roman" w:cs="Times New Roman"/>
          <w:b w:val="0"/>
          <w:sz w:val="24"/>
        </w:rPr>
        <w:t>生态环境影响分析结论</w:t>
      </w:r>
      <w:bookmarkEnd w:id="703"/>
      <w:bookmarkEnd w:id="704"/>
    </w:p>
    <w:p w14:paraId="41831911" w14:textId="1A69FF72" w:rsidR="00D12939" w:rsidRPr="00C27509" w:rsidRDefault="00C27509" w:rsidP="00C27509">
      <w:pPr>
        <w:pStyle w:val="affffffffe"/>
        <w:ind w:firstLine="496"/>
        <w:rPr>
          <w:color w:val="FF0000"/>
        </w:rPr>
      </w:pPr>
      <w:r>
        <w:rPr>
          <w:color w:val="FF0000"/>
        </w:rPr>
        <w:t>垃圾填埋场建设和运营期间，将全部铲除填埋区的植被，造成生态环境破坏，但考虑到随着运营期垃圾填埋，土壤有机质增加，将会带来新的伴生植被生长，垃圾场最终封顶后将进行植被恢复，也会增加区内植被覆盖率，</w:t>
      </w:r>
      <w:r>
        <w:rPr>
          <w:rFonts w:hint="eastAsia"/>
          <w:color w:val="FF0000"/>
        </w:rPr>
        <w:t>在填埋场外围设置钢丝网围栏，对陆生动物产生一定的阻隔作用，</w:t>
      </w:r>
      <w:r>
        <w:rPr>
          <w:color w:val="FF0000"/>
        </w:rPr>
        <w:t>改善生态系统功能，提高生态环境质量</w:t>
      </w:r>
      <w:r w:rsidR="004F47F5">
        <w:rPr>
          <w:color w:val="auto"/>
        </w:rPr>
        <w:t>。</w:t>
      </w:r>
    </w:p>
    <w:p w14:paraId="5D6583EE" w14:textId="77777777" w:rsidR="00D12939" w:rsidRDefault="004F47F5">
      <w:pPr>
        <w:pStyle w:val="30"/>
        <w:spacing w:before="0" w:after="0" w:line="360" w:lineRule="auto"/>
        <w:ind w:firstLineChars="200" w:firstLine="480"/>
        <w:rPr>
          <w:rFonts w:ascii="Times New Roman" w:eastAsia="黑体" w:hAnsi="Times New Roman" w:cs="Times New Roman"/>
          <w:b w:val="0"/>
          <w:sz w:val="24"/>
        </w:rPr>
      </w:pPr>
      <w:bookmarkStart w:id="705" w:name="_Toc121411848"/>
      <w:bookmarkStart w:id="706" w:name="_Toc41343065"/>
      <w:r>
        <w:rPr>
          <w:rFonts w:ascii="Times New Roman" w:eastAsia="黑体" w:hAnsi="Times New Roman" w:cs="Times New Roman" w:hint="eastAsia"/>
          <w:b w:val="0"/>
          <w:sz w:val="24"/>
        </w:rPr>
        <w:t>1</w:t>
      </w:r>
      <w:r>
        <w:rPr>
          <w:rFonts w:ascii="Times New Roman" w:eastAsia="黑体" w:hAnsi="Times New Roman" w:cs="Times New Roman"/>
          <w:b w:val="0"/>
          <w:sz w:val="24"/>
        </w:rPr>
        <w:t>2.3.7</w:t>
      </w:r>
      <w:r>
        <w:rPr>
          <w:rFonts w:ascii="Times New Roman" w:eastAsia="黑体" w:hAnsi="Times New Roman" w:cs="Times New Roman"/>
          <w:b w:val="0"/>
          <w:sz w:val="24"/>
        </w:rPr>
        <w:t>土壤环境影响分析结论</w:t>
      </w:r>
      <w:bookmarkEnd w:id="705"/>
      <w:bookmarkEnd w:id="706"/>
    </w:p>
    <w:p w14:paraId="1A832ABD" w14:textId="77777777" w:rsidR="00D12939" w:rsidRDefault="004F47F5">
      <w:pPr>
        <w:spacing w:line="360" w:lineRule="auto"/>
        <w:ind w:firstLineChars="200" w:firstLine="480"/>
        <w:rPr>
          <w:rFonts w:ascii="Times New Roman" w:eastAsia="宋体" w:hAnsi="Times New Roman" w:cs="Times New Roman"/>
          <w:kern w:val="0"/>
          <w:sz w:val="24"/>
        </w:rPr>
      </w:pPr>
      <w:bookmarkStart w:id="707" w:name="_Toc41343066"/>
      <w:r>
        <w:rPr>
          <w:rFonts w:ascii="Times New Roman" w:eastAsia="宋体" w:hAnsi="Times New Roman" w:cs="Times New Roman"/>
          <w:kern w:val="0"/>
          <w:sz w:val="24"/>
        </w:rPr>
        <w:t>本项目按照《生活垃圾填埋场污染控制标准》（</w:t>
      </w:r>
      <w:r>
        <w:rPr>
          <w:rFonts w:ascii="Times New Roman" w:eastAsia="宋体" w:hAnsi="Times New Roman" w:cs="Times New Roman"/>
          <w:kern w:val="0"/>
          <w:sz w:val="24"/>
        </w:rPr>
        <w:t>GB16889-2008</w:t>
      </w:r>
      <w:r>
        <w:rPr>
          <w:rFonts w:ascii="Times New Roman" w:eastAsia="宋体" w:hAnsi="Times New Roman" w:cs="Times New Roman"/>
          <w:kern w:val="0"/>
          <w:sz w:val="24"/>
        </w:rPr>
        <w:t>）与《生活垃圾卫生填埋处理技术规范》（</w:t>
      </w:r>
      <w:r>
        <w:rPr>
          <w:rFonts w:ascii="Times New Roman" w:eastAsia="宋体" w:hAnsi="Times New Roman" w:cs="Times New Roman"/>
          <w:kern w:val="0"/>
          <w:sz w:val="24"/>
        </w:rPr>
        <w:t>GB50869-2013</w:t>
      </w:r>
      <w:r>
        <w:rPr>
          <w:rFonts w:ascii="Times New Roman" w:eastAsia="宋体" w:hAnsi="Times New Roman" w:cs="Times New Roman"/>
          <w:kern w:val="0"/>
          <w:sz w:val="24"/>
        </w:rPr>
        <w:t>）关于人工防渗的要求，结合场地地质条件，本项目采用双层防渗结构系统。在运营过程中，正常情况下</w:t>
      </w:r>
      <w:r>
        <w:rPr>
          <w:rFonts w:ascii="Times New Roman" w:eastAsia="宋体" w:hAnsi="Times New Roman" w:cs="Times New Roman" w:hint="eastAsia"/>
          <w:kern w:val="0"/>
          <w:sz w:val="24"/>
        </w:rPr>
        <w:t>渗滤液</w:t>
      </w:r>
      <w:r>
        <w:rPr>
          <w:rFonts w:ascii="Times New Roman" w:eastAsia="宋体" w:hAnsi="Times New Roman" w:cs="Times New Roman"/>
          <w:kern w:val="0"/>
          <w:sz w:val="24"/>
        </w:rPr>
        <w:t>几乎不会下渗，不会对土壤产生不利影响。</w:t>
      </w:r>
    </w:p>
    <w:p w14:paraId="350B5001" w14:textId="77777777" w:rsidR="00D12939" w:rsidRDefault="004F47F5">
      <w:pPr>
        <w:adjustRightInd w:val="0"/>
        <w:snapToGrid w:val="0"/>
        <w:spacing w:line="360" w:lineRule="auto"/>
        <w:ind w:firstLineChars="200" w:firstLine="480"/>
        <w:rPr>
          <w:rFonts w:ascii="Times New Roman" w:eastAsia="宋体" w:hAnsi="Times New Roman" w:cs="Times New Roman"/>
          <w:snapToGrid w:val="0"/>
          <w:kern w:val="0"/>
          <w:sz w:val="24"/>
          <w:szCs w:val="24"/>
        </w:rPr>
      </w:pPr>
      <w:r>
        <w:rPr>
          <w:rFonts w:ascii="Times New Roman" w:eastAsia="宋体" w:hAnsi="Times New Roman" w:cs="Times New Roman"/>
          <w:snapToGrid w:val="0"/>
          <w:kern w:val="0"/>
          <w:sz w:val="24"/>
          <w:szCs w:val="24"/>
        </w:rPr>
        <w:t>非正常状况下，运行期污水处理池泄漏导致污染物垂直入渗。随着时间的推移，运移深度的增加，污染物的浓度逐渐降低。污染物在土壤中运移范围及深度有限，项目对土壤环境影响有限，可控制在项目范围内，因此对评价范围周边敏感目标影响较小，建设项目土壤环境影响可接受。</w:t>
      </w:r>
    </w:p>
    <w:p w14:paraId="0E090AD0" w14:textId="77777777" w:rsidR="00D12939" w:rsidRDefault="004F47F5">
      <w:pPr>
        <w:spacing w:line="360" w:lineRule="auto"/>
        <w:ind w:firstLineChars="200" w:firstLine="480"/>
        <w:rPr>
          <w:rFonts w:ascii="Times New Roman" w:eastAsia="宋体" w:hAnsi="Times New Roman" w:cs="Times New Roman"/>
          <w:bCs/>
          <w:sz w:val="24"/>
          <w:szCs w:val="21"/>
        </w:rPr>
      </w:pPr>
      <w:r>
        <w:rPr>
          <w:rFonts w:ascii="Times New Roman" w:eastAsia="宋体" w:hAnsi="Times New Roman" w:cs="Times New Roman"/>
          <w:bCs/>
          <w:sz w:val="24"/>
          <w:szCs w:val="21"/>
        </w:rPr>
        <w:t>项目严格做好减少垃圾渗滤液产生措施及地面分区防渗措施后，并在进行必要的检修、监测、管理措施条件下，本项目对土壤的影响可接受。</w:t>
      </w:r>
    </w:p>
    <w:p w14:paraId="0BF075E1" w14:textId="77777777" w:rsidR="00D12939" w:rsidRDefault="004F47F5">
      <w:pPr>
        <w:pStyle w:val="2"/>
        <w:spacing w:line="360" w:lineRule="auto"/>
        <w:ind w:firstLineChars="165" w:firstLine="462"/>
        <w:rPr>
          <w:sz w:val="28"/>
        </w:rPr>
      </w:pPr>
      <w:bookmarkStart w:id="708" w:name="_Toc121411849"/>
      <w:r>
        <w:rPr>
          <w:rFonts w:hint="eastAsia"/>
          <w:sz w:val="28"/>
        </w:rPr>
        <w:t>1</w:t>
      </w:r>
      <w:r>
        <w:rPr>
          <w:sz w:val="28"/>
        </w:rPr>
        <w:t>2.4</w:t>
      </w:r>
      <w:r>
        <w:rPr>
          <w:sz w:val="28"/>
        </w:rPr>
        <w:t>环境风险影响分析结论</w:t>
      </w:r>
      <w:bookmarkEnd w:id="707"/>
      <w:bookmarkEnd w:id="708"/>
    </w:p>
    <w:p w14:paraId="22E6E194" w14:textId="77777777" w:rsidR="00D12939" w:rsidRDefault="004F47F5">
      <w:pPr>
        <w:pStyle w:val="affffffffe"/>
        <w:ind w:firstLine="496"/>
        <w:rPr>
          <w:color w:val="auto"/>
        </w:rPr>
      </w:pPr>
      <w:r>
        <w:rPr>
          <w:color w:val="auto"/>
        </w:rPr>
        <w:t>根据《建设项目环境风险评价技术导则》（</w:t>
      </w:r>
      <w:r>
        <w:rPr>
          <w:color w:val="auto"/>
        </w:rPr>
        <w:t>HJ169-2018</w:t>
      </w:r>
      <w:r>
        <w:rPr>
          <w:color w:val="auto"/>
        </w:rPr>
        <w:t>），计算本项目</w:t>
      </w:r>
      <w:r>
        <w:rPr>
          <w:color w:val="auto"/>
        </w:rPr>
        <w:t>Q&lt;1</w:t>
      </w:r>
      <w:r>
        <w:rPr>
          <w:color w:val="auto"/>
        </w:rPr>
        <w:t>，环境风险潜势为</w:t>
      </w:r>
      <w:r>
        <w:rPr>
          <w:color w:val="auto"/>
        </w:rPr>
        <w:t>I</w:t>
      </w:r>
      <w:r>
        <w:rPr>
          <w:color w:val="auto"/>
        </w:rPr>
        <w:t>，可开展简单分析；项目运行期间存在火灾爆炸、渗滤液泄漏等事故风险</w:t>
      </w:r>
      <w:r>
        <w:rPr>
          <w:rFonts w:hint="eastAsia"/>
          <w:color w:val="auto"/>
        </w:rPr>
        <w:t>。</w:t>
      </w:r>
      <w:r>
        <w:rPr>
          <w:color w:val="auto"/>
        </w:rPr>
        <w:t>在采取评价提出的各项风险防范措施后，项目环境风险可防可控。</w:t>
      </w:r>
    </w:p>
    <w:p w14:paraId="0E689E05" w14:textId="77777777" w:rsidR="00D12939" w:rsidRDefault="004F47F5">
      <w:pPr>
        <w:pStyle w:val="2"/>
        <w:spacing w:line="360" w:lineRule="auto"/>
        <w:ind w:firstLineChars="165" w:firstLine="462"/>
        <w:rPr>
          <w:sz w:val="28"/>
        </w:rPr>
      </w:pPr>
      <w:bookmarkStart w:id="709" w:name="_Toc41343067"/>
      <w:bookmarkStart w:id="710" w:name="_Toc121411850"/>
      <w:r>
        <w:rPr>
          <w:rFonts w:hint="eastAsia"/>
          <w:sz w:val="28"/>
        </w:rPr>
        <w:t>1</w:t>
      </w:r>
      <w:r>
        <w:rPr>
          <w:sz w:val="28"/>
        </w:rPr>
        <w:t>2.5</w:t>
      </w:r>
      <w:r>
        <w:rPr>
          <w:sz w:val="28"/>
        </w:rPr>
        <w:t>公众参与评价结论</w:t>
      </w:r>
      <w:bookmarkEnd w:id="709"/>
      <w:bookmarkEnd w:id="710"/>
    </w:p>
    <w:p w14:paraId="5E82E295" w14:textId="77777777" w:rsidR="00D12939" w:rsidRDefault="004F47F5">
      <w:pPr>
        <w:pStyle w:val="affffffffe"/>
        <w:ind w:firstLine="496"/>
        <w:rPr>
          <w:color w:val="auto"/>
          <w:lang w:bidi="ar-BH"/>
        </w:rPr>
      </w:pPr>
      <w:bookmarkStart w:id="711" w:name="_Toc182294553"/>
      <w:bookmarkStart w:id="712" w:name="_Toc205612106"/>
      <w:bookmarkStart w:id="713" w:name="_Toc193784909"/>
      <w:r>
        <w:rPr>
          <w:color w:val="auto"/>
          <w:lang w:bidi="ar-BH"/>
        </w:rPr>
        <w:t>建设单位第一次环境影响评价公示采取了网站公示进行；第二次以网站、报纸和张贴公示等方式进行，详细进行了公众参与调查，根据建设方的反馈，</w:t>
      </w:r>
      <w:r>
        <w:rPr>
          <w:color w:val="auto"/>
        </w:rPr>
        <w:t>没有人持反对意见</w:t>
      </w:r>
      <w:r>
        <w:rPr>
          <w:color w:val="auto"/>
          <w:lang w:bidi="ar-BH"/>
        </w:rPr>
        <w:t>，项目方表示对公众提出的合理化建议一定采纳。</w:t>
      </w:r>
    </w:p>
    <w:p w14:paraId="5E3B53E1" w14:textId="77777777" w:rsidR="00D12939" w:rsidRDefault="004F47F5">
      <w:pPr>
        <w:pStyle w:val="2"/>
        <w:spacing w:line="360" w:lineRule="auto"/>
        <w:ind w:firstLineChars="165" w:firstLine="462"/>
        <w:rPr>
          <w:sz w:val="28"/>
        </w:rPr>
      </w:pPr>
      <w:bookmarkStart w:id="714" w:name="_Toc121411851"/>
      <w:bookmarkStart w:id="715" w:name="_Toc41343068"/>
      <w:bookmarkEnd w:id="711"/>
      <w:bookmarkEnd w:id="712"/>
      <w:bookmarkEnd w:id="713"/>
      <w:r>
        <w:rPr>
          <w:rFonts w:hint="eastAsia"/>
          <w:sz w:val="28"/>
        </w:rPr>
        <w:lastRenderedPageBreak/>
        <w:t>12</w:t>
      </w:r>
      <w:r>
        <w:rPr>
          <w:sz w:val="28"/>
        </w:rPr>
        <w:t>.6</w:t>
      </w:r>
      <w:r>
        <w:rPr>
          <w:sz w:val="28"/>
        </w:rPr>
        <w:t>结论</w:t>
      </w:r>
      <w:bookmarkEnd w:id="714"/>
      <w:bookmarkEnd w:id="715"/>
    </w:p>
    <w:p w14:paraId="250DD234" w14:textId="77777777" w:rsidR="00D12939" w:rsidRDefault="004F47F5">
      <w:pPr>
        <w:pStyle w:val="affffffffe"/>
        <w:ind w:firstLine="496"/>
        <w:rPr>
          <w:color w:val="auto"/>
        </w:rPr>
      </w:pPr>
      <w:bookmarkStart w:id="716" w:name="OLE_LINK18"/>
      <w:r>
        <w:rPr>
          <w:color w:val="auto"/>
        </w:rPr>
        <w:t>综上所述，项目建设符合国家产业政策、相关规划及环境管理政策要求；在落实工程设计和本环评提出的各项污染防治、生态保护及风险防范措施后，能够实现各污染源的主要污染物稳定达标排放，对周围环境影响较小，可达到区域环境质量目标要求；环境风险可防可控；公众认为工程建设带来的不利影响在可接受范围之内；正常生产运营期间，严格执行环境管理与监测计划，可达到区域环境质量目标要求。</w:t>
      </w:r>
    </w:p>
    <w:p w14:paraId="1E45EB36" w14:textId="77777777" w:rsidR="00D12939" w:rsidRDefault="004F47F5">
      <w:pPr>
        <w:pStyle w:val="affffffffe"/>
        <w:ind w:firstLine="496"/>
        <w:rPr>
          <w:color w:val="auto"/>
        </w:rPr>
      </w:pPr>
      <w:r>
        <w:rPr>
          <w:color w:val="auto"/>
        </w:rPr>
        <w:t>因此，从满足环境功能区划的环境质量指标角度分析，该项目的建设是可行的。</w:t>
      </w:r>
      <w:bookmarkEnd w:id="716"/>
    </w:p>
    <w:p w14:paraId="7B5D33AE" w14:textId="77777777" w:rsidR="00D12939" w:rsidRDefault="004F47F5">
      <w:pPr>
        <w:pStyle w:val="2"/>
        <w:spacing w:line="360" w:lineRule="auto"/>
        <w:ind w:firstLineChars="165" w:firstLine="462"/>
        <w:rPr>
          <w:sz w:val="28"/>
        </w:rPr>
      </w:pPr>
      <w:bookmarkStart w:id="717" w:name="_Toc121411852"/>
      <w:bookmarkStart w:id="718" w:name="_Toc41343069"/>
      <w:r>
        <w:rPr>
          <w:rFonts w:hint="eastAsia"/>
          <w:sz w:val="28"/>
        </w:rPr>
        <w:t>1</w:t>
      </w:r>
      <w:r>
        <w:rPr>
          <w:sz w:val="28"/>
        </w:rPr>
        <w:t>2.7</w:t>
      </w:r>
      <w:r>
        <w:rPr>
          <w:sz w:val="28"/>
        </w:rPr>
        <w:t>要求与建议</w:t>
      </w:r>
      <w:bookmarkEnd w:id="717"/>
      <w:bookmarkEnd w:id="718"/>
    </w:p>
    <w:p w14:paraId="41949BD6" w14:textId="77777777" w:rsidR="00D12939" w:rsidRDefault="004F47F5">
      <w:pPr>
        <w:pStyle w:val="affffffffe"/>
        <w:ind w:firstLine="496"/>
        <w:rPr>
          <w:color w:val="auto"/>
        </w:rPr>
      </w:pPr>
      <w:bookmarkStart w:id="719" w:name="_Toc11070481"/>
      <w:bookmarkStart w:id="720" w:name="_Toc10639376"/>
      <w:bookmarkStart w:id="721" w:name="_Toc10639111"/>
      <w:bookmarkStart w:id="722" w:name="_Toc11055457"/>
      <w:bookmarkStart w:id="723" w:name="_Toc10707881"/>
      <w:bookmarkStart w:id="724" w:name="_Toc10639533"/>
      <w:bookmarkEnd w:id="719"/>
      <w:bookmarkEnd w:id="720"/>
      <w:bookmarkEnd w:id="721"/>
      <w:bookmarkEnd w:id="722"/>
      <w:bookmarkEnd w:id="723"/>
      <w:bookmarkEnd w:id="724"/>
      <w:r>
        <w:rPr>
          <w:color w:val="auto"/>
        </w:rPr>
        <w:t>（</w:t>
      </w:r>
      <w:r>
        <w:rPr>
          <w:color w:val="auto"/>
        </w:rPr>
        <w:t>1</w:t>
      </w:r>
      <w:r>
        <w:rPr>
          <w:color w:val="auto"/>
        </w:rPr>
        <w:t>）加强对填埋气体的监测，防止发生填埋气火灾爆炸等危险；</w:t>
      </w:r>
    </w:p>
    <w:p w14:paraId="7D2B43DE" w14:textId="77777777" w:rsidR="00D12939" w:rsidRDefault="004F47F5">
      <w:pPr>
        <w:pStyle w:val="affffffffe"/>
        <w:ind w:firstLine="496"/>
        <w:rPr>
          <w:color w:val="auto"/>
        </w:rPr>
      </w:pPr>
      <w:r>
        <w:rPr>
          <w:color w:val="auto"/>
        </w:rPr>
        <w:t>（</w:t>
      </w:r>
      <w:r>
        <w:rPr>
          <w:color w:val="auto"/>
        </w:rPr>
        <w:t>2</w:t>
      </w:r>
      <w:r>
        <w:rPr>
          <w:color w:val="auto"/>
        </w:rPr>
        <w:t>）加强对坝体下游地下水的监测</w:t>
      </w:r>
      <w:r>
        <w:rPr>
          <w:rFonts w:hint="eastAsia"/>
          <w:color w:val="auto"/>
        </w:rPr>
        <w:t>；</w:t>
      </w:r>
    </w:p>
    <w:p w14:paraId="7FD7A7C3" w14:textId="77777777" w:rsidR="00D12939" w:rsidRDefault="004F47F5">
      <w:pPr>
        <w:pStyle w:val="affffffffe"/>
        <w:ind w:firstLine="496"/>
        <w:rPr>
          <w:color w:val="auto"/>
        </w:rPr>
      </w:pPr>
      <w:r>
        <w:rPr>
          <w:rFonts w:hint="eastAsia"/>
          <w:color w:val="auto"/>
        </w:rPr>
        <w:t>（</w:t>
      </w:r>
      <w:r>
        <w:rPr>
          <w:rFonts w:hint="eastAsia"/>
          <w:color w:val="auto"/>
        </w:rPr>
        <w:t>3</w:t>
      </w:r>
      <w:r>
        <w:rPr>
          <w:rFonts w:hint="eastAsia"/>
          <w:color w:val="auto"/>
        </w:rPr>
        <w:t>）</w:t>
      </w:r>
      <w:r>
        <w:rPr>
          <w:color w:val="auto"/>
        </w:rPr>
        <w:t>填埋区应严格按照分单元填筑升层法作业，采取雨污分流措施，减少渗滤液的产生量，认真落实评价所推荐的防渗及渗滤液收集措施</w:t>
      </w:r>
      <w:r>
        <w:rPr>
          <w:rFonts w:hint="eastAsia"/>
          <w:color w:val="auto"/>
        </w:rPr>
        <w:t>；</w:t>
      </w:r>
    </w:p>
    <w:p w14:paraId="0F4BD775" w14:textId="77777777" w:rsidR="00D12939" w:rsidRDefault="004F47F5">
      <w:pPr>
        <w:pStyle w:val="affffffffe"/>
        <w:ind w:firstLine="496"/>
        <w:rPr>
          <w:color w:val="auto"/>
        </w:rPr>
      </w:pPr>
      <w:r>
        <w:rPr>
          <w:rFonts w:hint="eastAsia"/>
          <w:color w:val="auto"/>
        </w:rPr>
        <w:t>（</w:t>
      </w:r>
      <w:r>
        <w:rPr>
          <w:rFonts w:hint="eastAsia"/>
          <w:color w:val="auto"/>
        </w:rPr>
        <w:t>4</w:t>
      </w:r>
      <w:r>
        <w:rPr>
          <w:rFonts w:hint="eastAsia"/>
          <w:color w:val="auto"/>
        </w:rPr>
        <w:t>）</w:t>
      </w:r>
      <w:r>
        <w:rPr>
          <w:color w:val="auto"/>
        </w:rPr>
        <w:t>加强垃圾卫生管理，每日覆土，夏季须有专人负责灭蚊蝇工作，定时灌洒杀虫剂，按规定放置灭鼠药具并定期检查，场区内散落垃圾必须每日清扫</w:t>
      </w:r>
      <w:r>
        <w:rPr>
          <w:rFonts w:hint="eastAsia"/>
          <w:color w:val="auto"/>
        </w:rPr>
        <w:t>；</w:t>
      </w:r>
      <w:r>
        <w:rPr>
          <w:color w:val="auto"/>
        </w:rPr>
        <w:t>填埋区垃圾必须按照填埋技术规范进行，以防止垃圾飞扬、臭气散发和蚊蝇孳生。</w:t>
      </w:r>
    </w:p>
    <w:p w14:paraId="6B956178" w14:textId="77777777" w:rsidR="00D12939" w:rsidRDefault="004F47F5">
      <w:pPr>
        <w:pStyle w:val="affffffffe"/>
        <w:ind w:firstLine="496"/>
        <w:rPr>
          <w:color w:val="auto"/>
        </w:rPr>
      </w:pPr>
      <w:r>
        <w:rPr>
          <w:rFonts w:hint="eastAsia"/>
          <w:color w:val="auto"/>
        </w:rPr>
        <w:t>（</w:t>
      </w:r>
      <w:r>
        <w:rPr>
          <w:rFonts w:hint="eastAsia"/>
          <w:color w:val="auto"/>
        </w:rPr>
        <w:t>5</w:t>
      </w:r>
      <w:r>
        <w:rPr>
          <w:rFonts w:hint="eastAsia"/>
          <w:color w:val="auto"/>
        </w:rPr>
        <w:t>）</w:t>
      </w:r>
      <w:r>
        <w:rPr>
          <w:color w:val="auto"/>
        </w:rPr>
        <w:t>工程</w:t>
      </w:r>
      <w:r>
        <w:rPr>
          <w:rFonts w:hint="eastAsia"/>
          <w:color w:val="auto"/>
        </w:rPr>
        <w:t>应</w:t>
      </w:r>
      <w:r>
        <w:rPr>
          <w:color w:val="auto"/>
        </w:rPr>
        <w:t>严格按照本次评价提出的环境监控计划，对填埋场运行期及封场后，场区内外环境及二次污染因子进行监控，以达到控制污染、保护环境的目的。</w:t>
      </w:r>
    </w:p>
    <w:p w14:paraId="5CC91AC0" w14:textId="77777777" w:rsidR="00D12939" w:rsidRDefault="004F47F5">
      <w:pPr>
        <w:pStyle w:val="affffffffe"/>
        <w:ind w:firstLine="496"/>
        <w:rPr>
          <w:color w:val="auto"/>
        </w:rPr>
      </w:pPr>
      <w:r>
        <w:rPr>
          <w:rFonts w:hint="eastAsia"/>
          <w:color w:val="auto"/>
        </w:rPr>
        <w:t>（</w:t>
      </w:r>
      <w:r>
        <w:rPr>
          <w:rFonts w:hint="eastAsia"/>
          <w:color w:val="auto"/>
        </w:rPr>
        <w:t>6</w:t>
      </w:r>
      <w:r>
        <w:rPr>
          <w:rFonts w:hint="eastAsia"/>
          <w:color w:val="auto"/>
        </w:rPr>
        <w:t>）</w:t>
      </w:r>
      <w:r>
        <w:rPr>
          <w:color w:val="auto"/>
        </w:rPr>
        <w:t>严禁不符合《生活垃圾填埋场污染控制标准》（</w:t>
      </w:r>
      <w:r>
        <w:rPr>
          <w:color w:val="auto"/>
        </w:rPr>
        <w:t>GB16889-2008</w:t>
      </w:r>
      <w:r>
        <w:rPr>
          <w:color w:val="auto"/>
        </w:rPr>
        <w:t>）</w:t>
      </w:r>
      <w:r>
        <w:rPr>
          <w:rFonts w:hint="eastAsia"/>
          <w:color w:val="auto"/>
        </w:rPr>
        <w:t>生活垃圾</w:t>
      </w:r>
      <w:r>
        <w:rPr>
          <w:color w:val="auto"/>
        </w:rPr>
        <w:t>进入填埋场。</w:t>
      </w:r>
    </w:p>
    <w:p w14:paraId="2A140FCB" w14:textId="77777777" w:rsidR="00D12939" w:rsidRDefault="004F47F5">
      <w:pPr>
        <w:pStyle w:val="affffffffe"/>
        <w:ind w:firstLine="496"/>
        <w:rPr>
          <w:color w:val="auto"/>
        </w:rPr>
      </w:pPr>
      <w:r>
        <w:rPr>
          <w:rFonts w:hint="eastAsia"/>
          <w:color w:val="auto"/>
        </w:rPr>
        <w:t>（</w:t>
      </w:r>
      <w:r>
        <w:rPr>
          <w:rFonts w:hint="eastAsia"/>
          <w:color w:val="auto"/>
        </w:rPr>
        <w:t>7</w:t>
      </w:r>
      <w:r>
        <w:rPr>
          <w:rFonts w:hint="eastAsia"/>
          <w:color w:val="auto"/>
        </w:rPr>
        <w:t>）</w:t>
      </w:r>
      <w:r>
        <w:rPr>
          <w:color w:val="auto"/>
        </w:rPr>
        <w:t>封场后，至少在三年内（即不稳定期）不准使用，特别注意防火、防爆，三年后经鉴定确定已达安全期时方可使用；未经长期观测和环境专业技术鉴定之前，绝对禁止做工厂、公共场所的建筑用地。</w:t>
      </w:r>
    </w:p>
    <w:p w14:paraId="5EAEA2A1" w14:textId="77777777" w:rsidR="00D12939" w:rsidRDefault="00D12939"/>
    <w:p w14:paraId="6CA1EA0E" w14:textId="77777777" w:rsidR="00D12939" w:rsidRDefault="00D12939">
      <w:pPr>
        <w:autoSpaceDE w:val="0"/>
        <w:autoSpaceDN w:val="0"/>
        <w:adjustRightInd w:val="0"/>
        <w:spacing w:line="360" w:lineRule="auto"/>
        <w:ind w:firstLineChars="200" w:firstLine="480"/>
        <w:rPr>
          <w:rFonts w:ascii="Times New Roman" w:eastAsia="宋体" w:hAnsi="Times New Roman" w:cs="Times New Roman"/>
          <w:sz w:val="24"/>
        </w:rPr>
      </w:pPr>
    </w:p>
    <w:sectPr w:rsidR="00D12939">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918B6C" w14:textId="77777777" w:rsidR="00256EA6" w:rsidRDefault="00256EA6">
      <w:r>
        <w:separator/>
      </w:r>
    </w:p>
  </w:endnote>
  <w:endnote w:type="continuationSeparator" w:id="0">
    <w:p w14:paraId="0B74D472" w14:textId="77777777" w:rsidR="00256EA6" w:rsidRDefault="00256E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1" w:usb1="080E0000" w:usb2="00000000" w:usb3="00000000" w:csb0="00040000" w:csb1="00000000"/>
  </w:font>
  <w:font w:name="华文中宋">
    <w:panose1 w:val="02010600040101010101"/>
    <w:charset w:val="86"/>
    <w:family w:val="auto"/>
    <w:pitch w:val="variable"/>
    <w:sig w:usb0="00000287" w:usb1="080F0000" w:usb2="00000010" w:usb3="00000000" w:csb0="0004009F" w:csb1="00000000"/>
  </w:font>
  <w:font w:name="ˎ̥">
    <w:altName w:val="Times New Roman"/>
    <w:charset w:val="00"/>
    <w:family w:val="roman"/>
    <w:pitch w:val="default"/>
  </w:font>
  <w:font w:name="楷体_GB2312">
    <w:altName w:val="楷体"/>
    <w:charset w:val="86"/>
    <w:family w:val="modern"/>
    <w:pitch w:val="default"/>
    <w:sig w:usb0="00000001" w:usb1="080E0000" w:usb2="00000000" w:usb3="00000000" w:csb0="00040000" w:csb1="00000000"/>
  </w:font>
  <w:font w:name="Arial Unicode MS">
    <w:panose1 w:val="020B0604020202020204"/>
    <w:charset w:val="86"/>
    <w:family w:val="swiss"/>
    <w:pitch w:val="variable"/>
    <w:sig w:usb0="F7FFAFFF" w:usb1="E9DFFFFF" w:usb2="0000003F" w:usb3="00000000" w:csb0="003F01FF" w:csb1="00000000"/>
  </w:font>
  <w:font w:name="汉鼎简书宋">
    <w:altName w:val="宋体"/>
    <w:charset w:val="86"/>
    <w:family w:val="modern"/>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仿宋体">
    <w:altName w:val="宋体"/>
    <w:charset w:val="86"/>
    <w:family w:val="auto"/>
    <w:pitch w:val="default"/>
    <w:sig w:usb0="00000001" w:usb1="080E0000" w:usb2="00000010" w:usb3="00000000" w:csb0="00040000" w:csb1="00000000"/>
  </w:font>
  <w:font w:name="五">
    <w:charset w:val="86"/>
    <w:family w:val="auto"/>
    <w:pitch w:val="default"/>
    <w:sig w:usb0="00000000" w:usb1="00000000" w:usb2="00000010" w:usb3="00000000" w:csb0="000401FF" w:csb1="00000000"/>
  </w:font>
  <w:font w:name="Arial Narrow">
    <w:altName w:val="Arial"/>
    <w:charset w:val="00"/>
    <w:family w:val="swiss"/>
    <w:pitch w:val="default"/>
    <w:sig w:usb0="00000287" w:usb1="00000800" w:usb2="00000000" w:usb3="00000000" w:csb0="2000009F" w:csb1="DFD70000"/>
  </w:font>
  <w:font w:name="Verdana">
    <w:panose1 w:val="020B0604030504040204"/>
    <w:charset w:val="00"/>
    <w:family w:val="swiss"/>
    <w:pitch w:val="variable"/>
    <w:sig w:usb0="A00006FF" w:usb1="4000205B" w:usb2="00000010" w:usb3="00000000" w:csb0="0000019F" w:csb1="00000000"/>
  </w:font>
  <w:font w:name="”“Times New Roman”“">
    <w:altName w:val="宋体"/>
    <w:charset w:val="86"/>
    <w:family w:val="roman"/>
    <w:pitch w:val="default"/>
    <w:sig w:usb0="00000000" w:usb1="00000000" w:usb2="00000010" w:usb3="00000000" w:csb0="00040000" w:csb1="00000000"/>
  </w:font>
  <w:font w:name="方正宋三简体">
    <w:charset w:val="86"/>
    <w:family w:val="auto"/>
    <w:pitch w:val="default"/>
    <w:sig w:usb0="00000001" w:usb1="080E0000" w:usb2="00000000" w:usb3="00000000" w:csb0="00040000" w:csb1="00000000"/>
  </w:font>
  <w:font w:name="隶书">
    <w:panose1 w:val="02010509060101010101"/>
    <w:charset w:val="86"/>
    <w:family w:val="modern"/>
    <w:pitch w:val="fixed"/>
    <w:sig w:usb0="00000001" w:usb1="080E0000" w:usb2="00000010" w:usb3="00000000" w:csb0="00040000" w:csb1="00000000"/>
  </w:font>
  <w:font w:name="_x000B__x000C_">
    <w:altName w:val="Times New Roman"/>
    <w:charset w:val="00"/>
    <w:family w:val="roman"/>
    <w:pitch w:val="default"/>
    <w:sig w:usb0="00000000" w:usb1="00000000" w:usb2="00000000" w:usb3="00000000" w:csb0="00040001" w:csb1="00000000"/>
  </w:font>
  <w:font w:name="Garamond">
    <w:altName w:val="Segoe Print"/>
    <w:charset w:val="00"/>
    <w:family w:val="roman"/>
    <w:pitch w:val="variable"/>
    <w:sig w:usb0="00000287" w:usb1="00000000" w:usb2="00000000" w:usb3="00000000" w:csb0="0000009F" w:csb1="00000000"/>
  </w:font>
  <w:font w:name="方正小标宋简体">
    <w:altName w:val="黑体"/>
    <w:charset w:val="86"/>
    <w:family w:val="auto"/>
    <w:pitch w:val="default"/>
    <w:sig w:usb0="00000000" w:usb1="00000000" w:usb2="00000010" w:usb3="00000000" w:csb0="00040000" w:csb1="00000000"/>
  </w:font>
  <w:font w:name="微软雅黑碉！.">
    <w:altName w:val="黑体"/>
    <w:charset w:val="86"/>
    <w:family w:val="swiss"/>
    <w:pitch w:val="default"/>
    <w:sig w:usb0="00000000" w:usb1="00000000" w:usb2="00000010" w:usb3="00000000" w:csb0="00040000" w:csb1="00000000"/>
  </w:font>
  <w:font w:name="微软雅黑泅..">
    <w:altName w:val="黑体"/>
    <w:charset w:val="86"/>
    <w:family w:val="swiss"/>
    <w:pitch w:val="default"/>
    <w:sig w:usb0="00000000" w:usb1="00000000" w:usb2="00000010" w:usb3="00000000" w:csb0="00040000" w:csb1="00000000"/>
  </w:font>
  <w:font w:name="方正书宋简体">
    <w:altName w:val="宋体"/>
    <w:charset w:val="86"/>
    <w:family w:val="auto"/>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TimesNewRomanPSMT">
    <w:altName w:val="等线"/>
    <w:charset w:val="00"/>
    <w:family w:val="auto"/>
    <w:pitch w:val="default"/>
    <w:sig w:usb0="00000000" w:usb1="00000000" w:usb2="00000000" w:usb3="00000000" w:csb0="00040001" w:csb1="00000000"/>
  </w:font>
  <w:font w:name="Cambria Math">
    <w:panose1 w:val="02040503050406030204"/>
    <w:charset w:val="01"/>
    <w:family w:val="roman"/>
    <w:notTrueType/>
    <w:pitch w:val="variable"/>
  </w:font>
  <w:font w:name="Wingdings-Regular">
    <w:altName w:val="等线"/>
    <w:charset w:val="86"/>
    <w:family w:val="auto"/>
    <w:pitch w:val="default"/>
    <w:sig w:usb0="00000000" w:usb1="00000000" w:usb2="00000010" w:usb3="00000000" w:csb0="00040000" w:csb1="00000000"/>
  </w:font>
  <w:font w:name="TimesNewRomanPS-BoldMT">
    <w:altName w:val="等线"/>
    <w:charset w:val="00"/>
    <w:family w:val="roman"/>
    <w:pitch w:val="default"/>
  </w:font>
  <w:font w:name="Dutch801 Rm BT">
    <w:panose1 w:val="02020603060505020304"/>
    <w:charset w:val="00"/>
    <w:family w:val="roman"/>
    <w:pitch w:val="variable"/>
    <w:sig w:usb0="00000087" w:usb1="00000000" w:usb2="00000000" w:usb3="00000000" w:csb0="0000001B" w:csb1="00000000"/>
  </w:font>
  <w:font w:name="Wingdings 2">
    <w:panose1 w:val="05020102010507070707"/>
    <w:charset w:val="02"/>
    <w:family w:val="roman"/>
    <w:pitch w:val="variable"/>
    <w:sig w:usb0="00000000" w:usb1="10000000" w:usb2="00000000" w:usb3="00000000" w:csb0="80000000" w:csb1="00000000"/>
  </w:font>
  <w:font w:name="SymbolProp BT">
    <w:altName w:val="Symbol"/>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AF710" w14:textId="77777777" w:rsidR="00497E99" w:rsidRDefault="00497E99">
    <w:pPr>
      <w:pStyle w:val="aff3"/>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0122872"/>
      <w:showingPlcHdr/>
    </w:sdtPr>
    <w:sdtContent>
      <w:p w14:paraId="2F9DA51D" w14:textId="0306AB12" w:rsidR="00497E99" w:rsidRDefault="00497E99">
        <w:pPr>
          <w:pStyle w:val="aff3"/>
          <w:ind w:firstLine="360"/>
          <w:jc w:val="center"/>
        </w:pPr>
        <w:r>
          <w:t xml:space="preserve">     </w:t>
        </w:r>
      </w:p>
    </w:sdtContent>
  </w:sdt>
  <w:p w14:paraId="4DD405B4" w14:textId="77777777" w:rsidR="00497E99" w:rsidRDefault="00497E99">
    <w:pPr>
      <w:pStyle w:val="aff3"/>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F3A9F3" w14:textId="77777777" w:rsidR="00497E99" w:rsidRDefault="00497E99">
    <w:pPr>
      <w:pStyle w:val="aff3"/>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9042411"/>
    </w:sdtPr>
    <w:sdtContent>
      <w:p w14:paraId="5FC4AABE" w14:textId="2F1F6123" w:rsidR="00497E99" w:rsidRDefault="00497E99">
        <w:pPr>
          <w:pStyle w:val="aff3"/>
          <w:ind w:firstLine="360"/>
          <w:jc w:val="center"/>
        </w:pPr>
        <w:r>
          <w:fldChar w:fldCharType="begin"/>
        </w:r>
        <w:r>
          <w:instrText>PAGE   \* MERGEFORMAT</w:instrText>
        </w:r>
        <w:r>
          <w:fldChar w:fldCharType="separate"/>
        </w:r>
        <w:r w:rsidR="003F5A03" w:rsidRPr="003F5A03">
          <w:rPr>
            <w:noProof/>
            <w:lang w:val="zh-CN"/>
          </w:rPr>
          <w:t>III</w:t>
        </w:r>
        <w:r>
          <w:fldChar w:fldCharType="end"/>
        </w:r>
      </w:p>
    </w:sdtContent>
  </w:sdt>
  <w:p w14:paraId="16D72FC4" w14:textId="77777777" w:rsidR="00497E99" w:rsidRDefault="00497E99">
    <w:pPr>
      <w:pStyle w:val="aff3"/>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0729372"/>
    </w:sdtPr>
    <w:sdtContent>
      <w:p w14:paraId="37C76FC1" w14:textId="24FFE522" w:rsidR="00747ECF" w:rsidRDefault="00747ECF">
        <w:pPr>
          <w:pStyle w:val="aff3"/>
          <w:ind w:firstLine="360"/>
          <w:jc w:val="center"/>
        </w:pPr>
        <w:r>
          <w:fldChar w:fldCharType="begin"/>
        </w:r>
        <w:r>
          <w:instrText>PAGE   \* MERGEFORMAT</w:instrText>
        </w:r>
        <w:r>
          <w:fldChar w:fldCharType="separate"/>
        </w:r>
        <w:r w:rsidR="00725195" w:rsidRPr="00725195">
          <w:rPr>
            <w:noProof/>
            <w:lang w:val="zh-CN"/>
          </w:rPr>
          <w:t>38</w:t>
        </w:r>
        <w:r>
          <w:fldChar w:fldCharType="end"/>
        </w:r>
      </w:p>
    </w:sdtContent>
  </w:sdt>
  <w:p w14:paraId="7917052B" w14:textId="77777777" w:rsidR="00747ECF" w:rsidRDefault="00747ECF">
    <w:pPr>
      <w:pStyle w:val="aff3"/>
      <w:ind w:firstLine="36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16B9B2" w14:textId="77777777" w:rsidR="00747ECF" w:rsidRDefault="00747ECF">
    <w:pPr>
      <w:pStyle w:val="aff3"/>
      <w:ind w:firstLine="360"/>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DAB92" w14:textId="77777777" w:rsidR="00747ECF" w:rsidRDefault="00747ECF">
    <w:pPr>
      <w:pStyle w:val="aff3"/>
      <w:ind w:firstLine="360"/>
      <w:jc w:val="cente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686435" cy="437515"/>
              <wp:effectExtent l="0" t="0" r="12065" b="10795"/>
              <wp:wrapNone/>
              <wp:docPr id="94" name="文本框 94"/>
              <wp:cNvGraphicFramePr/>
              <a:graphic xmlns:a="http://schemas.openxmlformats.org/drawingml/2006/main">
                <a:graphicData uri="http://schemas.microsoft.com/office/word/2010/wordprocessingShape">
                  <wps:wsp>
                    <wps:cNvSpPr txBox="1"/>
                    <wps:spPr>
                      <a:xfrm>
                        <a:off x="0" y="0"/>
                        <a:ext cx="686435" cy="437515"/>
                      </a:xfrm>
                      <a:prstGeom prst="rect">
                        <a:avLst/>
                      </a:prstGeom>
                      <a:noFill/>
                      <a:ln w="6350">
                        <a:noFill/>
                      </a:ln>
                    </wps:spPr>
                    <wps:txbx>
                      <w:txbxContent>
                        <w:p w14:paraId="2E089ADC" w14:textId="7AD14BB6" w:rsidR="00747ECF" w:rsidRDefault="00747ECF">
                          <w:pPr>
                            <w:pStyle w:val="aff3"/>
                            <w:ind w:firstLine="360"/>
                            <w:jc w:val="center"/>
                          </w:pPr>
                          <w:r>
                            <w:fldChar w:fldCharType="begin"/>
                          </w:r>
                          <w:r>
                            <w:instrText>PAGE   \* MERGEFORMAT</w:instrText>
                          </w:r>
                          <w:r>
                            <w:fldChar w:fldCharType="separate"/>
                          </w:r>
                          <w:r w:rsidR="003F5A03" w:rsidRPr="003F5A03">
                            <w:rPr>
                              <w:noProof/>
                              <w:lang w:val="zh-CN"/>
                            </w:rPr>
                            <w:t>181</w:t>
                          </w:r>
                          <w:r>
                            <w:fldChar w:fldCharType="end"/>
                          </w:r>
                        </w:p>
                        <w:p w14:paraId="1B29AD36" w14:textId="77777777" w:rsidR="00747ECF" w:rsidRDefault="00747ECF">
                          <w:pPr>
                            <w:pStyle w:val="2a"/>
                            <w:ind w:firstLine="48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4" o:spid="_x0000_s1026" type="#_x0000_t202" style="position:absolute;left:0;text-align:left;margin-left:0;margin-top:0;width:54.05pt;height:34.45pt;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" filled="f" stroked="f" strokeweight=".5pt">
              <v:textbox style="mso-fit-shape-to-text:t" inset="0,0,0,0">
                <w:txbxContent>
                  <w:p w14:paraId="2E089ADC" w14:textId="7AD14BB6" w:rsidR="00747ECF" w:rsidRDefault="00747ECF">
                    <w:pPr>
                      <w:pStyle w:val="aff3"/>
                      <w:ind w:firstLine="360"/>
                      <w:jc w:val="center"/>
                    </w:pPr>
                    <w:r>
                      <w:fldChar w:fldCharType="begin"/>
                    </w:r>
                    <w:r>
                      <w:instrText>PAGE   \* MERGEFORMAT</w:instrText>
                    </w:r>
                    <w:r>
                      <w:fldChar w:fldCharType="separate"/>
                    </w:r>
                    <w:r w:rsidR="003F5A03" w:rsidRPr="003F5A03">
                      <w:rPr>
                        <w:noProof/>
                        <w:lang w:val="zh-CN"/>
                      </w:rPr>
                      <w:t>181</w:t>
                    </w:r>
                    <w:r>
                      <w:fldChar w:fldCharType="end"/>
                    </w:r>
                  </w:p>
                  <w:p w14:paraId="1B29AD36" w14:textId="77777777" w:rsidR="00747ECF" w:rsidRDefault="00747ECF">
                    <w:pPr>
                      <w:pStyle w:val="2a"/>
                      <w:ind w:firstLine="480"/>
                    </w:pPr>
                  </w:p>
                </w:txbxContent>
              </v:textbox>
              <w10:wrap anchorx="margin"/>
            </v:shape>
          </w:pict>
        </mc:Fallback>
      </mc:AlternateContent>
    </w:r>
  </w:p>
  <w:p w14:paraId="28E6A871" w14:textId="77777777" w:rsidR="00747ECF" w:rsidRDefault="00747ECF">
    <w:pPr>
      <w:pStyle w:val="aff3"/>
      <w:ind w:firstLine="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E27D2" w14:textId="77777777" w:rsidR="00747ECF" w:rsidRDefault="00747ECF">
    <w:pPr>
      <w:pStyle w:val="aff3"/>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FFBCD0" w14:textId="77777777" w:rsidR="00256EA6" w:rsidRDefault="00256EA6">
      <w:r>
        <w:separator/>
      </w:r>
    </w:p>
  </w:footnote>
  <w:footnote w:type="continuationSeparator" w:id="0">
    <w:p w14:paraId="79EDD670" w14:textId="77777777" w:rsidR="00256EA6" w:rsidRDefault="00256EA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63A071" w14:textId="77777777" w:rsidR="00497E99" w:rsidRDefault="00497E99">
    <w:pPr>
      <w:pStyle w:val="aff5"/>
      <w:ind w:firstLine="480"/>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07B80" w14:textId="77777777" w:rsidR="00747ECF" w:rsidRDefault="00747ECF">
    <w:pPr>
      <w:pStyle w:val="aff5"/>
      <w:ind w:firstLine="48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33B4AC" w14:textId="77777777" w:rsidR="00497E99" w:rsidRPr="00497E99" w:rsidRDefault="00497E99" w:rsidP="00497E99">
    <w:pPr>
      <w:pStyle w:val="aff5"/>
      <w:ind w:firstLineChars="0" w:firstLine="0"/>
      <w:jc w:val="both"/>
      <w:rPr>
        <w:rFonts w:hint="eastAsia"/>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6668C" w14:textId="77777777" w:rsidR="00497E99" w:rsidRDefault="00497E99">
    <w:pPr>
      <w:pStyle w:val="aff5"/>
      <w:ind w:firstLine="48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2D6986" w14:textId="77777777" w:rsidR="00497E99" w:rsidRDefault="00497E99">
    <w:pPr>
      <w:pBdr>
        <w:bottom w:val="thinThickSmallGap" w:sz="12" w:space="0" w:color="auto"/>
      </w:pBdr>
      <w:jc w:val="center"/>
    </w:pPr>
    <w:r>
      <w:rPr>
        <w:rFonts w:ascii="Times New Roman" w:hAnsi="Times New Roman" w:hint="eastAsia"/>
        <w:szCs w:val="21"/>
      </w:rPr>
      <w:t>柞水县固体废弃物综合处置场项目环境影响报告书</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CD78C4" w14:textId="77777777" w:rsidR="00497E99" w:rsidRDefault="00497E99">
    <w:pPr>
      <w:pBdr>
        <w:bottom w:val="thinThickSmallGap" w:sz="12" w:space="0" w:color="auto"/>
      </w:pBdr>
      <w:jc w:val="center"/>
    </w:pPr>
    <w:r>
      <w:rPr>
        <w:rFonts w:ascii="Times New Roman" w:hAnsi="Times New Roman" w:hint="eastAsia"/>
        <w:szCs w:val="21"/>
      </w:rPr>
      <w:t>柞水县固体废弃物综合处置场项目环境影响报告书</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A707A" w14:textId="77777777" w:rsidR="00747ECF" w:rsidRDefault="00747ECF">
    <w:pPr>
      <w:pBdr>
        <w:bottom w:val="thinThickSmallGap" w:sz="12" w:space="0" w:color="auto"/>
      </w:pBdr>
      <w:jc w:val="center"/>
    </w:pPr>
    <w:r>
      <w:rPr>
        <w:rFonts w:ascii="Times New Roman" w:hAnsi="Times New Roman" w:hint="eastAsia"/>
        <w:szCs w:val="21"/>
      </w:rPr>
      <w:t>柞水县固体废弃物综合处置场项目环境影响报告书</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E695E2" w14:textId="77777777" w:rsidR="00747ECF" w:rsidRDefault="00747ECF">
    <w:pPr>
      <w:pBdr>
        <w:bottom w:val="thinThickSmallGap" w:sz="12" w:space="0" w:color="auto"/>
      </w:pBdr>
      <w:jc w:val="center"/>
    </w:pPr>
    <w:r>
      <w:rPr>
        <w:rFonts w:ascii="Times New Roman" w:hAnsi="Times New Roman" w:hint="eastAsia"/>
        <w:szCs w:val="21"/>
      </w:rPr>
      <w:t>柞水县固体废弃物综合处置场项目环境影响报告书</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D1961" w14:textId="77777777" w:rsidR="00747ECF" w:rsidRDefault="00747ECF">
    <w:pPr>
      <w:pStyle w:val="aff5"/>
      <w:ind w:firstLine="480"/>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E7437" w14:textId="77777777" w:rsidR="00747ECF" w:rsidRDefault="00747ECF">
    <w:pPr>
      <w:rPr>
        <w:szCs w:val="21"/>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A62F52E"/>
    <w:multiLevelType w:val="singleLevel"/>
    <w:tmpl w:val="9A62F52E"/>
    <w:lvl w:ilvl="0">
      <w:start w:val="1"/>
      <w:numFmt w:val="decimal"/>
      <w:suff w:val="nothing"/>
      <w:lvlText w:val="%1、"/>
      <w:lvlJc w:val="left"/>
    </w:lvl>
  </w:abstractNum>
  <w:abstractNum w:abstractNumId="1" w15:restartNumberingAfterBreak="0">
    <w:nsid w:val="ACF2A436"/>
    <w:multiLevelType w:val="singleLevel"/>
    <w:tmpl w:val="ACF2A436"/>
    <w:lvl w:ilvl="0">
      <w:start w:val="1"/>
      <w:numFmt w:val="bullet"/>
      <w:pStyle w:val="5"/>
      <w:lvlText w:val=""/>
      <w:lvlJc w:val="left"/>
      <w:pPr>
        <w:tabs>
          <w:tab w:val="left" w:pos="2040"/>
        </w:tabs>
        <w:ind w:left="2040" w:hanging="360"/>
      </w:pPr>
      <w:rPr>
        <w:rFonts w:ascii="Wingdings" w:hAnsi="Wingdings" w:hint="default"/>
      </w:rPr>
    </w:lvl>
  </w:abstractNum>
  <w:abstractNum w:abstractNumId="2" w15:restartNumberingAfterBreak="0">
    <w:nsid w:val="B06F1F92"/>
    <w:multiLevelType w:val="singleLevel"/>
    <w:tmpl w:val="B06F1F92"/>
    <w:lvl w:ilvl="0">
      <w:start w:val="1"/>
      <w:numFmt w:val="decimal"/>
      <w:suff w:val="nothing"/>
      <w:lvlText w:val="%1、"/>
      <w:lvlJc w:val="left"/>
    </w:lvl>
  </w:abstractNum>
  <w:abstractNum w:abstractNumId="3" w15:restartNumberingAfterBreak="0">
    <w:nsid w:val="05984F87"/>
    <w:multiLevelType w:val="multilevel"/>
    <w:tmpl w:val="05984F87"/>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15:restartNumberingAfterBreak="0">
    <w:nsid w:val="0DDE2B46"/>
    <w:multiLevelType w:val="multilevel"/>
    <w:tmpl w:val="0DDE2B46"/>
    <w:lvl w:ilvl="0">
      <w:start w:val="1"/>
      <w:numFmt w:val="lowerLetter"/>
      <w:pStyle w:val="a"/>
      <w:suff w:val="nothing"/>
      <w:lvlText w:val="%1   "/>
      <w:lvlJc w:val="left"/>
      <w:pPr>
        <w:ind w:left="544" w:hanging="181"/>
      </w:pPr>
      <w:rPr>
        <w:rFonts w:ascii="宋体" w:eastAsia="宋体" w:hAnsi="宋体" w:hint="eastAsia"/>
        <w:b w:val="0"/>
        <w:i w:val="0"/>
        <w:sz w:val="18"/>
        <w:vertAlign w:val="superscript"/>
      </w:rPr>
    </w:lvl>
    <w:lvl w:ilvl="1">
      <w:start w:val="1"/>
      <w:numFmt w:val="lowerLetter"/>
      <w:lvlText w:val="%2"/>
      <w:lvlJc w:val="left"/>
      <w:pPr>
        <w:tabs>
          <w:tab w:val="left" w:pos="57"/>
        </w:tabs>
        <w:ind w:left="363" w:hanging="363"/>
      </w:pPr>
      <w:rPr>
        <w:rFonts w:hint="eastAsia"/>
      </w:rPr>
    </w:lvl>
    <w:lvl w:ilvl="2">
      <w:start w:val="1"/>
      <w:numFmt w:val="lowerRoman"/>
      <w:lvlText w:val="%3."/>
      <w:lvlJc w:val="right"/>
      <w:pPr>
        <w:tabs>
          <w:tab w:val="left" w:pos="57"/>
        </w:tabs>
        <w:ind w:left="363" w:hanging="363"/>
      </w:pPr>
      <w:rPr>
        <w:rFonts w:hint="eastAsia"/>
      </w:rPr>
    </w:lvl>
    <w:lvl w:ilvl="3">
      <w:start w:val="1"/>
      <w:numFmt w:val="decimal"/>
      <w:lvlText w:val="%4."/>
      <w:lvlJc w:val="left"/>
      <w:pPr>
        <w:tabs>
          <w:tab w:val="left" w:pos="57"/>
        </w:tabs>
        <w:ind w:left="363" w:hanging="363"/>
      </w:pPr>
      <w:rPr>
        <w:rFonts w:hint="eastAsia"/>
      </w:rPr>
    </w:lvl>
    <w:lvl w:ilvl="4">
      <w:start w:val="1"/>
      <w:numFmt w:val="lowerLetter"/>
      <w:lvlText w:val="%5)"/>
      <w:lvlJc w:val="left"/>
      <w:pPr>
        <w:tabs>
          <w:tab w:val="left" w:pos="57"/>
        </w:tabs>
        <w:ind w:left="363" w:hanging="363"/>
      </w:pPr>
      <w:rPr>
        <w:rFonts w:hint="eastAsia"/>
      </w:rPr>
    </w:lvl>
    <w:lvl w:ilvl="5">
      <w:start w:val="1"/>
      <w:numFmt w:val="lowerRoman"/>
      <w:lvlText w:val="%6."/>
      <w:lvlJc w:val="right"/>
      <w:pPr>
        <w:tabs>
          <w:tab w:val="left" w:pos="57"/>
        </w:tabs>
        <w:ind w:left="363" w:hanging="363"/>
      </w:pPr>
      <w:rPr>
        <w:rFonts w:hint="eastAsia"/>
      </w:rPr>
    </w:lvl>
    <w:lvl w:ilvl="6">
      <w:start w:val="1"/>
      <w:numFmt w:val="decimal"/>
      <w:lvlText w:val="%7."/>
      <w:lvlJc w:val="left"/>
      <w:pPr>
        <w:tabs>
          <w:tab w:val="left" w:pos="57"/>
        </w:tabs>
        <w:ind w:left="363" w:hanging="363"/>
      </w:pPr>
      <w:rPr>
        <w:rFonts w:hint="eastAsia"/>
      </w:rPr>
    </w:lvl>
    <w:lvl w:ilvl="7">
      <w:start w:val="1"/>
      <w:numFmt w:val="lowerLetter"/>
      <w:lvlText w:val="%8)"/>
      <w:lvlJc w:val="left"/>
      <w:pPr>
        <w:tabs>
          <w:tab w:val="left" w:pos="57"/>
        </w:tabs>
        <w:ind w:left="363" w:hanging="363"/>
      </w:pPr>
      <w:rPr>
        <w:rFonts w:hint="eastAsia"/>
      </w:rPr>
    </w:lvl>
    <w:lvl w:ilvl="8">
      <w:start w:val="1"/>
      <w:numFmt w:val="lowerRoman"/>
      <w:lvlText w:val="%9."/>
      <w:lvlJc w:val="right"/>
      <w:pPr>
        <w:tabs>
          <w:tab w:val="left" w:pos="57"/>
        </w:tabs>
        <w:ind w:left="363" w:hanging="363"/>
      </w:pPr>
      <w:rPr>
        <w:rFonts w:hint="eastAsia"/>
      </w:rPr>
    </w:lvl>
  </w:abstractNum>
  <w:abstractNum w:abstractNumId="5" w15:restartNumberingAfterBreak="0">
    <w:nsid w:val="46724677"/>
    <w:multiLevelType w:val="multilevel"/>
    <w:tmpl w:val="46724677"/>
    <w:lvl w:ilvl="0">
      <w:start w:val="1"/>
      <w:numFmt w:val="decimal"/>
      <w:pStyle w:val="4TimesNewRoman24"/>
      <w:lvlText w:val="%1."/>
      <w:lvlJc w:val="left"/>
      <w:pPr>
        <w:tabs>
          <w:tab w:val="left" w:pos="425"/>
        </w:tabs>
        <w:ind w:left="425" w:hanging="425"/>
      </w:pPr>
    </w:lvl>
    <w:lvl w:ilvl="1">
      <w:start w:val="1"/>
      <w:numFmt w:val="decimal"/>
      <w:pStyle w:val="3"/>
      <w:lvlText w:val="%1.%2."/>
      <w:lvlJc w:val="left"/>
      <w:pPr>
        <w:tabs>
          <w:tab w:val="left" w:pos="567"/>
        </w:tabs>
        <w:ind w:left="567" w:hanging="567"/>
      </w:pPr>
    </w:lvl>
    <w:lvl w:ilvl="2">
      <w:start w:val="1"/>
      <w:numFmt w:val="decimal"/>
      <w:lvlText w:val="%1.%2.%3."/>
      <w:lvlJc w:val="left"/>
      <w:pPr>
        <w:tabs>
          <w:tab w:val="left" w:pos="709"/>
        </w:tabs>
        <w:ind w:left="709" w:hanging="709"/>
      </w:pPr>
    </w:lvl>
    <w:lvl w:ilvl="3">
      <w:start w:val="1"/>
      <w:numFmt w:val="decimal"/>
      <w:pStyle w:val="2TimesNewRoman0024"/>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6" w15:restartNumberingAfterBreak="0">
    <w:nsid w:val="75D80523"/>
    <w:multiLevelType w:val="singleLevel"/>
    <w:tmpl w:val="75D80523"/>
    <w:lvl w:ilvl="0">
      <w:start w:val="1"/>
      <w:numFmt w:val="decimal"/>
      <w:suff w:val="nothing"/>
      <w:lvlText w:val="%1、"/>
      <w:lvlJc w:val="left"/>
    </w:lvl>
  </w:abstractNum>
  <w:abstractNum w:abstractNumId="7" w15:restartNumberingAfterBreak="0">
    <w:nsid w:val="7608585F"/>
    <w:multiLevelType w:val="multilevel"/>
    <w:tmpl w:val="7608585F"/>
    <w:lvl w:ilvl="0">
      <w:start w:val="1"/>
      <w:numFmt w:val="decimal"/>
      <w:pStyle w:val="1-A4"/>
      <w:lvlText w:val="%1 "/>
      <w:lvlJc w:val="left"/>
      <w:pPr>
        <w:tabs>
          <w:tab w:val="left" w:pos="425"/>
        </w:tabs>
        <w:ind w:left="425" w:hanging="425"/>
      </w:pPr>
      <w:rPr>
        <w:rFonts w:hint="eastAsia"/>
        <w:vanish/>
        <w:color w:val="FFFFFF"/>
      </w:rPr>
    </w:lvl>
    <w:lvl w:ilvl="1">
      <w:start w:val="1"/>
      <w:numFmt w:val="decimal"/>
      <w:pStyle w:val="2-A4"/>
      <w:lvlText w:val="%1.%2 "/>
      <w:lvlJc w:val="left"/>
      <w:pPr>
        <w:tabs>
          <w:tab w:val="left" w:pos="851"/>
        </w:tabs>
        <w:ind w:left="851" w:hanging="567"/>
      </w:pPr>
      <w:rPr>
        <w:rFonts w:ascii="Times New Roman" w:eastAsia="黑体" w:hAnsi="Times New Roman" w:hint="default"/>
        <w:b w:val="0"/>
        <w:i w:val="0"/>
        <w:sz w:val="32"/>
      </w:rPr>
    </w:lvl>
    <w:lvl w:ilvl="2">
      <w:start w:val="1"/>
      <w:numFmt w:val="decimal"/>
      <w:pStyle w:val="3-A4"/>
      <w:lvlText w:val="%1.%2.%3 "/>
      <w:lvlJc w:val="left"/>
      <w:pPr>
        <w:tabs>
          <w:tab w:val="left" w:pos="709"/>
        </w:tabs>
        <w:ind w:left="709" w:hanging="709"/>
      </w:pPr>
      <w:rPr>
        <w:rFonts w:ascii="Times New Roman" w:eastAsia="宋体" w:hAnsi="Times New Roman" w:hint="default"/>
        <w:b w:val="0"/>
        <w:i w:val="0"/>
        <w:sz w:val="28"/>
      </w:rPr>
    </w:lvl>
    <w:lvl w:ilvl="3">
      <w:start w:val="1"/>
      <w:numFmt w:val="decimal"/>
      <w:pStyle w:val="4-A4"/>
      <w:lvlText w:val="（%4）"/>
      <w:lvlJc w:val="left"/>
      <w:pPr>
        <w:tabs>
          <w:tab w:val="left" w:pos="420"/>
        </w:tabs>
        <w:ind w:left="420" w:hanging="420"/>
      </w:pPr>
      <w:rPr>
        <w:rFonts w:hint="eastAsia"/>
        <w:vanish w:val="0"/>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8" w15:restartNumberingAfterBreak="0">
    <w:nsid w:val="7B541212"/>
    <w:multiLevelType w:val="multilevel"/>
    <w:tmpl w:val="7B541212"/>
    <w:lvl w:ilvl="0">
      <w:start w:val="1"/>
      <w:numFmt w:val="bullet"/>
      <w:pStyle w:val="50"/>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num w:numId="1">
    <w:abstractNumId w:val="1"/>
  </w:num>
  <w:num w:numId="2">
    <w:abstractNumId w:val="8"/>
  </w:num>
  <w:num w:numId="3">
    <w:abstractNumId w:val="4"/>
  </w:num>
  <w:num w:numId="4">
    <w:abstractNumId w:val="5"/>
  </w:num>
  <w:num w:numId="5">
    <w:abstractNumId w:val="7"/>
  </w:num>
  <w:num w:numId="6">
    <w:abstractNumId w:val="2"/>
  </w:num>
  <w:num w:numId="7">
    <w:abstractNumId w:val="0"/>
  </w:num>
  <w:num w:numId="8">
    <w:abstractNumId w:val="6"/>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bordersDoNotSurroundHeader/>
  <w:bordersDoNotSurroundFooter/>
  <w:defaultTabStop w:val="420"/>
  <w:drawingGridHorizontalSpacing w:val="105"/>
  <w:drawingGridVerticalSpacing w:val="156"/>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YyZmZlM2RiNzNkODYzMmRmMzE4MjFlOTcxMTVjYTIifQ=="/>
  </w:docVars>
  <w:rsids>
    <w:rsidRoot w:val="00703CAE"/>
    <w:rsid w:val="00001714"/>
    <w:rsid w:val="0000759F"/>
    <w:rsid w:val="00012D58"/>
    <w:rsid w:val="00021646"/>
    <w:rsid w:val="00034194"/>
    <w:rsid w:val="000603BA"/>
    <w:rsid w:val="0006049A"/>
    <w:rsid w:val="0007218D"/>
    <w:rsid w:val="000765FF"/>
    <w:rsid w:val="000853B3"/>
    <w:rsid w:val="000918D3"/>
    <w:rsid w:val="000B15E9"/>
    <w:rsid w:val="000B25D4"/>
    <w:rsid w:val="000B6121"/>
    <w:rsid w:val="000C2597"/>
    <w:rsid w:val="000C34D0"/>
    <w:rsid w:val="000E0CE4"/>
    <w:rsid w:val="00106322"/>
    <w:rsid w:val="00110227"/>
    <w:rsid w:val="0012112B"/>
    <w:rsid w:val="00130C67"/>
    <w:rsid w:val="00134236"/>
    <w:rsid w:val="00135ED7"/>
    <w:rsid w:val="00144FFE"/>
    <w:rsid w:val="00153253"/>
    <w:rsid w:val="00156374"/>
    <w:rsid w:val="00157AC8"/>
    <w:rsid w:val="00161C8C"/>
    <w:rsid w:val="001835F4"/>
    <w:rsid w:val="00183875"/>
    <w:rsid w:val="001A4637"/>
    <w:rsid w:val="001A5B81"/>
    <w:rsid w:val="001A7A97"/>
    <w:rsid w:val="001B1820"/>
    <w:rsid w:val="001B45B6"/>
    <w:rsid w:val="001C14E2"/>
    <w:rsid w:val="001C58C9"/>
    <w:rsid w:val="001D2941"/>
    <w:rsid w:val="001D4EFD"/>
    <w:rsid w:val="001D6388"/>
    <w:rsid w:val="001E4D57"/>
    <w:rsid w:val="0020188B"/>
    <w:rsid w:val="0020696A"/>
    <w:rsid w:val="002073E6"/>
    <w:rsid w:val="00226D68"/>
    <w:rsid w:val="00231F74"/>
    <w:rsid w:val="00256A20"/>
    <w:rsid w:val="00256EA6"/>
    <w:rsid w:val="00260761"/>
    <w:rsid w:val="00273F2E"/>
    <w:rsid w:val="0028025F"/>
    <w:rsid w:val="0028169E"/>
    <w:rsid w:val="002837D3"/>
    <w:rsid w:val="0029086F"/>
    <w:rsid w:val="00294BA1"/>
    <w:rsid w:val="002A3E7F"/>
    <w:rsid w:val="002A4A5F"/>
    <w:rsid w:val="002A5526"/>
    <w:rsid w:val="002B1C34"/>
    <w:rsid w:val="002B68FE"/>
    <w:rsid w:val="002D1C03"/>
    <w:rsid w:val="002E2589"/>
    <w:rsid w:val="002E3A1D"/>
    <w:rsid w:val="002F6740"/>
    <w:rsid w:val="003103E1"/>
    <w:rsid w:val="00313AA9"/>
    <w:rsid w:val="00313D27"/>
    <w:rsid w:val="00322412"/>
    <w:rsid w:val="00323F3B"/>
    <w:rsid w:val="003271DD"/>
    <w:rsid w:val="00336E9A"/>
    <w:rsid w:val="00342D96"/>
    <w:rsid w:val="00344DD5"/>
    <w:rsid w:val="00347739"/>
    <w:rsid w:val="00355D86"/>
    <w:rsid w:val="003619B5"/>
    <w:rsid w:val="00364095"/>
    <w:rsid w:val="00376174"/>
    <w:rsid w:val="00386000"/>
    <w:rsid w:val="00387417"/>
    <w:rsid w:val="003910CA"/>
    <w:rsid w:val="003A00E1"/>
    <w:rsid w:val="003B6FD1"/>
    <w:rsid w:val="003B7392"/>
    <w:rsid w:val="003C4734"/>
    <w:rsid w:val="003C587A"/>
    <w:rsid w:val="003D1D20"/>
    <w:rsid w:val="003D3562"/>
    <w:rsid w:val="003D3C38"/>
    <w:rsid w:val="003E0A8B"/>
    <w:rsid w:val="003E223B"/>
    <w:rsid w:val="003E3DF1"/>
    <w:rsid w:val="003E6114"/>
    <w:rsid w:val="003F5A03"/>
    <w:rsid w:val="004114EF"/>
    <w:rsid w:val="004222D8"/>
    <w:rsid w:val="00422B8F"/>
    <w:rsid w:val="004305E9"/>
    <w:rsid w:val="00433EA3"/>
    <w:rsid w:val="00446CBB"/>
    <w:rsid w:val="00450BE1"/>
    <w:rsid w:val="0046183C"/>
    <w:rsid w:val="004920E2"/>
    <w:rsid w:val="00497E99"/>
    <w:rsid w:val="00497F51"/>
    <w:rsid w:val="004A6020"/>
    <w:rsid w:val="004B600B"/>
    <w:rsid w:val="004F2E7A"/>
    <w:rsid w:val="004F47F5"/>
    <w:rsid w:val="004F5CEE"/>
    <w:rsid w:val="004F69C2"/>
    <w:rsid w:val="00505B94"/>
    <w:rsid w:val="00526F64"/>
    <w:rsid w:val="00532E37"/>
    <w:rsid w:val="00543FD0"/>
    <w:rsid w:val="00562191"/>
    <w:rsid w:val="00574FBE"/>
    <w:rsid w:val="00581A10"/>
    <w:rsid w:val="00582F67"/>
    <w:rsid w:val="00585287"/>
    <w:rsid w:val="005906B4"/>
    <w:rsid w:val="0059127B"/>
    <w:rsid w:val="005919DA"/>
    <w:rsid w:val="00592418"/>
    <w:rsid w:val="00593B6F"/>
    <w:rsid w:val="00594B2A"/>
    <w:rsid w:val="005A614B"/>
    <w:rsid w:val="005D2E3F"/>
    <w:rsid w:val="005D46FA"/>
    <w:rsid w:val="005D7B1C"/>
    <w:rsid w:val="005D7C3B"/>
    <w:rsid w:val="005F1AB6"/>
    <w:rsid w:val="005F4854"/>
    <w:rsid w:val="00654B17"/>
    <w:rsid w:val="0066242E"/>
    <w:rsid w:val="006706C6"/>
    <w:rsid w:val="0067698A"/>
    <w:rsid w:val="00681EFA"/>
    <w:rsid w:val="006868B6"/>
    <w:rsid w:val="00696378"/>
    <w:rsid w:val="00697725"/>
    <w:rsid w:val="006B5322"/>
    <w:rsid w:val="006B5D14"/>
    <w:rsid w:val="006C1C11"/>
    <w:rsid w:val="006D003C"/>
    <w:rsid w:val="006D0F65"/>
    <w:rsid w:val="006D6407"/>
    <w:rsid w:val="006F2757"/>
    <w:rsid w:val="006F4915"/>
    <w:rsid w:val="006F59D0"/>
    <w:rsid w:val="00703CAE"/>
    <w:rsid w:val="0072055C"/>
    <w:rsid w:val="0072473D"/>
    <w:rsid w:val="00725195"/>
    <w:rsid w:val="00732B12"/>
    <w:rsid w:val="007346F4"/>
    <w:rsid w:val="00735007"/>
    <w:rsid w:val="00740426"/>
    <w:rsid w:val="00743D48"/>
    <w:rsid w:val="00743F03"/>
    <w:rsid w:val="007441EE"/>
    <w:rsid w:val="00745E93"/>
    <w:rsid w:val="00747ECF"/>
    <w:rsid w:val="0076643E"/>
    <w:rsid w:val="0077222C"/>
    <w:rsid w:val="007726E0"/>
    <w:rsid w:val="00774F3E"/>
    <w:rsid w:val="00776E59"/>
    <w:rsid w:val="00777032"/>
    <w:rsid w:val="00785589"/>
    <w:rsid w:val="00790477"/>
    <w:rsid w:val="00794CF5"/>
    <w:rsid w:val="00796539"/>
    <w:rsid w:val="007A3494"/>
    <w:rsid w:val="007C0F9C"/>
    <w:rsid w:val="007C4823"/>
    <w:rsid w:val="007C5327"/>
    <w:rsid w:val="007C6F94"/>
    <w:rsid w:val="007E58BE"/>
    <w:rsid w:val="007E5E00"/>
    <w:rsid w:val="0080722D"/>
    <w:rsid w:val="00820242"/>
    <w:rsid w:val="00827F79"/>
    <w:rsid w:val="00830F3D"/>
    <w:rsid w:val="00833AEB"/>
    <w:rsid w:val="00842003"/>
    <w:rsid w:val="0084583C"/>
    <w:rsid w:val="00850154"/>
    <w:rsid w:val="00865F18"/>
    <w:rsid w:val="008669E7"/>
    <w:rsid w:val="00867B15"/>
    <w:rsid w:val="0087355D"/>
    <w:rsid w:val="00882319"/>
    <w:rsid w:val="008830BB"/>
    <w:rsid w:val="0088463A"/>
    <w:rsid w:val="008A0E9B"/>
    <w:rsid w:val="008B45B0"/>
    <w:rsid w:val="008C44ED"/>
    <w:rsid w:val="008C45CE"/>
    <w:rsid w:val="008D526E"/>
    <w:rsid w:val="008F1417"/>
    <w:rsid w:val="008F262A"/>
    <w:rsid w:val="00910AE6"/>
    <w:rsid w:val="00913E67"/>
    <w:rsid w:val="00917CB7"/>
    <w:rsid w:val="00927547"/>
    <w:rsid w:val="00932FAA"/>
    <w:rsid w:val="00940CE7"/>
    <w:rsid w:val="00945694"/>
    <w:rsid w:val="00951725"/>
    <w:rsid w:val="0097252E"/>
    <w:rsid w:val="00982110"/>
    <w:rsid w:val="009A1D0D"/>
    <w:rsid w:val="009A6956"/>
    <w:rsid w:val="009B07DB"/>
    <w:rsid w:val="009B4CD0"/>
    <w:rsid w:val="009B5AE1"/>
    <w:rsid w:val="009C0E0C"/>
    <w:rsid w:val="009C1516"/>
    <w:rsid w:val="009C1DA4"/>
    <w:rsid w:val="009C2515"/>
    <w:rsid w:val="009D07EA"/>
    <w:rsid w:val="009D4426"/>
    <w:rsid w:val="009D709E"/>
    <w:rsid w:val="009E6900"/>
    <w:rsid w:val="009F42B9"/>
    <w:rsid w:val="00A02282"/>
    <w:rsid w:val="00A12C04"/>
    <w:rsid w:val="00A135C8"/>
    <w:rsid w:val="00A175A0"/>
    <w:rsid w:val="00A3217E"/>
    <w:rsid w:val="00A329DE"/>
    <w:rsid w:val="00A34FC3"/>
    <w:rsid w:val="00A3586C"/>
    <w:rsid w:val="00A41548"/>
    <w:rsid w:val="00A427AF"/>
    <w:rsid w:val="00A44922"/>
    <w:rsid w:val="00A52A19"/>
    <w:rsid w:val="00A52CBF"/>
    <w:rsid w:val="00A554BA"/>
    <w:rsid w:val="00A55E33"/>
    <w:rsid w:val="00A569D5"/>
    <w:rsid w:val="00A6229C"/>
    <w:rsid w:val="00A70B73"/>
    <w:rsid w:val="00A765DD"/>
    <w:rsid w:val="00A91C31"/>
    <w:rsid w:val="00AA5650"/>
    <w:rsid w:val="00AA71DA"/>
    <w:rsid w:val="00AC79C7"/>
    <w:rsid w:val="00AD086B"/>
    <w:rsid w:val="00AD290F"/>
    <w:rsid w:val="00AD4372"/>
    <w:rsid w:val="00AE2595"/>
    <w:rsid w:val="00AF5F36"/>
    <w:rsid w:val="00AF74DD"/>
    <w:rsid w:val="00B2780E"/>
    <w:rsid w:val="00B41EAB"/>
    <w:rsid w:val="00B552AD"/>
    <w:rsid w:val="00B568B2"/>
    <w:rsid w:val="00B67D78"/>
    <w:rsid w:val="00B7151C"/>
    <w:rsid w:val="00B823F9"/>
    <w:rsid w:val="00B82E3E"/>
    <w:rsid w:val="00BA602E"/>
    <w:rsid w:val="00BB7923"/>
    <w:rsid w:val="00BC1BF7"/>
    <w:rsid w:val="00BC706C"/>
    <w:rsid w:val="00BD047B"/>
    <w:rsid w:val="00BD4C2E"/>
    <w:rsid w:val="00BE5332"/>
    <w:rsid w:val="00BE53B3"/>
    <w:rsid w:val="00BE595D"/>
    <w:rsid w:val="00BF7F79"/>
    <w:rsid w:val="00C047A8"/>
    <w:rsid w:val="00C27509"/>
    <w:rsid w:val="00C31D9F"/>
    <w:rsid w:val="00C41925"/>
    <w:rsid w:val="00C41FC9"/>
    <w:rsid w:val="00C50935"/>
    <w:rsid w:val="00C53F38"/>
    <w:rsid w:val="00C732FB"/>
    <w:rsid w:val="00C95B64"/>
    <w:rsid w:val="00CA7357"/>
    <w:rsid w:val="00CB417C"/>
    <w:rsid w:val="00CB69E0"/>
    <w:rsid w:val="00CB73EA"/>
    <w:rsid w:val="00CC6243"/>
    <w:rsid w:val="00CE4287"/>
    <w:rsid w:val="00CF5B50"/>
    <w:rsid w:val="00D00120"/>
    <w:rsid w:val="00D00847"/>
    <w:rsid w:val="00D01971"/>
    <w:rsid w:val="00D109F9"/>
    <w:rsid w:val="00D12939"/>
    <w:rsid w:val="00D20FDE"/>
    <w:rsid w:val="00D21839"/>
    <w:rsid w:val="00D301AF"/>
    <w:rsid w:val="00D323EE"/>
    <w:rsid w:val="00D37DAB"/>
    <w:rsid w:val="00D40FA5"/>
    <w:rsid w:val="00D4159E"/>
    <w:rsid w:val="00D4364B"/>
    <w:rsid w:val="00D43FD0"/>
    <w:rsid w:val="00D52989"/>
    <w:rsid w:val="00D67072"/>
    <w:rsid w:val="00D86D13"/>
    <w:rsid w:val="00D90EC6"/>
    <w:rsid w:val="00D92FAB"/>
    <w:rsid w:val="00D94957"/>
    <w:rsid w:val="00DA291F"/>
    <w:rsid w:val="00DA7398"/>
    <w:rsid w:val="00DD2A2A"/>
    <w:rsid w:val="00DE1C58"/>
    <w:rsid w:val="00DE3EBE"/>
    <w:rsid w:val="00E01AD5"/>
    <w:rsid w:val="00E150A6"/>
    <w:rsid w:val="00E32C22"/>
    <w:rsid w:val="00E3468C"/>
    <w:rsid w:val="00E4114F"/>
    <w:rsid w:val="00E4471B"/>
    <w:rsid w:val="00E66F6C"/>
    <w:rsid w:val="00E676CB"/>
    <w:rsid w:val="00E70E3E"/>
    <w:rsid w:val="00E74A4F"/>
    <w:rsid w:val="00E756FC"/>
    <w:rsid w:val="00E80A85"/>
    <w:rsid w:val="00E81372"/>
    <w:rsid w:val="00E91B21"/>
    <w:rsid w:val="00E94434"/>
    <w:rsid w:val="00EB33B5"/>
    <w:rsid w:val="00EC59F9"/>
    <w:rsid w:val="00ED36AF"/>
    <w:rsid w:val="00EE227A"/>
    <w:rsid w:val="00EE7AC5"/>
    <w:rsid w:val="00F02516"/>
    <w:rsid w:val="00F06F8A"/>
    <w:rsid w:val="00F1038B"/>
    <w:rsid w:val="00F12DB0"/>
    <w:rsid w:val="00F324B3"/>
    <w:rsid w:val="00F3444C"/>
    <w:rsid w:val="00F413D1"/>
    <w:rsid w:val="00F428D4"/>
    <w:rsid w:val="00F62474"/>
    <w:rsid w:val="00F65609"/>
    <w:rsid w:val="00F75DCF"/>
    <w:rsid w:val="00F76A90"/>
    <w:rsid w:val="00F8741B"/>
    <w:rsid w:val="00F9096D"/>
    <w:rsid w:val="00F916D9"/>
    <w:rsid w:val="00F9309E"/>
    <w:rsid w:val="00FA3600"/>
    <w:rsid w:val="00FC5816"/>
    <w:rsid w:val="00FE09B4"/>
    <w:rsid w:val="00FE0D3E"/>
    <w:rsid w:val="00FE1515"/>
    <w:rsid w:val="00FF445D"/>
    <w:rsid w:val="00FF4AE1"/>
    <w:rsid w:val="185533BC"/>
    <w:rsid w:val="3B070F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6D30242"/>
  <w15:docId w15:val="{3267045C-8B98-45C7-86DC-98F30DF59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unhideWhenUsed="1" w:qFormat="1"/>
    <w:lsdException w:name="heading 4" w:uiPriority="9" w:unhideWhenUsed="1"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qFormat="1"/>
    <w:lsdException w:name="index 2" w:uiPriority="0"/>
    <w:lsdException w:name="index 3" w:uiPriority="0" w:qFormat="1"/>
    <w:lsdException w:name="index 4" w:uiPriority="0"/>
    <w:lsdException w:name="index 5" w:uiPriority="0"/>
    <w:lsdException w:name="index 6" w:uiPriority="0" w:qFormat="1"/>
    <w:lsdException w:name="index 7" w:uiPriority="0" w:qFormat="1"/>
    <w:lsdException w:name="index 8" w:uiPriority="0" w:qFormat="1"/>
    <w:lsdException w:name="index 9" w:uiPriority="0"/>
    <w:lsdException w:name="toc 1" w:uiPriority="39" w:qFormat="1"/>
    <w:lsdException w:name="toc 2" w:uiPriority="39"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lsdException w:name="Normal Indent" w:uiPriority="0" w:qFormat="1"/>
    <w:lsdException w:name="footnote text" w:uiPriority="0" w:qFormat="1"/>
    <w:lsdException w:name="annotation text" w:unhideWhenUsed="1" w:qFormat="1"/>
    <w:lsdException w:name="header" w:qFormat="1"/>
    <w:lsdException w:name="footer" w:qFormat="1"/>
    <w:lsdException w:name="index heading" w:uiPriority="0" w:qFormat="1"/>
    <w:lsdException w:name="caption" w:uiPriority="0" w:qFormat="1"/>
    <w:lsdException w:name="table of figures" w:qFormat="1"/>
    <w:lsdException w:name="envelope address" w:semiHidden="1" w:uiPriority="0" w:qFormat="1"/>
    <w:lsdException w:name="envelope return" w:semiHidden="1" w:unhideWhenUsed="1"/>
    <w:lsdException w:name="footnote reference" w:uiPriority="0"/>
    <w:lsdException w:name="annotation reference" w:qFormat="1"/>
    <w:lsdException w:name="line number" w:semiHidden="1" w:uiPriority="0" w:qFormat="1"/>
    <w:lsdException w:name="page number" w:uiPriority="0" w:qFormat="1"/>
    <w:lsdException w:name="endnote reference" w:unhideWhenUsed="1"/>
    <w:lsdException w:name="endnote text" w:uiPriority="0" w:unhideWhenUsed="1" w:qFormat="1"/>
    <w:lsdException w:name="table of authorities" w:uiPriority="0" w:qFormat="1"/>
    <w:lsdException w:name="macro" w:semiHidden="1" w:unhideWhenUsed="1"/>
    <w:lsdException w:name="toa heading" w:uiPriority="0" w:qFormat="1"/>
    <w:lsdException w:name="List" w:uiPriority="0" w:qFormat="1"/>
    <w:lsdException w:name="List Bullet" w:uiPriority="0" w:qFormat="1"/>
    <w:lsdException w:name="List Number" w:semiHidden="1" w:unhideWhenUsed="1"/>
    <w:lsdException w:name="List 2" w:uiPriority="0" w:qFormat="1"/>
    <w:lsdException w:name="List 3" w:uiPriority="0" w:qFormat="1"/>
    <w:lsdException w:name="List 4" w:uiPriority="0" w:qFormat="1"/>
    <w:lsdException w:name="List 5" w:uiPriority="0" w:qFormat="1"/>
    <w:lsdException w:name="List Bullet 2" w:uiPriority="0" w:qFormat="1"/>
    <w:lsdException w:name="List Bullet 3" w:semiHidden="1" w:unhideWhenUsed="1"/>
    <w:lsdException w:name="List Bullet 4" w:uiPriority="0"/>
    <w:lsdException w:name="List Bullet 5" w:uiPriority="0"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uiPriority="0" w:qFormat="1"/>
    <w:lsdException w:name="Signature" w:semiHidden="1" w:uiPriority="0" w:qFormat="1"/>
    <w:lsdException w:name="Default Paragraph Font" w:semiHidden="1" w:uiPriority="1" w:unhideWhenUsed="1"/>
    <w:lsdException w:name="Body Text" w:uiPriority="1" w:unhideWhenUsed="1" w:qFormat="1"/>
    <w:lsdException w:name="Body Text Indent" w:qFormat="1"/>
    <w:lsdException w:name="List Continue" w:uiPriority="0" w:qFormat="1"/>
    <w:lsdException w:name="List Continue 2" w:uiPriority="0" w:qFormat="1"/>
    <w:lsdException w:name="List Continue 3" w:uiPriority="0" w:qFormat="1"/>
    <w:lsdException w:name="List Continue 4" w:uiPriority="0" w:qFormat="1"/>
    <w:lsdException w:name="List Continue 5" w:semiHidden="1" w:unhideWhenUsed="1"/>
    <w:lsdException w:name="Message Header" w:semiHidden="1" w:uiPriority="0" w:qFormat="1"/>
    <w:lsdException w:name="Subtitle" w:uiPriority="0" w:qFormat="1"/>
    <w:lsdException w:name="Salutation" w:semiHidden="1" w:uiPriority="0" w:qFormat="1"/>
    <w:lsdException w:name="Date" w:qFormat="1"/>
    <w:lsdException w:name="Body Text First Indent" w:uiPriority="0" w:qFormat="1"/>
    <w:lsdException w:name="Body Text First Indent 2" w:qFormat="1"/>
    <w:lsdException w:name="Note Heading" w:qFormat="1"/>
    <w:lsdException w:name="Body Text 2" w:uiPriority="0" w:qFormat="1"/>
    <w:lsdException w:name="Body Text 3" w:uiPriority="0"/>
    <w:lsdException w:name="Body Text Indent 2" w:uiPriority="0" w:qFormat="1"/>
    <w:lsdException w:name="Body Text Indent 3" w:qFormat="1"/>
    <w:lsdException w:name="Block Text" w:uiPriority="0" w:qFormat="1"/>
    <w:lsdException w:name="Hyperlink" w:qFormat="1"/>
    <w:lsdException w:name="FollowedHyperlink" w:uiPriority="0"/>
    <w:lsdException w:name="Strong" w:uiPriority="22" w:qFormat="1"/>
    <w:lsdException w:name="Emphasis" w:uiPriority="20" w:qFormat="1"/>
    <w:lsdException w:name="Document Map" w:uiPriority="0" w:qFormat="1"/>
    <w:lsdException w:name="Plain Text" w:qFormat="1"/>
    <w:lsdException w:name="E-mail Signature" w:semiHidden="1" w:uiPriority="0"/>
    <w:lsdException w:name="HTML Top of Form" w:semiHidden="1" w:unhideWhenUsed="1"/>
    <w:lsdException w:name="HTML Bottom of Form" w:semiHidden="1" w:unhideWhenUsed="1"/>
    <w:lsdException w:name="Normal (Web)" w:qFormat="1"/>
    <w:lsdException w:name="HTML Acronym" w:unhideWhenUsed="1"/>
    <w:lsdException w:name="HTML Address" w:semiHidden="1" w:uiPriority="0" w:qFormat="1"/>
    <w:lsdException w:name="HTML Cite" w:unhideWhenUsed="1"/>
    <w:lsdException w:name="HTML Code" w:unhideWhenUsed="1"/>
    <w:lsdException w:name="HTML Definition" w:unhideWhenUsed="1"/>
    <w:lsdException w:name="HTML Keyboard" w:semiHidden="1" w:unhideWhenUsed="1"/>
    <w:lsdException w:name="HTML Preformatted" w:uiPriority="0" w:qFormat="1"/>
    <w:lsdException w:name="HTML Sample" w:semiHidden="1" w:unhideWhenUsed="1"/>
    <w:lsdException w:name="HTML Typewriter" w:semiHidden="1" w:unhideWhenUsed="1"/>
    <w:lsdException w:name="HTML Variable" w:unhideWhenUsed="1"/>
    <w:lsdException w:name="Normal Table" w:semiHidden="1" w:unhideWhenUsed="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qFormat="1"/>
    <w:lsdException w:name="Table Simple 2" w:semiHidden="1" w:unhideWhenUsed="1"/>
    <w:lsdException w:name="Table Simple 3" w:semiHidden="1" w:unhideWhenUsed="1"/>
    <w:lsdException w:name="Table Classic 1" w:semiHidden="1" w:unhideWhenUsed="1"/>
    <w:lsdException w:name="Table Classic 2" w:semiHidden="1" w:uiPriority="0" w:unhideWhenUsed="1" w:qFormat="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iPriority="0" w:unhideWhenUsed="1" w:qFormat="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qFormat="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next w:val="2"/>
    <w:qFormat/>
    <w:rsid w:val="00E756FC"/>
    <w:pPr>
      <w:widowControl w:val="0"/>
      <w:jc w:val="both"/>
    </w:pPr>
    <w:rPr>
      <w:rFonts w:asciiTheme="minorHAnsi" w:eastAsiaTheme="minorEastAsia" w:hAnsiTheme="minorHAnsi" w:cstheme="minorBidi"/>
      <w:kern w:val="2"/>
      <w:sz w:val="21"/>
      <w:szCs w:val="22"/>
    </w:rPr>
  </w:style>
  <w:style w:type="paragraph" w:styleId="1">
    <w:name w:val="heading 1"/>
    <w:basedOn w:val="a0"/>
    <w:next w:val="a0"/>
    <w:link w:val="10"/>
    <w:qFormat/>
    <w:pPr>
      <w:keepNext/>
      <w:keepLines/>
      <w:spacing w:line="360" w:lineRule="auto"/>
      <w:outlineLvl w:val="0"/>
    </w:pPr>
    <w:rPr>
      <w:rFonts w:ascii="Times New Roman" w:eastAsia="黑体" w:hAnsi="Times New Roman" w:cs="Times New Roman"/>
      <w:kern w:val="44"/>
      <w:sz w:val="24"/>
      <w:szCs w:val="24"/>
    </w:rPr>
  </w:style>
  <w:style w:type="paragraph" w:styleId="2">
    <w:name w:val="heading 2"/>
    <w:basedOn w:val="a0"/>
    <w:next w:val="a0"/>
    <w:link w:val="20"/>
    <w:qFormat/>
    <w:pPr>
      <w:keepNext/>
      <w:keepLines/>
      <w:ind w:firstLineChars="200" w:firstLine="464"/>
      <w:outlineLvl w:val="1"/>
    </w:pPr>
    <w:rPr>
      <w:rFonts w:ascii="Times New Roman" w:eastAsia="黑体" w:hAnsi="Times New Roman" w:cs="Times New Roman"/>
      <w:kern w:val="0"/>
      <w:sz w:val="24"/>
      <w:szCs w:val="24"/>
    </w:rPr>
  </w:style>
  <w:style w:type="paragraph" w:styleId="30">
    <w:name w:val="heading 3"/>
    <w:basedOn w:val="a0"/>
    <w:next w:val="a0"/>
    <w:link w:val="31"/>
    <w:unhideWhenUsed/>
    <w:qFormat/>
    <w:pPr>
      <w:keepNext/>
      <w:keepLines/>
      <w:spacing w:before="260" w:after="260" w:line="416" w:lineRule="auto"/>
      <w:outlineLvl w:val="2"/>
    </w:pPr>
    <w:rPr>
      <w:b/>
      <w:bCs/>
      <w:sz w:val="32"/>
      <w:szCs w:val="32"/>
    </w:rPr>
  </w:style>
  <w:style w:type="paragraph" w:styleId="4">
    <w:name w:val="heading 4"/>
    <w:basedOn w:val="a0"/>
    <w:next w:val="a0"/>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1">
    <w:name w:val="heading 5"/>
    <w:basedOn w:val="a0"/>
    <w:next w:val="a0"/>
    <w:link w:val="52"/>
    <w:uiPriority w:val="9"/>
    <w:qFormat/>
    <w:pPr>
      <w:keepNext/>
      <w:keepLines/>
      <w:tabs>
        <w:tab w:val="left" w:pos="1008"/>
      </w:tabs>
      <w:adjustRightInd w:val="0"/>
      <w:spacing w:line="360" w:lineRule="auto"/>
      <w:ind w:left="1008" w:firstLineChars="200" w:hanging="1008"/>
      <w:outlineLvl w:val="4"/>
    </w:pPr>
    <w:rPr>
      <w:rFonts w:ascii="Times New Roman" w:eastAsia="宋体" w:hAnsi="Times New Roman" w:cs="Times New Roman"/>
      <w:sz w:val="28"/>
      <w:szCs w:val="24"/>
    </w:rPr>
  </w:style>
  <w:style w:type="paragraph" w:styleId="6">
    <w:name w:val="heading 6"/>
    <w:basedOn w:val="a0"/>
    <w:next w:val="a0"/>
    <w:link w:val="60"/>
    <w:qFormat/>
    <w:pPr>
      <w:keepNext/>
      <w:keepLines/>
      <w:tabs>
        <w:tab w:val="left" w:pos="1152"/>
      </w:tabs>
      <w:spacing w:before="240" w:after="64" w:line="317" w:lineRule="auto"/>
      <w:ind w:left="1152" w:firstLineChars="200" w:hanging="1152"/>
      <w:outlineLvl w:val="5"/>
    </w:pPr>
    <w:rPr>
      <w:rFonts w:ascii="Arial" w:eastAsia="黑体" w:hAnsi="Arial" w:cs="Times New Roman"/>
      <w:b/>
      <w:sz w:val="24"/>
      <w:szCs w:val="24"/>
    </w:rPr>
  </w:style>
  <w:style w:type="paragraph" w:styleId="7">
    <w:name w:val="heading 7"/>
    <w:basedOn w:val="a0"/>
    <w:next w:val="a0"/>
    <w:link w:val="70"/>
    <w:qFormat/>
    <w:pPr>
      <w:keepNext/>
      <w:keepLines/>
      <w:spacing w:before="240" w:after="64" w:line="320" w:lineRule="auto"/>
      <w:ind w:firstLineChars="200" w:firstLine="464"/>
      <w:outlineLvl w:val="6"/>
    </w:pPr>
    <w:rPr>
      <w:rFonts w:ascii="Times New Roman" w:eastAsia="宋体" w:hAnsi="Times New Roman" w:cs="Times New Roman"/>
      <w:b/>
      <w:bCs/>
      <w:kern w:val="13"/>
      <w:sz w:val="24"/>
      <w:szCs w:val="24"/>
    </w:rPr>
  </w:style>
  <w:style w:type="paragraph" w:styleId="8">
    <w:name w:val="heading 8"/>
    <w:basedOn w:val="a0"/>
    <w:next w:val="a0"/>
    <w:link w:val="80"/>
    <w:qFormat/>
    <w:pPr>
      <w:keepNext/>
      <w:keepLines/>
      <w:tabs>
        <w:tab w:val="left" w:pos="1440"/>
      </w:tabs>
      <w:spacing w:before="240" w:after="64" w:line="317" w:lineRule="auto"/>
      <w:ind w:left="1440" w:firstLineChars="200" w:hanging="1440"/>
      <w:outlineLvl w:val="7"/>
    </w:pPr>
    <w:rPr>
      <w:rFonts w:ascii="Arial" w:eastAsia="黑体" w:hAnsi="Arial" w:cs="Times New Roman"/>
      <w:sz w:val="24"/>
      <w:szCs w:val="24"/>
    </w:rPr>
  </w:style>
  <w:style w:type="paragraph" w:styleId="9">
    <w:name w:val="heading 9"/>
    <w:basedOn w:val="a0"/>
    <w:next w:val="a0"/>
    <w:link w:val="90"/>
    <w:qFormat/>
    <w:pPr>
      <w:keepNext/>
      <w:keepLines/>
      <w:tabs>
        <w:tab w:val="left" w:pos="1584"/>
      </w:tabs>
      <w:spacing w:before="240" w:after="64" w:line="317" w:lineRule="auto"/>
      <w:ind w:left="1584" w:firstLineChars="200" w:hanging="1584"/>
      <w:outlineLvl w:val="8"/>
    </w:pPr>
    <w:rPr>
      <w:rFonts w:ascii="Arial" w:eastAsia="黑体" w:hAnsi="Arial" w:cs="Times New Roman"/>
      <w:szCs w:val="24"/>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32">
    <w:name w:val="List 3"/>
    <w:basedOn w:val="a0"/>
    <w:qFormat/>
    <w:pPr>
      <w:ind w:leftChars="400" w:left="100" w:hangingChars="200" w:hanging="200"/>
    </w:pPr>
    <w:rPr>
      <w:rFonts w:ascii="Times New Roman" w:eastAsia="宋体" w:hAnsi="Times New Roman" w:cs="Times New Roman"/>
      <w:sz w:val="24"/>
      <w:szCs w:val="24"/>
    </w:rPr>
  </w:style>
  <w:style w:type="paragraph" w:styleId="71">
    <w:name w:val="toc 7"/>
    <w:basedOn w:val="a0"/>
    <w:next w:val="a0"/>
    <w:uiPriority w:val="39"/>
    <w:unhideWhenUsed/>
    <w:qFormat/>
    <w:pPr>
      <w:ind w:leftChars="1200" w:left="2520" w:firstLineChars="200" w:firstLine="464"/>
    </w:pPr>
    <w:rPr>
      <w:rFonts w:ascii="Calibri" w:eastAsia="宋体" w:hAnsi="Calibri" w:cs="Times New Roman"/>
    </w:rPr>
  </w:style>
  <w:style w:type="paragraph" w:styleId="a4">
    <w:name w:val="table of authorities"/>
    <w:basedOn w:val="a0"/>
    <w:next w:val="a0"/>
    <w:qFormat/>
    <w:pPr>
      <w:spacing w:line="529" w:lineRule="exact"/>
      <w:ind w:leftChars="200" w:left="420"/>
    </w:pPr>
    <w:rPr>
      <w:rFonts w:ascii="Times New Roman" w:eastAsia="宋体" w:hAnsi="Times New Roman" w:cs="Times New Roman"/>
      <w:sz w:val="24"/>
      <w:szCs w:val="24"/>
    </w:rPr>
  </w:style>
  <w:style w:type="paragraph" w:styleId="a5">
    <w:name w:val="Note Heading"/>
    <w:basedOn w:val="a0"/>
    <w:next w:val="a0"/>
    <w:link w:val="a6"/>
    <w:uiPriority w:val="99"/>
    <w:qFormat/>
    <w:pPr>
      <w:ind w:firstLineChars="200" w:firstLine="464"/>
      <w:jc w:val="center"/>
    </w:pPr>
    <w:rPr>
      <w:rFonts w:ascii="Times New Roman" w:eastAsia="宋体" w:hAnsi="Times New Roman" w:cs="Times New Roman"/>
      <w:szCs w:val="20"/>
    </w:rPr>
  </w:style>
  <w:style w:type="paragraph" w:styleId="41">
    <w:name w:val="List Bullet 4"/>
    <w:basedOn w:val="a0"/>
    <w:pPr>
      <w:tabs>
        <w:tab w:val="left" w:pos="990"/>
      </w:tabs>
      <w:ind w:left="990" w:firstLineChars="200" w:hanging="360"/>
    </w:pPr>
    <w:rPr>
      <w:rFonts w:ascii="Times New Roman" w:eastAsia="宋体" w:hAnsi="Times New Roman" w:cs="Times New Roman"/>
      <w:sz w:val="24"/>
      <w:szCs w:val="24"/>
    </w:rPr>
  </w:style>
  <w:style w:type="paragraph" w:styleId="81">
    <w:name w:val="index 8"/>
    <w:basedOn w:val="a0"/>
    <w:next w:val="a0"/>
    <w:qFormat/>
    <w:pPr>
      <w:ind w:left="1920" w:firstLineChars="200" w:hanging="240"/>
      <w:jc w:val="left"/>
    </w:pPr>
    <w:rPr>
      <w:rFonts w:ascii="Times New Roman" w:eastAsia="宋体" w:hAnsi="Times New Roman" w:cs="Times New Roman"/>
      <w:sz w:val="20"/>
      <w:szCs w:val="24"/>
    </w:rPr>
  </w:style>
  <w:style w:type="paragraph" w:styleId="a7">
    <w:name w:val="E-mail Signature"/>
    <w:basedOn w:val="a0"/>
    <w:link w:val="11"/>
    <w:semiHidden/>
    <w:rPr>
      <w:rFonts w:ascii="Times New Roman" w:eastAsia="宋体" w:hAnsi="Times New Roman" w:cs="Times New Roman"/>
      <w:szCs w:val="24"/>
    </w:rPr>
  </w:style>
  <w:style w:type="paragraph" w:styleId="a8">
    <w:name w:val="Normal Indent"/>
    <w:basedOn w:val="a0"/>
    <w:link w:val="a9"/>
    <w:qFormat/>
    <w:pPr>
      <w:ind w:firstLineChars="200" w:firstLine="420"/>
    </w:pPr>
    <w:rPr>
      <w:rFonts w:ascii="Times New Roman" w:eastAsia="宋体" w:hAnsi="Times New Roman" w:cs="Times New Roman"/>
      <w:kern w:val="0"/>
      <w:sz w:val="20"/>
      <w:szCs w:val="20"/>
    </w:rPr>
  </w:style>
  <w:style w:type="paragraph" w:styleId="aa">
    <w:name w:val="caption"/>
    <w:basedOn w:val="a0"/>
    <w:next w:val="a0"/>
    <w:link w:val="ab"/>
    <w:qFormat/>
    <w:pPr>
      <w:spacing w:before="152" w:after="160"/>
      <w:ind w:firstLineChars="200" w:firstLine="464"/>
    </w:pPr>
    <w:rPr>
      <w:rFonts w:ascii="Arial" w:eastAsia="黑体" w:hAnsi="Arial" w:cs="Arial"/>
      <w:sz w:val="20"/>
      <w:szCs w:val="20"/>
    </w:rPr>
  </w:style>
  <w:style w:type="paragraph" w:styleId="53">
    <w:name w:val="index 5"/>
    <w:basedOn w:val="a0"/>
    <w:next w:val="a0"/>
    <w:pPr>
      <w:ind w:left="1200" w:firstLineChars="200" w:hanging="240"/>
      <w:jc w:val="left"/>
    </w:pPr>
    <w:rPr>
      <w:rFonts w:ascii="Times New Roman" w:eastAsia="宋体" w:hAnsi="Times New Roman" w:cs="Times New Roman"/>
      <w:sz w:val="20"/>
      <w:szCs w:val="24"/>
    </w:rPr>
  </w:style>
  <w:style w:type="paragraph" w:styleId="ac">
    <w:name w:val="List Bullet"/>
    <w:basedOn w:val="a0"/>
    <w:qFormat/>
    <w:pPr>
      <w:tabs>
        <w:tab w:val="left" w:pos="360"/>
      </w:tabs>
      <w:ind w:left="360" w:firstLineChars="200" w:hanging="360"/>
    </w:pPr>
    <w:rPr>
      <w:rFonts w:ascii="Times New Roman" w:eastAsia="宋体" w:hAnsi="Times New Roman" w:cs="Times New Roman"/>
      <w:sz w:val="24"/>
      <w:szCs w:val="24"/>
    </w:rPr>
  </w:style>
  <w:style w:type="paragraph" w:styleId="ad">
    <w:name w:val="envelope address"/>
    <w:basedOn w:val="a0"/>
    <w:semiHidden/>
    <w:qFormat/>
    <w:pPr>
      <w:framePr w:w="7920" w:h="1980" w:hRule="exact" w:hSpace="180" w:wrap="around" w:hAnchor="page" w:xAlign="center" w:yAlign="bottom"/>
      <w:snapToGrid w:val="0"/>
      <w:ind w:leftChars="1400" w:left="100"/>
    </w:pPr>
    <w:rPr>
      <w:rFonts w:ascii="Arial" w:eastAsia="宋体" w:hAnsi="Arial" w:cs="Arial"/>
      <w:sz w:val="24"/>
      <w:szCs w:val="24"/>
    </w:rPr>
  </w:style>
  <w:style w:type="paragraph" w:styleId="ae">
    <w:name w:val="Document Map"/>
    <w:basedOn w:val="a0"/>
    <w:link w:val="af"/>
    <w:qFormat/>
    <w:pPr>
      <w:shd w:val="clear" w:color="auto" w:fill="000080"/>
      <w:ind w:firstLineChars="200" w:firstLine="464"/>
    </w:pPr>
    <w:rPr>
      <w:rFonts w:ascii="Times New Roman" w:eastAsia="宋体" w:hAnsi="Times New Roman" w:cs="Times New Roman"/>
      <w:kern w:val="0"/>
      <w:sz w:val="24"/>
      <w:szCs w:val="24"/>
    </w:rPr>
  </w:style>
  <w:style w:type="paragraph" w:styleId="af0">
    <w:name w:val="toa heading"/>
    <w:basedOn w:val="a0"/>
    <w:next w:val="a0"/>
    <w:qFormat/>
    <w:pPr>
      <w:spacing w:before="120"/>
    </w:pPr>
    <w:rPr>
      <w:rFonts w:ascii="Arial" w:eastAsia="宋体" w:hAnsi="Arial" w:cs="Times New Roman"/>
      <w:sz w:val="24"/>
      <w:szCs w:val="20"/>
    </w:rPr>
  </w:style>
  <w:style w:type="paragraph" w:styleId="af1">
    <w:name w:val="annotation text"/>
    <w:basedOn w:val="a0"/>
    <w:link w:val="af2"/>
    <w:uiPriority w:val="99"/>
    <w:unhideWhenUsed/>
    <w:qFormat/>
    <w:pPr>
      <w:ind w:firstLineChars="200" w:firstLine="464"/>
      <w:jc w:val="left"/>
    </w:pPr>
    <w:rPr>
      <w:rFonts w:ascii="Times New Roman" w:eastAsia="宋体" w:hAnsi="Times New Roman" w:cs="Times New Roman"/>
      <w:sz w:val="24"/>
      <w:szCs w:val="24"/>
    </w:rPr>
  </w:style>
  <w:style w:type="paragraph" w:styleId="61">
    <w:name w:val="index 6"/>
    <w:basedOn w:val="a0"/>
    <w:next w:val="a0"/>
    <w:qFormat/>
    <w:pPr>
      <w:ind w:left="1440" w:firstLineChars="200" w:hanging="240"/>
      <w:jc w:val="left"/>
    </w:pPr>
    <w:rPr>
      <w:rFonts w:ascii="Times New Roman" w:eastAsia="宋体" w:hAnsi="Times New Roman" w:cs="Times New Roman"/>
      <w:sz w:val="20"/>
      <w:szCs w:val="24"/>
    </w:rPr>
  </w:style>
  <w:style w:type="paragraph" w:styleId="af3">
    <w:name w:val="Salutation"/>
    <w:basedOn w:val="a0"/>
    <w:next w:val="a0"/>
    <w:link w:val="12"/>
    <w:semiHidden/>
    <w:qFormat/>
    <w:rPr>
      <w:rFonts w:ascii="Times New Roman" w:eastAsia="宋体" w:hAnsi="Times New Roman" w:cs="Times New Roman"/>
      <w:szCs w:val="24"/>
    </w:rPr>
  </w:style>
  <w:style w:type="paragraph" w:styleId="33">
    <w:name w:val="Body Text 3"/>
    <w:basedOn w:val="a0"/>
    <w:link w:val="34"/>
    <w:pPr>
      <w:spacing w:after="120"/>
      <w:ind w:firstLineChars="200" w:firstLine="464"/>
    </w:pPr>
    <w:rPr>
      <w:rFonts w:ascii="Times New Roman" w:eastAsia="宋体" w:hAnsi="Times New Roman" w:cs="Times New Roman"/>
      <w:kern w:val="0"/>
      <w:sz w:val="16"/>
      <w:szCs w:val="16"/>
    </w:rPr>
  </w:style>
  <w:style w:type="paragraph" w:styleId="af4">
    <w:name w:val="Closing"/>
    <w:basedOn w:val="a0"/>
    <w:link w:val="13"/>
    <w:qFormat/>
    <w:pPr>
      <w:ind w:leftChars="2100" w:left="100"/>
    </w:pPr>
    <w:rPr>
      <w:rFonts w:ascii="Times New Roman" w:eastAsia="宋体" w:hAnsi="Times New Roman" w:cs="Times New Roman"/>
      <w:szCs w:val="24"/>
    </w:rPr>
  </w:style>
  <w:style w:type="paragraph" w:styleId="af5">
    <w:name w:val="Body Text"/>
    <w:basedOn w:val="a0"/>
    <w:next w:val="5"/>
    <w:link w:val="af6"/>
    <w:uiPriority w:val="1"/>
    <w:unhideWhenUsed/>
    <w:qFormat/>
    <w:pPr>
      <w:spacing w:after="120"/>
      <w:ind w:firstLineChars="200" w:firstLine="464"/>
    </w:pPr>
    <w:rPr>
      <w:rFonts w:ascii="Times New Roman" w:eastAsia="宋体" w:hAnsi="Times New Roman" w:cs="Times New Roman"/>
      <w:kern w:val="0"/>
      <w:sz w:val="24"/>
      <w:szCs w:val="24"/>
    </w:rPr>
  </w:style>
  <w:style w:type="paragraph" w:styleId="5">
    <w:name w:val="List Bullet 5"/>
    <w:basedOn w:val="a0"/>
    <w:unhideWhenUsed/>
    <w:qFormat/>
    <w:pPr>
      <w:numPr>
        <w:numId w:val="1"/>
      </w:numPr>
      <w:ind w:firstLineChars="200" w:firstLine="200"/>
    </w:pPr>
    <w:rPr>
      <w:rFonts w:ascii="Times New Roman" w:eastAsia="宋体" w:hAnsi="Times New Roman" w:cs="Times New Roman"/>
      <w:sz w:val="24"/>
      <w:szCs w:val="24"/>
    </w:rPr>
  </w:style>
  <w:style w:type="paragraph" w:styleId="af7">
    <w:name w:val="Body Text Indent"/>
    <w:basedOn w:val="a0"/>
    <w:next w:val="a0"/>
    <w:link w:val="af8"/>
    <w:uiPriority w:val="99"/>
    <w:qFormat/>
    <w:pPr>
      <w:ind w:leftChars="550" w:left="1155" w:firstLineChars="100" w:firstLine="280"/>
    </w:pPr>
    <w:rPr>
      <w:rFonts w:ascii="Times New Roman" w:eastAsia="宋体" w:hAnsi="Times New Roman" w:cs="Times New Roman"/>
      <w:kern w:val="0"/>
      <w:sz w:val="28"/>
      <w:szCs w:val="28"/>
    </w:rPr>
  </w:style>
  <w:style w:type="paragraph" w:styleId="21">
    <w:name w:val="List 2"/>
    <w:basedOn w:val="a0"/>
    <w:qFormat/>
    <w:pPr>
      <w:ind w:leftChars="200" w:left="100" w:hangingChars="200" w:hanging="200"/>
    </w:pPr>
    <w:rPr>
      <w:rFonts w:ascii="Times New Roman" w:eastAsia="宋体" w:hAnsi="Times New Roman" w:cs="Times New Roman"/>
      <w:sz w:val="24"/>
      <w:szCs w:val="24"/>
    </w:rPr>
  </w:style>
  <w:style w:type="paragraph" w:styleId="af9">
    <w:name w:val="List Continue"/>
    <w:basedOn w:val="a0"/>
    <w:qFormat/>
    <w:pPr>
      <w:spacing w:after="120"/>
      <w:ind w:leftChars="200" w:left="420" w:firstLineChars="200" w:firstLine="464"/>
    </w:pPr>
    <w:rPr>
      <w:rFonts w:ascii="Times New Roman" w:eastAsia="宋体" w:hAnsi="Times New Roman" w:cs="Times New Roman"/>
      <w:sz w:val="24"/>
      <w:szCs w:val="24"/>
    </w:rPr>
  </w:style>
  <w:style w:type="paragraph" w:styleId="afa">
    <w:name w:val="Block Text"/>
    <w:basedOn w:val="a0"/>
    <w:qFormat/>
    <w:pPr>
      <w:tabs>
        <w:tab w:val="left" w:pos="210"/>
        <w:tab w:val="left" w:pos="1050"/>
        <w:tab w:val="left" w:pos="1155"/>
        <w:tab w:val="left" w:pos="1365"/>
      </w:tabs>
      <w:ind w:left="210" w:right="-394" w:firstLineChars="200" w:firstLine="525"/>
    </w:pPr>
    <w:rPr>
      <w:rFonts w:ascii="Times New Roman" w:eastAsia="宋体" w:hAnsi="Times New Roman" w:cs="Times New Roman"/>
      <w:sz w:val="32"/>
      <w:szCs w:val="20"/>
    </w:rPr>
  </w:style>
  <w:style w:type="paragraph" w:styleId="22">
    <w:name w:val="List Bullet 2"/>
    <w:basedOn w:val="a0"/>
    <w:qFormat/>
    <w:pPr>
      <w:adjustRightInd w:val="0"/>
      <w:spacing w:line="360" w:lineRule="auto"/>
      <w:ind w:leftChars="200" w:left="420" w:firstLineChars="350" w:firstLine="840"/>
    </w:pPr>
    <w:rPr>
      <w:rFonts w:ascii="Times New Roman" w:eastAsia="宋体" w:hAnsi="Times New Roman" w:cs="Times New Roman"/>
      <w:sz w:val="24"/>
      <w:szCs w:val="24"/>
    </w:rPr>
  </w:style>
  <w:style w:type="paragraph" w:styleId="HTML">
    <w:name w:val="HTML Address"/>
    <w:basedOn w:val="a0"/>
    <w:link w:val="HTML1"/>
    <w:semiHidden/>
    <w:qFormat/>
    <w:rPr>
      <w:rFonts w:ascii="Times New Roman" w:eastAsia="宋体" w:hAnsi="Times New Roman" w:cs="Times New Roman"/>
      <w:i/>
      <w:iCs/>
      <w:szCs w:val="24"/>
    </w:rPr>
  </w:style>
  <w:style w:type="paragraph" w:styleId="42">
    <w:name w:val="index 4"/>
    <w:basedOn w:val="a0"/>
    <w:next w:val="a0"/>
    <w:pPr>
      <w:ind w:left="960" w:firstLineChars="200" w:hanging="240"/>
      <w:jc w:val="left"/>
    </w:pPr>
    <w:rPr>
      <w:rFonts w:ascii="Times New Roman" w:eastAsia="宋体" w:hAnsi="Times New Roman" w:cs="Times New Roman"/>
      <w:sz w:val="20"/>
      <w:szCs w:val="24"/>
    </w:rPr>
  </w:style>
  <w:style w:type="paragraph" w:styleId="54">
    <w:name w:val="toc 5"/>
    <w:basedOn w:val="a0"/>
    <w:next w:val="a0"/>
    <w:uiPriority w:val="39"/>
    <w:unhideWhenUsed/>
    <w:qFormat/>
    <w:pPr>
      <w:ind w:leftChars="800" w:left="1680" w:firstLineChars="200" w:firstLine="464"/>
    </w:pPr>
    <w:rPr>
      <w:rFonts w:ascii="Calibri" w:eastAsia="宋体" w:hAnsi="Calibri" w:cs="Times New Roman"/>
    </w:rPr>
  </w:style>
  <w:style w:type="paragraph" w:styleId="35">
    <w:name w:val="toc 3"/>
    <w:basedOn w:val="a0"/>
    <w:next w:val="a0"/>
    <w:uiPriority w:val="39"/>
    <w:unhideWhenUsed/>
    <w:qFormat/>
    <w:pPr>
      <w:widowControl/>
      <w:spacing w:after="100" w:line="276" w:lineRule="auto"/>
      <w:ind w:left="440" w:firstLineChars="200" w:firstLine="464"/>
      <w:jc w:val="left"/>
    </w:pPr>
    <w:rPr>
      <w:rFonts w:ascii="Calibri" w:eastAsia="宋体" w:hAnsi="Calibri" w:cs="Times New Roman"/>
      <w:kern w:val="0"/>
      <w:sz w:val="22"/>
    </w:rPr>
  </w:style>
  <w:style w:type="paragraph" w:styleId="afb">
    <w:name w:val="Plain Text"/>
    <w:basedOn w:val="a0"/>
    <w:link w:val="afc"/>
    <w:uiPriority w:val="99"/>
    <w:qFormat/>
    <w:pPr>
      <w:ind w:firstLineChars="200" w:firstLine="464"/>
    </w:pPr>
    <w:rPr>
      <w:rFonts w:ascii="Times New Roman" w:eastAsia="宋体" w:hAnsi="Courier New" w:cs="Times New Roman"/>
      <w:kern w:val="0"/>
      <w:sz w:val="20"/>
      <w:szCs w:val="21"/>
    </w:rPr>
  </w:style>
  <w:style w:type="paragraph" w:styleId="82">
    <w:name w:val="toc 8"/>
    <w:basedOn w:val="a0"/>
    <w:next w:val="a0"/>
    <w:uiPriority w:val="39"/>
    <w:unhideWhenUsed/>
    <w:qFormat/>
    <w:pPr>
      <w:ind w:leftChars="1400" w:left="2940" w:firstLineChars="200" w:firstLine="464"/>
    </w:pPr>
    <w:rPr>
      <w:rFonts w:ascii="Calibri" w:eastAsia="宋体" w:hAnsi="Calibri" w:cs="Times New Roman"/>
    </w:rPr>
  </w:style>
  <w:style w:type="paragraph" w:styleId="36">
    <w:name w:val="index 3"/>
    <w:basedOn w:val="a0"/>
    <w:next w:val="a0"/>
    <w:qFormat/>
    <w:pPr>
      <w:ind w:left="720" w:firstLineChars="200" w:hanging="240"/>
      <w:jc w:val="left"/>
    </w:pPr>
    <w:rPr>
      <w:rFonts w:ascii="Times New Roman" w:eastAsia="宋体" w:hAnsi="Times New Roman" w:cs="Times New Roman"/>
      <w:sz w:val="20"/>
      <w:szCs w:val="24"/>
    </w:rPr>
  </w:style>
  <w:style w:type="paragraph" w:styleId="afd">
    <w:name w:val="Date"/>
    <w:basedOn w:val="a0"/>
    <w:next w:val="a0"/>
    <w:link w:val="afe"/>
    <w:uiPriority w:val="99"/>
    <w:qFormat/>
    <w:pPr>
      <w:ind w:leftChars="2500" w:left="100" w:firstLineChars="200" w:firstLine="464"/>
    </w:pPr>
    <w:rPr>
      <w:rFonts w:ascii="Times New Roman" w:eastAsia="宋体" w:hAnsi="Times New Roman" w:cs="Times New Roman"/>
      <w:kern w:val="0"/>
      <w:sz w:val="24"/>
      <w:szCs w:val="24"/>
    </w:rPr>
  </w:style>
  <w:style w:type="paragraph" w:styleId="23">
    <w:name w:val="Body Text Indent 2"/>
    <w:basedOn w:val="a0"/>
    <w:link w:val="24"/>
    <w:qFormat/>
    <w:pPr>
      <w:ind w:firstLineChars="300" w:firstLine="840"/>
    </w:pPr>
    <w:rPr>
      <w:rFonts w:ascii="Times New Roman" w:eastAsia="宋体" w:hAnsi="Times New Roman" w:cs="Times New Roman"/>
      <w:kern w:val="0"/>
      <w:sz w:val="28"/>
      <w:szCs w:val="28"/>
    </w:rPr>
  </w:style>
  <w:style w:type="paragraph" w:styleId="aff">
    <w:name w:val="endnote text"/>
    <w:basedOn w:val="a0"/>
    <w:link w:val="aff0"/>
    <w:unhideWhenUsed/>
    <w:qFormat/>
    <w:pPr>
      <w:snapToGrid w:val="0"/>
      <w:ind w:firstLineChars="200" w:firstLine="464"/>
      <w:jc w:val="left"/>
    </w:pPr>
    <w:rPr>
      <w:rFonts w:ascii="Times New Roman" w:eastAsia="宋体" w:hAnsi="Times New Roman" w:cs="Times New Roman"/>
      <w:sz w:val="24"/>
      <w:szCs w:val="24"/>
    </w:rPr>
  </w:style>
  <w:style w:type="paragraph" w:styleId="aff1">
    <w:name w:val="Balloon Text"/>
    <w:basedOn w:val="a0"/>
    <w:link w:val="aff2"/>
    <w:uiPriority w:val="99"/>
    <w:qFormat/>
    <w:pPr>
      <w:ind w:firstLineChars="200" w:firstLine="464"/>
    </w:pPr>
    <w:rPr>
      <w:rFonts w:ascii="Times New Roman" w:eastAsia="宋体" w:hAnsi="Times New Roman" w:cs="Times New Roman"/>
      <w:kern w:val="0"/>
      <w:sz w:val="18"/>
      <w:szCs w:val="18"/>
    </w:rPr>
  </w:style>
  <w:style w:type="paragraph" w:styleId="aff3">
    <w:name w:val="footer"/>
    <w:basedOn w:val="a0"/>
    <w:link w:val="aff4"/>
    <w:uiPriority w:val="99"/>
    <w:qFormat/>
    <w:pPr>
      <w:tabs>
        <w:tab w:val="center" w:pos="4153"/>
        <w:tab w:val="right" w:pos="8306"/>
      </w:tabs>
      <w:snapToGrid w:val="0"/>
      <w:ind w:firstLineChars="200" w:firstLine="464"/>
      <w:jc w:val="left"/>
    </w:pPr>
    <w:rPr>
      <w:rFonts w:ascii="Times New Roman" w:eastAsia="宋体" w:hAnsi="Times New Roman" w:cs="Times New Roman"/>
      <w:kern w:val="0"/>
      <w:sz w:val="18"/>
      <w:szCs w:val="18"/>
    </w:rPr>
  </w:style>
  <w:style w:type="paragraph" w:styleId="aff5">
    <w:name w:val="header"/>
    <w:basedOn w:val="a0"/>
    <w:link w:val="aff6"/>
    <w:uiPriority w:val="99"/>
    <w:qFormat/>
    <w:pPr>
      <w:pBdr>
        <w:bottom w:val="single" w:sz="6" w:space="1" w:color="auto"/>
      </w:pBdr>
      <w:tabs>
        <w:tab w:val="center" w:pos="4153"/>
        <w:tab w:val="right" w:pos="8306"/>
      </w:tabs>
      <w:snapToGrid w:val="0"/>
      <w:ind w:firstLineChars="200" w:firstLine="464"/>
      <w:jc w:val="center"/>
    </w:pPr>
    <w:rPr>
      <w:rFonts w:ascii="Times New Roman" w:eastAsia="宋体" w:hAnsi="Times New Roman" w:cs="Times New Roman"/>
      <w:kern w:val="0"/>
      <w:sz w:val="24"/>
      <w:szCs w:val="18"/>
    </w:rPr>
  </w:style>
  <w:style w:type="paragraph" w:styleId="aff7">
    <w:name w:val="Signature"/>
    <w:basedOn w:val="a0"/>
    <w:link w:val="14"/>
    <w:semiHidden/>
    <w:qFormat/>
    <w:pPr>
      <w:ind w:leftChars="2100" w:left="100"/>
    </w:pPr>
    <w:rPr>
      <w:rFonts w:ascii="Times New Roman" w:eastAsia="宋体" w:hAnsi="Times New Roman" w:cs="Times New Roman"/>
      <w:szCs w:val="24"/>
    </w:rPr>
  </w:style>
  <w:style w:type="paragraph" w:styleId="15">
    <w:name w:val="toc 1"/>
    <w:basedOn w:val="a0"/>
    <w:next w:val="a0"/>
    <w:uiPriority w:val="39"/>
    <w:qFormat/>
    <w:pPr>
      <w:spacing w:before="120" w:after="120"/>
      <w:ind w:firstLineChars="200" w:firstLine="464"/>
      <w:jc w:val="left"/>
    </w:pPr>
    <w:rPr>
      <w:rFonts w:ascii="Times New Roman" w:eastAsia="宋体" w:hAnsi="Times New Roman" w:cs="Times New Roman"/>
      <w:b/>
      <w:bCs/>
      <w:caps/>
      <w:sz w:val="20"/>
      <w:szCs w:val="20"/>
    </w:rPr>
  </w:style>
  <w:style w:type="paragraph" w:styleId="43">
    <w:name w:val="List Continue 4"/>
    <w:basedOn w:val="a0"/>
    <w:qFormat/>
    <w:pPr>
      <w:spacing w:after="120"/>
      <w:ind w:leftChars="800" w:left="1680" w:firstLineChars="200" w:firstLine="464"/>
    </w:pPr>
    <w:rPr>
      <w:rFonts w:ascii="Times New Roman" w:eastAsia="宋体" w:hAnsi="Times New Roman" w:cs="Times New Roman"/>
      <w:sz w:val="24"/>
      <w:szCs w:val="24"/>
    </w:rPr>
  </w:style>
  <w:style w:type="paragraph" w:styleId="44">
    <w:name w:val="toc 4"/>
    <w:basedOn w:val="a0"/>
    <w:next w:val="a0"/>
    <w:uiPriority w:val="39"/>
    <w:unhideWhenUsed/>
    <w:qFormat/>
    <w:pPr>
      <w:ind w:leftChars="600" w:left="1260" w:firstLineChars="200" w:firstLine="464"/>
    </w:pPr>
    <w:rPr>
      <w:rFonts w:ascii="Calibri" w:eastAsia="宋体" w:hAnsi="Calibri" w:cs="Times New Roman"/>
    </w:rPr>
  </w:style>
  <w:style w:type="paragraph" w:styleId="aff8">
    <w:name w:val="index heading"/>
    <w:basedOn w:val="a0"/>
    <w:next w:val="16"/>
    <w:qFormat/>
    <w:pPr>
      <w:tabs>
        <w:tab w:val="left" w:pos="360"/>
      </w:tabs>
      <w:autoSpaceDE w:val="0"/>
      <w:autoSpaceDN w:val="0"/>
      <w:adjustRightInd w:val="0"/>
      <w:spacing w:line="240" w:lineRule="atLeast"/>
      <w:ind w:firstLineChars="200" w:firstLine="464"/>
    </w:pPr>
    <w:rPr>
      <w:rFonts w:ascii="Times New Roman" w:eastAsia="宋体" w:hAnsi="Times New Roman" w:cs="Times New Roman"/>
      <w:kern w:val="0"/>
      <w:sz w:val="24"/>
      <w:szCs w:val="20"/>
    </w:rPr>
  </w:style>
  <w:style w:type="paragraph" w:styleId="16">
    <w:name w:val="index 1"/>
    <w:basedOn w:val="a0"/>
    <w:next w:val="a0"/>
    <w:semiHidden/>
    <w:unhideWhenUsed/>
    <w:qFormat/>
  </w:style>
  <w:style w:type="paragraph" w:styleId="aff9">
    <w:name w:val="Subtitle"/>
    <w:basedOn w:val="a0"/>
    <w:next w:val="a0"/>
    <w:link w:val="affa"/>
    <w:qFormat/>
    <w:pPr>
      <w:spacing w:before="240" w:after="60" w:line="312" w:lineRule="auto"/>
      <w:ind w:firstLineChars="200" w:firstLine="464"/>
      <w:jc w:val="center"/>
      <w:outlineLvl w:val="1"/>
    </w:pPr>
    <w:rPr>
      <w:rFonts w:ascii="Cambria" w:eastAsia="宋体" w:hAnsi="Cambria" w:cs="Times New Roman"/>
      <w:b/>
      <w:bCs/>
      <w:kern w:val="28"/>
      <w:sz w:val="32"/>
      <w:szCs w:val="32"/>
    </w:rPr>
  </w:style>
  <w:style w:type="paragraph" w:styleId="affb">
    <w:name w:val="List"/>
    <w:basedOn w:val="a0"/>
    <w:qFormat/>
    <w:pPr>
      <w:ind w:left="200" w:hangingChars="200" w:hanging="200"/>
    </w:pPr>
    <w:rPr>
      <w:rFonts w:ascii="Times New Roman" w:eastAsia="宋体" w:hAnsi="Times New Roman" w:cs="Times New Roman"/>
      <w:sz w:val="24"/>
      <w:szCs w:val="24"/>
    </w:rPr>
  </w:style>
  <w:style w:type="paragraph" w:styleId="affc">
    <w:name w:val="footnote text"/>
    <w:basedOn w:val="a0"/>
    <w:link w:val="affd"/>
    <w:qFormat/>
    <w:pPr>
      <w:snapToGrid w:val="0"/>
      <w:ind w:firstLineChars="200" w:firstLine="464"/>
      <w:jc w:val="left"/>
    </w:pPr>
    <w:rPr>
      <w:rFonts w:ascii="Times New Roman" w:eastAsia="宋体" w:hAnsi="Times New Roman" w:cs="Times New Roman"/>
      <w:sz w:val="18"/>
      <w:szCs w:val="24"/>
    </w:rPr>
  </w:style>
  <w:style w:type="paragraph" w:styleId="62">
    <w:name w:val="toc 6"/>
    <w:basedOn w:val="a0"/>
    <w:next w:val="a0"/>
    <w:uiPriority w:val="39"/>
    <w:unhideWhenUsed/>
    <w:qFormat/>
    <w:pPr>
      <w:ind w:leftChars="1000" w:left="2100" w:firstLineChars="200" w:firstLine="464"/>
    </w:pPr>
    <w:rPr>
      <w:rFonts w:ascii="Calibri" w:eastAsia="宋体" w:hAnsi="Calibri" w:cs="Times New Roman"/>
    </w:rPr>
  </w:style>
  <w:style w:type="paragraph" w:styleId="55">
    <w:name w:val="List 5"/>
    <w:basedOn w:val="a0"/>
    <w:qFormat/>
    <w:pPr>
      <w:ind w:leftChars="800" w:left="100" w:hangingChars="200" w:hanging="200"/>
    </w:pPr>
    <w:rPr>
      <w:rFonts w:ascii="Times New Roman" w:eastAsia="宋体" w:hAnsi="Times New Roman" w:cs="Times New Roman"/>
      <w:sz w:val="24"/>
      <w:szCs w:val="24"/>
    </w:rPr>
  </w:style>
  <w:style w:type="paragraph" w:styleId="37">
    <w:name w:val="Body Text Indent 3"/>
    <w:basedOn w:val="a0"/>
    <w:link w:val="38"/>
    <w:uiPriority w:val="99"/>
    <w:qFormat/>
    <w:pPr>
      <w:spacing w:after="120"/>
      <w:ind w:leftChars="200" w:left="420" w:firstLineChars="200" w:firstLine="464"/>
    </w:pPr>
    <w:rPr>
      <w:rFonts w:ascii="Times New Roman" w:eastAsia="宋体" w:hAnsi="Times New Roman" w:cs="Times New Roman"/>
      <w:kern w:val="0"/>
      <w:sz w:val="16"/>
      <w:szCs w:val="16"/>
    </w:rPr>
  </w:style>
  <w:style w:type="paragraph" w:styleId="72">
    <w:name w:val="index 7"/>
    <w:basedOn w:val="a0"/>
    <w:next w:val="a0"/>
    <w:qFormat/>
    <w:pPr>
      <w:ind w:left="1680" w:firstLineChars="200" w:hanging="240"/>
      <w:jc w:val="left"/>
    </w:pPr>
    <w:rPr>
      <w:rFonts w:ascii="Times New Roman" w:eastAsia="宋体" w:hAnsi="Times New Roman" w:cs="Times New Roman"/>
      <w:sz w:val="20"/>
      <w:szCs w:val="24"/>
    </w:rPr>
  </w:style>
  <w:style w:type="paragraph" w:styleId="91">
    <w:name w:val="index 9"/>
    <w:basedOn w:val="a0"/>
    <w:next w:val="a0"/>
    <w:pPr>
      <w:ind w:left="2160" w:firstLineChars="200" w:hanging="240"/>
      <w:jc w:val="left"/>
    </w:pPr>
    <w:rPr>
      <w:rFonts w:ascii="Times New Roman" w:eastAsia="宋体" w:hAnsi="Times New Roman" w:cs="Times New Roman"/>
      <w:sz w:val="20"/>
      <w:szCs w:val="24"/>
    </w:rPr>
  </w:style>
  <w:style w:type="paragraph" w:styleId="affe">
    <w:name w:val="table of figures"/>
    <w:next w:val="a0"/>
    <w:uiPriority w:val="99"/>
    <w:qFormat/>
    <w:pPr>
      <w:widowControl w:val="0"/>
      <w:spacing w:line="360" w:lineRule="auto"/>
      <w:ind w:leftChars="200" w:left="200" w:hangingChars="200" w:hanging="200"/>
      <w:jc w:val="both"/>
    </w:pPr>
    <w:rPr>
      <w:rFonts w:ascii="等线" w:hAnsi="等线"/>
      <w:kern w:val="2"/>
      <w:sz w:val="24"/>
      <w:szCs w:val="24"/>
    </w:rPr>
  </w:style>
  <w:style w:type="paragraph" w:styleId="25">
    <w:name w:val="toc 2"/>
    <w:basedOn w:val="a0"/>
    <w:next w:val="a0"/>
    <w:uiPriority w:val="39"/>
    <w:qFormat/>
    <w:pPr>
      <w:ind w:left="240" w:firstLineChars="200" w:firstLine="464"/>
      <w:jc w:val="left"/>
    </w:pPr>
    <w:rPr>
      <w:rFonts w:ascii="Times New Roman" w:eastAsia="宋体" w:hAnsi="Times New Roman" w:cs="Times New Roman"/>
      <w:smallCaps/>
      <w:sz w:val="20"/>
      <w:szCs w:val="20"/>
    </w:rPr>
  </w:style>
  <w:style w:type="paragraph" w:styleId="92">
    <w:name w:val="toc 9"/>
    <w:basedOn w:val="a0"/>
    <w:next w:val="a0"/>
    <w:uiPriority w:val="39"/>
    <w:unhideWhenUsed/>
    <w:pPr>
      <w:ind w:leftChars="1600" w:left="3360" w:firstLineChars="200" w:firstLine="464"/>
    </w:pPr>
    <w:rPr>
      <w:rFonts w:ascii="Calibri" w:eastAsia="宋体" w:hAnsi="Calibri" w:cs="Times New Roman"/>
    </w:rPr>
  </w:style>
  <w:style w:type="paragraph" w:styleId="26">
    <w:name w:val="Body Text 2"/>
    <w:basedOn w:val="a0"/>
    <w:link w:val="27"/>
    <w:qFormat/>
    <w:pPr>
      <w:tabs>
        <w:tab w:val="left" w:pos="2100"/>
        <w:tab w:val="left" w:pos="7200"/>
      </w:tabs>
      <w:spacing w:line="480" w:lineRule="atLeast"/>
      <w:ind w:firstLineChars="200" w:firstLine="464"/>
    </w:pPr>
    <w:rPr>
      <w:rFonts w:ascii="仿宋_GB2312" w:eastAsia="仿宋_GB2312" w:hAnsi="Times New Roman" w:cs="Times New Roman"/>
      <w:kern w:val="0"/>
      <w:sz w:val="32"/>
      <w:szCs w:val="20"/>
    </w:rPr>
  </w:style>
  <w:style w:type="paragraph" w:styleId="45">
    <w:name w:val="List 4"/>
    <w:basedOn w:val="a0"/>
    <w:qFormat/>
    <w:pPr>
      <w:ind w:leftChars="600" w:left="100" w:hangingChars="200" w:hanging="200"/>
    </w:pPr>
    <w:rPr>
      <w:rFonts w:ascii="Times New Roman" w:eastAsia="宋体" w:hAnsi="Times New Roman" w:cs="Times New Roman"/>
      <w:sz w:val="24"/>
      <w:szCs w:val="24"/>
    </w:rPr>
  </w:style>
  <w:style w:type="paragraph" w:styleId="28">
    <w:name w:val="List Continue 2"/>
    <w:basedOn w:val="a0"/>
    <w:qFormat/>
    <w:pPr>
      <w:spacing w:after="120"/>
      <w:ind w:leftChars="400" w:left="840" w:firstLineChars="200" w:firstLine="464"/>
    </w:pPr>
    <w:rPr>
      <w:rFonts w:ascii="Times New Roman" w:eastAsia="宋体" w:hAnsi="Times New Roman" w:cs="Times New Roman"/>
      <w:sz w:val="24"/>
      <w:szCs w:val="24"/>
    </w:rPr>
  </w:style>
  <w:style w:type="paragraph" w:styleId="afff">
    <w:name w:val="Message Header"/>
    <w:basedOn w:val="a0"/>
    <w:link w:val="17"/>
    <w:semiHidden/>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eastAsia="宋体" w:hAnsi="Arial" w:cs="Arial"/>
      <w:sz w:val="24"/>
      <w:szCs w:val="24"/>
    </w:rPr>
  </w:style>
  <w:style w:type="paragraph" w:styleId="HTML0">
    <w:name w:val="HTML Preformatted"/>
    <w:basedOn w:val="a0"/>
    <w:link w:val="HTML2"/>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00" w:firstLine="464"/>
      <w:jc w:val="left"/>
    </w:pPr>
    <w:rPr>
      <w:rFonts w:ascii="Times New Roman" w:eastAsia="宋体" w:hAnsi="Times New Roman" w:cs="Times New Roman"/>
      <w:kern w:val="0"/>
      <w:sz w:val="24"/>
      <w:szCs w:val="24"/>
    </w:rPr>
  </w:style>
  <w:style w:type="paragraph" w:styleId="afff0">
    <w:name w:val="Normal (Web)"/>
    <w:basedOn w:val="a0"/>
    <w:link w:val="afff1"/>
    <w:uiPriority w:val="99"/>
    <w:qFormat/>
    <w:pPr>
      <w:widowControl/>
      <w:spacing w:before="100" w:beforeAutospacing="1" w:after="100" w:afterAutospacing="1"/>
      <w:ind w:firstLineChars="200" w:firstLine="464"/>
      <w:jc w:val="left"/>
    </w:pPr>
    <w:rPr>
      <w:rFonts w:ascii="Times New Roman" w:eastAsia="宋体" w:hAnsi="Times New Roman" w:cs="宋体"/>
      <w:kern w:val="0"/>
      <w:sz w:val="24"/>
      <w:szCs w:val="24"/>
    </w:rPr>
  </w:style>
  <w:style w:type="paragraph" w:styleId="39">
    <w:name w:val="List Continue 3"/>
    <w:basedOn w:val="a0"/>
    <w:qFormat/>
    <w:pPr>
      <w:spacing w:after="120"/>
      <w:ind w:leftChars="600" w:left="1260" w:firstLineChars="200" w:firstLine="464"/>
    </w:pPr>
    <w:rPr>
      <w:rFonts w:ascii="Times New Roman" w:eastAsia="宋体" w:hAnsi="Times New Roman" w:cs="Times New Roman"/>
      <w:sz w:val="24"/>
      <w:szCs w:val="24"/>
    </w:rPr>
  </w:style>
  <w:style w:type="paragraph" w:styleId="29">
    <w:name w:val="index 2"/>
    <w:basedOn w:val="a0"/>
    <w:next w:val="a0"/>
    <w:pPr>
      <w:ind w:left="480" w:firstLineChars="200" w:hanging="240"/>
      <w:jc w:val="left"/>
    </w:pPr>
    <w:rPr>
      <w:rFonts w:ascii="Times New Roman" w:eastAsia="宋体" w:hAnsi="Times New Roman" w:cs="Times New Roman"/>
      <w:sz w:val="20"/>
      <w:szCs w:val="24"/>
    </w:rPr>
  </w:style>
  <w:style w:type="paragraph" w:styleId="afff2">
    <w:name w:val="Title"/>
    <w:basedOn w:val="a0"/>
    <w:link w:val="afff3"/>
    <w:qFormat/>
    <w:pPr>
      <w:spacing w:before="120" w:after="60" w:line="480" w:lineRule="auto"/>
      <w:ind w:firstLineChars="200" w:firstLine="464"/>
      <w:jc w:val="center"/>
      <w:outlineLvl w:val="0"/>
    </w:pPr>
    <w:rPr>
      <w:rFonts w:ascii="Times New Roman" w:eastAsia="宋体" w:hAnsi="Times New Roman" w:cs="Times New Roman"/>
      <w:b/>
      <w:bCs/>
      <w:kern w:val="0"/>
      <w:sz w:val="36"/>
      <w:szCs w:val="32"/>
    </w:rPr>
  </w:style>
  <w:style w:type="paragraph" w:styleId="afff4">
    <w:name w:val="annotation subject"/>
    <w:basedOn w:val="af1"/>
    <w:next w:val="af1"/>
    <w:link w:val="afff5"/>
    <w:uiPriority w:val="99"/>
    <w:qFormat/>
    <w:rPr>
      <w:b/>
      <w:sz w:val="21"/>
    </w:rPr>
  </w:style>
  <w:style w:type="paragraph" w:styleId="afff6">
    <w:name w:val="Body Text First Indent"/>
    <w:basedOn w:val="af5"/>
    <w:next w:val="a0"/>
    <w:link w:val="afff7"/>
    <w:qFormat/>
    <w:pPr>
      <w:ind w:firstLineChars="100" w:firstLine="420"/>
    </w:pPr>
    <w:rPr>
      <w:szCs w:val="20"/>
    </w:rPr>
  </w:style>
  <w:style w:type="paragraph" w:styleId="2a">
    <w:name w:val="Body Text First Indent 2"/>
    <w:basedOn w:val="af7"/>
    <w:next w:val="afff6"/>
    <w:link w:val="2b"/>
    <w:uiPriority w:val="99"/>
    <w:qFormat/>
    <w:pPr>
      <w:spacing w:after="120"/>
      <w:ind w:leftChars="200" w:left="420" w:firstLineChars="200" w:firstLine="420"/>
    </w:pPr>
    <w:rPr>
      <w:kern w:val="2"/>
      <w:sz w:val="24"/>
      <w:szCs w:val="24"/>
    </w:rPr>
  </w:style>
  <w:style w:type="table" w:styleId="afff8">
    <w:name w:val="Table Grid"/>
    <w:basedOn w:val="a2"/>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8">
    <w:name w:val="Table Simple 1"/>
    <w:basedOn w:val="a2"/>
    <w:semiHidden/>
    <w:qFormat/>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56">
    <w:name w:val="Table Grid 5"/>
    <w:basedOn w:val="a2"/>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afff9">
    <w:name w:val="Strong"/>
    <w:uiPriority w:val="22"/>
    <w:qFormat/>
    <w:rPr>
      <w:b/>
      <w:bCs/>
    </w:rPr>
  </w:style>
  <w:style w:type="character" w:styleId="afffa">
    <w:name w:val="endnote reference"/>
    <w:uiPriority w:val="99"/>
    <w:unhideWhenUsed/>
    <w:rPr>
      <w:vertAlign w:val="superscript"/>
    </w:rPr>
  </w:style>
  <w:style w:type="character" w:styleId="afffb">
    <w:name w:val="page number"/>
    <w:qFormat/>
  </w:style>
  <w:style w:type="character" w:styleId="afffc">
    <w:name w:val="FollowedHyperlink"/>
    <w:rPr>
      <w:color w:val="333333"/>
      <w:u w:val="none"/>
    </w:rPr>
  </w:style>
  <w:style w:type="character" w:styleId="afffd">
    <w:name w:val="Emphasis"/>
    <w:uiPriority w:val="20"/>
    <w:qFormat/>
    <w:rPr>
      <w:color w:val="CC0000"/>
    </w:rPr>
  </w:style>
  <w:style w:type="character" w:styleId="afffe">
    <w:name w:val="line number"/>
    <w:semiHidden/>
    <w:qFormat/>
    <w:rPr>
      <w:rFonts w:ascii="宋体" w:eastAsia="宋体" w:hAnsi="宋体" w:cs="Courier New"/>
      <w:kern w:val="2"/>
      <w:sz w:val="32"/>
      <w:szCs w:val="32"/>
      <w:lang w:val="en-US" w:eastAsia="zh-CN" w:bidi="ar-SA"/>
    </w:rPr>
  </w:style>
  <w:style w:type="character" w:styleId="HTML3">
    <w:name w:val="HTML Definition"/>
    <w:uiPriority w:val="99"/>
    <w:unhideWhenUsed/>
  </w:style>
  <w:style w:type="character" w:styleId="HTML4">
    <w:name w:val="HTML Acronym"/>
    <w:uiPriority w:val="99"/>
    <w:unhideWhenUsed/>
  </w:style>
  <w:style w:type="character" w:styleId="HTML5">
    <w:name w:val="HTML Variable"/>
    <w:uiPriority w:val="99"/>
    <w:unhideWhenUsed/>
  </w:style>
  <w:style w:type="character" w:styleId="affff">
    <w:name w:val="Hyperlink"/>
    <w:uiPriority w:val="99"/>
    <w:qFormat/>
    <w:rPr>
      <w:color w:val="333333"/>
      <w:u w:val="none"/>
    </w:rPr>
  </w:style>
  <w:style w:type="character" w:styleId="HTML6">
    <w:name w:val="HTML Code"/>
    <w:uiPriority w:val="99"/>
    <w:unhideWhenUsed/>
    <w:rPr>
      <w:rFonts w:ascii="Courier New" w:hAnsi="Courier New"/>
      <w:sz w:val="20"/>
    </w:rPr>
  </w:style>
  <w:style w:type="character" w:styleId="affff0">
    <w:name w:val="annotation reference"/>
    <w:uiPriority w:val="99"/>
    <w:qFormat/>
    <w:rPr>
      <w:sz w:val="21"/>
      <w:szCs w:val="21"/>
    </w:rPr>
  </w:style>
  <w:style w:type="character" w:styleId="HTML7">
    <w:name w:val="HTML Cite"/>
    <w:uiPriority w:val="99"/>
    <w:unhideWhenUsed/>
  </w:style>
  <w:style w:type="character" w:styleId="affff1">
    <w:name w:val="footnote reference"/>
    <w:rPr>
      <w:vertAlign w:val="superscript"/>
    </w:rPr>
  </w:style>
  <w:style w:type="character" w:customStyle="1" w:styleId="10">
    <w:name w:val="标题 1 字符"/>
    <w:basedOn w:val="a1"/>
    <w:link w:val="1"/>
    <w:qFormat/>
    <w:rPr>
      <w:rFonts w:ascii="Times New Roman" w:eastAsia="黑体" w:hAnsi="Times New Roman" w:cs="Times New Roman"/>
      <w:kern w:val="44"/>
      <w:sz w:val="24"/>
      <w:szCs w:val="24"/>
    </w:rPr>
  </w:style>
  <w:style w:type="character" w:customStyle="1" w:styleId="20">
    <w:name w:val="标题 2 字符"/>
    <w:basedOn w:val="a1"/>
    <w:link w:val="2"/>
    <w:qFormat/>
    <w:rPr>
      <w:rFonts w:ascii="Times New Roman" w:eastAsia="黑体" w:hAnsi="Times New Roman" w:cs="Times New Roman"/>
      <w:kern w:val="0"/>
      <w:sz w:val="24"/>
      <w:szCs w:val="24"/>
    </w:rPr>
  </w:style>
  <w:style w:type="character" w:customStyle="1" w:styleId="31">
    <w:name w:val="标题 3 字符"/>
    <w:basedOn w:val="a1"/>
    <w:link w:val="30"/>
    <w:qFormat/>
    <w:rPr>
      <w:b/>
      <w:bCs/>
      <w:sz w:val="32"/>
      <w:szCs w:val="32"/>
    </w:rPr>
  </w:style>
  <w:style w:type="character" w:customStyle="1" w:styleId="40">
    <w:name w:val="标题 4 字符"/>
    <w:basedOn w:val="a1"/>
    <w:link w:val="4"/>
    <w:qFormat/>
    <w:rPr>
      <w:rFonts w:asciiTheme="majorHAnsi" w:eastAsiaTheme="majorEastAsia" w:hAnsiTheme="majorHAnsi" w:cstheme="majorBidi"/>
      <w:b/>
      <w:bCs/>
      <w:sz w:val="28"/>
      <w:szCs w:val="28"/>
    </w:rPr>
  </w:style>
  <w:style w:type="character" w:customStyle="1" w:styleId="52">
    <w:name w:val="标题 5 字符"/>
    <w:basedOn w:val="a1"/>
    <w:link w:val="51"/>
    <w:uiPriority w:val="9"/>
    <w:qFormat/>
    <w:rPr>
      <w:rFonts w:ascii="Times New Roman" w:eastAsia="宋体" w:hAnsi="Times New Roman" w:cs="Times New Roman"/>
      <w:sz w:val="28"/>
      <w:szCs w:val="24"/>
    </w:rPr>
  </w:style>
  <w:style w:type="character" w:customStyle="1" w:styleId="60">
    <w:name w:val="标题 6 字符"/>
    <w:basedOn w:val="a1"/>
    <w:link w:val="6"/>
    <w:uiPriority w:val="9"/>
    <w:qFormat/>
    <w:rPr>
      <w:rFonts w:ascii="Arial" w:eastAsia="黑体" w:hAnsi="Arial" w:cs="Times New Roman"/>
      <w:b/>
      <w:sz w:val="24"/>
      <w:szCs w:val="24"/>
    </w:rPr>
  </w:style>
  <w:style w:type="character" w:customStyle="1" w:styleId="70">
    <w:name w:val="标题 7 字符"/>
    <w:basedOn w:val="a1"/>
    <w:link w:val="7"/>
    <w:uiPriority w:val="9"/>
    <w:qFormat/>
    <w:rPr>
      <w:rFonts w:ascii="Times New Roman" w:eastAsia="宋体" w:hAnsi="Times New Roman" w:cs="Times New Roman"/>
      <w:b/>
      <w:bCs/>
      <w:kern w:val="13"/>
      <w:sz w:val="24"/>
      <w:szCs w:val="24"/>
    </w:rPr>
  </w:style>
  <w:style w:type="character" w:customStyle="1" w:styleId="80">
    <w:name w:val="标题 8 字符"/>
    <w:basedOn w:val="a1"/>
    <w:link w:val="8"/>
    <w:uiPriority w:val="9"/>
    <w:qFormat/>
    <w:rPr>
      <w:rFonts w:ascii="Arial" w:eastAsia="黑体" w:hAnsi="Arial" w:cs="Times New Roman"/>
      <w:sz w:val="24"/>
      <w:szCs w:val="24"/>
    </w:rPr>
  </w:style>
  <w:style w:type="character" w:customStyle="1" w:styleId="90">
    <w:name w:val="标题 9 字符"/>
    <w:basedOn w:val="a1"/>
    <w:link w:val="9"/>
    <w:uiPriority w:val="9"/>
    <w:qFormat/>
    <w:rPr>
      <w:rFonts w:ascii="Arial" w:eastAsia="黑体" w:hAnsi="Arial" w:cs="Times New Roman"/>
      <w:szCs w:val="24"/>
    </w:rPr>
  </w:style>
  <w:style w:type="character" w:customStyle="1" w:styleId="a9">
    <w:name w:val="正文缩进 字符"/>
    <w:link w:val="a8"/>
    <w:qFormat/>
    <w:rPr>
      <w:rFonts w:ascii="Times New Roman" w:eastAsia="宋体" w:hAnsi="Times New Roman" w:cs="Times New Roman"/>
      <w:kern w:val="0"/>
      <w:sz w:val="20"/>
      <w:szCs w:val="20"/>
    </w:rPr>
  </w:style>
  <w:style w:type="character" w:customStyle="1" w:styleId="a6">
    <w:name w:val="注释标题 字符"/>
    <w:basedOn w:val="a1"/>
    <w:link w:val="a5"/>
    <w:uiPriority w:val="99"/>
    <w:qFormat/>
    <w:rPr>
      <w:rFonts w:ascii="Times New Roman" w:eastAsia="宋体" w:hAnsi="Times New Roman" w:cs="Times New Roman"/>
      <w:szCs w:val="20"/>
    </w:rPr>
  </w:style>
  <w:style w:type="character" w:customStyle="1" w:styleId="ab">
    <w:name w:val="题注 字符"/>
    <w:link w:val="aa"/>
    <w:qFormat/>
    <w:rPr>
      <w:rFonts w:ascii="Arial" w:eastAsia="黑体" w:hAnsi="Arial" w:cs="Arial"/>
      <w:sz w:val="20"/>
      <w:szCs w:val="20"/>
    </w:rPr>
  </w:style>
  <w:style w:type="character" w:customStyle="1" w:styleId="af">
    <w:name w:val="文档结构图 字符"/>
    <w:basedOn w:val="a1"/>
    <w:link w:val="ae"/>
    <w:uiPriority w:val="99"/>
    <w:rPr>
      <w:rFonts w:ascii="Times New Roman" w:eastAsia="宋体" w:hAnsi="Times New Roman" w:cs="Times New Roman"/>
      <w:kern w:val="0"/>
      <w:sz w:val="24"/>
      <w:szCs w:val="24"/>
      <w:shd w:val="clear" w:color="auto" w:fill="000080"/>
    </w:rPr>
  </w:style>
  <w:style w:type="character" w:customStyle="1" w:styleId="af2">
    <w:name w:val="批注文字 字符"/>
    <w:basedOn w:val="a1"/>
    <w:link w:val="af1"/>
    <w:uiPriority w:val="99"/>
    <w:qFormat/>
    <w:rPr>
      <w:rFonts w:ascii="Times New Roman" w:eastAsia="宋体" w:hAnsi="Times New Roman" w:cs="Times New Roman"/>
      <w:sz w:val="24"/>
      <w:szCs w:val="24"/>
    </w:rPr>
  </w:style>
  <w:style w:type="character" w:customStyle="1" w:styleId="34">
    <w:name w:val="正文文本 3 字符"/>
    <w:basedOn w:val="a1"/>
    <w:link w:val="33"/>
    <w:uiPriority w:val="99"/>
    <w:qFormat/>
    <w:rPr>
      <w:rFonts w:ascii="Times New Roman" w:eastAsia="宋体" w:hAnsi="Times New Roman" w:cs="Times New Roman"/>
      <w:kern w:val="0"/>
      <w:sz w:val="16"/>
      <w:szCs w:val="16"/>
    </w:rPr>
  </w:style>
  <w:style w:type="character" w:customStyle="1" w:styleId="af6">
    <w:name w:val="正文文本 字符"/>
    <w:basedOn w:val="a1"/>
    <w:link w:val="af5"/>
    <w:uiPriority w:val="99"/>
    <w:qFormat/>
    <w:rPr>
      <w:rFonts w:ascii="Times New Roman" w:eastAsia="宋体" w:hAnsi="Times New Roman" w:cs="Times New Roman"/>
      <w:kern w:val="0"/>
      <w:sz w:val="24"/>
      <w:szCs w:val="24"/>
    </w:rPr>
  </w:style>
  <w:style w:type="character" w:customStyle="1" w:styleId="af8">
    <w:name w:val="正文文本缩进 字符"/>
    <w:basedOn w:val="a1"/>
    <w:link w:val="af7"/>
    <w:uiPriority w:val="99"/>
    <w:qFormat/>
    <w:rPr>
      <w:rFonts w:ascii="Times New Roman" w:eastAsia="宋体" w:hAnsi="Times New Roman" w:cs="Times New Roman"/>
      <w:kern w:val="0"/>
      <w:sz w:val="28"/>
      <w:szCs w:val="28"/>
    </w:rPr>
  </w:style>
  <w:style w:type="character" w:customStyle="1" w:styleId="afc">
    <w:name w:val="纯文本 字符"/>
    <w:basedOn w:val="a1"/>
    <w:link w:val="afb"/>
    <w:uiPriority w:val="99"/>
    <w:qFormat/>
    <w:rPr>
      <w:rFonts w:ascii="Times New Roman" w:eastAsia="宋体" w:hAnsi="Courier New" w:cs="Times New Roman"/>
      <w:kern w:val="0"/>
      <w:sz w:val="20"/>
      <w:szCs w:val="21"/>
    </w:rPr>
  </w:style>
  <w:style w:type="character" w:customStyle="1" w:styleId="afe">
    <w:name w:val="日期 字符"/>
    <w:basedOn w:val="a1"/>
    <w:link w:val="afd"/>
    <w:uiPriority w:val="99"/>
    <w:qFormat/>
    <w:rPr>
      <w:rFonts w:ascii="Times New Roman" w:eastAsia="宋体" w:hAnsi="Times New Roman" w:cs="Times New Roman"/>
      <w:kern w:val="0"/>
      <w:sz w:val="24"/>
      <w:szCs w:val="24"/>
    </w:rPr>
  </w:style>
  <w:style w:type="character" w:customStyle="1" w:styleId="24">
    <w:name w:val="正文文本缩进 2 字符"/>
    <w:basedOn w:val="a1"/>
    <w:link w:val="23"/>
    <w:uiPriority w:val="99"/>
    <w:qFormat/>
    <w:rPr>
      <w:rFonts w:ascii="Times New Roman" w:eastAsia="宋体" w:hAnsi="Times New Roman" w:cs="Times New Roman"/>
      <w:kern w:val="0"/>
      <w:sz w:val="28"/>
      <w:szCs w:val="28"/>
    </w:rPr>
  </w:style>
  <w:style w:type="character" w:customStyle="1" w:styleId="aff0">
    <w:name w:val="尾注文本 字符"/>
    <w:basedOn w:val="a1"/>
    <w:link w:val="aff"/>
    <w:uiPriority w:val="99"/>
    <w:qFormat/>
    <w:rPr>
      <w:rFonts w:ascii="Times New Roman" w:eastAsia="宋体" w:hAnsi="Times New Roman" w:cs="Times New Roman"/>
      <w:sz w:val="24"/>
      <w:szCs w:val="24"/>
    </w:rPr>
  </w:style>
  <w:style w:type="character" w:customStyle="1" w:styleId="aff2">
    <w:name w:val="批注框文本 字符"/>
    <w:basedOn w:val="a1"/>
    <w:link w:val="aff1"/>
    <w:uiPriority w:val="99"/>
    <w:qFormat/>
    <w:rPr>
      <w:rFonts w:ascii="Times New Roman" w:eastAsia="宋体" w:hAnsi="Times New Roman" w:cs="Times New Roman"/>
      <w:kern w:val="0"/>
      <w:sz w:val="18"/>
      <w:szCs w:val="18"/>
    </w:rPr>
  </w:style>
  <w:style w:type="character" w:customStyle="1" w:styleId="aff4">
    <w:name w:val="页脚 字符"/>
    <w:basedOn w:val="a1"/>
    <w:link w:val="aff3"/>
    <w:uiPriority w:val="99"/>
    <w:qFormat/>
    <w:rPr>
      <w:rFonts w:ascii="Times New Roman" w:eastAsia="宋体" w:hAnsi="Times New Roman" w:cs="Times New Roman"/>
      <w:kern w:val="0"/>
      <w:sz w:val="18"/>
      <w:szCs w:val="18"/>
    </w:rPr>
  </w:style>
  <w:style w:type="character" w:customStyle="1" w:styleId="aff6">
    <w:name w:val="页眉 字符"/>
    <w:basedOn w:val="a1"/>
    <w:link w:val="aff5"/>
    <w:uiPriority w:val="99"/>
    <w:qFormat/>
    <w:rPr>
      <w:rFonts w:ascii="Times New Roman" w:eastAsia="宋体" w:hAnsi="Times New Roman" w:cs="Times New Roman"/>
      <w:kern w:val="0"/>
      <w:sz w:val="24"/>
      <w:szCs w:val="18"/>
    </w:rPr>
  </w:style>
  <w:style w:type="character" w:customStyle="1" w:styleId="affa">
    <w:name w:val="副标题 字符"/>
    <w:basedOn w:val="a1"/>
    <w:link w:val="aff9"/>
    <w:uiPriority w:val="11"/>
    <w:rPr>
      <w:rFonts w:ascii="Cambria" w:eastAsia="宋体" w:hAnsi="Cambria" w:cs="Times New Roman"/>
      <w:b/>
      <w:bCs/>
      <w:kern w:val="28"/>
      <w:sz w:val="32"/>
      <w:szCs w:val="32"/>
    </w:rPr>
  </w:style>
  <w:style w:type="character" w:customStyle="1" w:styleId="affd">
    <w:name w:val="脚注文本 字符"/>
    <w:basedOn w:val="a1"/>
    <w:link w:val="affc"/>
    <w:uiPriority w:val="99"/>
    <w:rPr>
      <w:rFonts w:ascii="Times New Roman" w:eastAsia="宋体" w:hAnsi="Times New Roman" w:cs="Times New Roman"/>
      <w:sz w:val="18"/>
      <w:szCs w:val="24"/>
    </w:rPr>
  </w:style>
  <w:style w:type="character" w:customStyle="1" w:styleId="38">
    <w:name w:val="正文文本缩进 3 字符"/>
    <w:basedOn w:val="a1"/>
    <w:link w:val="37"/>
    <w:uiPriority w:val="99"/>
    <w:qFormat/>
    <w:rPr>
      <w:rFonts w:ascii="Times New Roman" w:eastAsia="宋体" w:hAnsi="Times New Roman" w:cs="Times New Roman"/>
      <w:kern w:val="0"/>
      <w:sz w:val="16"/>
      <w:szCs w:val="16"/>
    </w:rPr>
  </w:style>
  <w:style w:type="character" w:customStyle="1" w:styleId="27">
    <w:name w:val="正文文本 2 字符"/>
    <w:basedOn w:val="a1"/>
    <w:link w:val="26"/>
    <w:uiPriority w:val="99"/>
    <w:rPr>
      <w:rFonts w:ascii="仿宋_GB2312" w:eastAsia="仿宋_GB2312" w:hAnsi="Times New Roman" w:cs="Times New Roman"/>
      <w:kern w:val="0"/>
      <w:sz w:val="32"/>
      <w:szCs w:val="20"/>
    </w:rPr>
  </w:style>
  <w:style w:type="character" w:customStyle="1" w:styleId="HTML2">
    <w:name w:val="HTML 预设格式 字符"/>
    <w:basedOn w:val="a1"/>
    <w:link w:val="HTML0"/>
    <w:uiPriority w:val="99"/>
    <w:qFormat/>
    <w:rPr>
      <w:rFonts w:ascii="Times New Roman" w:eastAsia="宋体" w:hAnsi="Times New Roman" w:cs="Times New Roman"/>
      <w:kern w:val="0"/>
      <w:sz w:val="24"/>
      <w:szCs w:val="24"/>
    </w:rPr>
  </w:style>
  <w:style w:type="character" w:customStyle="1" w:styleId="afff1">
    <w:name w:val="普通(网站) 字符"/>
    <w:basedOn w:val="a1"/>
    <w:link w:val="afff0"/>
    <w:uiPriority w:val="99"/>
    <w:locked/>
    <w:rPr>
      <w:rFonts w:ascii="Times New Roman" w:eastAsia="宋体" w:hAnsi="Times New Roman" w:cs="宋体"/>
      <w:kern w:val="0"/>
      <w:sz w:val="24"/>
      <w:szCs w:val="24"/>
    </w:rPr>
  </w:style>
  <w:style w:type="character" w:customStyle="1" w:styleId="afff3">
    <w:name w:val="标题 字符"/>
    <w:basedOn w:val="a1"/>
    <w:link w:val="afff2"/>
    <w:uiPriority w:val="10"/>
    <w:qFormat/>
    <w:rPr>
      <w:rFonts w:ascii="Times New Roman" w:eastAsia="宋体" w:hAnsi="Times New Roman" w:cs="Times New Roman"/>
      <w:b/>
      <w:bCs/>
      <w:kern w:val="0"/>
      <w:sz w:val="36"/>
      <w:szCs w:val="32"/>
    </w:rPr>
  </w:style>
  <w:style w:type="character" w:customStyle="1" w:styleId="afff5">
    <w:name w:val="批注主题 字符"/>
    <w:basedOn w:val="af2"/>
    <w:link w:val="afff4"/>
    <w:uiPriority w:val="99"/>
    <w:qFormat/>
    <w:rPr>
      <w:rFonts w:ascii="Times New Roman" w:eastAsia="宋体" w:hAnsi="Times New Roman" w:cs="Times New Roman"/>
      <w:b/>
      <w:sz w:val="24"/>
      <w:szCs w:val="24"/>
    </w:rPr>
  </w:style>
  <w:style w:type="character" w:customStyle="1" w:styleId="afff7">
    <w:name w:val="正文首行缩进 字符"/>
    <w:basedOn w:val="af6"/>
    <w:link w:val="afff6"/>
    <w:qFormat/>
    <w:rPr>
      <w:rFonts w:ascii="Times New Roman" w:eastAsia="宋体" w:hAnsi="Times New Roman" w:cs="Times New Roman"/>
      <w:kern w:val="0"/>
      <w:sz w:val="24"/>
      <w:szCs w:val="20"/>
    </w:rPr>
  </w:style>
  <w:style w:type="character" w:customStyle="1" w:styleId="2b">
    <w:name w:val="正文首行缩进 2 字符"/>
    <w:basedOn w:val="af8"/>
    <w:link w:val="2a"/>
    <w:uiPriority w:val="99"/>
    <w:rPr>
      <w:rFonts w:ascii="Times New Roman" w:eastAsia="宋体" w:hAnsi="Times New Roman" w:cs="Times New Roman"/>
      <w:kern w:val="0"/>
      <w:sz w:val="24"/>
      <w:szCs w:val="24"/>
    </w:rPr>
  </w:style>
  <w:style w:type="character" w:customStyle="1" w:styleId="content1">
    <w:name w:val="content1"/>
    <w:qFormat/>
    <w:rPr>
      <w:sz w:val="21"/>
    </w:rPr>
  </w:style>
  <w:style w:type="character" w:customStyle="1" w:styleId="1Char">
    <w:name w:val="表头1 Char"/>
    <w:link w:val="19"/>
    <w:rPr>
      <w:rFonts w:ascii="宋体" w:eastAsia="黑体" w:hAnsi="宋体" w:cs="宋体"/>
      <w:sz w:val="24"/>
      <w:szCs w:val="21"/>
    </w:rPr>
  </w:style>
  <w:style w:type="paragraph" w:customStyle="1" w:styleId="19">
    <w:name w:val="表头1"/>
    <w:basedOn w:val="a0"/>
    <w:next w:val="a0"/>
    <w:link w:val="1Char"/>
    <w:pPr>
      <w:widowControl/>
      <w:tabs>
        <w:tab w:val="left" w:pos="605"/>
      </w:tabs>
      <w:adjustRightInd w:val="0"/>
      <w:snapToGrid w:val="0"/>
      <w:ind w:firstLineChars="200" w:firstLine="464"/>
      <w:jc w:val="center"/>
    </w:pPr>
    <w:rPr>
      <w:rFonts w:ascii="宋体" w:eastAsia="黑体" w:hAnsi="宋体" w:cs="宋体"/>
      <w:sz w:val="24"/>
      <w:szCs w:val="21"/>
    </w:rPr>
  </w:style>
  <w:style w:type="character" w:customStyle="1" w:styleId="1CharChar">
    <w:name w:val="目标题 1) Char Char"/>
    <w:qFormat/>
    <w:rPr>
      <w:rFonts w:ascii="Arial" w:eastAsia="黑体" w:hAnsi="Arial"/>
      <w:sz w:val="24"/>
      <w:szCs w:val="24"/>
      <w:lang w:val="en-US" w:eastAsia="zh-CN" w:bidi="ar-SA"/>
    </w:rPr>
  </w:style>
  <w:style w:type="character" w:customStyle="1" w:styleId="CharChar">
    <w:name w:val="报告书正文 Char Char"/>
    <w:link w:val="affff2"/>
    <w:rPr>
      <w:rFonts w:ascii="Arial" w:hAnsi="Arial"/>
      <w:sz w:val="24"/>
      <w:szCs w:val="24"/>
    </w:rPr>
  </w:style>
  <w:style w:type="paragraph" w:customStyle="1" w:styleId="affff2">
    <w:name w:val="报告书正文"/>
    <w:basedOn w:val="a0"/>
    <w:link w:val="CharChar"/>
    <w:pPr>
      <w:adjustRightInd w:val="0"/>
      <w:snapToGrid w:val="0"/>
      <w:spacing w:line="360" w:lineRule="auto"/>
      <w:ind w:firstLineChars="200" w:firstLine="425"/>
      <w:textAlignment w:val="baseline"/>
    </w:pPr>
    <w:rPr>
      <w:rFonts w:ascii="Arial" w:hAnsi="Arial"/>
      <w:sz w:val="24"/>
      <w:szCs w:val="24"/>
    </w:rPr>
  </w:style>
  <w:style w:type="character" w:customStyle="1" w:styleId="3-3-3CharChar">
    <w:name w:val="3-3-3 Char Char"/>
    <w:link w:val="3-3-3"/>
    <w:rPr>
      <w:rFonts w:eastAsia="黑体"/>
      <w:sz w:val="24"/>
      <w:szCs w:val="24"/>
    </w:rPr>
  </w:style>
  <w:style w:type="paragraph" w:customStyle="1" w:styleId="3-3-3">
    <w:name w:val="3-3-3"/>
    <w:basedOn w:val="333"/>
    <w:link w:val="3-3-3CharChar"/>
    <w:pPr>
      <w:ind w:firstLine="462"/>
    </w:pPr>
    <w:rPr>
      <w:rFonts w:asciiTheme="minorHAnsi" w:eastAsia="黑体" w:hAnsiTheme="minorHAnsi" w:cstheme="minorBidi"/>
      <w:b w:val="0"/>
    </w:rPr>
  </w:style>
  <w:style w:type="paragraph" w:customStyle="1" w:styleId="333">
    <w:name w:val="333"/>
    <w:basedOn w:val="3--"/>
    <w:link w:val="333Char"/>
    <w:qFormat/>
  </w:style>
  <w:style w:type="paragraph" w:customStyle="1" w:styleId="3--">
    <w:name w:val="3--级标题"/>
    <w:basedOn w:val="a0"/>
    <w:link w:val="3--Char"/>
    <w:pPr>
      <w:keepNext/>
      <w:keepLines/>
      <w:tabs>
        <w:tab w:val="left" w:pos="720"/>
      </w:tabs>
      <w:ind w:firstLineChars="200" w:firstLine="464"/>
      <w:outlineLvl w:val="2"/>
    </w:pPr>
    <w:rPr>
      <w:rFonts w:ascii="Times New Roman" w:eastAsia="Times New Roman" w:hAnsi="Times New Roman" w:cs="Times New Roman"/>
      <w:b/>
      <w:sz w:val="24"/>
      <w:szCs w:val="24"/>
    </w:rPr>
  </w:style>
  <w:style w:type="character" w:customStyle="1" w:styleId="3--Char">
    <w:name w:val="3--级标题 Char"/>
    <w:link w:val="3--"/>
    <w:rPr>
      <w:rFonts w:ascii="Times New Roman" w:eastAsia="Times New Roman" w:hAnsi="Times New Roman" w:cs="Times New Roman"/>
      <w:b/>
      <w:sz w:val="24"/>
      <w:szCs w:val="24"/>
    </w:rPr>
  </w:style>
  <w:style w:type="character" w:customStyle="1" w:styleId="333Char">
    <w:name w:val="333 Char"/>
    <w:link w:val="333"/>
    <w:rPr>
      <w:rFonts w:ascii="Times New Roman" w:eastAsia="Times New Roman" w:hAnsi="Times New Roman" w:cs="Times New Roman"/>
      <w:b/>
      <w:sz w:val="24"/>
      <w:szCs w:val="24"/>
    </w:rPr>
  </w:style>
  <w:style w:type="character" w:customStyle="1" w:styleId="1Char0">
    <w:name w:val="正文文字1 Char"/>
    <w:rPr>
      <w:rFonts w:eastAsia="宋体"/>
      <w:kern w:val="2"/>
      <w:sz w:val="21"/>
      <w:lang w:val="en-US" w:eastAsia="zh-CN"/>
    </w:rPr>
  </w:style>
  <w:style w:type="character" w:customStyle="1" w:styleId="5Char">
    <w:name w:val="样式5 Char"/>
    <w:rPr>
      <w:rFonts w:ascii="Arial" w:eastAsia="宋体" w:hAnsi="Arial"/>
      <w:kern w:val="2"/>
      <w:sz w:val="24"/>
      <w:szCs w:val="24"/>
      <w:lang w:val="en-US" w:eastAsia="zh-CN" w:bidi="ar-SA"/>
    </w:rPr>
  </w:style>
  <w:style w:type="character" w:customStyle="1" w:styleId="CharChar11">
    <w:name w:val="Char Char11"/>
    <w:rPr>
      <w:rFonts w:eastAsia="宋体"/>
      <w:b/>
      <w:kern w:val="2"/>
      <w:sz w:val="32"/>
      <w:lang w:val="en-US" w:eastAsia="zh-CN"/>
    </w:rPr>
  </w:style>
  <w:style w:type="character" w:customStyle="1" w:styleId="b">
    <w:name w:val="b"/>
  </w:style>
  <w:style w:type="character" w:customStyle="1" w:styleId="CharChar20">
    <w:name w:val="Char Char20"/>
    <w:qFormat/>
    <w:rPr>
      <w:sz w:val="18"/>
    </w:rPr>
  </w:style>
  <w:style w:type="character" w:customStyle="1" w:styleId="Char1">
    <w:name w:val="副标题 Char1"/>
    <w:uiPriority w:val="11"/>
    <w:rPr>
      <w:rFonts w:ascii="Cambria" w:hAnsi="Cambria" w:cs="Times New Roman"/>
      <w:b/>
      <w:bCs/>
      <w:kern w:val="28"/>
      <w:sz w:val="32"/>
      <w:szCs w:val="32"/>
    </w:rPr>
  </w:style>
  <w:style w:type="character" w:customStyle="1" w:styleId="aCharChar">
    <w:name w:val="干标题(a) Char Char"/>
    <w:rPr>
      <w:rFonts w:ascii="Arial" w:eastAsia="黑体" w:hAnsi="Arial"/>
      <w:sz w:val="21"/>
      <w:lang w:val="en-US" w:eastAsia="zh-CN"/>
    </w:rPr>
  </w:style>
  <w:style w:type="character" w:customStyle="1" w:styleId="cityhighlight1">
    <w:name w:val="cityhighlight1"/>
    <w:qFormat/>
    <w:rPr>
      <w:b/>
      <w:color w:val="CC0000"/>
    </w:rPr>
  </w:style>
  <w:style w:type="character" w:customStyle="1" w:styleId="t11">
    <w:name w:val="t11"/>
    <w:rPr>
      <w:b/>
      <w:bCs/>
      <w:sz w:val="24"/>
      <w:szCs w:val="24"/>
      <w:shd w:val="clear" w:color="auto" w:fill="FFFFFF"/>
    </w:rPr>
  </w:style>
  <w:style w:type="character" w:customStyle="1" w:styleId="Char10">
    <w:name w:val="页眉 Char1"/>
    <w:qFormat/>
    <w:rPr>
      <w:rFonts w:ascii="宋体" w:eastAsia="宋体" w:hAnsi="宋体" w:cs="Times New Roman"/>
      <w:sz w:val="18"/>
      <w:szCs w:val="18"/>
    </w:rPr>
  </w:style>
  <w:style w:type="character" w:customStyle="1" w:styleId="CharChar41">
    <w:name w:val="Char Char41"/>
    <w:rPr>
      <w:rFonts w:ascii="Times New Roman" w:eastAsia="宋体" w:hAnsi="Times New Roman" w:cs="Times New Roman"/>
      <w:b/>
      <w:bCs/>
      <w:kern w:val="2"/>
      <w:sz w:val="28"/>
      <w:szCs w:val="32"/>
      <w:lang w:val="en-US" w:eastAsia="zh-CN" w:bidi="ar-SA"/>
    </w:rPr>
  </w:style>
  <w:style w:type="character" w:customStyle="1" w:styleId="sc3">
    <w:name w:val="sc3"/>
  </w:style>
  <w:style w:type="character" w:customStyle="1" w:styleId="Char">
    <w:name w:val="图表标题 Char"/>
    <w:link w:val="affff3"/>
    <w:rPr>
      <w:rFonts w:ascii="Arial" w:eastAsia="黑体" w:hAnsi="Arial"/>
      <w:sz w:val="24"/>
      <w:szCs w:val="24"/>
    </w:rPr>
  </w:style>
  <w:style w:type="paragraph" w:customStyle="1" w:styleId="affff3">
    <w:name w:val="图表标题"/>
    <w:basedOn w:val="aa"/>
    <w:link w:val="Char"/>
    <w:qFormat/>
    <w:pPr>
      <w:adjustRightInd w:val="0"/>
      <w:snapToGrid w:val="0"/>
      <w:spacing w:before="0" w:after="0" w:line="600" w:lineRule="exact"/>
      <w:jc w:val="center"/>
    </w:pPr>
    <w:rPr>
      <w:rFonts w:cstheme="minorBidi"/>
      <w:sz w:val="24"/>
      <w:szCs w:val="24"/>
    </w:rPr>
  </w:style>
  <w:style w:type="character" w:customStyle="1" w:styleId="CharChar10">
    <w:name w:val="Char Char10"/>
    <w:qFormat/>
    <w:rPr>
      <w:rFonts w:ascii="Arial" w:eastAsia="宋体" w:hAnsi="Arial"/>
      <w:b/>
      <w:kern w:val="44"/>
      <w:sz w:val="44"/>
      <w:szCs w:val="24"/>
      <w:lang w:val="en-US" w:eastAsia="zh-CN" w:bidi="ar-SA"/>
    </w:rPr>
  </w:style>
  <w:style w:type="character" w:customStyle="1" w:styleId="txt31">
    <w:name w:val="txt31"/>
    <w:rPr>
      <w:b/>
      <w:bCs/>
      <w:sz w:val="27"/>
      <w:szCs w:val="27"/>
    </w:rPr>
  </w:style>
  <w:style w:type="character" w:customStyle="1" w:styleId="CharChar12">
    <w:name w:val="Char Char12"/>
    <w:rPr>
      <w:rFonts w:eastAsia="宋体"/>
      <w:b/>
      <w:bCs/>
      <w:kern w:val="2"/>
      <w:sz w:val="32"/>
      <w:szCs w:val="32"/>
      <w:lang w:val="en-US" w:eastAsia="zh-CN" w:bidi="ar-SA"/>
    </w:rPr>
  </w:style>
  <w:style w:type="character" w:customStyle="1" w:styleId="Char11">
    <w:name w:val="表格标题 Char1"/>
    <w:rPr>
      <w:rFonts w:eastAsia="宋体"/>
      <w:snapToGrid/>
      <w:sz w:val="28"/>
      <w:lang w:val="en-US" w:eastAsia="zh-CN" w:bidi="ar-SA"/>
    </w:rPr>
  </w:style>
  <w:style w:type="character" w:customStyle="1" w:styleId="lh131">
    <w:name w:val="lh131"/>
  </w:style>
  <w:style w:type="character" w:customStyle="1" w:styleId="Char0">
    <w:name w:val="表头 Char"/>
    <w:qFormat/>
    <w:rPr>
      <w:rFonts w:eastAsia="宋体" w:hAnsi="宋体"/>
      <w:spacing w:val="-20"/>
      <w:kern w:val="24"/>
      <w:sz w:val="21"/>
      <w:szCs w:val="21"/>
      <w:lang w:val="en-US" w:eastAsia="zh-CN" w:bidi="ar-SA"/>
    </w:rPr>
  </w:style>
  <w:style w:type="character" w:customStyle="1" w:styleId="6CharChar">
    <w:name w:val="样式6 Char Char"/>
    <w:link w:val="63"/>
    <w:rPr>
      <w:rFonts w:hAnsi="宋体"/>
      <w:color w:val="0000FF"/>
      <w:sz w:val="24"/>
      <w:szCs w:val="24"/>
    </w:rPr>
  </w:style>
  <w:style w:type="paragraph" w:customStyle="1" w:styleId="63">
    <w:name w:val="样式6"/>
    <w:basedOn w:val="a0"/>
    <w:link w:val="6CharChar"/>
    <w:qFormat/>
    <w:pPr>
      <w:ind w:firstLineChars="200" w:firstLine="462"/>
    </w:pPr>
    <w:rPr>
      <w:rFonts w:hAnsi="宋体"/>
      <w:color w:val="0000FF"/>
      <w:sz w:val="24"/>
      <w:szCs w:val="24"/>
    </w:rPr>
  </w:style>
  <w:style w:type="character" w:customStyle="1" w:styleId="z-Char1">
    <w:name w:val="z-窗体顶端 Char1"/>
    <w:uiPriority w:val="99"/>
    <w:semiHidden/>
    <w:rPr>
      <w:rFonts w:ascii="Arial" w:hAnsi="Arial" w:cs="Arial"/>
      <w:vanish/>
      <w:kern w:val="2"/>
      <w:sz w:val="16"/>
      <w:szCs w:val="16"/>
    </w:rPr>
  </w:style>
  <w:style w:type="character" w:customStyle="1" w:styleId="Char12">
    <w:name w:val="批注主题 Char1"/>
    <w:uiPriority w:val="99"/>
    <w:semiHidden/>
    <w:rPr>
      <w:rFonts w:ascii="宋体" w:hAnsi="宋体"/>
      <w:b/>
      <w:bCs/>
      <w:kern w:val="2"/>
      <w:sz w:val="24"/>
      <w:szCs w:val="24"/>
    </w:rPr>
  </w:style>
  <w:style w:type="character" w:customStyle="1" w:styleId="fontstyle01">
    <w:name w:val="fontstyle01"/>
    <w:qFormat/>
    <w:rPr>
      <w:rFonts w:ascii="宋体" w:eastAsia="宋体" w:hAnsi="宋体" w:hint="eastAsia"/>
      <w:color w:val="000000"/>
      <w:sz w:val="24"/>
      <w:szCs w:val="24"/>
    </w:rPr>
  </w:style>
  <w:style w:type="character" w:customStyle="1" w:styleId="wbz2">
    <w:name w:val="wbz2"/>
    <w:qFormat/>
    <w:rPr>
      <w:rFonts w:hint="default"/>
      <w:color w:val="000000"/>
      <w:spacing w:val="0"/>
      <w:sz w:val="18"/>
      <w:u w:val="none"/>
    </w:rPr>
  </w:style>
  <w:style w:type="character" w:customStyle="1" w:styleId="29Char">
    <w:name w:val="样式29 Char"/>
    <w:link w:val="290"/>
    <w:rPr>
      <w:rFonts w:ascii="Times New Roman" w:eastAsia="宋体" w:hAnsi="Times New Roman" w:cs="Times New Roman"/>
      <w:sz w:val="24"/>
      <w:szCs w:val="24"/>
    </w:rPr>
  </w:style>
  <w:style w:type="paragraph" w:customStyle="1" w:styleId="290">
    <w:name w:val="样式29"/>
    <w:basedOn w:val="a0"/>
    <w:link w:val="29Char"/>
    <w:pPr>
      <w:ind w:firstLineChars="200" w:firstLine="463"/>
    </w:pPr>
    <w:rPr>
      <w:rFonts w:ascii="Times New Roman" w:eastAsia="宋体" w:hAnsi="Times New Roman" w:cs="Times New Roman"/>
      <w:sz w:val="24"/>
      <w:szCs w:val="24"/>
    </w:rPr>
  </w:style>
  <w:style w:type="character" w:customStyle="1" w:styleId="index-moduleaccountauthentication3bwix">
    <w:name w:val="index-module_accountauthentication_3bwix"/>
  </w:style>
  <w:style w:type="character" w:customStyle="1" w:styleId="21Char">
    <w:name w:val="正文文字 21 Char"/>
    <w:rPr>
      <w:rFonts w:eastAsia="宋体"/>
      <w:kern w:val="2"/>
      <w:sz w:val="28"/>
      <w:lang w:val="en-US" w:eastAsia="zh-CN"/>
    </w:rPr>
  </w:style>
  <w:style w:type="character" w:customStyle="1" w:styleId="1Char1">
    <w:name w:val="标题 1 Char1"/>
    <w:rPr>
      <w:rFonts w:ascii="黑体" w:eastAsia="黑体" w:hAnsi="黑体"/>
      <w:kern w:val="2"/>
      <w:sz w:val="24"/>
    </w:rPr>
  </w:style>
  <w:style w:type="character" w:customStyle="1" w:styleId="h31">
    <w:name w:val="h31"/>
    <w:qFormat/>
    <w:rPr>
      <w:sz w:val="21"/>
      <w:szCs w:val="21"/>
    </w:rPr>
  </w:style>
  <w:style w:type="character" w:customStyle="1" w:styleId="z-">
    <w:name w:val="z-窗体底端 字符"/>
    <w:link w:val="z-1"/>
    <w:rPr>
      <w:rFonts w:ascii="Arial" w:hAnsi="Arial" w:cs="Arial"/>
      <w:vanish/>
      <w:color w:val="000000"/>
      <w:sz w:val="16"/>
      <w:szCs w:val="16"/>
      <w:lang w:val="zh-CN"/>
    </w:rPr>
  </w:style>
  <w:style w:type="paragraph" w:customStyle="1" w:styleId="z-1">
    <w:name w:val="z-窗体底端1"/>
    <w:basedOn w:val="a0"/>
    <w:next w:val="a0"/>
    <w:link w:val="z-"/>
    <w:pPr>
      <w:pBdr>
        <w:top w:val="single" w:sz="6" w:space="1" w:color="auto"/>
      </w:pBdr>
      <w:autoSpaceDE w:val="0"/>
      <w:autoSpaceDN w:val="0"/>
      <w:adjustRightInd w:val="0"/>
      <w:spacing w:line="425" w:lineRule="atLeast"/>
      <w:ind w:firstLineChars="200" w:firstLine="464"/>
      <w:jc w:val="center"/>
    </w:pPr>
    <w:rPr>
      <w:rFonts w:ascii="Arial" w:hAnsi="Arial" w:cs="Arial"/>
      <w:vanish/>
      <w:color w:val="000000"/>
      <w:sz w:val="16"/>
      <w:szCs w:val="16"/>
      <w:lang w:val="zh-CN"/>
    </w:rPr>
  </w:style>
  <w:style w:type="character" w:customStyle="1" w:styleId="z-10">
    <w:name w:val="z-窗体底端 字符1"/>
    <w:basedOn w:val="a1"/>
    <w:uiPriority w:val="99"/>
    <w:semiHidden/>
    <w:rPr>
      <w:rFonts w:ascii="Arial" w:hAnsi="Arial" w:cs="Arial"/>
      <w:vanish/>
      <w:sz w:val="16"/>
      <w:szCs w:val="16"/>
    </w:rPr>
  </w:style>
  <w:style w:type="character" w:customStyle="1" w:styleId="CharChar4">
    <w:name w:val="Char Char4"/>
    <w:rPr>
      <w:sz w:val="28"/>
    </w:rPr>
  </w:style>
  <w:style w:type="character" w:customStyle="1" w:styleId="Char2">
    <w:name w:val="表格内字体 Char"/>
    <w:link w:val="affff4"/>
    <w:qFormat/>
    <w:rPr>
      <w:szCs w:val="21"/>
    </w:rPr>
  </w:style>
  <w:style w:type="paragraph" w:customStyle="1" w:styleId="affff4">
    <w:name w:val="表格内字体"/>
    <w:basedOn w:val="a0"/>
    <w:next w:val="a0"/>
    <w:link w:val="Char2"/>
    <w:pPr>
      <w:adjustRightInd w:val="0"/>
      <w:snapToGrid w:val="0"/>
      <w:ind w:firstLineChars="200" w:firstLine="464"/>
      <w:jc w:val="center"/>
      <w:textAlignment w:val="baseline"/>
    </w:pPr>
    <w:rPr>
      <w:szCs w:val="21"/>
    </w:rPr>
  </w:style>
  <w:style w:type="character" w:customStyle="1" w:styleId="4Char1">
    <w:name w:val="标题 4 Char1"/>
    <w:rPr>
      <w:rFonts w:ascii="Arial" w:eastAsia="黑体" w:hAnsi="Arial"/>
      <w:b/>
      <w:bCs/>
      <w:kern w:val="2"/>
      <w:sz w:val="28"/>
      <w:szCs w:val="28"/>
    </w:rPr>
  </w:style>
  <w:style w:type="character" w:customStyle="1" w:styleId="CharChar15">
    <w:name w:val="Char Char15"/>
    <w:rPr>
      <w:rFonts w:eastAsia="宋体" w:hAnsi="Arial"/>
      <w:b/>
      <w:snapToGrid/>
      <w:sz w:val="28"/>
      <w:lang w:val="en-US" w:eastAsia="zh-CN"/>
    </w:rPr>
  </w:style>
  <w:style w:type="character" w:customStyle="1" w:styleId="Char13">
    <w:name w:val="表头 Char1"/>
    <w:link w:val="affff5"/>
    <w:rPr>
      <w:rFonts w:ascii="仿宋_GB2312" w:eastAsia="仿宋_GB2312" w:hAnsi="宋体" w:cs="Times New Roman"/>
      <w:kern w:val="0"/>
      <w:sz w:val="24"/>
      <w:szCs w:val="20"/>
    </w:rPr>
  </w:style>
  <w:style w:type="paragraph" w:customStyle="1" w:styleId="affff5">
    <w:name w:val="表头"/>
    <w:basedOn w:val="a0"/>
    <w:link w:val="Char13"/>
    <w:qFormat/>
    <w:pPr>
      <w:adjustRightInd w:val="0"/>
      <w:spacing w:before="80" w:after="80"/>
      <w:ind w:firstLineChars="200" w:firstLine="464"/>
      <w:jc w:val="center"/>
      <w:textAlignment w:val="baseline"/>
    </w:pPr>
    <w:rPr>
      <w:rFonts w:ascii="仿宋_GB2312" w:eastAsia="仿宋_GB2312" w:hAnsi="宋体" w:cs="Times New Roman"/>
      <w:kern w:val="0"/>
      <w:sz w:val="24"/>
      <w:szCs w:val="20"/>
    </w:rPr>
  </w:style>
  <w:style w:type="character" w:customStyle="1" w:styleId="affff6">
    <w:name w:val="无间隔 字符"/>
    <w:link w:val="affff7"/>
    <w:uiPriority w:val="1"/>
  </w:style>
  <w:style w:type="paragraph" w:styleId="affff7">
    <w:name w:val="No Spacing"/>
    <w:link w:val="affff6"/>
    <w:uiPriority w:val="1"/>
    <w:qFormat/>
    <w:pPr>
      <w:widowControl w:val="0"/>
      <w:jc w:val="both"/>
    </w:pPr>
    <w:rPr>
      <w:rFonts w:asciiTheme="minorHAnsi" w:eastAsiaTheme="minorEastAsia" w:hAnsiTheme="minorHAnsi" w:cstheme="minorBidi"/>
      <w:kern w:val="2"/>
      <w:sz w:val="21"/>
      <w:szCs w:val="22"/>
    </w:rPr>
  </w:style>
  <w:style w:type="character" w:customStyle="1" w:styleId="7Char1">
    <w:name w:val="标题 7 Char1"/>
    <w:rPr>
      <w:b/>
      <w:bCs/>
      <w:kern w:val="13"/>
      <w:sz w:val="24"/>
      <w:szCs w:val="24"/>
    </w:rPr>
  </w:style>
  <w:style w:type="character" w:customStyle="1" w:styleId="Char3">
    <w:name w:val="贾伦正文 Char"/>
    <w:link w:val="affff8"/>
    <w:rPr>
      <w:rFonts w:ascii="Times New Roman" w:eastAsia="宋体" w:hAnsi="Times New Roman" w:cs="Times New Roman"/>
      <w:spacing w:val="-4"/>
      <w:sz w:val="24"/>
      <w:szCs w:val="28"/>
    </w:rPr>
  </w:style>
  <w:style w:type="paragraph" w:customStyle="1" w:styleId="affff8">
    <w:name w:val="贾伦正文"/>
    <w:basedOn w:val="a0"/>
    <w:link w:val="Char3"/>
    <w:pPr>
      <w:spacing w:line="360" w:lineRule="auto"/>
      <w:ind w:firstLineChars="200" w:firstLine="200"/>
    </w:pPr>
    <w:rPr>
      <w:rFonts w:ascii="Times New Roman" w:eastAsia="宋体" w:hAnsi="Times New Roman" w:cs="Times New Roman"/>
      <w:spacing w:val="-4"/>
      <w:sz w:val="24"/>
      <w:szCs w:val="28"/>
    </w:rPr>
  </w:style>
  <w:style w:type="character" w:customStyle="1" w:styleId="Char14">
    <w:name w:val="页脚 Char1"/>
    <w:qFormat/>
    <w:rPr>
      <w:rFonts w:ascii="宋体" w:eastAsia="宋体" w:hAnsi="宋体" w:cs="Times New Roman"/>
      <w:sz w:val="18"/>
      <w:szCs w:val="18"/>
    </w:rPr>
  </w:style>
  <w:style w:type="character" w:customStyle="1" w:styleId="Char4">
    <w:name w:val="可研报告正文 Char"/>
    <w:link w:val="affff9"/>
    <w:rPr>
      <w:sz w:val="24"/>
      <w:szCs w:val="24"/>
    </w:rPr>
  </w:style>
  <w:style w:type="paragraph" w:customStyle="1" w:styleId="affff9">
    <w:name w:val="可研报告正文"/>
    <w:basedOn w:val="a0"/>
    <w:link w:val="Char4"/>
    <w:pPr>
      <w:tabs>
        <w:tab w:val="left" w:pos="5880"/>
      </w:tabs>
      <w:spacing w:beforeLines="50" w:line="440" w:lineRule="exact"/>
      <w:ind w:left="425" w:firstLineChars="200" w:firstLine="482"/>
    </w:pPr>
    <w:rPr>
      <w:sz w:val="24"/>
      <w:szCs w:val="24"/>
    </w:rPr>
  </w:style>
  <w:style w:type="character" w:customStyle="1" w:styleId="666666-Char">
    <w:name w:val="666666-正文 Char"/>
    <w:link w:val="666666-"/>
    <w:rPr>
      <w:rFonts w:ascii="Times New Roman" w:eastAsia="宋体" w:hAnsi="Times New Roman" w:cs="Times New Roman"/>
      <w:sz w:val="24"/>
      <w:szCs w:val="20"/>
      <w:lang w:val="zh-CN"/>
    </w:rPr>
  </w:style>
  <w:style w:type="paragraph" w:customStyle="1" w:styleId="666666-">
    <w:name w:val="666666-正文"/>
    <w:basedOn w:val="a0"/>
    <w:link w:val="666666-Char"/>
    <w:pPr>
      <w:spacing w:line="440" w:lineRule="exact"/>
      <w:ind w:firstLineChars="200" w:firstLine="200"/>
    </w:pPr>
    <w:rPr>
      <w:rFonts w:ascii="Times New Roman" w:eastAsia="宋体" w:hAnsi="Times New Roman" w:cs="Times New Roman"/>
      <w:sz w:val="24"/>
      <w:szCs w:val="20"/>
      <w:lang w:val="zh-CN"/>
    </w:rPr>
  </w:style>
  <w:style w:type="character" w:customStyle="1" w:styleId="Char5">
    <w:name w:val="③ Char"/>
    <w:link w:val="affffa"/>
    <w:rPr>
      <w:sz w:val="24"/>
      <w:szCs w:val="24"/>
    </w:rPr>
  </w:style>
  <w:style w:type="paragraph" w:customStyle="1" w:styleId="affffa">
    <w:name w:val="③"/>
    <w:basedOn w:val="a0"/>
    <w:link w:val="Char5"/>
    <w:pPr>
      <w:ind w:firstLineChars="199" w:firstLine="460"/>
    </w:pPr>
    <w:rPr>
      <w:sz w:val="24"/>
      <w:szCs w:val="24"/>
    </w:rPr>
  </w:style>
  <w:style w:type="character" w:customStyle="1" w:styleId="style51">
    <w:name w:val="style51"/>
    <w:qFormat/>
    <w:rPr>
      <w:sz w:val="21"/>
    </w:rPr>
  </w:style>
  <w:style w:type="character" w:customStyle="1" w:styleId="Char15">
    <w:name w:val="脚注文本 Char1"/>
    <w:uiPriority w:val="99"/>
    <w:semiHidden/>
    <w:rPr>
      <w:rFonts w:ascii="宋体" w:hAnsi="宋体"/>
      <w:kern w:val="2"/>
      <w:sz w:val="18"/>
      <w:szCs w:val="18"/>
    </w:rPr>
  </w:style>
  <w:style w:type="character" w:customStyle="1" w:styleId="newsbt2">
    <w:name w:val="newsbt2"/>
    <w:qFormat/>
  </w:style>
  <w:style w:type="character" w:customStyle="1" w:styleId="1Char10">
    <w:name w:val="页眉1 Char1"/>
    <w:rPr>
      <w:kern w:val="2"/>
      <w:sz w:val="18"/>
      <w:szCs w:val="18"/>
    </w:rPr>
  </w:style>
  <w:style w:type="character" w:customStyle="1" w:styleId="14bv11">
    <w:name w:val="14bv11"/>
    <w:rPr>
      <w:b/>
      <w:color w:val="6595D6"/>
      <w:sz w:val="21"/>
      <w:u w:val="none"/>
    </w:rPr>
  </w:style>
  <w:style w:type="character" w:customStyle="1" w:styleId="Char6">
    <w:name w:val="表格 Char"/>
    <w:link w:val="affffb"/>
    <w:qFormat/>
    <w:rPr>
      <w:rFonts w:ascii="宋体" w:hAnsi="宋体"/>
      <w:snapToGrid w:val="0"/>
    </w:rPr>
  </w:style>
  <w:style w:type="paragraph" w:customStyle="1" w:styleId="affffb">
    <w:name w:val="表格"/>
    <w:link w:val="Char6"/>
    <w:qFormat/>
    <w:pPr>
      <w:spacing w:line="380" w:lineRule="exact"/>
      <w:jc w:val="center"/>
    </w:pPr>
    <w:rPr>
      <w:rFonts w:ascii="宋体" w:eastAsiaTheme="minorEastAsia" w:hAnsi="宋体" w:cstheme="minorBidi"/>
      <w:snapToGrid w:val="0"/>
      <w:kern w:val="2"/>
      <w:sz w:val="21"/>
      <w:szCs w:val="22"/>
    </w:rPr>
  </w:style>
  <w:style w:type="character" w:customStyle="1" w:styleId="8Char">
    <w:name w:val="标题 8 Char"/>
    <w:rPr>
      <w:rFonts w:ascii="Cambria" w:eastAsia="宋体" w:hAnsi="Cambria" w:cs="Times New Roman"/>
      <w:kern w:val="2"/>
      <w:sz w:val="24"/>
      <w:szCs w:val="24"/>
    </w:rPr>
  </w:style>
  <w:style w:type="character" w:customStyle="1" w:styleId="Char7">
    <w:name w:val="标题三 Char"/>
    <w:link w:val="affffc"/>
    <w:rPr>
      <w:b/>
      <w:bCs/>
      <w:sz w:val="28"/>
      <w:szCs w:val="28"/>
    </w:rPr>
  </w:style>
  <w:style w:type="paragraph" w:customStyle="1" w:styleId="affffc">
    <w:name w:val="标题三"/>
    <w:basedOn w:val="30"/>
    <w:next w:val="a0"/>
    <w:link w:val="Char7"/>
    <w:qFormat/>
    <w:pPr>
      <w:keepNext w:val="0"/>
      <w:keepLines w:val="0"/>
      <w:widowControl/>
      <w:spacing w:before="0" w:after="0" w:line="360" w:lineRule="auto"/>
      <w:ind w:left="1701" w:firstLineChars="200" w:hanging="1701"/>
      <w:jc w:val="left"/>
    </w:pPr>
    <w:rPr>
      <w:sz w:val="28"/>
      <w:szCs w:val="28"/>
    </w:rPr>
  </w:style>
  <w:style w:type="character" w:customStyle="1" w:styleId="Char16">
    <w:name w:val="注释标题 Char1"/>
    <w:qFormat/>
    <w:rPr>
      <w:kern w:val="2"/>
      <w:sz w:val="24"/>
      <w:szCs w:val="24"/>
    </w:rPr>
  </w:style>
  <w:style w:type="character" w:customStyle="1" w:styleId="3CharChar">
    <w:name w:val="样式3 Char Char"/>
    <w:qFormat/>
    <w:rPr>
      <w:rFonts w:ascii="宋体" w:hAnsi="宋体"/>
      <w:kern w:val="2"/>
      <w:sz w:val="24"/>
      <w:szCs w:val="24"/>
    </w:rPr>
  </w:style>
  <w:style w:type="character" w:customStyle="1" w:styleId="CharChar0">
    <w:name w:val="表头 Char Char"/>
    <w:rPr>
      <w:kern w:val="2"/>
      <w:sz w:val="24"/>
      <w:szCs w:val="24"/>
    </w:rPr>
  </w:style>
  <w:style w:type="character" w:customStyle="1" w:styleId="31113Char333Char13CharCharChCharChar">
    <w:name w:val="样式 标题 3头条标题1.1.1标题 3 Char标题 33标题 3 Char1标题 3 Char Char Ch... Char Char"/>
    <w:link w:val="31113Char333Char13CharCharCh"/>
    <w:rPr>
      <w:rFonts w:ascii="仿宋_GB2312" w:eastAsia="仿宋_GB2312"/>
      <w:bCs/>
      <w:sz w:val="24"/>
      <w:szCs w:val="24"/>
    </w:rPr>
  </w:style>
  <w:style w:type="paragraph" w:customStyle="1" w:styleId="31113Char333Char13CharCharCh">
    <w:name w:val="样式 标题 3头条标题1.1.1标题 3 Char标题 33标题 3 Char1标题 3 Char Char Ch..."/>
    <w:basedOn w:val="30"/>
    <w:link w:val="31113Char333Char13CharCharChCharChar"/>
    <w:pPr>
      <w:spacing w:before="0" w:after="0" w:line="240" w:lineRule="auto"/>
      <w:ind w:firstLineChars="200" w:firstLine="462"/>
      <w:outlineLvl w:val="9"/>
    </w:pPr>
    <w:rPr>
      <w:rFonts w:ascii="仿宋_GB2312" w:eastAsia="仿宋_GB2312"/>
      <w:b w:val="0"/>
      <w:sz w:val="24"/>
      <w:szCs w:val="24"/>
    </w:rPr>
  </w:style>
  <w:style w:type="character" w:customStyle="1" w:styleId="font11">
    <w:name w:val="font11"/>
    <w:qFormat/>
    <w:rPr>
      <w:rFonts w:ascii="宋体" w:eastAsia="宋体" w:hAnsi="宋体" w:cs="宋体" w:hint="eastAsia"/>
      <w:color w:val="000000"/>
      <w:sz w:val="21"/>
      <w:szCs w:val="21"/>
      <w:u w:val="none"/>
    </w:rPr>
  </w:style>
  <w:style w:type="character" w:customStyle="1" w:styleId="xCharChar">
    <w:name w:val="x文 Char Char"/>
    <w:link w:val="x"/>
    <w:qFormat/>
    <w:rPr>
      <w:rFonts w:ascii="宋体" w:hAnsi="宋体"/>
      <w:sz w:val="24"/>
    </w:rPr>
  </w:style>
  <w:style w:type="paragraph" w:customStyle="1" w:styleId="x">
    <w:name w:val="x文"/>
    <w:basedOn w:val="a0"/>
    <w:link w:val="xCharChar"/>
    <w:qFormat/>
    <w:pPr>
      <w:spacing w:line="360" w:lineRule="auto"/>
      <w:ind w:firstLineChars="200" w:firstLine="480"/>
    </w:pPr>
    <w:rPr>
      <w:rFonts w:ascii="宋体" w:hAnsi="宋体"/>
      <w:sz w:val="24"/>
    </w:rPr>
  </w:style>
  <w:style w:type="character" w:customStyle="1" w:styleId="13Char">
    <w:name w:val="样式13 Char"/>
    <w:link w:val="130"/>
    <w:rPr>
      <w:rFonts w:ascii="黑体" w:eastAsia="黑体" w:hAnsi="华文中宋"/>
      <w:sz w:val="24"/>
      <w:szCs w:val="24"/>
    </w:rPr>
  </w:style>
  <w:style w:type="paragraph" w:customStyle="1" w:styleId="130">
    <w:name w:val="样式13"/>
    <w:basedOn w:val="a0"/>
    <w:link w:val="13Char"/>
    <w:pPr>
      <w:ind w:firstLineChars="200" w:firstLine="482"/>
      <w:jc w:val="center"/>
    </w:pPr>
    <w:rPr>
      <w:rFonts w:ascii="黑体" w:eastAsia="黑体" w:hAnsi="华文中宋"/>
      <w:sz w:val="24"/>
      <w:szCs w:val="24"/>
    </w:rPr>
  </w:style>
  <w:style w:type="character" w:customStyle="1" w:styleId="5Char0">
    <w:name w:val="标题 5 Char"/>
    <w:rPr>
      <w:rFonts w:ascii="宋体" w:hAnsi="宋体"/>
      <w:b/>
      <w:bCs/>
      <w:kern w:val="2"/>
      <w:sz w:val="28"/>
      <w:szCs w:val="28"/>
    </w:rPr>
  </w:style>
  <w:style w:type="character" w:customStyle="1" w:styleId="xxxxxChar">
    <w:name w:val="xxxxx正文 Char"/>
    <w:link w:val="xxxxx"/>
    <w:rPr>
      <w:rFonts w:ascii="宋体"/>
      <w:sz w:val="24"/>
      <w:szCs w:val="24"/>
      <w:lang w:val="zh-CN"/>
    </w:rPr>
  </w:style>
  <w:style w:type="paragraph" w:customStyle="1" w:styleId="xxxxx">
    <w:name w:val="xxxxx正文"/>
    <w:basedOn w:val="a0"/>
    <w:link w:val="xxxxxChar"/>
    <w:pPr>
      <w:topLinePunct/>
      <w:spacing w:line="360" w:lineRule="auto"/>
      <w:ind w:firstLineChars="200" w:firstLine="200"/>
    </w:pPr>
    <w:rPr>
      <w:rFonts w:ascii="宋体"/>
      <w:sz w:val="24"/>
      <w:szCs w:val="24"/>
      <w:lang w:val="zh-CN"/>
    </w:rPr>
  </w:style>
  <w:style w:type="character" w:customStyle="1" w:styleId="22Char">
    <w:name w:val="样式22 Char"/>
    <w:link w:val="220"/>
    <w:rPr>
      <w:rFonts w:ascii="黑体" w:eastAsia="黑体" w:hAnsi="华文中宋"/>
      <w:sz w:val="24"/>
      <w:szCs w:val="24"/>
    </w:rPr>
  </w:style>
  <w:style w:type="paragraph" w:customStyle="1" w:styleId="220">
    <w:name w:val="样式22"/>
    <w:basedOn w:val="130"/>
    <w:link w:val="22Char"/>
    <w:pPr>
      <w:ind w:firstLine="412"/>
    </w:pPr>
  </w:style>
  <w:style w:type="character" w:customStyle="1" w:styleId="CharChar3">
    <w:name w:val="Char Char3"/>
    <w:qFormat/>
    <w:rPr>
      <w:rFonts w:eastAsia="宋体"/>
      <w:kern w:val="2"/>
      <w:sz w:val="18"/>
      <w:szCs w:val="24"/>
      <w:lang w:val="en-US" w:eastAsia="zh-CN" w:bidi="ar-SA"/>
    </w:rPr>
  </w:style>
  <w:style w:type="character" w:customStyle="1" w:styleId="zhenwen14">
    <w:name w:val="zhenwen14"/>
    <w:qFormat/>
  </w:style>
  <w:style w:type="character" w:customStyle="1" w:styleId="ttag">
    <w:name w:val="t_tag"/>
    <w:qFormat/>
  </w:style>
  <w:style w:type="character" w:customStyle="1" w:styleId="01Char">
    <w:name w:val="01正文 Char"/>
    <w:link w:val="01"/>
    <w:rPr>
      <w:color w:val="00B050"/>
      <w:sz w:val="24"/>
    </w:rPr>
  </w:style>
  <w:style w:type="paragraph" w:customStyle="1" w:styleId="01">
    <w:name w:val="01正文"/>
    <w:basedOn w:val="a0"/>
    <w:link w:val="01Char"/>
    <w:qFormat/>
    <w:pPr>
      <w:tabs>
        <w:tab w:val="left" w:pos="5355"/>
      </w:tabs>
      <w:adjustRightInd w:val="0"/>
      <w:snapToGrid w:val="0"/>
      <w:spacing w:line="360" w:lineRule="auto"/>
      <w:ind w:firstLineChars="200" w:firstLine="200"/>
    </w:pPr>
    <w:rPr>
      <w:color w:val="00B050"/>
      <w:sz w:val="24"/>
    </w:rPr>
  </w:style>
  <w:style w:type="character" w:customStyle="1" w:styleId="26Char">
    <w:name w:val="样式26 Char"/>
    <w:link w:val="260"/>
    <w:rPr>
      <w:rFonts w:ascii="Times New Roman" w:eastAsia="宋体" w:hAnsi="Times New Roman" w:cs="Times New Roman"/>
      <w:b/>
      <w:sz w:val="24"/>
      <w:szCs w:val="24"/>
    </w:rPr>
  </w:style>
  <w:style w:type="paragraph" w:customStyle="1" w:styleId="260">
    <w:name w:val="样式26"/>
    <w:basedOn w:val="a0"/>
    <w:link w:val="26Char"/>
    <w:pPr>
      <w:ind w:firstLineChars="200" w:firstLine="464"/>
      <w:outlineLvl w:val="2"/>
    </w:pPr>
    <w:rPr>
      <w:rFonts w:ascii="Times New Roman" w:eastAsia="宋体" w:hAnsi="Times New Roman" w:cs="Times New Roman"/>
      <w:b/>
      <w:sz w:val="24"/>
      <w:szCs w:val="24"/>
    </w:rPr>
  </w:style>
  <w:style w:type="character" w:customStyle="1" w:styleId="Char8">
    <w:name w:val="表内容 Char"/>
    <w:link w:val="affffd"/>
    <w:qFormat/>
    <w:rPr>
      <w:szCs w:val="21"/>
    </w:rPr>
  </w:style>
  <w:style w:type="paragraph" w:customStyle="1" w:styleId="affffd">
    <w:name w:val="表内容"/>
    <w:basedOn w:val="a0"/>
    <w:link w:val="Char8"/>
    <w:qFormat/>
    <w:pPr>
      <w:spacing w:line="0" w:lineRule="atLeast"/>
      <w:jc w:val="center"/>
    </w:pPr>
    <w:rPr>
      <w:szCs w:val="21"/>
    </w:rPr>
  </w:style>
  <w:style w:type="character" w:customStyle="1" w:styleId="unnamed11">
    <w:name w:val="unnamed11"/>
    <w:rPr>
      <w:rFonts w:ascii="宋体" w:eastAsia="宋体" w:hAnsi="宋体" w:hint="eastAsia"/>
      <w:sz w:val="18"/>
    </w:rPr>
  </w:style>
  <w:style w:type="character" w:customStyle="1" w:styleId="6Char">
    <w:name w:val="标题 6 Char"/>
    <w:rPr>
      <w:rFonts w:ascii="Cambria" w:eastAsia="宋体" w:hAnsi="Cambria" w:cs="Times New Roman"/>
      <w:b/>
      <w:bCs/>
      <w:kern w:val="2"/>
      <w:sz w:val="24"/>
      <w:szCs w:val="24"/>
    </w:rPr>
  </w:style>
  <w:style w:type="character" w:customStyle="1" w:styleId="Char9">
    <w:name w:val="表 Char"/>
    <w:link w:val="affffe"/>
    <w:qFormat/>
    <w:rPr>
      <w:rFonts w:ascii="Times New Roman" w:hAnsi="Times New Roman"/>
      <w:spacing w:val="2"/>
      <w:sz w:val="24"/>
    </w:rPr>
  </w:style>
  <w:style w:type="paragraph" w:customStyle="1" w:styleId="affffe">
    <w:name w:val="表"/>
    <w:basedOn w:val="a0"/>
    <w:link w:val="Char9"/>
    <w:qFormat/>
    <w:pPr>
      <w:snapToGrid w:val="0"/>
      <w:ind w:firstLineChars="200" w:firstLine="464"/>
      <w:jc w:val="center"/>
    </w:pPr>
    <w:rPr>
      <w:rFonts w:ascii="Times New Roman" w:hAnsi="Times New Roman"/>
      <w:spacing w:val="2"/>
      <w:sz w:val="24"/>
    </w:rPr>
  </w:style>
  <w:style w:type="character" w:customStyle="1" w:styleId="666666-Char0">
    <w:name w:val="666666-表头儿 Char"/>
    <w:link w:val="666666-0"/>
    <w:qFormat/>
    <w:rPr>
      <w:rFonts w:ascii="Times New Roman" w:eastAsia="黑体" w:hAnsi="Times New Roman" w:cs="Times New Roman"/>
      <w:szCs w:val="20"/>
    </w:rPr>
  </w:style>
  <w:style w:type="paragraph" w:customStyle="1" w:styleId="666666-0">
    <w:name w:val="666666-表头儿"/>
    <w:basedOn w:val="a0"/>
    <w:link w:val="666666-Char0"/>
    <w:qFormat/>
    <w:pPr>
      <w:spacing w:line="440" w:lineRule="exact"/>
      <w:ind w:firstLineChars="200" w:firstLine="464"/>
      <w:jc w:val="center"/>
    </w:pPr>
    <w:rPr>
      <w:rFonts w:ascii="Times New Roman" w:eastAsia="黑体" w:hAnsi="Times New Roman" w:cs="Times New Roman"/>
      <w:szCs w:val="20"/>
    </w:rPr>
  </w:style>
  <w:style w:type="character" w:customStyle="1" w:styleId="afffff">
    <w:name w:val="引用 字符"/>
    <w:link w:val="afffff0"/>
    <w:rPr>
      <w:i/>
      <w:sz w:val="24"/>
      <w:szCs w:val="24"/>
      <w:lang w:eastAsia="en-US" w:bidi="en-US"/>
    </w:rPr>
  </w:style>
  <w:style w:type="paragraph" w:styleId="afffff0">
    <w:name w:val="Quote"/>
    <w:basedOn w:val="a0"/>
    <w:next w:val="a0"/>
    <w:link w:val="afffff"/>
    <w:qFormat/>
    <w:pPr>
      <w:widowControl/>
      <w:ind w:firstLineChars="200" w:firstLine="464"/>
      <w:jc w:val="left"/>
    </w:pPr>
    <w:rPr>
      <w:i/>
      <w:sz w:val="24"/>
      <w:szCs w:val="24"/>
      <w:lang w:eastAsia="en-US" w:bidi="en-US"/>
    </w:rPr>
  </w:style>
  <w:style w:type="character" w:customStyle="1" w:styleId="1a">
    <w:name w:val="引用 字符1"/>
    <w:basedOn w:val="a1"/>
    <w:uiPriority w:val="29"/>
    <w:rPr>
      <w:i/>
      <w:iCs/>
      <w:color w:val="404040" w:themeColor="text1" w:themeTint="BF"/>
    </w:rPr>
  </w:style>
  <w:style w:type="character" w:customStyle="1" w:styleId="style871">
    <w:name w:val="style871"/>
    <w:rPr>
      <w:color w:val="40AC00"/>
    </w:rPr>
  </w:style>
  <w:style w:type="character" w:customStyle="1" w:styleId="title21">
    <w:name w:val="title21"/>
    <w:rPr>
      <w:color w:val="9E3821"/>
      <w:sz w:val="14"/>
      <w:szCs w:val="14"/>
    </w:rPr>
  </w:style>
  <w:style w:type="character" w:customStyle="1" w:styleId="asg1">
    <w:name w:val="asg1"/>
    <w:rPr>
      <w:sz w:val="18"/>
      <w:szCs w:val="18"/>
    </w:rPr>
  </w:style>
  <w:style w:type="character" w:customStyle="1" w:styleId="apple-converted-space">
    <w:name w:val="apple-converted-space"/>
    <w:qFormat/>
  </w:style>
  <w:style w:type="character" w:customStyle="1" w:styleId="style11">
    <w:name w:val="style11"/>
    <w:qFormat/>
    <w:rPr>
      <w:color w:val="000000"/>
    </w:rPr>
  </w:style>
  <w:style w:type="character" w:customStyle="1" w:styleId="Chara">
    <w:name w:val="正文格式 Char"/>
    <w:link w:val="afffff1"/>
    <w:qFormat/>
    <w:rPr>
      <w:rFonts w:ascii="宋体"/>
      <w:sz w:val="28"/>
      <w:szCs w:val="28"/>
    </w:rPr>
  </w:style>
  <w:style w:type="paragraph" w:customStyle="1" w:styleId="afffff1">
    <w:name w:val="正文格式"/>
    <w:basedOn w:val="a0"/>
    <w:link w:val="Chara"/>
    <w:pPr>
      <w:ind w:firstLineChars="200" w:firstLine="200"/>
    </w:pPr>
    <w:rPr>
      <w:rFonts w:ascii="宋体"/>
      <w:sz w:val="28"/>
      <w:szCs w:val="28"/>
    </w:rPr>
  </w:style>
  <w:style w:type="character" w:customStyle="1" w:styleId="Charb">
    <w:name w:val="图名 Char"/>
    <w:rPr>
      <w:rFonts w:ascii="宋体" w:hAnsi="Courier New" w:cs="Courier New"/>
      <w:kern w:val="2"/>
      <w:sz w:val="21"/>
      <w:szCs w:val="21"/>
    </w:rPr>
  </w:style>
  <w:style w:type="character" w:customStyle="1" w:styleId="Char20">
    <w:name w:val="普通文字 Char2"/>
    <w:qFormat/>
    <w:rPr>
      <w:rFonts w:ascii="宋体" w:eastAsia="宋体" w:hAnsi="Courier New"/>
      <w:kern w:val="2"/>
      <w:sz w:val="21"/>
      <w:lang w:val="en-US" w:eastAsia="zh-CN"/>
    </w:rPr>
  </w:style>
  <w:style w:type="character" w:customStyle="1" w:styleId="1Char11">
    <w:name w:val="正文文字1 Char1"/>
    <w:locked/>
    <w:rPr>
      <w:rFonts w:eastAsia="宋体"/>
      <w:kern w:val="2"/>
      <w:sz w:val="24"/>
      <w:szCs w:val="24"/>
      <w:lang w:val="en-US" w:eastAsia="zh-CN" w:bidi="ar-SA"/>
    </w:rPr>
  </w:style>
  <w:style w:type="character" w:customStyle="1" w:styleId="unnamed1">
    <w:name w:val="unnamed1"/>
  </w:style>
  <w:style w:type="character" w:customStyle="1" w:styleId="Charc">
    <w:name w:val="批注文字 Char"/>
    <w:rPr>
      <w:kern w:val="2"/>
      <w:sz w:val="21"/>
    </w:rPr>
  </w:style>
  <w:style w:type="character" w:customStyle="1" w:styleId="Char17">
    <w:name w:val="正文缩进 Char1"/>
    <w:qFormat/>
    <w:rPr>
      <w:kern w:val="2"/>
      <w:sz w:val="24"/>
      <w:szCs w:val="24"/>
    </w:rPr>
  </w:style>
  <w:style w:type="character" w:customStyle="1" w:styleId="CharChar16">
    <w:name w:val="Char Char16"/>
    <w:qFormat/>
    <w:rPr>
      <w:rFonts w:eastAsia="宋体"/>
      <w:b/>
      <w:spacing w:val="-2"/>
      <w:sz w:val="36"/>
      <w:lang w:val="en-US" w:eastAsia="zh-CN"/>
    </w:rPr>
  </w:style>
  <w:style w:type="character" w:customStyle="1" w:styleId="xl26Char">
    <w:name w:val="xl26 Char"/>
    <w:link w:val="xl26"/>
    <w:qFormat/>
  </w:style>
  <w:style w:type="paragraph" w:customStyle="1" w:styleId="xl26">
    <w:name w:val="xl26"/>
    <w:basedOn w:val="a0"/>
    <w:link w:val="xl26Char"/>
    <w:qFormat/>
    <w:pPr>
      <w:widowControl/>
      <w:spacing w:before="100" w:after="100"/>
      <w:ind w:firstLineChars="200" w:firstLine="464"/>
      <w:jc w:val="center"/>
    </w:pPr>
  </w:style>
  <w:style w:type="character" w:customStyle="1" w:styleId="CharChar1">
    <w:name w:val="图题 Char Char"/>
    <w:link w:val="afffff2"/>
    <w:rPr>
      <w:rFonts w:ascii="Times New Roman" w:hAnsi="Times New Roman"/>
      <w:b/>
      <w:color w:val="000000"/>
      <w:kern w:val="32"/>
      <w:sz w:val="24"/>
    </w:rPr>
  </w:style>
  <w:style w:type="paragraph" w:customStyle="1" w:styleId="afffff2">
    <w:name w:val="图题"/>
    <w:basedOn w:val="a0"/>
    <w:link w:val="CharChar1"/>
    <w:pPr>
      <w:adjustRightInd w:val="0"/>
      <w:snapToGrid w:val="0"/>
      <w:spacing w:beforeLines="25"/>
      <w:ind w:firstLineChars="200" w:firstLine="464"/>
      <w:jc w:val="center"/>
    </w:pPr>
    <w:rPr>
      <w:rFonts w:ascii="Times New Roman" w:hAnsi="Times New Roman"/>
      <w:b/>
      <w:color w:val="000000"/>
      <w:kern w:val="32"/>
      <w:sz w:val="24"/>
    </w:rPr>
  </w:style>
  <w:style w:type="character" w:customStyle="1" w:styleId="1Char2">
    <w:name w:val="1正文修改 Char"/>
    <w:link w:val="1b"/>
    <w:rPr>
      <w:rFonts w:ascii="Times New Roman" w:eastAsia="宋体" w:hAnsi="Times New Roman" w:cs="Times New Roman"/>
      <w:color w:val="7030A0"/>
      <w:sz w:val="24"/>
      <w:szCs w:val="20"/>
    </w:rPr>
  </w:style>
  <w:style w:type="paragraph" w:customStyle="1" w:styleId="1b">
    <w:name w:val="1正文修改"/>
    <w:basedOn w:val="a0"/>
    <w:link w:val="1Char2"/>
    <w:qFormat/>
    <w:pPr>
      <w:spacing w:line="360" w:lineRule="auto"/>
      <w:ind w:firstLineChars="200" w:firstLine="480"/>
    </w:pPr>
    <w:rPr>
      <w:rFonts w:ascii="Times New Roman" w:eastAsia="宋体" w:hAnsi="Times New Roman" w:cs="Times New Roman"/>
      <w:color w:val="7030A0"/>
      <w:sz w:val="24"/>
      <w:szCs w:val="20"/>
    </w:rPr>
  </w:style>
  <w:style w:type="character" w:customStyle="1" w:styleId="fontstyle21">
    <w:name w:val="fontstyle21"/>
    <w:qFormat/>
    <w:rPr>
      <w:rFonts w:ascii="Times New Roman" w:hAnsi="Times New Roman" w:cs="Times New Roman" w:hint="default"/>
      <w:color w:val="000000"/>
      <w:sz w:val="24"/>
      <w:szCs w:val="24"/>
    </w:rPr>
  </w:style>
  <w:style w:type="character" w:customStyle="1" w:styleId="px141">
    <w:name w:val="px141"/>
    <w:rPr>
      <w:rFonts w:ascii="ˎ̥" w:hAnsi="ˎ̥" w:hint="default"/>
      <w:sz w:val="21"/>
      <w:szCs w:val="21"/>
    </w:rPr>
  </w:style>
  <w:style w:type="character" w:customStyle="1" w:styleId="H1Char">
    <w:name w:val="H1 Char"/>
    <w:rPr>
      <w:rFonts w:eastAsia="宋体"/>
      <w:b/>
      <w:kern w:val="44"/>
      <w:sz w:val="44"/>
      <w:lang w:val="en-US" w:eastAsia="zh-CN"/>
    </w:rPr>
  </w:style>
  <w:style w:type="character" w:customStyle="1" w:styleId="apple-style-span">
    <w:name w:val="apple-style-span"/>
    <w:qFormat/>
  </w:style>
  <w:style w:type="character" w:customStyle="1" w:styleId="2CharCharCharCharChar2">
    <w:name w:val="标题 2 Char Char Char Char Char2"/>
    <w:rPr>
      <w:rFonts w:eastAsia="宋体" w:hAnsi="Arial"/>
      <w:b/>
      <w:snapToGrid/>
      <w:sz w:val="32"/>
      <w:lang w:val="en-US" w:eastAsia="zh-CN"/>
    </w:rPr>
  </w:style>
  <w:style w:type="character" w:customStyle="1" w:styleId="3Char1CharChar1">
    <w:name w:val="标题 3 Char1 Char Char1"/>
    <w:qFormat/>
    <w:rPr>
      <w:rFonts w:eastAsia="宋体"/>
      <w:b/>
      <w:bCs/>
      <w:kern w:val="2"/>
      <w:sz w:val="32"/>
      <w:szCs w:val="32"/>
      <w:lang w:val="en-US" w:eastAsia="zh-CN" w:bidi="ar-SA"/>
    </w:rPr>
  </w:style>
  <w:style w:type="character" w:customStyle="1" w:styleId="Chard">
    <w:name w:val="正文(首行缩进) Char"/>
    <w:link w:val="afffff3"/>
    <w:qFormat/>
    <w:rPr>
      <w:rFonts w:ascii="宋体" w:eastAsia="宋体" w:hAnsi="宋体" w:cs="Times New Roman"/>
      <w:bCs/>
      <w:kern w:val="0"/>
      <w:sz w:val="24"/>
      <w:szCs w:val="28"/>
    </w:rPr>
  </w:style>
  <w:style w:type="paragraph" w:customStyle="1" w:styleId="afffff3">
    <w:name w:val="正文(首行缩进)"/>
    <w:basedOn w:val="a0"/>
    <w:link w:val="Chard"/>
    <w:qFormat/>
    <w:pPr>
      <w:tabs>
        <w:tab w:val="left" w:pos="42"/>
        <w:tab w:val="left" w:pos="4584"/>
      </w:tabs>
      <w:adjustRightInd w:val="0"/>
      <w:snapToGrid w:val="0"/>
      <w:spacing w:line="360" w:lineRule="auto"/>
      <w:ind w:leftChars="35" w:left="84" w:firstLineChars="192" w:firstLine="461"/>
      <w:jc w:val="left"/>
    </w:pPr>
    <w:rPr>
      <w:rFonts w:ascii="宋体" w:eastAsia="宋体" w:hAnsi="宋体" w:cs="Times New Roman"/>
      <w:bCs/>
      <w:kern w:val="0"/>
      <w:sz w:val="24"/>
      <w:szCs w:val="28"/>
    </w:rPr>
  </w:style>
  <w:style w:type="character" w:customStyle="1" w:styleId="505Char">
    <w:name w:val="样式 样式 标题 5 + 段前: 0.5 行 + 红色 Char"/>
    <w:rPr>
      <w:rFonts w:eastAsia="宋体" w:cs="宋体"/>
      <w:bCs/>
      <w:kern w:val="2"/>
      <w:sz w:val="24"/>
      <w:szCs w:val="24"/>
      <w:lang w:val="en-US" w:eastAsia="zh-CN" w:bidi="ar-SA"/>
    </w:rPr>
  </w:style>
  <w:style w:type="character" w:customStyle="1" w:styleId="z-Char10">
    <w:name w:val="z-窗体底端 Char1"/>
    <w:uiPriority w:val="99"/>
    <w:semiHidden/>
    <w:rPr>
      <w:rFonts w:ascii="Arial" w:hAnsi="Arial" w:cs="Arial"/>
      <w:vanish/>
      <w:kern w:val="2"/>
      <w:sz w:val="16"/>
      <w:szCs w:val="16"/>
    </w:rPr>
  </w:style>
  <w:style w:type="character" w:customStyle="1" w:styleId="BodyTextIndent3CharChar">
    <w:name w:val="Body Text Indent 3 Char Char"/>
    <w:qFormat/>
    <w:rPr>
      <w:rFonts w:eastAsia="宋体"/>
      <w:kern w:val="2"/>
      <w:sz w:val="16"/>
      <w:lang w:val="en-US" w:eastAsia="zh-CN"/>
    </w:rPr>
  </w:style>
  <w:style w:type="character" w:customStyle="1" w:styleId="z-0">
    <w:name w:val="z-窗体顶端 字符"/>
    <w:link w:val="z-11"/>
    <w:rPr>
      <w:rFonts w:ascii="Arial" w:hAnsi="Arial" w:cs="Arial"/>
      <w:vanish/>
      <w:color w:val="000000"/>
      <w:sz w:val="16"/>
      <w:szCs w:val="16"/>
      <w:lang w:val="zh-CN"/>
    </w:rPr>
  </w:style>
  <w:style w:type="paragraph" w:customStyle="1" w:styleId="z-11">
    <w:name w:val="z-窗体顶端1"/>
    <w:basedOn w:val="a0"/>
    <w:next w:val="a0"/>
    <w:link w:val="z-0"/>
    <w:pPr>
      <w:pBdr>
        <w:bottom w:val="single" w:sz="6" w:space="1" w:color="auto"/>
      </w:pBdr>
      <w:autoSpaceDE w:val="0"/>
      <w:autoSpaceDN w:val="0"/>
      <w:adjustRightInd w:val="0"/>
      <w:spacing w:line="425" w:lineRule="atLeast"/>
      <w:ind w:firstLineChars="200" w:firstLine="464"/>
      <w:jc w:val="center"/>
    </w:pPr>
    <w:rPr>
      <w:rFonts w:ascii="Arial" w:hAnsi="Arial" w:cs="Arial"/>
      <w:vanish/>
      <w:color w:val="000000"/>
      <w:sz w:val="16"/>
      <w:szCs w:val="16"/>
      <w:lang w:val="zh-CN"/>
    </w:rPr>
  </w:style>
  <w:style w:type="character" w:customStyle="1" w:styleId="z-12">
    <w:name w:val="z-窗体顶端 字符1"/>
    <w:basedOn w:val="a1"/>
    <w:uiPriority w:val="99"/>
    <w:semiHidden/>
    <w:rPr>
      <w:rFonts w:ascii="Arial" w:hAnsi="Arial" w:cs="Arial"/>
      <w:vanish/>
      <w:sz w:val="16"/>
      <w:szCs w:val="16"/>
    </w:rPr>
  </w:style>
  <w:style w:type="character" w:customStyle="1" w:styleId="2CharCharCharCharChar1">
    <w:name w:val="标题 2 Char Char Char Char Char1"/>
    <w:rPr>
      <w:rFonts w:ascii="Arial" w:eastAsia="黑体" w:hAnsi="Arial"/>
      <w:b/>
      <w:kern w:val="2"/>
      <w:sz w:val="24"/>
      <w:szCs w:val="24"/>
      <w:lang w:val="en-US" w:eastAsia="zh-CN" w:bidi="ar-SA"/>
    </w:rPr>
  </w:style>
  <w:style w:type="character" w:customStyle="1" w:styleId="e011">
    <w:name w:val="e011"/>
    <w:rPr>
      <w:sz w:val="21"/>
      <w:szCs w:val="21"/>
    </w:rPr>
  </w:style>
  <w:style w:type="character" w:customStyle="1" w:styleId="rsdesckey1">
    <w:name w:val="rsdesckey1"/>
    <w:qFormat/>
    <w:rPr>
      <w:color w:val="FF0000"/>
    </w:rPr>
  </w:style>
  <w:style w:type="character" w:customStyle="1" w:styleId="23Char">
    <w:name w:val="样式23 Char"/>
    <w:link w:val="230"/>
    <w:rPr>
      <w:rFonts w:ascii="Times New Roman" w:hAnsi="Times New Roman"/>
      <w:sz w:val="24"/>
    </w:rPr>
  </w:style>
  <w:style w:type="paragraph" w:customStyle="1" w:styleId="230">
    <w:name w:val="样式23"/>
    <w:basedOn w:val="a0"/>
    <w:link w:val="23Char"/>
    <w:pPr>
      <w:ind w:firstLineChars="200" w:firstLine="522"/>
    </w:pPr>
    <w:rPr>
      <w:rFonts w:ascii="Times New Roman" w:hAnsi="Times New Roman"/>
      <w:sz w:val="24"/>
    </w:rPr>
  </w:style>
  <w:style w:type="character" w:customStyle="1" w:styleId="1CharChar0">
    <w:name w:val="样式1 Char Char"/>
    <w:qFormat/>
    <w:rPr>
      <w:kern w:val="2"/>
      <w:sz w:val="21"/>
      <w:szCs w:val="21"/>
    </w:rPr>
  </w:style>
  <w:style w:type="character" w:customStyle="1" w:styleId="9Char">
    <w:name w:val="标题 9 Char"/>
    <w:rPr>
      <w:rFonts w:ascii="Cambria" w:eastAsia="宋体" w:hAnsi="Cambria" w:cs="Times New Roman"/>
      <w:kern w:val="2"/>
      <w:sz w:val="21"/>
      <w:szCs w:val="21"/>
    </w:rPr>
  </w:style>
  <w:style w:type="character" w:customStyle="1" w:styleId="ldh14-01">
    <w:name w:val="ldh14-01"/>
    <w:rPr>
      <w:b/>
      <w:color w:val="FFFFFF"/>
      <w:sz w:val="18"/>
    </w:rPr>
  </w:style>
  <w:style w:type="character" w:customStyle="1" w:styleId="Char21">
    <w:name w:val="注释标题 Char2"/>
    <w:uiPriority w:val="99"/>
    <w:semiHidden/>
    <w:rPr>
      <w:rFonts w:ascii="宋体" w:hAnsi="宋体"/>
      <w:kern w:val="2"/>
      <w:sz w:val="24"/>
      <w:szCs w:val="24"/>
    </w:rPr>
  </w:style>
  <w:style w:type="character" w:customStyle="1" w:styleId="-lsCharChar">
    <w:name w:val="正文-ls Char Char"/>
    <w:link w:val="-ls"/>
    <w:qFormat/>
    <w:rPr>
      <w:rFonts w:hAnsi="宋体" w:cs="宋体"/>
      <w:sz w:val="24"/>
    </w:rPr>
  </w:style>
  <w:style w:type="paragraph" w:customStyle="1" w:styleId="-ls">
    <w:name w:val="正文-ls"/>
    <w:basedOn w:val="a0"/>
    <w:link w:val="-lsCharChar"/>
    <w:qFormat/>
    <w:pPr>
      <w:spacing w:line="360" w:lineRule="auto"/>
      <w:ind w:firstLineChars="200" w:firstLine="200"/>
    </w:pPr>
    <w:rPr>
      <w:rFonts w:hAnsi="宋体" w:cs="宋体"/>
      <w:sz w:val="24"/>
    </w:rPr>
  </w:style>
  <w:style w:type="character" w:customStyle="1" w:styleId="3-3-3Char">
    <w:name w:val="3-3-3 Char"/>
    <w:rPr>
      <w:rFonts w:eastAsia="黑体"/>
      <w:kern w:val="2"/>
      <w:sz w:val="24"/>
      <w:szCs w:val="24"/>
    </w:rPr>
  </w:style>
  <w:style w:type="character" w:customStyle="1" w:styleId="fontstyle11">
    <w:name w:val="fontstyle11"/>
    <w:qFormat/>
    <w:rPr>
      <w:rFonts w:ascii="Times New Roman" w:hAnsi="Times New Roman" w:cs="Times New Roman" w:hint="default"/>
      <w:color w:val="000000"/>
      <w:sz w:val="28"/>
      <w:szCs w:val="28"/>
    </w:rPr>
  </w:style>
  <w:style w:type="character" w:customStyle="1" w:styleId="666666-CharChar">
    <w:name w:val="666666-正文 Char Char"/>
    <w:rPr>
      <w:kern w:val="2"/>
      <w:sz w:val="24"/>
      <w:lang w:val="zh-CN"/>
    </w:rPr>
  </w:style>
  <w:style w:type="character" w:customStyle="1" w:styleId="CharChar2">
    <w:name w:val="正文(首行缩进) Char Char"/>
    <w:rPr>
      <w:rFonts w:eastAsia="宋体"/>
      <w:snapToGrid/>
      <w:sz w:val="24"/>
      <w:lang w:val="en-US" w:eastAsia="zh-CN" w:bidi="ar-SA"/>
    </w:rPr>
  </w:style>
  <w:style w:type="character" w:customStyle="1" w:styleId="Chare">
    <w:name w:val="报告正文 Char"/>
    <w:link w:val="afffff4"/>
    <w:rPr>
      <w:b/>
      <w:color w:val="000000"/>
      <w:spacing w:val="20"/>
      <w:sz w:val="28"/>
      <w:szCs w:val="24"/>
    </w:rPr>
  </w:style>
  <w:style w:type="paragraph" w:customStyle="1" w:styleId="afffff4">
    <w:name w:val="报告正文"/>
    <w:basedOn w:val="a0"/>
    <w:link w:val="Chare"/>
    <w:qFormat/>
    <w:pPr>
      <w:spacing w:beforeLines="50" w:line="360" w:lineRule="auto"/>
      <w:ind w:firstLineChars="200" w:firstLine="562"/>
      <w:jc w:val="center"/>
    </w:pPr>
    <w:rPr>
      <w:b/>
      <w:color w:val="000000"/>
      <w:spacing w:val="20"/>
      <w:sz w:val="28"/>
      <w:szCs w:val="24"/>
    </w:rPr>
  </w:style>
  <w:style w:type="character" w:customStyle="1" w:styleId="3Char">
    <w:name w:val="样式3 Char"/>
    <w:link w:val="3a"/>
    <w:qFormat/>
    <w:rPr>
      <w:rFonts w:ascii="黑体" w:eastAsia="黑体" w:hAnsi="宋体" w:cs="宋体"/>
      <w:color w:val="000000"/>
      <w:sz w:val="24"/>
      <w:szCs w:val="24"/>
    </w:rPr>
  </w:style>
  <w:style w:type="paragraph" w:customStyle="1" w:styleId="3a">
    <w:name w:val="样式3"/>
    <w:basedOn w:val="a0"/>
    <w:link w:val="3Char"/>
    <w:qFormat/>
    <w:pPr>
      <w:snapToGrid w:val="0"/>
      <w:ind w:firstLineChars="200" w:firstLine="539"/>
      <w:jc w:val="center"/>
    </w:pPr>
    <w:rPr>
      <w:rFonts w:ascii="黑体" w:eastAsia="黑体" w:hAnsi="宋体" w:cs="宋体"/>
      <w:color w:val="000000"/>
      <w:sz w:val="24"/>
      <w:szCs w:val="24"/>
    </w:rPr>
  </w:style>
  <w:style w:type="character" w:customStyle="1" w:styleId="h1title">
    <w:name w:val="h1title"/>
    <w:basedOn w:val="a1"/>
    <w:qFormat/>
  </w:style>
  <w:style w:type="character" w:customStyle="1" w:styleId="Charf">
    <w:name w:val="正文文字 Char"/>
    <w:rPr>
      <w:rFonts w:eastAsia="宋体"/>
      <w:kern w:val="2"/>
      <w:sz w:val="24"/>
      <w:lang w:val="en-US" w:eastAsia="zh-CN"/>
    </w:rPr>
  </w:style>
  <w:style w:type="character" w:customStyle="1" w:styleId="CharChar5">
    <w:name w:val="Char Char5"/>
    <w:rPr>
      <w:rFonts w:ascii="Times New Roman" w:eastAsia="宋体" w:hAnsi="Times New Roman" w:cs="Times New Roman"/>
      <w:b/>
      <w:bCs/>
      <w:kern w:val="2"/>
      <w:sz w:val="30"/>
      <w:szCs w:val="32"/>
      <w:lang w:val="en-US" w:eastAsia="zh-CN" w:bidi="ar-SA"/>
    </w:rPr>
  </w:style>
  <w:style w:type="character" w:customStyle="1" w:styleId="Charf0">
    <w:name w:val="正文 Char"/>
    <w:link w:val="3b"/>
    <w:qFormat/>
    <w:rPr>
      <w:rFonts w:ascii="宋体" w:eastAsia="宋体" w:hAnsi="宋体" w:cs="Times New Roman"/>
      <w:sz w:val="24"/>
      <w:szCs w:val="24"/>
    </w:rPr>
  </w:style>
  <w:style w:type="paragraph" w:customStyle="1" w:styleId="3b">
    <w:name w:val="正文3"/>
    <w:basedOn w:val="a0"/>
    <w:next w:val="a0"/>
    <w:link w:val="Charf0"/>
    <w:pPr>
      <w:spacing w:line="529" w:lineRule="exact"/>
      <w:ind w:firstLineChars="200" w:firstLine="420"/>
    </w:pPr>
    <w:rPr>
      <w:rFonts w:ascii="宋体" w:eastAsia="宋体" w:hAnsi="宋体" w:cs="Times New Roman"/>
      <w:sz w:val="24"/>
      <w:szCs w:val="24"/>
    </w:rPr>
  </w:style>
  <w:style w:type="character" w:customStyle="1" w:styleId="style41">
    <w:name w:val="style41"/>
    <w:qFormat/>
    <w:rPr>
      <w:color w:val="000000"/>
      <w:sz w:val="16"/>
    </w:rPr>
  </w:style>
  <w:style w:type="character" w:customStyle="1" w:styleId="3CharChar0">
    <w:name w:val="【标题3】 Char Char"/>
    <w:link w:val="3c"/>
    <w:rPr>
      <w:rFonts w:eastAsia="宋体"/>
      <w:b/>
      <w:bCs/>
      <w:sz w:val="30"/>
    </w:rPr>
  </w:style>
  <w:style w:type="paragraph" w:customStyle="1" w:styleId="3c">
    <w:name w:val="【标题3】"/>
    <w:basedOn w:val="30"/>
    <w:link w:val="3CharChar0"/>
    <w:pPr>
      <w:keepNext w:val="0"/>
      <w:spacing w:before="240" w:after="240" w:line="240" w:lineRule="auto"/>
      <w:ind w:firstLineChars="200" w:firstLine="464"/>
    </w:pPr>
    <w:rPr>
      <w:rFonts w:eastAsia="宋体"/>
      <w:sz w:val="30"/>
      <w:szCs w:val="22"/>
    </w:rPr>
  </w:style>
  <w:style w:type="character" w:customStyle="1" w:styleId="f14">
    <w:name w:val="f14"/>
  </w:style>
  <w:style w:type="character" w:customStyle="1" w:styleId="Char18">
    <w:name w:val="纯文本 Char1"/>
    <w:rPr>
      <w:rFonts w:ascii="宋体" w:eastAsia="宋体" w:hAnsi="Courier New" w:cs="Courier New"/>
      <w:szCs w:val="21"/>
    </w:rPr>
  </w:style>
  <w:style w:type="character" w:customStyle="1" w:styleId="0Char">
    <w:name w:val="0正文 Char"/>
    <w:link w:val="0"/>
    <w:rPr>
      <w:color w:val="0000FF"/>
      <w:sz w:val="24"/>
    </w:rPr>
  </w:style>
  <w:style w:type="paragraph" w:customStyle="1" w:styleId="0">
    <w:name w:val="0正文"/>
    <w:basedOn w:val="a0"/>
    <w:link w:val="0Char"/>
    <w:qFormat/>
    <w:pPr>
      <w:spacing w:line="360" w:lineRule="auto"/>
      <w:ind w:firstLineChars="200" w:firstLine="480"/>
    </w:pPr>
    <w:rPr>
      <w:color w:val="0000FF"/>
      <w:sz w:val="24"/>
    </w:rPr>
  </w:style>
  <w:style w:type="character" w:customStyle="1" w:styleId="150">
    <w:name w:val="15"/>
    <w:qFormat/>
    <w:rPr>
      <w:rFonts w:ascii="Calibri" w:hAnsi="Calibri" w:hint="default"/>
      <w:sz w:val="18"/>
      <w:szCs w:val="18"/>
    </w:rPr>
  </w:style>
  <w:style w:type="character" w:customStyle="1" w:styleId="31113Char333Char13CharCharChChar">
    <w:name w:val="样式 标题 3头条标题1.1.1标题 3 Char标题 33标题 3 Char1标题 3 Char Char Ch... Char"/>
    <w:rPr>
      <w:rFonts w:ascii="仿宋_GB2312" w:eastAsia="仿宋_GB2312"/>
      <w:bCs/>
      <w:kern w:val="2"/>
      <w:sz w:val="24"/>
      <w:szCs w:val="24"/>
    </w:rPr>
  </w:style>
  <w:style w:type="character" w:customStyle="1" w:styleId="Char19">
    <w:name w:val="正文文本缩进 Char1"/>
    <w:rPr>
      <w:kern w:val="2"/>
      <w:sz w:val="28"/>
    </w:rPr>
  </w:style>
  <w:style w:type="character" w:customStyle="1" w:styleId="Char1a">
    <w:name w:val="引用 Char1"/>
    <w:uiPriority w:val="99"/>
    <w:rPr>
      <w:rFonts w:ascii="宋体" w:hAnsi="宋体"/>
      <w:i/>
      <w:iCs/>
      <w:color w:val="000000"/>
      <w:kern w:val="2"/>
      <w:sz w:val="24"/>
      <w:szCs w:val="24"/>
    </w:rPr>
  </w:style>
  <w:style w:type="character" w:customStyle="1" w:styleId="HTMLChar1">
    <w:name w:val="HTML 预设格式 Char1"/>
    <w:uiPriority w:val="99"/>
    <w:semiHidden/>
    <w:rPr>
      <w:rFonts w:ascii="Courier New" w:hAnsi="Courier New" w:cs="Courier New"/>
      <w:kern w:val="2"/>
    </w:rPr>
  </w:style>
  <w:style w:type="character" w:customStyle="1" w:styleId="afffff5">
    <w:name w:val="链接"/>
    <w:qFormat/>
    <w:rPr>
      <w:color w:val="0000FF"/>
      <w:sz w:val="21"/>
      <w:szCs w:val="21"/>
      <w:u w:val="single"/>
      <w:lang w:val="zh-CN"/>
    </w:rPr>
  </w:style>
  <w:style w:type="character" w:customStyle="1" w:styleId="1Char3">
    <w:name w:val="样式1 Char"/>
    <w:link w:val="1c"/>
    <w:qFormat/>
    <w:rPr>
      <w:rFonts w:ascii="Times New Roman" w:hAnsi="Times New Roman"/>
      <w:szCs w:val="21"/>
    </w:rPr>
  </w:style>
  <w:style w:type="paragraph" w:customStyle="1" w:styleId="1c">
    <w:name w:val="样式1"/>
    <w:basedOn w:val="aff5"/>
    <w:link w:val="1Char3"/>
    <w:qFormat/>
    <w:pPr>
      <w:pBdr>
        <w:bottom w:val="none" w:sz="0" w:space="0" w:color="auto"/>
      </w:pBdr>
      <w:jc w:val="left"/>
    </w:pPr>
    <w:rPr>
      <w:rFonts w:eastAsiaTheme="minorEastAsia" w:cstheme="minorBidi"/>
      <w:kern w:val="2"/>
      <w:sz w:val="21"/>
      <w:szCs w:val="21"/>
    </w:rPr>
  </w:style>
  <w:style w:type="character" w:customStyle="1" w:styleId="zwChar">
    <w:name w:val="zw普通文本 Char"/>
    <w:link w:val="zw"/>
    <w:locked/>
    <w:rPr>
      <w:rFonts w:ascii="宋体" w:hAnsi="宋体"/>
      <w:b/>
      <w:spacing w:val="10"/>
      <w:sz w:val="24"/>
      <w:szCs w:val="24"/>
    </w:rPr>
  </w:style>
  <w:style w:type="paragraph" w:customStyle="1" w:styleId="zw">
    <w:name w:val="zw普通文本"/>
    <w:basedOn w:val="a0"/>
    <w:link w:val="zwChar"/>
    <w:pPr>
      <w:spacing w:line="360" w:lineRule="auto"/>
      <w:ind w:firstLineChars="200" w:firstLine="200"/>
      <w:jc w:val="left"/>
    </w:pPr>
    <w:rPr>
      <w:rFonts w:ascii="宋体" w:hAnsi="宋体"/>
      <w:b/>
      <w:spacing w:val="10"/>
      <w:sz w:val="24"/>
      <w:szCs w:val="24"/>
    </w:rPr>
  </w:style>
  <w:style w:type="character" w:customStyle="1" w:styleId="Charf1">
    <w:name w:val="我的正文 Char"/>
    <w:link w:val="afffff6"/>
    <w:locked/>
    <w:rPr>
      <w:rFonts w:ascii="Arial" w:eastAsia="楷体_GB2312" w:hAnsi="Arial" w:cs="宋体"/>
      <w:sz w:val="24"/>
    </w:rPr>
  </w:style>
  <w:style w:type="paragraph" w:customStyle="1" w:styleId="afffff6">
    <w:name w:val="我的正文"/>
    <w:basedOn w:val="a0"/>
    <w:link w:val="Charf1"/>
    <w:qFormat/>
    <w:pPr>
      <w:spacing w:line="312" w:lineRule="auto"/>
      <w:ind w:firstLineChars="200" w:firstLine="200"/>
    </w:pPr>
    <w:rPr>
      <w:rFonts w:ascii="Arial" w:eastAsia="楷体_GB2312" w:hAnsi="Arial" w:cs="宋体"/>
      <w:sz w:val="24"/>
    </w:rPr>
  </w:style>
  <w:style w:type="paragraph" w:customStyle="1" w:styleId="2c">
    <w:name w:val="样式 四号 首行缩进:  2 字符"/>
    <w:basedOn w:val="a0"/>
    <w:pPr>
      <w:spacing w:line="480" w:lineRule="atLeast"/>
      <w:ind w:firstLineChars="200" w:firstLine="200"/>
    </w:pPr>
    <w:rPr>
      <w:rFonts w:ascii="Times New Roman" w:eastAsia="宋体" w:hAnsi="Times New Roman" w:cs="Times New Roman"/>
      <w:sz w:val="24"/>
      <w:szCs w:val="24"/>
    </w:rPr>
  </w:style>
  <w:style w:type="paragraph" w:customStyle="1" w:styleId="afffff7">
    <w:name w:val="二级标题"/>
    <w:basedOn w:val="2"/>
    <w:pPr>
      <w:ind w:firstLine="462"/>
    </w:pPr>
    <w:rPr>
      <w:rFonts w:ascii="黑体"/>
      <w:b/>
      <w:bCs/>
      <w:color w:val="000000"/>
      <w:kern w:val="2"/>
    </w:rPr>
  </w:style>
  <w:style w:type="paragraph" w:customStyle="1" w:styleId="CharChar6">
    <w:name w:val="纯文本 Char Char"/>
    <w:basedOn w:val="a0"/>
    <w:next w:val="afff0"/>
    <w:pPr>
      <w:widowControl/>
      <w:spacing w:before="100" w:beforeAutospacing="1" w:after="100" w:afterAutospacing="1"/>
      <w:ind w:firstLineChars="200" w:firstLine="464"/>
      <w:jc w:val="left"/>
    </w:pPr>
    <w:rPr>
      <w:rFonts w:ascii="Times New Roman" w:eastAsia="楷体_GB2312" w:hAnsi="Times New Roman" w:cs="Times New Roman"/>
      <w:kern w:val="0"/>
      <w:sz w:val="24"/>
      <w:szCs w:val="24"/>
    </w:rPr>
  </w:style>
  <w:style w:type="paragraph" w:customStyle="1" w:styleId="xl48">
    <w:name w:val="xl48"/>
    <w:basedOn w:val="a0"/>
    <w:qFormat/>
    <w:pPr>
      <w:widowControl/>
      <w:pBdr>
        <w:left w:val="single" w:sz="4" w:space="0" w:color="auto"/>
        <w:right w:val="single" w:sz="4" w:space="0" w:color="auto"/>
      </w:pBdr>
      <w:spacing w:before="100" w:beforeAutospacing="1" w:after="100" w:afterAutospacing="1"/>
      <w:ind w:firstLineChars="200" w:firstLine="464"/>
      <w:jc w:val="center"/>
      <w:textAlignment w:val="center"/>
    </w:pPr>
    <w:rPr>
      <w:rFonts w:ascii="Times New Roman" w:eastAsia="宋体" w:hAnsi="Times New Roman" w:cs="Times New Roman"/>
      <w:b/>
      <w:bCs/>
      <w:kern w:val="0"/>
      <w:sz w:val="24"/>
      <w:szCs w:val="24"/>
    </w:rPr>
  </w:style>
  <w:style w:type="paragraph" w:customStyle="1" w:styleId="3d">
    <w:name w:val="(3标题"/>
    <w:basedOn w:val="a0"/>
    <w:next w:val="af5"/>
    <w:qFormat/>
    <w:pPr>
      <w:keepNext/>
      <w:keepLines/>
      <w:snapToGrid w:val="0"/>
      <w:spacing w:line="360" w:lineRule="auto"/>
      <w:ind w:left="2277" w:hangingChars="810" w:hanging="2277"/>
      <w:jc w:val="left"/>
      <w:outlineLvl w:val="2"/>
    </w:pPr>
    <w:rPr>
      <w:rFonts w:ascii="Times New Roman" w:eastAsia="宋体" w:hAnsi="Times New Roman" w:cs="Times New Roman"/>
      <w:b/>
      <w:bCs/>
      <w:kern w:val="0"/>
      <w:sz w:val="28"/>
      <w:szCs w:val="28"/>
    </w:rPr>
  </w:style>
  <w:style w:type="paragraph" w:customStyle="1" w:styleId="1d">
    <w:name w:val="表1"/>
    <w:next w:val="a0"/>
    <w:pPr>
      <w:adjustRightInd w:val="0"/>
      <w:snapToGrid w:val="0"/>
      <w:jc w:val="center"/>
    </w:pPr>
    <w:rPr>
      <w:sz w:val="21"/>
    </w:rPr>
  </w:style>
  <w:style w:type="paragraph" w:customStyle="1" w:styleId="151">
    <w:name w:val="样式 行距: 1.5 倍行距"/>
    <w:basedOn w:val="a0"/>
    <w:pPr>
      <w:spacing w:line="480" w:lineRule="exact"/>
      <w:ind w:firstLineChars="200" w:firstLine="200"/>
    </w:pPr>
    <w:rPr>
      <w:rFonts w:ascii="Times New Roman" w:eastAsia="宋体" w:hAnsi="Times New Roman" w:cs="Times New Roman"/>
      <w:sz w:val="24"/>
      <w:szCs w:val="20"/>
    </w:rPr>
  </w:style>
  <w:style w:type="paragraph" w:customStyle="1" w:styleId="200">
    <w:name w:val="样式20"/>
    <w:basedOn w:val="a0"/>
    <w:pPr>
      <w:keepNext/>
      <w:keepLines/>
      <w:ind w:firstLineChars="200" w:firstLine="522"/>
      <w:outlineLvl w:val="3"/>
    </w:pPr>
    <w:rPr>
      <w:rFonts w:ascii="Times New Roman" w:eastAsia="宋体" w:hAnsi="Times New Roman" w:cs="Times New Roman"/>
      <w:bCs/>
      <w:sz w:val="24"/>
      <w:szCs w:val="24"/>
      <w:lang w:val="zh-CN"/>
    </w:rPr>
  </w:style>
  <w:style w:type="paragraph" w:customStyle="1" w:styleId="afffff8">
    <w:name w:val="表格内容"/>
    <w:basedOn w:val="a0"/>
    <w:link w:val="Charf2"/>
    <w:qFormat/>
    <w:pPr>
      <w:overflowPunct w:val="0"/>
      <w:adjustRightInd w:val="0"/>
      <w:spacing w:before="40" w:after="60" w:line="200" w:lineRule="atLeast"/>
      <w:ind w:firstLineChars="200" w:firstLine="464"/>
      <w:textAlignment w:val="baseline"/>
    </w:pPr>
    <w:rPr>
      <w:rFonts w:ascii="Arial" w:eastAsia="仿宋_GB2312" w:hAnsi="Arial" w:cs="Times New Roman"/>
      <w:kern w:val="0"/>
      <w:sz w:val="24"/>
      <w:szCs w:val="24"/>
    </w:rPr>
  </w:style>
  <w:style w:type="paragraph" w:customStyle="1" w:styleId="afffff9">
    <w:name w:val="小节标题"/>
    <w:basedOn w:val="a0"/>
    <w:next w:val="a0"/>
    <w:pPr>
      <w:autoSpaceDE w:val="0"/>
      <w:autoSpaceDN w:val="0"/>
      <w:adjustRightInd w:val="0"/>
      <w:spacing w:before="175" w:after="102" w:line="351" w:lineRule="atLeast"/>
      <w:ind w:firstLineChars="200" w:firstLine="464"/>
    </w:pPr>
    <w:rPr>
      <w:rFonts w:ascii="Times New Roman" w:eastAsia="宋体" w:hAnsi="Times New Roman" w:cs="Times New Roman"/>
      <w:color w:val="000000"/>
      <w:kern w:val="0"/>
      <w:sz w:val="24"/>
      <w:szCs w:val="24"/>
      <w:lang w:val="zh-CN"/>
    </w:rPr>
  </w:style>
  <w:style w:type="paragraph" w:customStyle="1" w:styleId="afffffa">
    <w:name w:val="前言、引言标题"/>
    <w:next w:val="a0"/>
    <w:pPr>
      <w:shd w:val="clear" w:color="FFFFFF" w:fill="FFFFFF"/>
      <w:tabs>
        <w:tab w:val="left" w:pos="903"/>
      </w:tabs>
      <w:spacing w:before="640" w:after="560"/>
      <w:ind w:left="903" w:hanging="315"/>
      <w:jc w:val="center"/>
      <w:outlineLvl w:val="0"/>
    </w:pPr>
    <w:rPr>
      <w:rFonts w:ascii="黑体" w:eastAsia="黑体"/>
      <w:sz w:val="32"/>
    </w:rPr>
  </w:style>
  <w:style w:type="paragraph" w:customStyle="1" w:styleId="afffffb">
    <w:name w:val="简单回函地址"/>
    <w:basedOn w:val="a0"/>
    <w:qFormat/>
    <w:pPr>
      <w:ind w:firstLineChars="200" w:firstLine="464"/>
    </w:pPr>
    <w:rPr>
      <w:rFonts w:ascii="Times New Roman" w:eastAsia="宋体" w:hAnsi="Times New Roman" w:cs="Times New Roman"/>
      <w:sz w:val="24"/>
      <w:szCs w:val="24"/>
    </w:rPr>
  </w:style>
  <w:style w:type="paragraph" w:customStyle="1" w:styleId="666666-2">
    <w:name w:val="666666-标题2"/>
    <w:basedOn w:val="a0"/>
    <w:pPr>
      <w:spacing w:beforeLines="50" w:afterLines="50" w:line="440" w:lineRule="exact"/>
      <w:ind w:firstLineChars="200" w:firstLine="464"/>
      <w:outlineLvl w:val="1"/>
    </w:pPr>
    <w:rPr>
      <w:rFonts w:ascii="Times New Roman" w:eastAsia="黑体" w:hAnsi="Times New Roman" w:cs="Times New Roman"/>
      <w:kern w:val="44"/>
      <w:sz w:val="32"/>
      <w:szCs w:val="20"/>
    </w:rPr>
  </w:style>
  <w:style w:type="paragraph" w:customStyle="1" w:styleId="afffffc">
    <w:name w:val="文章总标题"/>
    <w:basedOn w:val="a0"/>
    <w:next w:val="afffffd"/>
    <w:qFormat/>
    <w:pPr>
      <w:autoSpaceDE w:val="0"/>
      <w:autoSpaceDN w:val="0"/>
      <w:adjustRightInd w:val="0"/>
      <w:spacing w:before="566" w:after="544" w:line="566" w:lineRule="atLeast"/>
      <w:ind w:firstLineChars="200" w:firstLine="464"/>
      <w:jc w:val="center"/>
    </w:pPr>
    <w:rPr>
      <w:rFonts w:ascii="Arial" w:eastAsia="宋体" w:hAnsi="Arial" w:cs="Arial"/>
      <w:color w:val="000000"/>
      <w:kern w:val="0"/>
      <w:sz w:val="54"/>
      <w:szCs w:val="54"/>
      <w:lang w:val="zh-CN"/>
    </w:rPr>
  </w:style>
  <w:style w:type="paragraph" w:customStyle="1" w:styleId="afffffd">
    <w:name w:val="文章副标题"/>
    <w:basedOn w:val="a0"/>
    <w:next w:val="afffffe"/>
    <w:pPr>
      <w:autoSpaceDE w:val="0"/>
      <w:autoSpaceDN w:val="0"/>
      <w:adjustRightInd w:val="0"/>
      <w:spacing w:before="187" w:after="175" w:line="374" w:lineRule="atLeast"/>
      <w:ind w:firstLineChars="200" w:firstLine="464"/>
      <w:jc w:val="center"/>
    </w:pPr>
    <w:rPr>
      <w:rFonts w:ascii="Times New Roman" w:eastAsia="宋体" w:hAnsi="Times New Roman" w:cs="Times New Roman"/>
      <w:color w:val="000000"/>
      <w:kern w:val="0"/>
      <w:sz w:val="36"/>
      <w:szCs w:val="20"/>
      <w:lang w:val="zh-CN"/>
    </w:rPr>
  </w:style>
  <w:style w:type="paragraph" w:customStyle="1" w:styleId="afffffe">
    <w:name w:val="章标题"/>
    <w:next w:val="a0"/>
    <w:qFormat/>
    <w:pPr>
      <w:tabs>
        <w:tab w:val="left" w:pos="903"/>
      </w:tabs>
      <w:spacing w:before="50" w:after="50"/>
      <w:ind w:left="903" w:hanging="315"/>
      <w:jc w:val="both"/>
      <w:outlineLvl w:val="1"/>
    </w:pPr>
    <w:rPr>
      <w:rFonts w:ascii="黑体" w:eastAsia="黑体"/>
      <w:sz w:val="21"/>
    </w:rPr>
  </w:style>
  <w:style w:type="paragraph" w:customStyle="1" w:styleId="CharChar1CharCharCharChar">
    <w:name w:val="Char Char1 Char Char Char Char"/>
    <w:basedOn w:val="a0"/>
    <w:qFormat/>
    <w:pPr>
      <w:adjustRightInd w:val="0"/>
      <w:snapToGrid w:val="0"/>
      <w:spacing w:line="360" w:lineRule="auto"/>
      <w:ind w:firstLineChars="200" w:firstLine="200"/>
    </w:pPr>
    <w:rPr>
      <w:rFonts w:ascii="Times New Roman" w:eastAsia="宋体" w:hAnsi="Times New Roman" w:cs="宋体"/>
      <w:sz w:val="24"/>
      <w:szCs w:val="26"/>
    </w:rPr>
  </w:style>
  <w:style w:type="paragraph" w:customStyle="1" w:styleId="CharCharChar2Char">
    <w:name w:val="Char Char Char2 Char"/>
    <w:basedOn w:val="a0"/>
    <w:pPr>
      <w:spacing w:line="360" w:lineRule="auto"/>
      <w:ind w:firstLineChars="200" w:firstLine="200"/>
    </w:pPr>
    <w:rPr>
      <w:rFonts w:ascii="Times New Roman" w:eastAsia="宋体" w:hAnsi="Times New Roman" w:cs="宋体"/>
      <w:sz w:val="24"/>
      <w:szCs w:val="24"/>
    </w:rPr>
  </w:style>
  <w:style w:type="paragraph" w:customStyle="1" w:styleId="affffff">
    <w:name w:val="表格文本"/>
    <w:basedOn w:val="a0"/>
    <w:next w:val="a0"/>
    <w:pPr>
      <w:spacing w:line="240" w:lineRule="exact"/>
      <w:ind w:firstLineChars="200" w:firstLine="464"/>
    </w:pPr>
    <w:rPr>
      <w:rFonts w:ascii="Times New Roman" w:eastAsia="宋体" w:hAnsi="Times New Roman" w:cs="Times New Roman"/>
      <w:sz w:val="24"/>
      <w:szCs w:val="24"/>
    </w:rPr>
  </w:style>
  <w:style w:type="paragraph" w:customStyle="1" w:styleId="Z">
    <w:name w:val="Z"/>
    <w:basedOn w:val="a0"/>
    <w:qFormat/>
    <w:pPr>
      <w:spacing w:line="460" w:lineRule="exact"/>
      <w:ind w:firstLineChars="200" w:firstLine="200"/>
    </w:pPr>
    <w:rPr>
      <w:rFonts w:ascii="Times New Roman" w:eastAsia="宋体" w:hAnsi="Times New Roman" w:cs="Times New Roman"/>
      <w:sz w:val="25"/>
      <w:szCs w:val="24"/>
    </w:rPr>
  </w:style>
  <w:style w:type="paragraph" w:customStyle="1" w:styleId="p19">
    <w:name w:val="p19"/>
    <w:basedOn w:val="a0"/>
    <w:pPr>
      <w:widowControl/>
      <w:snapToGrid w:val="0"/>
      <w:spacing w:line="440" w:lineRule="atLeast"/>
      <w:ind w:firstLineChars="200" w:firstLine="420"/>
    </w:pPr>
    <w:rPr>
      <w:rFonts w:ascii="Times New Roman" w:eastAsia="宋体" w:hAnsi="Times New Roman" w:cs="Times New Roman"/>
      <w:kern w:val="0"/>
      <w:sz w:val="24"/>
      <w:szCs w:val="24"/>
    </w:rPr>
  </w:style>
  <w:style w:type="paragraph" w:customStyle="1" w:styleId="xl28">
    <w:name w:val="xl28"/>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464"/>
      <w:jc w:val="center"/>
      <w:textAlignment w:val="center"/>
    </w:pPr>
    <w:rPr>
      <w:rFonts w:ascii="Arial Unicode MS" w:eastAsia="宋体" w:hAnsi="Arial Unicode MS" w:cs="Times New Roman"/>
      <w:kern w:val="0"/>
      <w:sz w:val="24"/>
      <w:szCs w:val="24"/>
    </w:rPr>
  </w:style>
  <w:style w:type="paragraph" w:customStyle="1" w:styleId="affffff0">
    <w:name w:val="图表头"/>
    <w:basedOn w:val="a0"/>
    <w:qFormat/>
    <w:pPr>
      <w:adjustRightInd w:val="0"/>
      <w:spacing w:line="360" w:lineRule="auto"/>
      <w:ind w:firstLineChars="200" w:firstLine="464"/>
      <w:jc w:val="center"/>
      <w:textAlignment w:val="baseline"/>
    </w:pPr>
    <w:rPr>
      <w:rFonts w:ascii="黑体" w:eastAsia="黑体" w:hAnsi="Times New Roman" w:cs="Times New Roman"/>
      <w:spacing w:val="5"/>
      <w:kern w:val="0"/>
      <w:szCs w:val="24"/>
    </w:rPr>
  </w:style>
  <w:style w:type="paragraph" w:customStyle="1" w:styleId="CM25">
    <w:name w:val="CM25"/>
    <w:basedOn w:val="a0"/>
    <w:next w:val="a0"/>
    <w:pPr>
      <w:autoSpaceDE w:val="0"/>
      <w:autoSpaceDN w:val="0"/>
      <w:adjustRightInd w:val="0"/>
      <w:spacing w:line="520" w:lineRule="atLeast"/>
      <w:ind w:firstLineChars="200" w:firstLine="464"/>
      <w:jc w:val="left"/>
    </w:pPr>
    <w:rPr>
      <w:rFonts w:ascii="Times New Roman" w:eastAsia="宋体" w:hAnsi="Times New Roman" w:cs="宋体"/>
      <w:kern w:val="0"/>
      <w:sz w:val="24"/>
      <w:szCs w:val="24"/>
    </w:rPr>
  </w:style>
  <w:style w:type="paragraph" w:customStyle="1" w:styleId="CharChar7">
    <w:name w:val="批注框文本 Char Char"/>
    <w:basedOn w:val="a0"/>
    <w:pPr>
      <w:ind w:firstLineChars="200" w:firstLine="464"/>
    </w:pPr>
    <w:rPr>
      <w:rFonts w:ascii="Times New Roman" w:eastAsia="宋体" w:hAnsi="Times New Roman" w:cs="Times New Roman"/>
      <w:sz w:val="18"/>
      <w:szCs w:val="24"/>
    </w:rPr>
  </w:style>
  <w:style w:type="paragraph" w:customStyle="1" w:styleId="ParaChar">
    <w:name w:val="默认段落字体 Para Char"/>
    <w:basedOn w:val="a0"/>
    <w:qFormat/>
    <w:pPr>
      <w:spacing w:line="360" w:lineRule="auto"/>
      <w:ind w:firstLineChars="200" w:firstLine="200"/>
    </w:pPr>
    <w:rPr>
      <w:rFonts w:ascii="Times New Roman" w:eastAsia="宋体" w:hAnsi="Times New Roman" w:cs="宋体"/>
      <w:sz w:val="24"/>
      <w:szCs w:val="24"/>
    </w:rPr>
  </w:style>
  <w:style w:type="paragraph" w:customStyle="1" w:styleId="affffff1">
    <w:name w:val="基准页脚样式"/>
    <w:basedOn w:val="af5"/>
    <w:qFormat/>
    <w:pPr>
      <w:snapToGrid w:val="0"/>
      <w:spacing w:after="0" w:line="300" w:lineRule="exact"/>
      <w:jc w:val="center"/>
    </w:pPr>
    <w:rPr>
      <w:color w:val="000000"/>
      <w:kern w:val="2"/>
      <w:sz w:val="21"/>
    </w:rPr>
  </w:style>
  <w:style w:type="paragraph" w:customStyle="1" w:styleId="3e">
    <w:name w:val="目录3"/>
    <w:basedOn w:val="a0"/>
    <w:next w:val="a0"/>
    <w:qFormat/>
    <w:pPr>
      <w:tabs>
        <w:tab w:val="left" w:leader="dot" w:pos="8503"/>
      </w:tabs>
      <w:autoSpaceDE w:val="0"/>
      <w:autoSpaceDN w:val="0"/>
      <w:adjustRightInd w:val="0"/>
      <w:spacing w:line="317" w:lineRule="atLeast"/>
      <w:ind w:left="419" w:firstLineChars="200" w:firstLine="419"/>
    </w:pPr>
    <w:rPr>
      <w:rFonts w:ascii="Times New Roman" w:eastAsia="宋体" w:hAnsi="Times New Roman" w:cs="Times New Roman"/>
      <w:color w:val="000000"/>
      <w:kern w:val="0"/>
      <w:sz w:val="24"/>
      <w:szCs w:val="24"/>
      <w:lang w:val="zh-CN"/>
    </w:rPr>
  </w:style>
  <w:style w:type="paragraph" w:customStyle="1" w:styleId="CharCharCharCharCharCharChar">
    <w:name w:val="Char Char Char Char Char Char Char"/>
    <w:basedOn w:val="a0"/>
    <w:next w:val="a0"/>
    <w:pPr>
      <w:spacing w:line="360" w:lineRule="auto"/>
      <w:ind w:firstLineChars="200" w:firstLine="200"/>
    </w:pPr>
    <w:rPr>
      <w:rFonts w:ascii="Times New Roman" w:eastAsia="汉鼎简书宋" w:hAnsi="Times New Roman" w:cs="宋体"/>
      <w:sz w:val="24"/>
      <w:szCs w:val="24"/>
    </w:rPr>
  </w:style>
  <w:style w:type="paragraph" w:customStyle="1" w:styleId="1e">
    <w:name w:val="样式 标题 1"/>
    <w:basedOn w:val="a0"/>
    <w:next w:val="a0"/>
    <w:pPr>
      <w:ind w:firstLineChars="200" w:firstLine="464"/>
      <w:jc w:val="center"/>
    </w:pPr>
    <w:rPr>
      <w:rFonts w:ascii="Times New Roman" w:eastAsia="宋体" w:hAnsi="Times New Roman" w:cs="Times New Roman"/>
      <w:kern w:val="0"/>
      <w:szCs w:val="21"/>
    </w:rPr>
  </w:style>
  <w:style w:type="paragraph" w:customStyle="1" w:styleId="xl36Char">
    <w:name w:val="xl36 Char"/>
    <w:basedOn w:val="a0"/>
    <w:pPr>
      <w:widowControl/>
      <w:pBdr>
        <w:left w:val="single" w:sz="4" w:space="0" w:color="auto"/>
        <w:bottom w:val="single" w:sz="4" w:space="0" w:color="auto"/>
        <w:right w:val="single" w:sz="8" w:space="0" w:color="auto"/>
      </w:pBdr>
      <w:spacing w:before="100" w:after="100"/>
      <w:ind w:firstLineChars="200" w:firstLine="464"/>
      <w:jc w:val="center"/>
      <w:textAlignment w:val="center"/>
    </w:pPr>
    <w:rPr>
      <w:rFonts w:ascii="Arial Unicode MS" w:eastAsia="Arial Unicode MS" w:hAnsi="Arial Unicode MS" w:cs="Times New Roman"/>
      <w:kern w:val="0"/>
      <w:sz w:val="24"/>
      <w:szCs w:val="20"/>
    </w:rPr>
  </w:style>
  <w:style w:type="paragraph" w:customStyle="1" w:styleId="xl23">
    <w:name w:val="xl23"/>
    <w:basedOn w:val="a0"/>
    <w:pPr>
      <w:widowControl/>
      <w:spacing w:before="100" w:after="100" w:line="460" w:lineRule="exact"/>
      <w:ind w:leftChars="400" w:left="400" w:firstLineChars="200" w:firstLine="200"/>
      <w:jc w:val="center"/>
    </w:pPr>
    <w:rPr>
      <w:rFonts w:ascii="Times New Roman" w:eastAsia="宋体" w:hAnsi="Times New Roman" w:cs="Times New Roman"/>
      <w:spacing w:val="6"/>
      <w:kern w:val="0"/>
      <w:sz w:val="24"/>
      <w:szCs w:val="24"/>
    </w:rPr>
  </w:style>
  <w:style w:type="paragraph" w:customStyle="1" w:styleId="1f">
    <w:name w:val="正文1"/>
    <w:qFormat/>
    <w:pPr>
      <w:widowControl w:val="0"/>
      <w:adjustRightInd w:val="0"/>
      <w:spacing w:line="312" w:lineRule="atLeast"/>
      <w:jc w:val="both"/>
      <w:textAlignment w:val="baseline"/>
    </w:pPr>
    <w:rPr>
      <w:rFonts w:ascii="Arial" w:eastAsia="楷体_GB2312"/>
      <w:spacing w:val="-6"/>
      <w:sz w:val="28"/>
    </w:rPr>
  </w:style>
  <w:style w:type="paragraph" w:customStyle="1" w:styleId="210">
    <w:name w:val="样式21"/>
    <w:basedOn w:val="a0"/>
    <w:pPr>
      <w:ind w:firstLineChars="200" w:firstLine="522"/>
    </w:pPr>
    <w:rPr>
      <w:rFonts w:ascii="Times New Roman" w:eastAsia="宋体" w:hAnsi="Times New Roman" w:cs="Times New Roman"/>
      <w:color w:val="0000FF"/>
      <w:sz w:val="24"/>
      <w:szCs w:val="20"/>
    </w:rPr>
  </w:style>
  <w:style w:type="paragraph" w:customStyle="1" w:styleId="affffff2">
    <w:name w:val="a"/>
    <w:basedOn w:val="a0"/>
    <w:pPr>
      <w:widowControl/>
      <w:spacing w:before="100" w:beforeAutospacing="1" w:after="100" w:afterAutospacing="1"/>
      <w:ind w:firstLineChars="200" w:firstLine="464"/>
      <w:jc w:val="left"/>
    </w:pPr>
    <w:rPr>
      <w:rFonts w:ascii="Times New Roman" w:eastAsia="宋体" w:hAnsi="Times New Roman" w:cs="Times New Roman"/>
      <w:kern w:val="0"/>
      <w:sz w:val="24"/>
      <w:szCs w:val="24"/>
    </w:rPr>
  </w:style>
  <w:style w:type="paragraph" w:customStyle="1" w:styleId="666666-1">
    <w:name w:val="666666-表中文字"/>
    <w:basedOn w:val="a0"/>
    <w:pPr>
      <w:ind w:firstLineChars="200" w:firstLine="464"/>
      <w:jc w:val="center"/>
    </w:pPr>
    <w:rPr>
      <w:rFonts w:ascii="Times New Roman" w:eastAsia="宋体" w:hAnsi="Times New Roman" w:cs="Times New Roman"/>
      <w:szCs w:val="20"/>
    </w:rPr>
  </w:style>
  <w:style w:type="paragraph" w:customStyle="1" w:styleId="2d">
    <w:name w:val="样式 首行缩进:  2 字符"/>
    <w:basedOn w:val="a0"/>
    <w:link w:val="2Char"/>
    <w:pPr>
      <w:spacing w:line="360" w:lineRule="auto"/>
      <w:ind w:firstLineChars="200" w:firstLine="200"/>
    </w:pPr>
    <w:rPr>
      <w:rFonts w:ascii="Times New Roman" w:eastAsia="宋体" w:hAnsi="Times New Roman" w:cs="宋体"/>
      <w:sz w:val="24"/>
      <w:szCs w:val="24"/>
    </w:rPr>
  </w:style>
  <w:style w:type="character" w:customStyle="1" w:styleId="2Char">
    <w:name w:val="样式 首行缩进:  2 字符 Char"/>
    <w:basedOn w:val="a1"/>
    <w:link w:val="2d"/>
    <w:rPr>
      <w:rFonts w:ascii="Times New Roman" w:eastAsia="宋体" w:hAnsi="Times New Roman" w:cs="宋体"/>
      <w:sz w:val="24"/>
      <w:szCs w:val="24"/>
    </w:rPr>
  </w:style>
  <w:style w:type="paragraph" w:customStyle="1" w:styleId="GB23121">
    <w:name w:val="样式 (中文) 仿宋_GB2312 居中1"/>
    <w:basedOn w:val="a0"/>
    <w:pPr>
      <w:ind w:firstLineChars="200" w:firstLine="464"/>
      <w:jc w:val="center"/>
    </w:pPr>
    <w:rPr>
      <w:rFonts w:ascii="Times New Roman" w:eastAsia="仿宋_GB2312" w:hAnsi="Times New Roman" w:cs="宋体"/>
      <w:szCs w:val="20"/>
    </w:rPr>
  </w:style>
  <w:style w:type="paragraph" w:customStyle="1" w:styleId="af00">
    <w:name w:val="af0"/>
    <w:basedOn w:val="a0"/>
    <w:pPr>
      <w:widowControl/>
      <w:spacing w:before="100" w:beforeAutospacing="1" w:after="100" w:afterAutospacing="1"/>
      <w:ind w:firstLineChars="200" w:firstLine="464"/>
      <w:jc w:val="left"/>
    </w:pPr>
    <w:rPr>
      <w:rFonts w:ascii="Times New Roman" w:eastAsia="宋体" w:hAnsi="Times New Roman" w:cs="Times New Roman"/>
      <w:kern w:val="0"/>
      <w:sz w:val="24"/>
      <w:szCs w:val="24"/>
    </w:rPr>
  </w:style>
  <w:style w:type="paragraph" w:customStyle="1" w:styleId="affffff3">
    <w:name w:val="标准"/>
    <w:basedOn w:val="a0"/>
    <w:link w:val="Charf3"/>
    <w:pPr>
      <w:adjustRightInd w:val="0"/>
      <w:spacing w:line="300" w:lineRule="auto"/>
      <w:ind w:firstLineChars="200" w:firstLine="464"/>
      <w:textAlignment w:val="baseline"/>
    </w:pPr>
    <w:rPr>
      <w:rFonts w:ascii="黑体" w:eastAsia="黑体" w:hAnsi="Times New Roman" w:cs="Times New Roman"/>
      <w:kern w:val="0"/>
      <w:sz w:val="24"/>
      <w:szCs w:val="24"/>
    </w:rPr>
  </w:style>
  <w:style w:type="character" w:customStyle="1" w:styleId="Charf3">
    <w:name w:val="标准 Char"/>
    <w:link w:val="affffff3"/>
    <w:qFormat/>
    <w:rPr>
      <w:rFonts w:ascii="黑体" w:eastAsia="黑体" w:hAnsi="Times New Roman" w:cs="Times New Roman"/>
      <w:kern w:val="0"/>
      <w:sz w:val="24"/>
      <w:szCs w:val="24"/>
    </w:rPr>
  </w:style>
  <w:style w:type="paragraph" w:customStyle="1" w:styleId="xl25">
    <w:name w:val="xl25"/>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464"/>
      <w:jc w:val="left"/>
    </w:pPr>
    <w:rPr>
      <w:rFonts w:ascii="Times New Roman" w:eastAsia="宋体" w:hAnsi="Times New Roman" w:cs="Times New Roman"/>
      <w:kern w:val="0"/>
      <w:sz w:val="24"/>
      <w:szCs w:val="24"/>
    </w:rPr>
  </w:style>
  <w:style w:type="paragraph" w:customStyle="1" w:styleId="affffff4">
    <w:name w:val="初设正文"/>
    <w:basedOn w:val="a0"/>
    <w:pPr>
      <w:spacing w:after="120" w:line="440" w:lineRule="exact"/>
      <w:ind w:left="425" w:firstLineChars="200" w:firstLine="425"/>
    </w:pPr>
    <w:rPr>
      <w:rFonts w:ascii="Arial" w:eastAsia="宋体" w:hAnsi="Arial" w:cs="Times New Roman"/>
      <w:kern w:val="0"/>
      <w:sz w:val="24"/>
      <w:szCs w:val="24"/>
    </w:rPr>
  </w:style>
  <w:style w:type="paragraph" w:customStyle="1" w:styleId="xl42">
    <w:name w:val="xl42"/>
    <w:basedOn w:val="a0"/>
    <w:pPr>
      <w:widowControl/>
      <w:pBdr>
        <w:bottom w:val="single" w:sz="4" w:space="0" w:color="auto"/>
      </w:pBdr>
      <w:spacing w:before="100" w:beforeAutospacing="1" w:after="100" w:afterAutospacing="1"/>
      <w:ind w:firstLineChars="200" w:firstLine="464"/>
      <w:jc w:val="center"/>
    </w:pPr>
    <w:rPr>
      <w:rFonts w:ascii="Arial Unicode MS" w:eastAsia="宋体" w:hAnsi="Arial Unicode MS" w:cs="Times New Roman"/>
      <w:kern w:val="0"/>
      <w:sz w:val="24"/>
      <w:szCs w:val="24"/>
    </w:rPr>
  </w:style>
  <w:style w:type="paragraph" w:customStyle="1" w:styleId="F">
    <w:name w:val="F正文"/>
    <w:pPr>
      <w:widowControl w:val="0"/>
      <w:adjustRightInd w:val="0"/>
      <w:spacing w:line="360" w:lineRule="atLeast"/>
      <w:textAlignment w:val="baseline"/>
    </w:pPr>
    <w:rPr>
      <w:spacing w:val="12"/>
      <w:sz w:val="24"/>
    </w:rPr>
  </w:style>
  <w:style w:type="paragraph" w:customStyle="1" w:styleId="affffff5">
    <w:name w:val="表格内容居中"/>
    <w:pPr>
      <w:adjustRightInd w:val="0"/>
      <w:snapToGrid w:val="0"/>
      <w:jc w:val="center"/>
    </w:pPr>
    <w:rPr>
      <w:snapToGrid w:val="0"/>
      <w:sz w:val="21"/>
    </w:rPr>
  </w:style>
  <w:style w:type="paragraph" w:customStyle="1" w:styleId="BodyText22">
    <w:name w:val="Body Text 22"/>
    <w:basedOn w:val="a0"/>
    <w:pPr>
      <w:adjustRightInd w:val="0"/>
      <w:spacing w:line="440" w:lineRule="atLeast"/>
      <w:ind w:firstLineChars="200" w:firstLine="480"/>
      <w:textAlignment w:val="baseline"/>
    </w:pPr>
    <w:rPr>
      <w:rFonts w:ascii="Times New Roman" w:eastAsia="仿宋_GB2312" w:hAnsi="Times New Roman" w:cs="Times New Roman"/>
      <w:sz w:val="24"/>
      <w:szCs w:val="24"/>
    </w:rPr>
  </w:style>
  <w:style w:type="paragraph" w:customStyle="1" w:styleId="sanji">
    <w:name w:val="sanji"/>
    <w:basedOn w:val="3-3-3"/>
    <w:rPr>
      <w:b/>
    </w:rPr>
  </w:style>
  <w:style w:type="paragraph" w:customStyle="1" w:styleId="CharCharCharChar">
    <w:name w:val="Char Char Char Char"/>
    <w:basedOn w:val="a0"/>
    <w:pPr>
      <w:adjustRightInd w:val="0"/>
      <w:snapToGrid w:val="0"/>
      <w:spacing w:line="360" w:lineRule="auto"/>
      <w:ind w:firstLineChars="200" w:firstLine="200"/>
    </w:pPr>
    <w:rPr>
      <w:rFonts w:ascii="Times New Roman" w:eastAsia="宋体" w:hAnsi="Times New Roman" w:cs="宋体"/>
      <w:sz w:val="24"/>
      <w:szCs w:val="26"/>
    </w:rPr>
  </w:style>
  <w:style w:type="paragraph" w:customStyle="1" w:styleId="CharCharChar1Char1">
    <w:name w:val="Char Char Char1 Char1"/>
    <w:basedOn w:val="a0"/>
    <w:next w:val="a0"/>
    <w:pPr>
      <w:spacing w:line="360" w:lineRule="auto"/>
      <w:ind w:firstLineChars="200" w:firstLine="200"/>
    </w:pPr>
    <w:rPr>
      <w:rFonts w:ascii="Times New Roman" w:eastAsia="汉鼎简书宋" w:hAnsi="Times New Roman" w:cs="宋体"/>
      <w:sz w:val="24"/>
      <w:szCs w:val="24"/>
    </w:rPr>
  </w:style>
  <w:style w:type="paragraph" w:customStyle="1" w:styleId="xl27">
    <w:name w:val="xl2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464"/>
      <w:jc w:val="center"/>
      <w:textAlignment w:val="center"/>
    </w:pPr>
    <w:rPr>
      <w:rFonts w:ascii="Times New Roman" w:eastAsia="宋体" w:hAnsi="Times New Roman" w:cs="Times New Roman"/>
      <w:kern w:val="0"/>
      <w:sz w:val="24"/>
      <w:szCs w:val="24"/>
    </w:rPr>
  </w:style>
  <w:style w:type="paragraph" w:customStyle="1" w:styleId="Char210">
    <w:name w:val="Char21"/>
    <w:basedOn w:val="a0"/>
    <w:qFormat/>
    <w:pPr>
      <w:ind w:firstLineChars="200" w:firstLine="464"/>
    </w:pPr>
    <w:rPr>
      <w:rFonts w:ascii="Times New Roman" w:eastAsia="宋体" w:hAnsi="Times New Roman" w:cs="Times New Roman"/>
      <w:sz w:val="24"/>
      <w:szCs w:val="24"/>
    </w:rPr>
  </w:style>
  <w:style w:type="paragraph" w:customStyle="1" w:styleId="xl31">
    <w:name w:val="xl31"/>
    <w:basedOn w:val="a0"/>
    <w:pPr>
      <w:widowControl/>
      <w:spacing w:before="100" w:beforeAutospacing="1" w:after="100" w:afterAutospacing="1"/>
      <w:ind w:firstLineChars="200" w:firstLine="464"/>
      <w:jc w:val="center"/>
    </w:pPr>
    <w:rPr>
      <w:rFonts w:ascii="Times New Roman" w:eastAsia="宋体" w:hAnsi="Times New Roman" w:cs="Times New Roman"/>
      <w:kern w:val="0"/>
      <w:sz w:val="24"/>
      <w:szCs w:val="24"/>
    </w:rPr>
  </w:style>
  <w:style w:type="paragraph" w:customStyle="1" w:styleId="InTable">
    <w:name w:val="In Table"/>
    <w:basedOn w:val="a0"/>
    <w:qFormat/>
    <w:pPr>
      <w:tabs>
        <w:tab w:val="left" w:pos="3960"/>
        <w:tab w:val="left" w:pos="5280"/>
      </w:tabs>
      <w:spacing w:before="96" w:after="96" w:line="0" w:lineRule="atLeast"/>
      <w:ind w:firstLineChars="200" w:firstLine="464"/>
      <w:jc w:val="center"/>
    </w:pPr>
    <w:rPr>
      <w:rFonts w:ascii="Tahoma" w:eastAsia="华文中宋" w:hAnsi="Tahoma" w:cs="Times New Roman"/>
      <w:sz w:val="24"/>
      <w:szCs w:val="24"/>
    </w:rPr>
  </w:style>
  <w:style w:type="paragraph" w:customStyle="1" w:styleId="152">
    <w:name w:val="样式 四号 行距: 1.5 倍行距"/>
    <w:basedOn w:val="a0"/>
    <w:pPr>
      <w:spacing w:line="360" w:lineRule="auto"/>
      <w:ind w:firstLineChars="200" w:firstLine="200"/>
    </w:pPr>
    <w:rPr>
      <w:rFonts w:ascii="Times New Roman" w:eastAsia="宋体" w:hAnsi="Times New Roman" w:cs="宋体"/>
      <w:sz w:val="28"/>
      <w:szCs w:val="20"/>
    </w:rPr>
  </w:style>
  <w:style w:type="paragraph" w:customStyle="1" w:styleId="211">
    <w:name w:val="样式 首行缩进:  2 字符1"/>
    <w:basedOn w:val="a0"/>
    <w:pPr>
      <w:snapToGrid w:val="0"/>
      <w:spacing w:line="300" w:lineRule="auto"/>
      <w:ind w:firstLineChars="200" w:firstLine="200"/>
    </w:pPr>
    <w:rPr>
      <w:rFonts w:ascii="Times New Roman" w:eastAsia="楷体_GB2312" w:hAnsi="Times New Roman" w:cs="Times New Roman"/>
      <w:sz w:val="28"/>
      <w:szCs w:val="24"/>
    </w:rPr>
  </w:style>
  <w:style w:type="paragraph" w:customStyle="1" w:styleId="CharCharCharCharCharCharChar2">
    <w:name w:val="Char Char Char Char Char Char Char2"/>
    <w:basedOn w:val="a0"/>
    <w:qFormat/>
    <w:pPr>
      <w:ind w:firstLineChars="200" w:firstLine="464"/>
    </w:pPr>
    <w:rPr>
      <w:rFonts w:ascii="Tahoma" w:eastAsia="宋体" w:hAnsi="Tahoma" w:cs="Times New Roman"/>
      <w:sz w:val="24"/>
      <w:szCs w:val="20"/>
    </w:rPr>
  </w:style>
  <w:style w:type="paragraph" w:customStyle="1" w:styleId="73">
    <w:name w:val="样式7"/>
    <w:basedOn w:val="aff5"/>
    <w:qFormat/>
    <w:pPr>
      <w:pBdr>
        <w:bottom w:val="none" w:sz="0" w:space="0" w:color="auto"/>
      </w:pBdr>
    </w:pPr>
    <w:rPr>
      <w:szCs w:val="21"/>
    </w:rPr>
  </w:style>
  <w:style w:type="paragraph" w:customStyle="1" w:styleId="affffff6">
    <w:name w:val="目录标题"/>
    <w:basedOn w:val="a0"/>
    <w:next w:val="a0"/>
    <w:qFormat/>
    <w:pPr>
      <w:autoSpaceDE w:val="0"/>
      <w:autoSpaceDN w:val="0"/>
      <w:adjustRightInd w:val="0"/>
      <w:spacing w:before="215" w:after="419" w:line="436" w:lineRule="atLeast"/>
      <w:ind w:firstLineChars="200" w:firstLine="419"/>
      <w:jc w:val="center"/>
    </w:pPr>
    <w:rPr>
      <w:rFonts w:ascii="Arial" w:eastAsia="宋体" w:hAnsi="Arial" w:cs="Arial"/>
      <w:color w:val="000000"/>
      <w:spacing w:val="280"/>
      <w:kern w:val="0"/>
      <w:sz w:val="42"/>
      <w:szCs w:val="42"/>
      <w:lang w:val="zh-CN"/>
    </w:rPr>
  </w:style>
  <w:style w:type="paragraph" w:customStyle="1" w:styleId="xl33">
    <w:name w:val="xl33"/>
    <w:basedOn w:val="a0"/>
    <w:qFormat/>
    <w:pPr>
      <w:widowControl/>
      <w:pBdr>
        <w:bottom w:val="single" w:sz="4" w:space="0" w:color="auto"/>
      </w:pBdr>
      <w:spacing w:before="100" w:after="100"/>
      <w:ind w:firstLineChars="200" w:firstLine="464"/>
      <w:jc w:val="left"/>
      <w:textAlignment w:val="center"/>
    </w:pPr>
    <w:rPr>
      <w:rFonts w:ascii="Times New Roman" w:eastAsia="宋体" w:hAnsi="Times New Roman" w:cs="Times New Roman"/>
      <w:kern w:val="0"/>
      <w:sz w:val="28"/>
      <w:szCs w:val="24"/>
    </w:rPr>
  </w:style>
  <w:style w:type="paragraph" w:customStyle="1" w:styleId="affffff7">
    <w:name w:val="注："/>
    <w:next w:val="1f0"/>
    <w:qFormat/>
    <w:pPr>
      <w:widowControl w:val="0"/>
      <w:autoSpaceDE w:val="0"/>
      <w:autoSpaceDN w:val="0"/>
      <w:ind w:left="840" w:hanging="420"/>
      <w:jc w:val="both"/>
    </w:pPr>
    <w:rPr>
      <w:rFonts w:ascii="宋体"/>
      <w:sz w:val="18"/>
    </w:rPr>
  </w:style>
  <w:style w:type="paragraph" w:customStyle="1" w:styleId="1f0">
    <w:name w:val="段1"/>
    <w:pPr>
      <w:autoSpaceDE w:val="0"/>
      <w:autoSpaceDN w:val="0"/>
      <w:ind w:firstLineChars="200" w:firstLine="200"/>
      <w:jc w:val="both"/>
    </w:pPr>
    <w:rPr>
      <w:rFonts w:ascii="宋体"/>
      <w:sz w:val="21"/>
    </w:rPr>
  </w:style>
  <w:style w:type="paragraph" w:customStyle="1" w:styleId="111">
    <w:name w:val="正文111"/>
    <w:basedOn w:val="a0"/>
    <w:pPr>
      <w:adjustRightInd w:val="0"/>
      <w:snapToGrid w:val="0"/>
      <w:spacing w:line="500" w:lineRule="atLeast"/>
      <w:ind w:firstLineChars="200" w:firstLine="567"/>
    </w:pPr>
    <w:rPr>
      <w:rFonts w:ascii="Times New Roman" w:eastAsia="宋体" w:hAnsi="Times New Roman" w:cs="Times New Roman"/>
      <w:sz w:val="28"/>
      <w:szCs w:val="24"/>
    </w:rPr>
  </w:style>
  <w:style w:type="paragraph" w:customStyle="1" w:styleId="46">
    <w:name w:val="样式4"/>
    <w:basedOn w:val="a0"/>
    <w:qFormat/>
    <w:pPr>
      <w:adjustRightInd w:val="0"/>
      <w:snapToGrid w:val="0"/>
      <w:ind w:firstLineChars="200" w:firstLine="464"/>
      <w:jc w:val="center"/>
    </w:pPr>
    <w:rPr>
      <w:rFonts w:ascii="Arial" w:eastAsia="宋体" w:hAnsi="Arial" w:cs="Times New Roman"/>
      <w:sz w:val="24"/>
      <w:szCs w:val="24"/>
    </w:rPr>
  </w:style>
  <w:style w:type="paragraph" w:customStyle="1" w:styleId="TOC1">
    <w:name w:val="TOC 标题1"/>
    <w:basedOn w:val="1"/>
    <w:next w:val="a0"/>
    <w:uiPriority w:val="39"/>
    <w:qFormat/>
    <w:pPr>
      <w:widowControl/>
      <w:spacing w:before="480" w:line="276" w:lineRule="auto"/>
      <w:jc w:val="left"/>
      <w:outlineLvl w:val="9"/>
    </w:pPr>
    <w:rPr>
      <w:rFonts w:ascii="Cambria" w:hAnsi="Cambria"/>
      <w:color w:val="365F91"/>
      <w:kern w:val="0"/>
      <w:sz w:val="28"/>
      <w:szCs w:val="28"/>
    </w:rPr>
  </w:style>
  <w:style w:type="paragraph" w:customStyle="1" w:styleId="affffff8">
    <w:name w:val="三级"/>
    <w:basedOn w:val="3-3-3"/>
    <w:rPr>
      <w:b/>
    </w:rPr>
  </w:style>
  <w:style w:type="paragraph" w:customStyle="1" w:styleId="CharCharCharCharChar2Char1">
    <w:name w:val="Char Char Char Char Char2 Char1"/>
    <w:basedOn w:val="a0"/>
    <w:pPr>
      <w:adjustRightInd w:val="0"/>
      <w:snapToGrid w:val="0"/>
      <w:spacing w:line="360" w:lineRule="auto"/>
      <w:ind w:firstLineChars="200" w:firstLine="200"/>
    </w:pPr>
    <w:rPr>
      <w:rFonts w:ascii="Times New Roman" w:eastAsia="宋体" w:hAnsi="Times New Roman" w:cs="Times New Roman"/>
      <w:sz w:val="24"/>
      <w:szCs w:val="24"/>
    </w:rPr>
  </w:style>
  <w:style w:type="paragraph" w:customStyle="1" w:styleId="font7">
    <w:name w:val="font7"/>
    <w:basedOn w:val="a0"/>
    <w:qFormat/>
    <w:pPr>
      <w:widowControl/>
      <w:spacing w:before="100" w:beforeAutospacing="1" w:after="100" w:afterAutospacing="1"/>
      <w:ind w:firstLineChars="200" w:firstLine="464"/>
      <w:jc w:val="left"/>
    </w:pPr>
    <w:rPr>
      <w:rFonts w:ascii="Times New Roman" w:eastAsia="宋体" w:hAnsi="Times New Roman" w:cs="Times New Roman"/>
      <w:kern w:val="0"/>
      <w:sz w:val="24"/>
      <w:szCs w:val="24"/>
    </w:rPr>
  </w:style>
  <w:style w:type="paragraph" w:customStyle="1" w:styleId="xl29">
    <w:name w:val="xl29"/>
    <w:basedOn w:val="a0"/>
    <w:pPr>
      <w:widowControl/>
      <w:spacing w:before="100" w:after="100"/>
      <w:ind w:firstLineChars="200" w:firstLine="464"/>
      <w:jc w:val="center"/>
    </w:pPr>
    <w:rPr>
      <w:rFonts w:ascii="Times New Roman" w:eastAsia="宋体" w:hAnsi="Times New Roman" w:cs="Times New Roman"/>
      <w:kern w:val="0"/>
      <w:sz w:val="24"/>
      <w:szCs w:val="24"/>
    </w:rPr>
  </w:style>
  <w:style w:type="paragraph" w:customStyle="1" w:styleId="CharCharCharCharCharCharCharCharCharChar">
    <w:name w:val="Char Char Char Char Char Char Char Char Char Char"/>
    <w:basedOn w:val="a0"/>
    <w:pPr>
      <w:spacing w:line="360" w:lineRule="auto"/>
      <w:ind w:firstLineChars="200" w:firstLine="200"/>
    </w:pPr>
    <w:rPr>
      <w:rFonts w:ascii="Times New Roman" w:eastAsia="宋体" w:hAnsi="Times New Roman" w:cs="宋体"/>
      <w:sz w:val="24"/>
      <w:szCs w:val="24"/>
    </w:rPr>
  </w:style>
  <w:style w:type="paragraph" w:customStyle="1" w:styleId="CharChar22CharChar">
    <w:name w:val="Char Char22 Char Char"/>
    <w:basedOn w:val="a0"/>
    <w:pPr>
      <w:widowControl/>
      <w:spacing w:after="160" w:line="240" w:lineRule="exact"/>
      <w:ind w:firstLineChars="200" w:firstLine="1040"/>
      <w:jc w:val="left"/>
    </w:pPr>
    <w:rPr>
      <w:rFonts w:ascii="Times New Roman" w:eastAsia="宋体" w:hAnsi="Times New Roman" w:cs="Times New Roman"/>
      <w:kern w:val="0"/>
      <w:sz w:val="24"/>
      <w:szCs w:val="20"/>
    </w:rPr>
  </w:style>
  <w:style w:type="paragraph" w:customStyle="1" w:styleId="gb1">
    <w:name w:val="gb1"/>
    <w:basedOn w:val="a0"/>
    <w:pPr>
      <w:widowControl/>
      <w:tabs>
        <w:tab w:val="left" w:pos="227"/>
      </w:tabs>
      <w:overflowPunct w:val="0"/>
      <w:autoSpaceDE w:val="0"/>
      <w:autoSpaceDN w:val="0"/>
      <w:adjustRightInd w:val="0"/>
      <w:spacing w:before="120" w:after="120"/>
      <w:ind w:firstLineChars="200" w:firstLine="464"/>
      <w:textAlignment w:val="baseline"/>
    </w:pPr>
    <w:rPr>
      <w:rFonts w:ascii="Arial" w:eastAsia="仿宋体" w:hAnsi="Arial" w:cs="Times New Roman"/>
      <w:kern w:val="0"/>
      <w:sz w:val="24"/>
      <w:szCs w:val="24"/>
    </w:rPr>
  </w:style>
  <w:style w:type="paragraph" w:customStyle="1" w:styleId="affffff9">
    <w:name w:val="表格文字"/>
    <w:basedOn w:val="a0"/>
    <w:link w:val="Charf4"/>
    <w:qFormat/>
    <w:pPr>
      <w:ind w:firstLineChars="200" w:firstLine="464"/>
      <w:jc w:val="center"/>
    </w:pPr>
    <w:rPr>
      <w:rFonts w:ascii="Times New Roman" w:eastAsia="宋体" w:hAnsi="Times New Roman" w:cs="Times New Roman"/>
      <w:sz w:val="18"/>
      <w:szCs w:val="20"/>
    </w:rPr>
  </w:style>
  <w:style w:type="character" w:customStyle="1" w:styleId="Charf4">
    <w:name w:val="表格文字 Char"/>
    <w:basedOn w:val="a1"/>
    <w:link w:val="affffff9"/>
    <w:qFormat/>
    <w:rPr>
      <w:rFonts w:ascii="Times New Roman" w:eastAsia="宋体" w:hAnsi="Times New Roman" w:cs="Times New Roman"/>
      <w:sz w:val="18"/>
      <w:szCs w:val="20"/>
    </w:rPr>
  </w:style>
  <w:style w:type="paragraph" w:customStyle="1" w:styleId="affffffa">
    <w:name w:val="表格尾注"/>
    <w:basedOn w:val="a0"/>
    <w:pPr>
      <w:adjustRightInd w:val="0"/>
      <w:snapToGrid w:val="0"/>
      <w:spacing w:line="360" w:lineRule="exact"/>
      <w:ind w:left="907" w:firstLineChars="200" w:firstLine="464"/>
      <w:jc w:val="left"/>
    </w:pPr>
    <w:rPr>
      <w:rFonts w:ascii="Times New Roman" w:eastAsia="楷体_GB2312" w:hAnsi="Times New Roman" w:cs="Times New Roman"/>
      <w:kern w:val="0"/>
      <w:szCs w:val="21"/>
    </w:rPr>
  </w:style>
  <w:style w:type="paragraph" w:customStyle="1" w:styleId="ParaCharCharCharChar">
    <w:name w:val="默认段落字体 Para Char Char Char Char"/>
    <w:basedOn w:val="a0"/>
    <w:pPr>
      <w:ind w:firstLineChars="200" w:firstLine="464"/>
    </w:pPr>
    <w:rPr>
      <w:rFonts w:ascii="Times New Roman" w:eastAsia="宋体" w:hAnsi="Times New Roman" w:cs="Times New Roman"/>
      <w:sz w:val="24"/>
      <w:szCs w:val="24"/>
    </w:rPr>
  </w:style>
  <w:style w:type="paragraph" w:customStyle="1" w:styleId="Char110">
    <w:name w:val="Char11"/>
    <w:basedOn w:val="a0"/>
    <w:qFormat/>
    <w:pPr>
      <w:ind w:firstLineChars="200" w:firstLine="464"/>
    </w:pPr>
    <w:rPr>
      <w:rFonts w:ascii="Times New Roman" w:eastAsia="宋体" w:hAnsi="Times New Roman" w:cs="Times New Roman"/>
      <w:sz w:val="24"/>
      <w:szCs w:val="24"/>
    </w:rPr>
  </w:style>
  <w:style w:type="paragraph" w:customStyle="1" w:styleId="affffffb">
    <w:name w:val="小四表文左齐"/>
    <w:basedOn w:val="a0"/>
    <w:pPr>
      <w:ind w:firstLineChars="200" w:firstLine="464"/>
      <w:jc w:val="center"/>
    </w:pPr>
    <w:rPr>
      <w:rFonts w:ascii="Times New Roman" w:eastAsia="宋体" w:hAnsi="Times New Roman" w:cs="Times New Roman"/>
      <w:sz w:val="24"/>
      <w:szCs w:val="24"/>
    </w:rPr>
  </w:style>
  <w:style w:type="paragraph" w:customStyle="1" w:styleId="666666-3">
    <w:name w:val="666666-标题3"/>
    <w:basedOn w:val="30"/>
    <w:pPr>
      <w:spacing w:beforeLines="50" w:before="0" w:afterLines="50" w:after="0" w:line="440" w:lineRule="exact"/>
      <w:ind w:firstLineChars="200" w:firstLine="464"/>
    </w:pPr>
    <w:rPr>
      <w:rFonts w:ascii="Times New Roman" w:eastAsia="黑体" w:hAnsi="Times New Roman" w:cs="Times New Roman"/>
      <w:sz w:val="28"/>
      <w:szCs w:val="20"/>
      <w:lang w:val="zh-CN"/>
    </w:rPr>
  </w:style>
  <w:style w:type="paragraph" w:customStyle="1" w:styleId="57">
    <w:name w:val="样式5"/>
    <w:basedOn w:val="a0"/>
    <w:qFormat/>
    <w:pPr>
      <w:snapToGrid w:val="0"/>
      <w:spacing w:line="360" w:lineRule="auto"/>
      <w:ind w:firstLineChars="200" w:firstLine="510"/>
    </w:pPr>
    <w:rPr>
      <w:rFonts w:ascii="Times New Roman" w:eastAsia="宋体" w:hAnsi="Times New Roman" w:cs="Times New Roman"/>
      <w:sz w:val="24"/>
      <w:szCs w:val="24"/>
    </w:rPr>
  </w:style>
  <w:style w:type="paragraph" w:customStyle="1" w:styleId="2e">
    <w:name w:val="?2"/>
    <w:basedOn w:val="a0"/>
    <w:next w:val="a0"/>
    <w:pPr>
      <w:autoSpaceDE w:val="0"/>
      <w:autoSpaceDN w:val="0"/>
      <w:adjustRightInd w:val="0"/>
      <w:ind w:firstLineChars="200" w:firstLine="464"/>
      <w:jc w:val="left"/>
    </w:pPr>
    <w:rPr>
      <w:rFonts w:ascii="五" w:eastAsia="五" w:hAnsi="Times New Roman" w:cs="Times New Roman"/>
      <w:kern w:val="0"/>
      <w:sz w:val="20"/>
      <w:szCs w:val="24"/>
    </w:rPr>
  </w:style>
  <w:style w:type="paragraph" w:customStyle="1" w:styleId="affffffc">
    <w:name w:val="表名"/>
    <w:basedOn w:val="a0"/>
    <w:qFormat/>
    <w:pPr>
      <w:overflowPunct w:val="0"/>
      <w:spacing w:before="120"/>
      <w:ind w:firstLineChars="200" w:firstLine="464"/>
      <w:textAlignment w:val="baseline"/>
    </w:pPr>
    <w:rPr>
      <w:rFonts w:ascii="Arial" w:eastAsia="黑体" w:hAnsi="Arial" w:cs="Times New Roman"/>
      <w:sz w:val="24"/>
      <w:szCs w:val="24"/>
    </w:rPr>
  </w:style>
  <w:style w:type="paragraph" w:customStyle="1" w:styleId="affffffd">
    <w:name w:val="报告书表格"/>
    <w:basedOn w:val="a0"/>
    <w:qFormat/>
    <w:pPr>
      <w:adjustRightInd w:val="0"/>
      <w:spacing w:before="60" w:after="60" w:line="240" w:lineRule="atLeast"/>
      <w:ind w:firstLineChars="200" w:firstLine="464"/>
      <w:jc w:val="center"/>
      <w:textAlignment w:val="baseline"/>
    </w:pPr>
    <w:rPr>
      <w:rFonts w:ascii="Times New Roman" w:eastAsia="宋体" w:hAnsi="Times New Roman" w:cs="Times New Roman"/>
      <w:kern w:val="0"/>
      <w:szCs w:val="20"/>
    </w:rPr>
  </w:style>
  <w:style w:type="paragraph" w:customStyle="1" w:styleId="affffffe">
    <w:name w:val="表样式"/>
    <w:basedOn w:val="a0"/>
    <w:qFormat/>
    <w:pPr>
      <w:ind w:firstLineChars="200" w:firstLine="464"/>
      <w:jc w:val="center"/>
    </w:pPr>
    <w:rPr>
      <w:rFonts w:ascii="仿宋_GB2312" w:eastAsia="黑体" w:hAnsi="Times New Roman" w:cs="Times New Roman"/>
      <w:sz w:val="24"/>
      <w:szCs w:val="24"/>
    </w:rPr>
  </w:style>
  <w:style w:type="paragraph" w:customStyle="1" w:styleId="font6">
    <w:name w:val="font6"/>
    <w:basedOn w:val="a0"/>
    <w:pPr>
      <w:widowControl/>
      <w:spacing w:before="100" w:beforeAutospacing="1" w:after="100" w:afterAutospacing="1"/>
      <w:ind w:firstLineChars="200" w:firstLine="464"/>
      <w:jc w:val="left"/>
    </w:pPr>
    <w:rPr>
      <w:rFonts w:ascii="Times New Roman" w:eastAsia="宋体" w:hAnsi="Times New Roman" w:cs="Times New Roman"/>
      <w:kern w:val="0"/>
      <w:sz w:val="24"/>
      <w:szCs w:val="24"/>
    </w:rPr>
  </w:style>
  <w:style w:type="paragraph" w:customStyle="1" w:styleId="afffffff">
    <w:name w:val="表格正文"/>
    <w:link w:val="Charf5"/>
    <w:qFormat/>
    <w:pPr>
      <w:widowControl w:val="0"/>
      <w:adjustRightInd w:val="0"/>
      <w:snapToGrid w:val="0"/>
      <w:jc w:val="both"/>
    </w:pPr>
    <w:rPr>
      <w:rFonts w:ascii="宋体" w:hAnsi="宋体" w:cs="宋体"/>
      <w:color w:val="000000"/>
      <w:sz w:val="21"/>
      <w:szCs w:val="21"/>
    </w:rPr>
  </w:style>
  <w:style w:type="character" w:customStyle="1" w:styleId="Charf5">
    <w:name w:val="表格正文 Char"/>
    <w:link w:val="afffffff"/>
    <w:qFormat/>
    <w:rPr>
      <w:rFonts w:ascii="宋体" w:eastAsia="宋体" w:hAnsi="宋体" w:cs="宋体"/>
      <w:color w:val="000000"/>
      <w:kern w:val="0"/>
      <w:szCs w:val="21"/>
    </w:rPr>
  </w:style>
  <w:style w:type="paragraph" w:customStyle="1" w:styleId="word">
    <w:name w:val="word"/>
    <w:basedOn w:val="a0"/>
    <w:qFormat/>
    <w:pPr>
      <w:adjustRightInd w:val="0"/>
      <w:snapToGrid w:val="0"/>
      <w:spacing w:line="360" w:lineRule="auto"/>
      <w:ind w:firstLineChars="200" w:firstLine="480"/>
      <w:jc w:val="center"/>
    </w:pPr>
    <w:rPr>
      <w:rFonts w:ascii="黑体" w:eastAsia="黑体" w:hAnsi="Times New Roman" w:cs="Times New Roman"/>
      <w:sz w:val="24"/>
      <w:szCs w:val="24"/>
    </w:rPr>
  </w:style>
  <w:style w:type="paragraph" w:customStyle="1" w:styleId="ParaCharCharCharCharCharCharChar">
    <w:name w:val="默认段落字体 Para Char Char Char Char Char Char Char"/>
    <w:basedOn w:val="a0"/>
    <w:pPr>
      <w:ind w:firstLineChars="200" w:firstLine="464"/>
    </w:pPr>
    <w:rPr>
      <w:rFonts w:ascii="Arial" w:eastAsia="宋体" w:hAnsi="Arial" w:cs="Arial"/>
      <w:sz w:val="20"/>
      <w:szCs w:val="20"/>
    </w:rPr>
  </w:style>
  <w:style w:type="paragraph" w:customStyle="1" w:styleId="CharCharCharCharCharCharCharCharCharCharCharCharCharCharCharCharCharCharChar">
    <w:name w:val="Char Char Char Char Char Char Char Char Char Char Char Char Char Char Char Char Char Char Char"/>
    <w:basedOn w:val="a0"/>
    <w:pPr>
      <w:widowControl/>
      <w:ind w:firstLineChars="200" w:firstLine="464"/>
      <w:jc w:val="left"/>
    </w:pPr>
    <w:rPr>
      <w:rFonts w:ascii="Times New Roman" w:eastAsia="Times New Roman" w:hAnsi="Times New Roman" w:cs="宋体"/>
      <w:kern w:val="0"/>
      <w:sz w:val="20"/>
      <w:szCs w:val="24"/>
    </w:rPr>
  </w:style>
  <w:style w:type="paragraph" w:customStyle="1" w:styleId="2f">
    <w:name w:val="样式2"/>
    <w:basedOn w:val="a0"/>
    <w:uiPriority w:val="99"/>
    <w:qFormat/>
    <w:pPr>
      <w:ind w:firstLineChars="200" w:firstLine="533"/>
    </w:pPr>
    <w:rPr>
      <w:rFonts w:ascii="Times New Roman" w:eastAsia="宋体" w:hAnsi="Times New Roman" w:cs="Times New Roman"/>
      <w:bCs/>
      <w:color w:val="0000FF"/>
      <w:sz w:val="24"/>
      <w:szCs w:val="24"/>
    </w:rPr>
  </w:style>
  <w:style w:type="paragraph" w:customStyle="1" w:styleId="afffffff0">
    <w:name w:val="表体"/>
    <w:basedOn w:val="a0"/>
    <w:pPr>
      <w:overflowPunct w:val="0"/>
      <w:adjustRightInd w:val="0"/>
      <w:snapToGrid w:val="0"/>
      <w:spacing w:line="300" w:lineRule="atLeast"/>
      <w:ind w:firstLineChars="200" w:firstLine="464"/>
      <w:jc w:val="center"/>
      <w:textAlignment w:val="baseline"/>
    </w:pPr>
    <w:rPr>
      <w:rFonts w:ascii="Times New Roman" w:eastAsia="宋体" w:hAnsi="Times New Roman" w:cs="Times New Roman"/>
      <w:color w:val="000000"/>
      <w:kern w:val="24"/>
      <w:sz w:val="18"/>
      <w:szCs w:val="20"/>
    </w:rPr>
  </w:style>
  <w:style w:type="paragraph" w:customStyle="1" w:styleId="c">
    <w:name w:val="c"/>
    <w:pPr>
      <w:widowControl w:val="0"/>
      <w:autoSpaceDE w:val="0"/>
      <w:autoSpaceDN w:val="0"/>
      <w:adjustRightInd w:val="0"/>
      <w:jc w:val="both"/>
    </w:pPr>
    <w:rPr>
      <w:rFonts w:ascii="Arial" w:hAnsi="Arial"/>
      <w:sz w:val="24"/>
      <w:szCs w:val="24"/>
    </w:rPr>
  </w:style>
  <w:style w:type="paragraph" w:customStyle="1" w:styleId="afffffff1">
    <w:name w:val="列表标题"/>
    <w:basedOn w:val="a0"/>
    <w:next w:val="a0"/>
    <w:pPr>
      <w:ind w:firstLineChars="200" w:firstLine="464"/>
      <w:jc w:val="center"/>
    </w:pPr>
    <w:rPr>
      <w:rFonts w:ascii="Times New Roman" w:eastAsia="宋体" w:hAnsi="Times New Roman" w:cs="Times New Roman"/>
      <w:sz w:val="24"/>
      <w:szCs w:val="24"/>
    </w:rPr>
  </w:style>
  <w:style w:type="paragraph" w:customStyle="1" w:styleId="100">
    <w:name w:val="正文样式100"/>
    <w:basedOn w:val="a0"/>
    <w:pPr>
      <w:adjustRightInd w:val="0"/>
      <w:spacing w:line="320" w:lineRule="exact"/>
      <w:ind w:firstLineChars="200" w:hanging="15"/>
      <w:jc w:val="center"/>
      <w:textAlignment w:val="baseline"/>
    </w:pPr>
    <w:rPr>
      <w:rFonts w:ascii="Times New Roman" w:eastAsia="宋体" w:hAnsi="Times New Roman" w:cs="Times New Roman"/>
      <w:sz w:val="24"/>
      <w:szCs w:val="24"/>
    </w:rPr>
  </w:style>
  <w:style w:type="paragraph" w:customStyle="1" w:styleId="110">
    <w:name w:val="正文11"/>
    <w:basedOn w:val="a0"/>
    <w:pPr>
      <w:adjustRightInd w:val="0"/>
      <w:snapToGrid w:val="0"/>
      <w:spacing w:line="500" w:lineRule="atLeast"/>
      <w:ind w:firstLineChars="200" w:firstLine="567"/>
    </w:pPr>
    <w:rPr>
      <w:rFonts w:ascii="Times New Roman" w:eastAsia="宋体" w:hAnsi="Times New Roman" w:cs="Times New Roman"/>
      <w:sz w:val="28"/>
      <w:szCs w:val="24"/>
    </w:rPr>
  </w:style>
  <w:style w:type="paragraph" w:customStyle="1" w:styleId="afffffff2">
    <w:name w:val="二级无标题条"/>
    <w:basedOn w:val="a0"/>
    <w:qFormat/>
    <w:pPr>
      <w:ind w:firstLineChars="200" w:firstLine="464"/>
    </w:pPr>
    <w:rPr>
      <w:rFonts w:ascii="Times New Roman" w:eastAsia="宋体" w:hAnsi="Times New Roman" w:cs="Times New Roman"/>
      <w:szCs w:val="24"/>
    </w:rPr>
  </w:style>
  <w:style w:type="paragraph" w:customStyle="1" w:styleId="afffffff3">
    <w:name w:val="节标题"/>
    <w:basedOn w:val="a0"/>
    <w:next w:val="a0"/>
    <w:pPr>
      <w:autoSpaceDE w:val="0"/>
      <w:autoSpaceDN w:val="0"/>
      <w:adjustRightInd w:val="0"/>
      <w:spacing w:line="289" w:lineRule="atLeast"/>
      <w:ind w:firstLineChars="200" w:firstLine="464"/>
      <w:jc w:val="center"/>
    </w:pPr>
    <w:rPr>
      <w:rFonts w:ascii="Times New Roman" w:eastAsia="宋体" w:hAnsi="Times New Roman" w:cs="Times New Roman"/>
      <w:color w:val="000000"/>
      <w:kern w:val="0"/>
      <w:sz w:val="24"/>
      <w:szCs w:val="28"/>
      <w:lang w:val="zh-CN"/>
    </w:rPr>
  </w:style>
  <w:style w:type="paragraph" w:customStyle="1" w:styleId="afffffff4">
    <w:name w:val="表正文"/>
    <w:basedOn w:val="a0"/>
    <w:next w:val="a0"/>
    <w:pPr>
      <w:widowControl/>
      <w:spacing w:before="100" w:beforeAutospacing="1" w:after="100" w:afterAutospacing="1" w:line="320" w:lineRule="atLeast"/>
      <w:ind w:firstLineChars="200" w:firstLine="464"/>
      <w:jc w:val="left"/>
    </w:pPr>
    <w:rPr>
      <w:rFonts w:ascii="Times New Roman" w:eastAsia="宋体" w:hAnsi="Times New Roman" w:cs="Times New Roman" w:hint="eastAsia"/>
      <w:color w:val="000000"/>
      <w:kern w:val="0"/>
      <w:sz w:val="18"/>
      <w:szCs w:val="24"/>
    </w:rPr>
  </w:style>
  <w:style w:type="paragraph" w:customStyle="1" w:styleId="1f1">
    <w:name w:val="公式样式1"/>
    <w:basedOn w:val="a0"/>
    <w:qFormat/>
    <w:pPr>
      <w:spacing w:line="220" w:lineRule="exact"/>
      <w:ind w:right="-51" w:firstLineChars="200" w:firstLine="464"/>
      <w:jc w:val="center"/>
    </w:pPr>
    <w:rPr>
      <w:rFonts w:ascii="Times New Roman" w:eastAsia="宋体" w:hAnsi="Times New Roman" w:cs="Times New Roman"/>
      <w:sz w:val="18"/>
      <w:szCs w:val="24"/>
    </w:rPr>
  </w:style>
  <w:style w:type="paragraph" w:customStyle="1" w:styleId="afffffff5">
    <w:name w:val="封面正文"/>
    <w:qFormat/>
    <w:pPr>
      <w:jc w:val="both"/>
    </w:pPr>
  </w:style>
  <w:style w:type="paragraph" w:customStyle="1" w:styleId="CharCharCharCharChar2CharCharCharChar11">
    <w:name w:val="Char Char Char Char Char2 Char Char Char Char11"/>
    <w:basedOn w:val="a0"/>
    <w:semiHidden/>
    <w:pPr>
      <w:adjustRightInd w:val="0"/>
      <w:snapToGrid w:val="0"/>
      <w:spacing w:line="360" w:lineRule="auto"/>
      <w:ind w:firstLineChars="200" w:firstLine="200"/>
    </w:pPr>
    <w:rPr>
      <w:rFonts w:ascii="Times New Roman" w:eastAsia="宋体" w:hAnsi="Times New Roman" w:cs="宋体"/>
      <w:sz w:val="24"/>
      <w:szCs w:val="26"/>
    </w:rPr>
  </w:style>
  <w:style w:type="paragraph" w:customStyle="1" w:styleId="TableParagraph">
    <w:name w:val="Table Paragraph"/>
    <w:basedOn w:val="a0"/>
    <w:uiPriority w:val="1"/>
    <w:qFormat/>
    <w:pPr>
      <w:ind w:firstLineChars="200" w:firstLine="464"/>
      <w:jc w:val="left"/>
    </w:pPr>
    <w:rPr>
      <w:rFonts w:ascii="Calibri" w:eastAsia="宋体" w:hAnsi="Calibri" w:cs="Times New Roman"/>
      <w:kern w:val="0"/>
      <w:sz w:val="22"/>
      <w:lang w:eastAsia="en-US"/>
    </w:rPr>
  </w:style>
  <w:style w:type="paragraph" w:customStyle="1" w:styleId="afffffff6">
    <w:name w:val="中文报告书样式"/>
    <w:basedOn w:val="a0"/>
    <w:link w:val="Charf6"/>
    <w:qFormat/>
    <w:pPr>
      <w:adjustRightInd w:val="0"/>
      <w:spacing w:line="420" w:lineRule="atLeast"/>
      <w:ind w:firstLineChars="200" w:firstLine="464"/>
    </w:pPr>
    <w:rPr>
      <w:rFonts w:ascii="Times New Roman" w:eastAsia="宋体" w:hAnsi="Times New Roman" w:cs="Times New Roman"/>
      <w:kern w:val="24"/>
      <w:sz w:val="24"/>
      <w:szCs w:val="24"/>
    </w:rPr>
  </w:style>
  <w:style w:type="character" w:customStyle="1" w:styleId="Charf6">
    <w:name w:val="中文报告书样式 Char"/>
    <w:link w:val="afffffff6"/>
    <w:qFormat/>
    <w:locked/>
    <w:rPr>
      <w:rFonts w:ascii="Times New Roman" w:eastAsia="宋体" w:hAnsi="Times New Roman" w:cs="Times New Roman"/>
      <w:kern w:val="24"/>
      <w:sz w:val="24"/>
      <w:szCs w:val="24"/>
    </w:rPr>
  </w:style>
  <w:style w:type="paragraph" w:customStyle="1" w:styleId="2f0">
    <w:name w:val="2"/>
    <w:basedOn w:val="a0"/>
    <w:next w:val="afb"/>
    <w:pPr>
      <w:ind w:firstLineChars="200" w:firstLine="464"/>
    </w:pPr>
    <w:rPr>
      <w:rFonts w:ascii="Times New Roman" w:eastAsia="宋体" w:hAnsi="Courier New" w:cs="Courier New"/>
      <w:szCs w:val="21"/>
    </w:rPr>
  </w:style>
  <w:style w:type="paragraph" w:customStyle="1" w:styleId="afffffff7">
    <w:name w:val="小四表文居中"/>
    <w:pPr>
      <w:widowControl w:val="0"/>
      <w:jc w:val="center"/>
    </w:pPr>
    <w:rPr>
      <w:rFonts w:ascii="仿宋_GB2312" w:eastAsia="仿宋_GB2312" w:cs="仿宋_GB2312"/>
      <w:kern w:val="2"/>
      <w:sz w:val="24"/>
      <w:szCs w:val="24"/>
    </w:rPr>
  </w:style>
  <w:style w:type="paragraph" w:customStyle="1" w:styleId="afffffff8">
    <w:name w:val="标题符"/>
    <w:basedOn w:val="a0"/>
    <w:qFormat/>
    <w:pPr>
      <w:tabs>
        <w:tab w:val="left" w:pos="360"/>
      </w:tabs>
      <w:overflowPunct w:val="0"/>
      <w:snapToGrid w:val="0"/>
      <w:spacing w:line="480" w:lineRule="exact"/>
      <w:ind w:firstLineChars="200" w:firstLine="560"/>
    </w:pPr>
    <w:rPr>
      <w:rFonts w:ascii="Arial" w:eastAsia="仿宋_GB2312" w:hAnsi="Arial" w:cs="Times New Roman"/>
      <w:sz w:val="28"/>
      <w:szCs w:val="24"/>
    </w:rPr>
  </w:style>
  <w:style w:type="paragraph" w:customStyle="1" w:styleId="afffffff9">
    <w:name w:val="三级标题"/>
    <w:basedOn w:val="a0"/>
    <w:qFormat/>
    <w:pPr>
      <w:autoSpaceDE w:val="0"/>
      <w:autoSpaceDN w:val="0"/>
      <w:adjustRightInd w:val="0"/>
      <w:ind w:firstLineChars="200" w:firstLine="459"/>
    </w:pPr>
    <w:rPr>
      <w:rFonts w:ascii="Times New Roman" w:eastAsia="Times New Roman" w:hAnsi="Times New Roman" w:cs="Times New Roman"/>
      <w:color w:val="000000"/>
      <w:kern w:val="0"/>
      <w:sz w:val="24"/>
      <w:szCs w:val="24"/>
      <w:lang w:val="zh-CN"/>
    </w:rPr>
  </w:style>
  <w:style w:type="paragraph" w:customStyle="1" w:styleId="CharCharCharCharCharCharChar11">
    <w:name w:val="Char Char Char Char Char Char Char11"/>
    <w:basedOn w:val="a0"/>
    <w:next w:val="a0"/>
    <w:pPr>
      <w:spacing w:line="360" w:lineRule="auto"/>
      <w:ind w:firstLineChars="200" w:firstLine="200"/>
    </w:pPr>
    <w:rPr>
      <w:rFonts w:ascii="Times New Roman" w:eastAsia="汉鼎简书宋" w:hAnsi="Times New Roman" w:cs="宋体"/>
      <w:sz w:val="24"/>
      <w:szCs w:val="24"/>
    </w:rPr>
  </w:style>
  <w:style w:type="paragraph" w:customStyle="1" w:styleId="CharChar5CharChar">
    <w:name w:val="Char Char5 Char Char"/>
    <w:basedOn w:val="a0"/>
    <w:pPr>
      <w:ind w:firstLineChars="200" w:firstLine="464"/>
    </w:pPr>
    <w:rPr>
      <w:rFonts w:ascii="Times New Roman" w:eastAsia="宋体" w:hAnsi="Times New Roman" w:cs="Times New Roman"/>
      <w:szCs w:val="24"/>
    </w:rPr>
  </w:style>
  <w:style w:type="paragraph" w:customStyle="1" w:styleId="Char30">
    <w:name w:val="Char3"/>
    <w:basedOn w:val="a0"/>
    <w:next w:val="a0"/>
    <w:pPr>
      <w:spacing w:line="360" w:lineRule="auto"/>
      <w:ind w:firstLineChars="200" w:firstLine="200"/>
    </w:pPr>
    <w:rPr>
      <w:rFonts w:ascii="Times New Roman" w:eastAsia="汉鼎简书宋" w:hAnsi="Times New Roman" w:cs="宋体"/>
      <w:sz w:val="24"/>
      <w:szCs w:val="24"/>
    </w:rPr>
  </w:style>
  <w:style w:type="paragraph" w:customStyle="1" w:styleId="Char111">
    <w:name w:val="Char111"/>
    <w:basedOn w:val="a0"/>
    <w:pPr>
      <w:ind w:firstLineChars="200" w:firstLine="464"/>
    </w:pPr>
    <w:rPr>
      <w:rFonts w:ascii="Times New Roman" w:eastAsia="宋体" w:hAnsi="Times New Roman" w:cs="Times New Roman"/>
      <w:sz w:val="24"/>
      <w:szCs w:val="24"/>
    </w:rPr>
  </w:style>
  <w:style w:type="paragraph" w:customStyle="1" w:styleId="afffffffa">
    <w:name w:val="五级条标题"/>
    <w:basedOn w:val="afffffffb"/>
    <w:next w:val="a0"/>
    <w:pPr>
      <w:outlineLvl w:val="6"/>
    </w:pPr>
  </w:style>
  <w:style w:type="paragraph" w:customStyle="1" w:styleId="afffffffb">
    <w:name w:val="四级条标题"/>
    <w:basedOn w:val="a0"/>
    <w:next w:val="a0"/>
    <w:qFormat/>
    <w:pPr>
      <w:widowControl/>
      <w:tabs>
        <w:tab w:val="left" w:pos="360"/>
      </w:tabs>
      <w:ind w:firstLineChars="200" w:firstLine="464"/>
      <w:outlineLvl w:val="5"/>
    </w:pPr>
    <w:rPr>
      <w:rFonts w:ascii="黑体" w:eastAsia="黑体" w:hAnsi="Times New Roman" w:cs="Times New Roman"/>
      <w:kern w:val="0"/>
      <w:szCs w:val="24"/>
    </w:rPr>
  </w:style>
  <w:style w:type="paragraph" w:customStyle="1" w:styleId="font">
    <w:name w:val="font"/>
    <w:basedOn w:val="a0"/>
    <w:pPr>
      <w:widowControl/>
      <w:spacing w:before="100" w:beforeAutospacing="1" w:after="100" w:afterAutospacing="1"/>
      <w:ind w:firstLineChars="200" w:firstLine="464"/>
      <w:jc w:val="left"/>
    </w:pPr>
    <w:rPr>
      <w:rFonts w:ascii="Times New Roman" w:eastAsia="宋体" w:hAnsi="Times New Roman" w:cs="宋体"/>
      <w:color w:val="000000"/>
      <w:kern w:val="0"/>
      <w:sz w:val="24"/>
      <w:szCs w:val="24"/>
    </w:rPr>
  </w:style>
  <w:style w:type="paragraph" w:customStyle="1" w:styleId="afffffffc">
    <w:name w:val="正文，文本"/>
    <w:basedOn w:val="a8"/>
    <w:pPr>
      <w:spacing w:line="360" w:lineRule="auto"/>
      <w:ind w:firstLine="480"/>
    </w:pPr>
    <w:rPr>
      <w:rFonts w:cs="宋体"/>
      <w:kern w:val="2"/>
      <w:sz w:val="24"/>
    </w:rPr>
  </w:style>
  <w:style w:type="paragraph" w:customStyle="1" w:styleId="-">
    <w:name w:val="正文-使用"/>
    <w:basedOn w:val="a0"/>
    <w:pPr>
      <w:adjustRightInd w:val="0"/>
      <w:snapToGrid w:val="0"/>
      <w:spacing w:line="360" w:lineRule="auto"/>
      <w:ind w:firstLineChars="200" w:firstLine="482"/>
    </w:pPr>
    <w:rPr>
      <w:rFonts w:ascii="Times New Roman" w:eastAsia="宋体" w:hAnsi="Times New Roman" w:cs="Times New Roman"/>
      <w:sz w:val="24"/>
      <w:szCs w:val="24"/>
    </w:rPr>
  </w:style>
  <w:style w:type="paragraph" w:customStyle="1" w:styleId="CharCharCharCharCharCharCharCharCharCharCharCharCharCharCharCharCharChar">
    <w:name w:val="Char Char Char Char Char Char Char Char Char Char Char Char Char Char Char Char Char Char"/>
    <w:basedOn w:val="a0"/>
    <w:qFormat/>
    <w:pPr>
      <w:ind w:firstLineChars="200" w:firstLine="464"/>
    </w:pPr>
    <w:rPr>
      <w:rFonts w:ascii="Times New Roman" w:eastAsia="宋体" w:hAnsi="Times New Roman" w:cs="Times New Roman"/>
      <w:sz w:val="24"/>
      <w:szCs w:val="24"/>
    </w:rPr>
  </w:style>
  <w:style w:type="paragraph" w:customStyle="1" w:styleId="CharCharCharCharCharCharChar1">
    <w:name w:val="Char Char Char Char Char Char Char1"/>
    <w:basedOn w:val="a0"/>
    <w:pPr>
      <w:ind w:firstLineChars="200" w:firstLine="464"/>
    </w:pPr>
    <w:rPr>
      <w:rFonts w:ascii="Tahoma" w:eastAsia="宋体" w:hAnsi="Tahoma" w:cs="Times New Roman"/>
      <w:sz w:val="24"/>
      <w:szCs w:val="20"/>
    </w:rPr>
  </w:style>
  <w:style w:type="paragraph" w:customStyle="1" w:styleId="afffffffd">
    <w:name w:val="正文表头"/>
    <w:basedOn w:val="a0"/>
    <w:next w:val="afffffffe"/>
    <w:pPr>
      <w:keepNext/>
      <w:tabs>
        <w:tab w:val="right" w:pos="0"/>
        <w:tab w:val="center" w:pos="4253"/>
        <w:tab w:val="right" w:pos="8505"/>
      </w:tabs>
      <w:overflowPunct w:val="0"/>
      <w:adjustRightInd w:val="0"/>
      <w:spacing w:before="120" w:line="360" w:lineRule="auto"/>
      <w:ind w:firstLineChars="200" w:firstLine="464"/>
      <w:jc w:val="center"/>
      <w:textAlignment w:val="baseline"/>
    </w:pPr>
    <w:rPr>
      <w:rFonts w:ascii="Times New Roman" w:eastAsia="黑体" w:hAnsi="Times New Roman" w:cs="Times New Roman"/>
      <w:kern w:val="0"/>
      <w:sz w:val="28"/>
      <w:szCs w:val="20"/>
    </w:rPr>
  </w:style>
  <w:style w:type="paragraph" w:customStyle="1" w:styleId="afffffffe">
    <w:name w:val="正文表格"/>
    <w:basedOn w:val="a0"/>
    <w:qFormat/>
    <w:pPr>
      <w:keepNext/>
      <w:keepLines/>
      <w:tabs>
        <w:tab w:val="right" w:pos="0"/>
      </w:tabs>
      <w:overflowPunct w:val="0"/>
      <w:adjustRightInd w:val="0"/>
      <w:spacing w:before="80"/>
      <w:ind w:firstLineChars="200" w:firstLine="464"/>
      <w:jc w:val="center"/>
      <w:textAlignment w:val="bottom"/>
    </w:pPr>
    <w:rPr>
      <w:rFonts w:ascii="Times New Roman" w:eastAsia="宋体" w:hAnsi="Times New Roman" w:cs="Times New Roman"/>
      <w:kern w:val="0"/>
      <w:sz w:val="28"/>
      <w:szCs w:val="20"/>
    </w:rPr>
  </w:style>
  <w:style w:type="paragraph" w:customStyle="1" w:styleId="2f1">
    <w:name w:val="目录2"/>
    <w:basedOn w:val="a0"/>
    <w:next w:val="a0"/>
    <w:pPr>
      <w:tabs>
        <w:tab w:val="left" w:leader="dot" w:pos="8503"/>
      </w:tabs>
      <w:autoSpaceDE w:val="0"/>
      <w:autoSpaceDN w:val="0"/>
      <w:adjustRightInd w:val="0"/>
      <w:spacing w:line="317" w:lineRule="atLeast"/>
      <w:ind w:left="419" w:firstLineChars="200" w:firstLine="419"/>
    </w:pPr>
    <w:rPr>
      <w:rFonts w:ascii="Times New Roman" w:eastAsia="宋体" w:hAnsi="Times New Roman" w:cs="Times New Roman"/>
      <w:color w:val="000000"/>
      <w:kern w:val="0"/>
      <w:sz w:val="24"/>
      <w:szCs w:val="24"/>
      <w:lang w:val="zh-CN"/>
    </w:rPr>
  </w:style>
  <w:style w:type="paragraph" w:customStyle="1" w:styleId="affffffff">
    <w:name w:val="表内式样"/>
    <w:pPr>
      <w:widowControl w:val="0"/>
      <w:snapToGrid w:val="0"/>
      <w:jc w:val="center"/>
    </w:pPr>
    <w:rPr>
      <w:rFonts w:ascii="宋体" w:hAnsi="宋体"/>
      <w:kern w:val="2"/>
      <w:sz w:val="21"/>
      <w:szCs w:val="24"/>
    </w:rPr>
  </w:style>
  <w:style w:type="paragraph" w:customStyle="1" w:styleId="1f2">
    <w:name w:val="1正文"/>
    <w:basedOn w:val="a0"/>
    <w:qFormat/>
    <w:pPr>
      <w:widowControl/>
      <w:spacing w:line="360" w:lineRule="auto"/>
      <w:ind w:firstLineChars="200" w:firstLine="200"/>
    </w:pPr>
    <w:rPr>
      <w:rFonts w:ascii="Times New Roman" w:eastAsia="宋体" w:hAnsi="Times New Roman" w:cs="Times New Roman"/>
      <w:kern w:val="0"/>
      <w:sz w:val="24"/>
      <w:szCs w:val="20"/>
      <w:lang w:val="en-GB"/>
    </w:rPr>
  </w:style>
  <w:style w:type="paragraph" w:customStyle="1" w:styleId="CharChar1Char">
    <w:name w:val="Char Char1 Char"/>
    <w:basedOn w:val="a0"/>
    <w:pPr>
      <w:ind w:firstLineChars="200" w:firstLine="464"/>
    </w:pPr>
    <w:rPr>
      <w:rFonts w:ascii="Times New Roman" w:eastAsia="宋体" w:hAnsi="Times New Roman" w:cs="Times New Roman"/>
      <w:szCs w:val="24"/>
    </w:rPr>
  </w:style>
  <w:style w:type="paragraph" w:customStyle="1" w:styleId="47">
    <w:name w:val="目录4"/>
    <w:basedOn w:val="a0"/>
    <w:next w:val="a0"/>
    <w:qFormat/>
    <w:pPr>
      <w:tabs>
        <w:tab w:val="left" w:leader="dot" w:pos="8503"/>
      </w:tabs>
      <w:autoSpaceDE w:val="0"/>
      <w:autoSpaceDN w:val="0"/>
      <w:adjustRightInd w:val="0"/>
      <w:spacing w:line="317" w:lineRule="atLeast"/>
      <w:ind w:left="419" w:firstLineChars="200" w:firstLine="629"/>
    </w:pPr>
    <w:rPr>
      <w:rFonts w:ascii="Times New Roman" w:eastAsia="宋体" w:hAnsi="Times New Roman" w:cs="Times New Roman"/>
      <w:color w:val="000000"/>
      <w:kern w:val="0"/>
      <w:sz w:val="24"/>
      <w:szCs w:val="24"/>
      <w:lang w:val="zh-CN"/>
    </w:rPr>
  </w:style>
  <w:style w:type="paragraph" w:customStyle="1" w:styleId="xl24">
    <w:name w:val="xl2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464"/>
      <w:jc w:val="left"/>
    </w:pPr>
    <w:rPr>
      <w:rFonts w:ascii="Arial Unicode MS" w:eastAsia="宋体" w:hAnsi="Arial Unicode MS" w:cs="Times New Roman"/>
      <w:kern w:val="0"/>
      <w:sz w:val="24"/>
      <w:szCs w:val="24"/>
    </w:rPr>
  </w:style>
  <w:style w:type="paragraph" w:customStyle="1" w:styleId="2f2">
    <w:name w:val="纯文本2"/>
    <w:basedOn w:val="a0"/>
    <w:pPr>
      <w:autoSpaceDE w:val="0"/>
      <w:autoSpaceDN w:val="0"/>
      <w:adjustRightInd w:val="0"/>
      <w:spacing w:line="341" w:lineRule="auto"/>
      <w:ind w:firstLineChars="200" w:firstLine="464"/>
      <w:jc w:val="left"/>
      <w:textAlignment w:val="baseline"/>
    </w:pPr>
    <w:rPr>
      <w:rFonts w:ascii="Times New Roman" w:eastAsia="宋体" w:hAnsi="Courier New" w:cs="Times New Roman"/>
      <w:kern w:val="0"/>
      <w:szCs w:val="20"/>
    </w:rPr>
  </w:style>
  <w:style w:type="paragraph" w:customStyle="1" w:styleId="CharCharCharCharChar2Char">
    <w:name w:val="Char Char Char Char Char2 Char"/>
    <w:basedOn w:val="a0"/>
    <w:pPr>
      <w:adjustRightInd w:val="0"/>
      <w:snapToGrid w:val="0"/>
      <w:spacing w:line="360" w:lineRule="auto"/>
      <w:ind w:firstLineChars="200" w:firstLine="200"/>
    </w:pPr>
    <w:rPr>
      <w:rFonts w:ascii="Times New Roman" w:eastAsia="宋体" w:hAnsi="Times New Roman" w:cs="Times New Roman"/>
      <w:sz w:val="24"/>
      <w:szCs w:val="24"/>
    </w:rPr>
  </w:style>
  <w:style w:type="paragraph" w:customStyle="1" w:styleId="1f3">
    <w:name w:val="目录1"/>
    <w:basedOn w:val="a0"/>
    <w:next w:val="a0"/>
    <w:qFormat/>
    <w:pPr>
      <w:tabs>
        <w:tab w:val="left" w:leader="dot" w:pos="8503"/>
      </w:tabs>
      <w:autoSpaceDE w:val="0"/>
      <w:autoSpaceDN w:val="0"/>
      <w:adjustRightInd w:val="0"/>
      <w:spacing w:after="102" w:line="215" w:lineRule="atLeast"/>
      <w:ind w:firstLineChars="200" w:firstLine="419"/>
      <w:jc w:val="left"/>
    </w:pPr>
    <w:rPr>
      <w:rFonts w:ascii="Times New Roman" w:eastAsia="宋体" w:hAnsi="Times New Roman" w:cs="Times New Roman"/>
      <w:color w:val="000000"/>
      <w:kern w:val="0"/>
      <w:sz w:val="24"/>
      <w:szCs w:val="24"/>
      <w:lang w:val="zh-CN"/>
    </w:rPr>
  </w:style>
  <w:style w:type="paragraph" w:customStyle="1" w:styleId="Char22">
    <w:name w:val="Char2"/>
    <w:basedOn w:val="a0"/>
    <w:qFormat/>
    <w:pPr>
      <w:ind w:firstLineChars="200" w:firstLine="464"/>
    </w:pPr>
    <w:rPr>
      <w:rFonts w:ascii="Times New Roman" w:eastAsia="宋体" w:hAnsi="Times New Roman" w:cs="Times New Roman"/>
      <w:szCs w:val="24"/>
    </w:rPr>
  </w:style>
  <w:style w:type="paragraph" w:customStyle="1" w:styleId="1f4">
    <w:name w:val="1"/>
    <w:basedOn w:val="a0"/>
    <w:next w:val="af7"/>
    <w:pPr>
      <w:ind w:firstLineChars="200" w:firstLine="698"/>
    </w:pPr>
    <w:rPr>
      <w:rFonts w:ascii="仿宋_GB2312" w:eastAsia="仿宋_GB2312" w:hAnsi="Times New Roman" w:cs="Times New Roman"/>
      <w:sz w:val="32"/>
      <w:szCs w:val="24"/>
    </w:rPr>
  </w:style>
  <w:style w:type="paragraph" w:customStyle="1" w:styleId="pt9">
    <w:name w:val="pt9"/>
    <w:basedOn w:val="a0"/>
    <w:pPr>
      <w:widowControl/>
      <w:spacing w:before="100" w:beforeAutospacing="1" w:after="100" w:afterAutospacing="1"/>
      <w:ind w:firstLineChars="200" w:firstLine="464"/>
      <w:jc w:val="left"/>
    </w:pPr>
    <w:rPr>
      <w:rFonts w:ascii="Times New Roman" w:eastAsia="宋体" w:hAnsi="Times New Roman" w:cs="Times New Roman"/>
      <w:color w:val="000000"/>
      <w:kern w:val="0"/>
      <w:sz w:val="18"/>
      <w:szCs w:val="24"/>
    </w:rPr>
  </w:style>
  <w:style w:type="paragraph" w:customStyle="1" w:styleId="1111">
    <w:name w:val="四级标题1.1.1.1"/>
    <w:basedOn w:val="a0"/>
    <w:next w:val="a0"/>
    <w:qFormat/>
    <w:pPr>
      <w:keepNext/>
      <w:keepLines/>
      <w:widowControl/>
      <w:adjustRightInd w:val="0"/>
      <w:spacing w:before="40" w:after="40" w:line="360" w:lineRule="auto"/>
      <w:ind w:firstLineChars="200" w:firstLine="464"/>
      <w:textAlignment w:val="baseline"/>
      <w:outlineLvl w:val="3"/>
    </w:pPr>
    <w:rPr>
      <w:rFonts w:ascii="Times New Roman" w:eastAsia="宋体" w:hAnsi="Times New Roman" w:cs="Times New Roman"/>
      <w:b/>
      <w:color w:val="000000"/>
      <w:sz w:val="24"/>
      <w:szCs w:val="24"/>
    </w:rPr>
  </w:style>
  <w:style w:type="paragraph" w:customStyle="1" w:styleId="3GB2312">
    <w:name w:val="样式 标题 3 + 仿宋_GB2312"/>
    <w:basedOn w:val="30"/>
    <w:pPr>
      <w:spacing w:before="0" w:after="0" w:line="360" w:lineRule="auto"/>
      <w:ind w:left="720" w:firstLineChars="200" w:firstLine="200"/>
    </w:pPr>
    <w:rPr>
      <w:rFonts w:ascii="仿宋_GB2312" w:eastAsia="仿宋_GB2312" w:hAnsi="仿宋_GB2312" w:cs="Times New Roman"/>
      <w:sz w:val="24"/>
      <w:szCs w:val="24"/>
    </w:rPr>
  </w:style>
  <w:style w:type="paragraph" w:customStyle="1" w:styleId="affffffff0">
    <w:name w:val="二级条标题"/>
    <w:basedOn w:val="affffffff1"/>
    <w:next w:val="a0"/>
    <w:qFormat/>
    <w:pPr>
      <w:outlineLvl w:val="3"/>
    </w:pPr>
  </w:style>
  <w:style w:type="paragraph" w:customStyle="1" w:styleId="affffffff1">
    <w:name w:val="一级条标题"/>
    <w:basedOn w:val="afffffe"/>
    <w:next w:val="a0"/>
    <w:pPr>
      <w:tabs>
        <w:tab w:val="clear" w:pos="903"/>
        <w:tab w:val="left" w:pos="360"/>
      </w:tabs>
      <w:spacing w:before="0" w:after="0"/>
      <w:ind w:left="0" w:firstLine="0"/>
      <w:outlineLvl w:val="2"/>
    </w:pPr>
  </w:style>
  <w:style w:type="paragraph" w:customStyle="1" w:styleId="505">
    <w:name w:val="样式 标题 5 + 段前: 0.5 行"/>
    <w:basedOn w:val="51"/>
    <w:pPr>
      <w:keepNext w:val="0"/>
      <w:keepLines w:val="0"/>
      <w:tabs>
        <w:tab w:val="clear" w:pos="1008"/>
        <w:tab w:val="left" w:pos="907"/>
        <w:tab w:val="left" w:pos="2725"/>
      </w:tabs>
      <w:adjustRightInd/>
      <w:spacing w:beforeLines="50" w:line="440" w:lineRule="exact"/>
      <w:ind w:left="425" w:hanging="85"/>
    </w:pPr>
    <w:rPr>
      <w:rFonts w:cs="宋体"/>
      <w:sz w:val="24"/>
      <w:szCs w:val="20"/>
    </w:rPr>
  </w:style>
  <w:style w:type="paragraph" w:customStyle="1" w:styleId="CharChar1CharCharCharChar1">
    <w:name w:val="Char Char1 Char Char Char Char1"/>
    <w:basedOn w:val="a0"/>
    <w:semiHidden/>
    <w:pPr>
      <w:adjustRightInd w:val="0"/>
      <w:snapToGrid w:val="0"/>
      <w:spacing w:line="360" w:lineRule="auto"/>
      <w:ind w:firstLineChars="200" w:firstLine="200"/>
    </w:pPr>
    <w:rPr>
      <w:rFonts w:ascii="Times New Roman" w:eastAsia="宋体" w:hAnsi="Times New Roman" w:cs="宋体"/>
      <w:sz w:val="24"/>
      <w:szCs w:val="26"/>
    </w:rPr>
  </w:style>
  <w:style w:type="paragraph" w:customStyle="1" w:styleId="CharChar13">
    <w:name w:val="Char Char1"/>
    <w:basedOn w:val="a0"/>
    <w:pPr>
      <w:adjustRightInd w:val="0"/>
      <w:snapToGrid w:val="0"/>
      <w:spacing w:line="360" w:lineRule="auto"/>
      <w:ind w:firstLineChars="200" w:firstLine="200"/>
    </w:pPr>
    <w:rPr>
      <w:rFonts w:ascii="Times New Roman" w:eastAsia="宋体" w:hAnsi="Times New Roman" w:cs="Times New Roman"/>
      <w:sz w:val="24"/>
      <w:szCs w:val="24"/>
    </w:rPr>
  </w:style>
  <w:style w:type="paragraph" w:customStyle="1" w:styleId="CharCharCharChar1">
    <w:name w:val="Char Char Char Char1"/>
    <w:basedOn w:val="a0"/>
    <w:pPr>
      <w:adjustRightInd w:val="0"/>
      <w:snapToGrid w:val="0"/>
      <w:spacing w:line="360" w:lineRule="auto"/>
      <w:ind w:firstLineChars="200" w:firstLine="200"/>
    </w:pPr>
    <w:rPr>
      <w:rFonts w:ascii="Times New Roman" w:eastAsia="宋体" w:hAnsi="Times New Roman" w:cs="宋体"/>
      <w:sz w:val="24"/>
      <w:szCs w:val="26"/>
    </w:rPr>
  </w:style>
  <w:style w:type="paragraph" w:customStyle="1" w:styleId="affffffff2">
    <w:name w:val="表号"/>
    <w:basedOn w:val="a0"/>
    <w:link w:val="Char23"/>
    <w:qFormat/>
    <w:pPr>
      <w:adjustRightInd w:val="0"/>
      <w:spacing w:line="240" w:lineRule="atLeast"/>
      <w:ind w:firstLineChars="200" w:firstLine="464"/>
      <w:outlineLvl w:val="4"/>
    </w:pPr>
    <w:rPr>
      <w:rFonts w:ascii="Arial Narrow" w:eastAsia="汉鼎简书宋" w:hAnsi="Arial Narrow" w:cs="Times New Roman"/>
      <w:sz w:val="24"/>
      <w:szCs w:val="24"/>
    </w:rPr>
  </w:style>
  <w:style w:type="character" w:customStyle="1" w:styleId="Char23">
    <w:name w:val="表号 Char2"/>
    <w:basedOn w:val="a1"/>
    <w:link w:val="affffffff2"/>
    <w:rPr>
      <w:rFonts w:ascii="Arial Narrow" w:eastAsia="汉鼎简书宋" w:hAnsi="Arial Narrow" w:cs="Times New Roman"/>
      <w:sz w:val="24"/>
      <w:szCs w:val="24"/>
    </w:rPr>
  </w:style>
  <w:style w:type="paragraph" w:customStyle="1" w:styleId="CharCharChar1Char">
    <w:name w:val="Char Char Char1 Char"/>
    <w:basedOn w:val="a0"/>
    <w:next w:val="a0"/>
    <w:qFormat/>
    <w:pPr>
      <w:spacing w:line="360" w:lineRule="auto"/>
      <w:ind w:firstLineChars="200" w:firstLine="200"/>
    </w:pPr>
    <w:rPr>
      <w:rFonts w:ascii="Times New Roman" w:eastAsia="汉鼎简书宋" w:hAnsi="Times New Roman" w:cs="宋体"/>
      <w:sz w:val="24"/>
      <w:szCs w:val="24"/>
    </w:rPr>
  </w:style>
  <w:style w:type="paragraph" w:customStyle="1" w:styleId="affffffff3">
    <w:name w:val="文章标题"/>
    <w:basedOn w:val="1"/>
    <w:next w:val="a0"/>
    <w:pPr>
      <w:tabs>
        <w:tab w:val="right" w:pos="0"/>
        <w:tab w:val="right" w:pos="7371"/>
      </w:tabs>
      <w:overflowPunct w:val="0"/>
      <w:adjustRightInd w:val="0"/>
      <w:spacing w:before="240" w:after="240"/>
      <w:jc w:val="center"/>
      <w:textAlignment w:val="baseline"/>
      <w:outlineLvl w:val="9"/>
    </w:pPr>
    <w:rPr>
      <w:b/>
      <w:bCs/>
      <w:color w:val="FF0000"/>
      <w:sz w:val="44"/>
      <w:szCs w:val="20"/>
    </w:rPr>
  </w:style>
  <w:style w:type="paragraph" w:customStyle="1" w:styleId="CharChar1Char1">
    <w:name w:val="Char Char1 Char1"/>
    <w:basedOn w:val="a0"/>
    <w:pPr>
      <w:ind w:firstLineChars="200" w:firstLine="464"/>
    </w:pPr>
    <w:rPr>
      <w:rFonts w:ascii="Times New Roman" w:eastAsia="宋体" w:hAnsi="Times New Roman" w:cs="Times New Roman"/>
      <w:szCs w:val="24"/>
    </w:rPr>
  </w:style>
  <w:style w:type="paragraph" w:customStyle="1" w:styleId="font5">
    <w:name w:val="font5"/>
    <w:basedOn w:val="a0"/>
    <w:pPr>
      <w:widowControl/>
      <w:spacing w:before="100" w:beforeAutospacing="1" w:after="100" w:afterAutospacing="1"/>
      <w:ind w:firstLineChars="200" w:firstLine="464"/>
    </w:pPr>
    <w:rPr>
      <w:rFonts w:ascii="Times New Roman" w:eastAsia="宋体" w:hAnsi="Times New Roman" w:cs="Times New Roman" w:hint="eastAsia"/>
      <w:kern w:val="0"/>
      <w:sz w:val="18"/>
      <w:szCs w:val="24"/>
    </w:rPr>
  </w:style>
  <w:style w:type="paragraph" w:customStyle="1" w:styleId="affffffff4">
    <w:name w:val="表格标题"/>
    <w:basedOn w:val="a0"/>
    <w:pPr>
      <w:adjustRightInd w:val="0"/>
      <w:snapToGrid w:val="0"/>
      <w:spacing w:beforeLines="50"/>
      <w:ind w:rightChars="-46" w:right="-46" w:firstLineChars="200" w:firstLine="480"/>
      <w:jc w:val="center"/>
    </w:pPr>
    <w:rPr>
      <w:rFonts w:ascii="Times New Roman" w:eastAsia="仿宋_GB2312" w:hAnsi="Times New Roman" w:cs="Times New Roman"/>
      <w:b/>
      <w:sz w:val="24"/>
      <w:szCs w:val="24"/>
      <w:lang w:val="arn-CL"/>
    </w:rPr>
  </w:style>
  <w:style w:type="paragraph" w:customStyle="1" w:styleId="font8">
    <w:name w:val="font8"/>
    <w:basedOn w:val="a0"/>
    <w:pPr>
      <w:widowControl/>
      <w:spacing w:before="100" w:beforeAutospacing="1" w:after="100" w:afterAutospacing="1"/>
      <w:ind w:firstLineChars="200" w:firstLine="464"/>
      <w:jc w:val="left"/>
    </w:pPr>
    <w:rPr>
      <w:rFonts w:ascii="Times New Roman" w:eastAsia="宋体" w:hAnsi="Times New Roman" w:cs="Times New Roman"/>
      <w:kern w:val="0"/>
      <w:sz w:val="24"/>
      <w:szCs w:val="24"/>
    </w:rPr>
  </w:style>
  <w:style w:type="paragraph" w:customStyle="1" w:styleId="Style5">
    <w:name w:val="_Style 5"/>
    <w:basedOn w:val="a0"/>
    <w:next w:val="23"/>
    <w:pPr>
      <w:tabs>
        <w:tab w:val="left" w:pos="360"/>
        <w:tab w:val="left" w:pos="540"/>
      </w:tabs>
      <w:spacing w:line="440" w:lineRule="exact"/>
      <w:ind w:firstLineChars="200" w:firstLine="480"/>
    </w:pPr>
    <w:rPr>
      <w:rFonts w:ascii="Times New Roman" w:eastAsia="宋体" w:hAnsi="Times New Roman" w:cs="Times New Roman"/>
      <w:kern w:val="10"/>
      <w:sz w:val="24"/>
      <w:szCs w:val="20"/>
    </w:rPr>
  </w:style>
  <w:style w:type="paragraph" w:customStyle="1" w:styleId="affffffff5">
    <w:name w:val="表文"/>
    <w:basedOn w:val="a0"/>
    <w:pPr>
      <w:overflowPunct w:val="0"/>
      <w:ind w:firstLineChars="200" w:firstLine="464"/>
      <w:textAlignment w:val="baseline"/>
    </w:pPr>
    <w:rPr>
      <w:rFonts w:ascii="Times New Roman" w:eastAsia="宋体" w:hAnsi="Times New Roman" w:cs="Times New Roman"/>
      <w:sz w:val="24"/>
      <w:szCs w:val="24"/>
    </w:rPr>
  </w:style>
  <w:style w:type="paragraph" w:customStyle="1" w:styleId="Style10">
    <w:name w:val="_Style 10"/>
    <w:basedOn w:val="a0"/>
    <w:next w:val="af5"/>
    <w:qFormat/>
    <w:pPr>
      <w:spacing w:line="360" w:lineRule="auto"/>
      <w:ind w:firstLineChars="200" w:firstLine="464"/>
    </w:pPr>
    <w:rPr>
      <w:rFonts w:ascii="Times New Roman" w:eastAsia="宋体" w:hAnsi="Times New Roman" w:cs="Times New Roman"/>
      <w:sz w:val="24"/>
      <w:szCs w:val="24"/>
    </w:rPr>
  </w:style>
  <w:style w:type="paragraph" w:customStyle="1" w:styleId="style39">
    <w:name w:val="style39"/>
    <w:basedOn w:val="a0"/>
    <w:pPr>
      <w:widowControl/>
      <w:spacing w:before="100" w:beforeAutospacing="1" w:after="100" w:afterAutospacing="1"/>
      <w:ind w:firstLineChars="200" w:firstLine="464"/>
      <w:jc w:val="left"/>
    </w:pPr>
    <w:rPr>
      <w:rFonts w:ascii="Times New Roman" w:eastAsia="宋体" w:hAnsi="Times New Roman" w:cs="Times New Roman"/>
      <w:kern w:val="0"/>
      <w:sz w:val="18"/>
      <w:szCs w:val="24"/>
    </w:rPr>
  </w:style>
  <w:style w:type="paragraph" w:customStyle="1" w:styleId="WPSPlain">
    <w:name w:val="WPS Plain"/>
    <w:qFormat/>
  </w:style>
  <w:style w:type="paragraph" w:customStyle="1" w:styleId="affffffff6">
    <w:name w:val="表格样式"/>
    <w:basedOn w:val="a0"/>
    <w:qFormat/>
    <w:pPr>
      <w:ind w:firstLineChars="200" w:firstLine="464"/>
      <w:jc w:val="center"/>
    </w:pPr>
    <w:rPr>
      <w:rFonts w:ascii="楷体_GB2312" w:eastAsia="楷体_GB2312" w:hAnsi="Times New Roman" w:cs="Times New Roman"/>
      <w:color w:val="FF0000"/>
      <w:sz w:val="24"/>
      <w:szCs w:val="24"/>
    </w:rPr>
  </w:style>
  <w:style w:type="paragraph" w:customStyle="1" w:styleId="affffffff7">
    <w:name w:val="表格式"/>
    <w:basedOn w:val="affb"/>
    <w:link w:val="Charf7"/>
    <w:qFormat/>
    <w:pPr>
      <w:spacing w:line="400" w:lineRule="exact"/>
      <w:ind w:left="0" w:firstLineChars="0" w:firstLine="0"/>
      <w:jc w:val="center"/>
    </w:pPr>
    <w:rPr>
      <w:rFonts w:ascii="宋体"/>
      <w:sz w:val="21"/>
      <w:szCs w:val="20"/>
    </w:rPr>
  </w:style>
  <w:style w:type="character" w:customStyle="1" w:styleId="Charf7">
    <w:name w:val="表格式 Char"/>
    <w:link w:val="affffffff7"/>
    <w:rPr>
      <w:rFonts w:ascii="宋体" w:eastAsia="宋体" w:hAnsi="Times New Roman" w:cs="Times New Roman"/>
      <w:szCs w:val="20"/>
    </w:rPr>
  </w:style>
  <w:style w:type="paragraph" w:customStyle="1" w:styleId="Char2CharCharCharCharCharChar">
    <w:name w:val="Char2 Char Char Char Char Char Char"/>
    <w:basedOn w:val="a0"/>
    <w:pPr>
      <w:spacing w:line="360" w:lineRule="auto"/>
      <w:ind w:firstLineChars="200" w:firstLine="200"/>
    </w:pPr>
    <w:rPr>
      <w:rFonts w:ascii="Times New Roman" w:eastAsia="宋体" w:hAnsi="Times New Roman" w:cs="宋体"/>
      <w:sz w:val="24"/>
      <w:szCs w:val="24"/>
    </w:rPr>
  </w:style>
  <w:style w:type="paragraph" w:customStyle="1" w:styleId="1f5">
    <w:name w:val="表格1"/>
    <w:basedOn w:val="a0"/>
    <w:link w:val="1Char4"/>
    <w:qFormat/>
    <w:pPr>
      <w:adjustRightInd w:val="0"/>
      <w:ind w:firstLineChars="200" w:firstLine="464"/>
      <w:jc w:val="center"/>
    </w:pPr>
    <w:rPr>
      <w:rFonts w:ascii="Times New Roman" w:eastAsia="宋体" w:hAnsi="Times New Roman" w:cs="Times New Roman"/>
      <w:kern w:val="0"/>
      <w:sz w:val="24"/>
      <w:szCs w:val="24"/>
    </w:rPr>
  </w:style>
  <w:style w:type="character" w:customStyle="1" w:styleId="1Char4">
    <w:name w:val="表格1 Char"/>
    <w:link w:val="1f5"/>
    <w:qFormat/>
    <w:rPr>
      <w:rFonts w:ascii="Times New Roman" w:eastAsia="宋体" w:hAnsi="Times New Roman" w:cs="Times New Roman"/>
      <w:kern w:val="0"/>
      <w:sz w:val="24"/>
      <w:szCs w:val="24"/>
    </w:rPr>
  </w:style>
  <w:style w:type="paragraph" w:styleId="affffffff8">
    <w:name w:val="List Paragraph"/>
    <w:basedOn w:val="a0"/>
    <w:uiPriority w:val="1"/>
    <w:qFormat/>
    <w:pPr>
      <w:spacing w:line="360" w:lineRule="auto"/>
      <w:ind w:firstLineChars="200" w:firstLine="420"/>
      <w:jc w:val="left"/>
    </w:pPr>
    <w:rPr>
      <w:rFonts w:ascii="Calibri" w:eastAsia="宋体" w:hAnsi="Calibri" w:cs="Times New Roman"/>
      <w:sz w:val="24"/>
      <w:szCs w:val="24"/>
    </w:rPr>
  </w:style>
  <w:style w:type="paragraph" w:customStyle="1" w:styleId="xl49">
    <w:name w:val="xl49"/>
    <w:basedOn w:val="a0"/>
    <w:pPr>
      <w:widowControl/>
      <w:pBdr>
        <w:left w:val="single" w:sz="4" w:space="0" w:color="000000"/>
        <w:bottom w:val="single" w:sz="4" w:space="0" w:color="000000"/>
        <w:right w:val="single" w:sz="4" w:space="0" w:color="000000"/>
      </w:pBdr>
      <w:shd w:val="clear" w:color="auto" w:fill="FFFFFF"/>
      <w:spacing w:before="100" w:beforeAutospacing="1" w:after="100" w:afterAutospacing="1"/>
      <w:ind w:firstLineChars="200" w:firstLine="464"/>
      <w:jc w:val="center"/>
    </w:pPr>
    <w:rPr>
      <w:rFonts w:ascii="Arial Unicode MS" w:eastAsia="Arial Unicode MS" w:hAnsi="Arial Unicode MS" w:cs="Times New Roman"/>
      <w:color w:val="000000"/>
      <w:kern w:val="0"/>
      <w:sz w:val="20"/>
      <w:szCs w:val="24"/>
    </w:rPr>
  </w:style>
  <w:style w:type="paragraph" w:customStyle="1" w:styleId="3f">
    <w:name w:val="标题 3+"/>
    <w:basedOn w:val="30"/>
    <w:pPr>
      <w:keepNext w:val="0"/>
      <w:keepLines w:val="0"/>
      <w:spacing w:before="0" w:after="0" w:line="240" w:lineRule="auto"/>
      <w:ind w:firstLineChars="200" w:firstLine="464"/>
    </w:pPr>
    <w:rPr>
      <w:rFonts w:ascii="Arial" w:eastAsia="黑体" w:hAnsi="Arial" w:cs="Times New Roman"/>
      <w:b w:val="0"/>
      <w:bCs w:val="0"/>
      <w:kern w:val="0"/>
      <w:sz w:val="24"/>
      <w:szCs w:val="24"/>
    </w:rPr>
  </w:style>
  <w:style w:type="paragraph" w:customStyle="1" w:styleId="CM22">
    <w:name w:val="CM22"/>
    <w:basedOn w:val="a0"/>
    <w:next w:val="a0"/>
    <w:pPr>
      <w:autoSpaceDE w:val="0"/>
      <w:autoSpaceDN w:val="0"/>
      <w:adjustRightInd w:val="0"/>
      <w:spacing w:line="520" w:lineRule="atLeast"/>
      <w:ind w:firstLineChars="200" w:firstLine="464"/>
      <w:jc w:val="left"/>
    </w:pPr>
    <w:rPr>
      <w:rFonts w:ascii="Times New Roman" w:eastAsia="宋体" w:hAnsi="Times New Roman" w:cs="宋体"/>
      <w:kern w:val="0"/>
      <w:sz w:val="24"/>
      <w:szCs w:val="24"/>
    </w:rPr>
  </w:style>
  <w:style w:type="paragraph" w:customStyle="1" w:styleId="83">
    <w:name w:val="样式8"/>
    <w:basedOn w:val="a0"/>
    <w:pPr>
      <w:ind w:firstLineChars="200" w:firstLine="499"/>
    </w:pPr>
    <w:rPr>
      <w:rFonts w:ascii="Times New Roman" w:eastAsia="宋体" w:hAnsi="Times New Roman" w:cs="Times New Roman"/>
      <w:sz w:val="28"/>
      <w:szCs w:val="24"/>
    </w:rPr>
  </w:style>
  <w:style w:type="paragraph" w:customStyle="1" w:styleId="00">
    <w:name w:val="0"/>
    <w:basedOn w:val="a0"/>
    <w:pPr>
      <w:widowControl/>
      <w:snapToGrid w:val="0"/>
      <w:spacing w:line="495" w:lineRule="atLeast"/>
      <w:ind w:left="1" w:firstLineChars="200" w:firstLine="419"/>
      <w:textAlignment w:val="bottom"/>
    </w:pPr>
    <w:rPr>
      <w:rFonts w:ascii="Times New Roman" w:eastAsia="宋体" w:hAnsi="Times New Roman" w:cs="Times New Roman"/>
      <w:kern w:val="0"/>
      <w:sz w:val="28"/>
      <w:szCs w:val="28"/>
    </w:rPr>
  </w:style>
  <w:style w:type="paragraph" w:customStyle="1" w:styleId="font1">
    <w:name w:val="font1"/>
    <w:basedOn w:val="a0"/>
    <w:pPr>
      <w:widowControl/>
      <w:spacing w:before="100" w:beforeAutospacing="1" w:after="100" w:afterAutospacing="1"/>
      <w:ind w:firstLineChars="200" w:firstLine="464"/>
      <w:jc w:val="left"/>
    </w:pPr>
    <w:rPr>
      <w:rFonts w:ascii="Times New Roman" w:eastAsia="宋体" w:hAnsi="Times New Roman" w:cs="Times New Roman" w:hint="eastAsia"/>
      <w:kern w:val="0"/>
      <w:sz w:val="24"/>
      <w:szCs w:val="24"/>
    </w:rPr>
  </w:style>
  <w:style w:type="paragraph" w:customStyle="1" w:styleId="affffffff9">
    <w:name w:val="表文字"/>
    <w:basedOn w:val="a0"/>
    <w:pPr>
      <w:spacing w:line="320" w:lineRule="exact"/>
      <w:ind w:firstLineChars="200" w:firstLine="464"/>
    </w:pPr>
    <w:rPr>
      <w:rFonts w:ascii="Times New Roman" w:eastAsia="宋体" w:hAnsi="Times New Roman" w:cs="Times New Roman"/>
      <w:szCs w:val="20"/>
    </w:rPr>
  </w:style>
  <w:style w:type="paragraph" w:customStyle="1" w:styleId="affffffffa">
    <w:name w:val="基准标题"/>
    <w:basedOn w:val="af5"/>
    <w:next w:val="af5"/>
    <w:qFormat/>
    <w:pPr>
      <w:spacing w:after="0" w:line="240" w:lineRule="exact"/>
      <w:ind w:leftChars="-50" w:left="-117" w:rightChars="-50" w:right="-117"/>
      <w:jc w:val="center"/>
    </w:pPr>
    <w:rPr>
      <w:spacing w:val="-6"/>
      <w:sz w:val="21"/>
      <w:szCs w:val="21"/>
    </w:rPr>
  </w:style>
  <w:style w:type="paragraph" w:customStyle="1" w:styleId="04">
    <w:name w:val="表格04"/>
    <w:basedOn w:val="a0"/>
    <w:pPr>
      <w:adjustRightInd w:val="0"/>
      <w:spacing w:line="360" w:lineRule="exact"/>
      <w:ind w:firstLineChars="200" w:firstLine="464"/>
      <w:jc w:val="center"/>
      <w:textAlignment w:val="baseline"/>
    </w:pPr>
    <w:rPr>
      <w:rFonts w:ascii="Times New Roman" w:eastAsia="宋体" w:hAnsi="Times New Roman" w:cs="Times New Roman"/>
      <w:spacing w:val="-2"/>
      <w:kern w:val="0"/>
      <w:sz w:val="18"/>
      <w:szCs w:val="24"/>
    </w:rPr>
  </w:style>
  <w:style w:type="paragraph" w:customStyle="1" w:styleId="CharCharChar1CharCharCharChar">
    <w:name w:val="Char Char Char1 Char Char Char Char"/>
    <w:basedOn w:val="a0"/>
    <w:next w:val="a0"/>
    <w:qFormat/>
    <w:pPr>
      <w:spacing w:line="360" w:lineRule="auto"/>
      <w:ind w:firstLineChars="200" w:firstLine="200"/>
    </w:pPr>
    <w:rPr>
      <w:rFonts w:ascii="Times New Roman" w:eastAsia="汉鼎简书宋" w:hAnsi="Times New Roman" w:cs="Times New Roman"/>
      <w:sz w:val="24"/>
      <w:szCs w:val="24"/>
    </w:rPr>
  </w:style>
  <w:style w:type="paragraph" w:customStyle="1" w:styleId="affffffffb">
    <w:name w:val="正文正文正文"/>
    <w:basedOn w:val="a0"/>
    <w:pPr>
      <w:ind w:firstLineChars="200" w:firstLine="462"/>
    </w:pPr>
    <w:rPr>
      <w:rFonts w:ascii="Times New Roman" w:eastAsia="宋体" w:hAnsi="Times New Roman" w:cs="Times New Roman"/>
      <w:sz w:val="24"/>
      <w:szCs w:val="24"/>
    </w:rPr>
  </w:style>
  <w:style w:type="paragraph" w:customStyle="1" w:styleId="CM2">
    <w:name w:val="CM2"/>
    <w:basedOn w:val="a0"/>
    <w:next w:val="a0"/>
    <w:pPr>
      <w:autoSpaceDE w:val="0"/>
      <w:autoSpaceDN w:val="0"/>
      <w:adjustRightInd w:val="0"/>
      <w:spacing w:line="520" w:lineRule="atLeast"/>
      <w:ind w:firstLineChars="200" w:firstLine="464"/>
      <w:jc w:val="left"/>
    </w:pPr>
    <w:rPr>
      <w:rFonts w:ascii="Times New Roman" w:eastAsia="宋体" w:hAnsi="Times New Roman" w:cs="宋体"/>
      <w:kern w:val="0"/>
      <w:sz w:val="24"/>
      <w:szCs w:val="24"/>
    </w:rPr>
  </w:style>
  <w:style w:type="paragraph" w:customStyle="1" w:styleId="1f6">
    <w:name w:val="日期1"/>
    <w:basedOn w:val="a0"/>
    <w:next w:val="a0"/>
    <w:qFormat/>
    <w:pPr>
      <w:tabs>
        <w:tab w:val="left" w:pos="1134"/>
        <w:tab w:val="right" w:pos="7371"/>
      </w:tabs>
      <w:adjustRightInd w:val="0"/>
      <w:spacing w:line="360" w:lineRule="atLeast"/>
      <w:ind w:firstLineChars="200" w:firstLine="567"/>
      <w:textAlignment w:val="baseline"/>
    </w:pPr>
    <w:rPr>
      <w:rFonts w:ascii="Times New Roman" w:eastAsia="宋体" w:hAnsi="Times New Roman" w:cs="Times New Roman"/>
      <w:kern w:val="0"/>
      <w:sz w:val="28"/>
      <w:szCs w:val="20"/>
    </w:rPr>
  </w:style>
  <w:style w:type="paragraph" w:customStyle="1" w:styleId="Char1b">
    <w:name w:val="Char1"/>
    <w:basedOn w:val="a0"/>
    <w:qFormat/>
    <w:pPr>
      <w:keepLines/>
      <w:pageBreakBefore/>
      <w:tabs>
        <w:tab w:val="left" w:pos="1320"/>
      </w:tabs>
      <w:spacing w:before="240" w:after="240" w:line="560" w:lineRule="exact"/>
      <w:ind w:firstLineChars="200" w:firstLine="464"/>
      <w:outlineLvl w:val="0"/>
    </w:pPr>
    <w:rPr>
      <w:rFonts w:ascii="Arial" w:eastAsia="仿宋_GB2312" w:hAnsi="Arial" w:cs="Times New Roman"/>
      <w:bCs/>
      <w:kern w:val="44"/>
      <w:sz w:val="28"/>
      <w:szCs w:val="30"/>
    </w:rPr>
  </w:style>
  <w:style w:type="paragraph" w:customStyle="1" w:styleId="153">
    <w:name w:val="样式 正文缩进正文（首行缩进两字） + 宋体 行距: 1.5 倍行距"/>
    <w:basedOn w:val="a8"/>
    <w:pPr>
      <w:adjustRightInd w:val="0"/>
      <w:spacing w:line="300" w:lineRule="auto"/>
      <w:ind w:firstLine="482"/>
      <w:jc w:val="left"/>
      <w:textAlignment w:val="baseline"/>
    </w:pPr>
    <w:rPr>
      <w:rFonts w:ascii="宋体" w:hAnsi="宋体"/>
      <w:kern w:val="2"/>
      <w:sz w:val="24"/>
    </w:rPr>
  </w:style>
  <w:style w:type="paragraph" w:customStyle="1" w:styleId="CharCharCharCharCharCharCharCharCharCharCharCharChar">
    <w:name w:val="Char Char Char Char Char Char Char Char Char Char Char Char Char"/>
    <w:basedOn w:val="a0"/>
    <w:next w:val="a0"/>
    <w:qFormat/>
    <w:pPr>
      <w:adjustRightInd w:val="0"/>
      <w:spacing w:line="360" w:lineRule="auto"/>
      <w:ind w:firstLineChars="200" w:firstLine="200"/>
      <w:textAlignment w:val="baseline"/>
    </w:pPr>
    <w:rPr>
      <w:rFonts w:ascii="Times New Roman" w:eastAsia="宋体" w:hAnsi="Times New Roman" w:cs="宋体"/>
      <w:sz w:val="24"/>
      <w:szCs w:val="24"/>
    </w:rPr>
  </w:style>
  <w:style w:type="paragraph" w:customStyle="1" w:styleId="p0">
    <w:name w:val="p0"/>
    <w:basedOn w:val="a0"/>
    <w:pPr>
      <w:widowControl/>
      <w:ind w:firstLineChars="200" w:firstLine="464"/>
    </w:pPr>
    <w:rPr>
      <w:rFonts w:ascii="Times New Roman" w:eastAsia="宋体" w:hAnsi="Times New Roman" w:cs="Times New Roman"/>
      <w:kern w:val="0"/>
      <w:sz w:val="24"/>
      <w:szCs w:val="21"/>
    </w:rPr>
  </w:style>
  <w:style w:type="paragraph" w:customStyle="1" w:styleId="CharCharCharCharChar2CharCharCharChar1">
    <w:name w:val="Char Char Char Char Char2 Char Char Char Char1"/>
    <w:basedOn w:val="a0"/>
    <w:pPr>
      <w:adjustRightInd w:val="0"/>
      <w:snapToGrid w:val="0"/>
      <w:spacing w:line="360" w:lineRule="auto"/>
      <w:ind w:firstLineChars="200" w:firstLine="200"/>
    </w:pPr>
    <w:rPr>
      <w:rFonts w:ascii="Times New Roman" w:eastAsia="宋体" w:hAnsi="Times New Roman" w:cs="Times New Roman"/>
      <w:szCs w:val="20"/>
    </w:rPr>
  </w:style>
  <w:style w:type="paragraph" w:customStyle="1" w:styleId="48">
    <w:name w:val="标题4   改"/>
    <w:basedOn w:val="a0"/>
    <w:semiHidden/>
    <w:pPr>
      <w:ind w:firstLineChars="200" w:firstLine="464"/>
    </w:pPr>
    <w:rPr>
      <w:rFonts w:ascii="Times New Roman" w:eastAsia="宋体" w:hAnsi="Times New Roman" w:cs="Times New Roman"/>
      <w:sz w:val="24"/>
      <w:szCs w:val="24"/>
    </w:rPr>
  </w:style>
  <w:style w:type="paragraph" w:customStyle="1" w:styleId="xl39">
    <w:name w:val="xl39"/>
    <w:basedOn w:val="a0"/>
    <w:pPr>
      <w:widowControl/>
      <w:pBdr>
        <w:left w:val="single" w:sz="4" w:space="0" w:color="auto"/>
        <w:bottom w:val="single" w:sz="4" w:space="0" w:color="auto"/>
        <w:right w:val="single" w:sz="4" w:space="0" w:color="auto"/>
      </w:pBdr>
      <w:spacing w:before="100" w:beforeAutospacing="1" w:after="100" w:afterAutospacing="1"/>
      <w:ind w:firstLineChars="200" w:firstLine="464"/>
      <w:jc w:val="center"/>
      <w:textAlignment w:val="center"/>
    </w:pPr>
    <w:rPr>
      <w:rFonts w:ascii="Times New Roman" w:eastAsia="宋体" w:hAnsi="Times New Roman" w:cs="Times New Roman"/>
      <w:kern w:val="0"/>
      <w:sz w:val="20"/>
      <w:szCs w:val="24"/>
    </w:rPr>
  </w:style>
  <w:style w:type="paragraph" w:customStyle="1" w:styleId="font0">
    <w:name w:val="font0"/>
    <w:basedOn w:val="a0"/>
    <w:qFormat/>
    <w:pPr>
      <w:widowControl/>
      <w:spacing w:before="100" w:beforeAutospacing="1" w:after="100" w:afterAutospacing="1"/>
      <w:ind w:firstLineChars="200" w:firstLine="464"/>
      <w:jc w:val="left"/>
    </w:pPr>
    <w:rPr>
      <w:rFonts w:ascii="Times New Roman" w:eastAsia="宋体" w:hAnsi="Times New Roman" w:cs="Times New Roman" w:hint="eastAsia"/>
      <w:kern w:val="0"/>
      <w:sz w:val="24"/>
      <w:szCs w:val="24"/>
    </w:rPr>
  </w:style>
  <w:style w:type="paragraph" w:customStyle="1" w:styleId="affffffffc">
    <w:name w:val="表题"/>
    <w:basedOn w:val="a0"/>
    <w:link w:val="Charf8"/>
    <w:pPr>
      <w:autoSpaceDE w:val="0"/>
      <w:autoSpaceDN w:val="0"/>
      <w:adjustRightInd w:val="0"/>
      <w:spacing w:line="480" w:lineRule="atLeast"/>
      <w:ind w:firstLineChars="200" w:firstLine="464"/>
      <w:jc w:val="center"/>
      <w:textAlignment w:val="baseline"/>
    </w:pPr>
    <w:rPr>
      <w:rFonts w:ascii="黑体" w:eastAsia="黑体" w:hAnsi="Times New Roman" w:cs="Times New Roman"/>
      <w:kern w:val="16"/>
      <w:szCs w:val="20"/>
    </w:rPr>
  </w:style>
  <w:style w:type="character" w:customStyle="1" w:styleId="Charf8">
    <w:name w:val="表题 Char"/>
    <w:link w:val="affffffffc"/>
    <w:qFormat/>
    <w:rPr>
      <w:rFonts w:ascii="黑体" w:eastAsia="黑体" w:hAnsi="Times New Roman" w:cs="Times New Roman"/>
      <w:kern w:val="16"/>
      <w:szCs w:val="20"/>
    </w:rPr>
  </w:style>
  <w:style w:type="paragraph" w:customStyle="1" w:styleId="Default">
    <w:name w:val="Default"/>
    <w:qFormat/>
    <w:pPr>
      <w:widowControl w:val="0"/>
      <w:autoSpaceDE w:val="0"/>
      <w:autoSpaceDN w:val="0"/>
      <w:adjustRightInd w:val="0"/>
    </w:pPr>
    <w:rPr>
      <w:rFonts w:ascii="宋体" w:hAnsi="宋体" w:cs="宋体"/>
      <w:color w:val="000000"/>
      <w:sz w:val="24"/>
      <w:szCs w:val="24"/>
    </w:rPr>
  </w:style>
  <w:style w:type="paragraph" w:customStyle="1" w:styleId="CharCharCharChar0">
    <w:name w:val="表文字 Char Char Char Char"/>
    <w:pPr>
      <w:spacing w:line="300" w:lineRule="exact"/>
    </w:pPr>
    <w:rPr>
      <w:kern w:val="2"/>
      <w:sz w:val="21"/>
      <w:szCs w:val="21"/>
    </w:rPr>
  </w:style>
  <w:style w:type="paragraph" w:customStyle="1" w:styleId="CharCharCharCharChar2CharCharCharChar">
    <w:name w:val="Char Char Char Char Char2 Char Char Char Char"/>
    <w:basedOn w:val="a0"/>
    <w:semiHidden/>
    <w:pPr>
      <w:adjustRightInd w:val="0"/>
      <w:snapToGrid w:val="0"/>
      <w:spacing w:line="360" w:lineRule="auto"/>
      <w:ind w:firstLineChars="200" w:firstLine="200"/>
    </w:pPr>
    <w:rPr>
      <w:rFonts w:ascii="Times New Roman" w:eastAsia="宋体" w:hAnsi="Times New Roman" w:cs="Times New Roman"/>
      <w:sz w:val="24"/>
      <w:szCs w:val="26"/>
    </w:rPr>
  </w:style>
  <w:style w:type="paragraph" w:customStyle="1" w:styleId="CharCharChar1CharCharCharChar1">
    <w:name w:val="Char Char Char1 Char Char Char Char1"/>
    <w:basedOn w:val="a0"/>
    <w:next w:val="a0"/>
    <w:pPr>
      <w:spacing w:line="360" w:lineRule="auto"/>
      <w:ind w:firstLineChars="200" w:firstLine="200"/>
    </w:pPr>
    <w:rPr>
      <w:rFonts w:ascii="Times New Roman" w:eastAsia="汉鼎简书宋" w:hAnsi="Times New Roman" w:cs="Times New Roman"/>
      <w:sz w:val="24"/>
      <w:szCs w:val="24"/>
    </w:rPr>
  </w:style>
  <w:style w:type="paragraph" w:customStyle="1" w:styleId="MFSCharChar">
    <w:name w:val="MFS正文 Char Char"/>
    <w:basedOn w:val="afff6"/>
    <w:qFormat/>
    <w:pPr>
      <w:adjustRightInd w:val="0"/>
      <w:snapToGrid w:val="0"/>
      <w:spacing w:before="93" w:line="360" w:lineRule="auto"/>
      <w:ind w:firstLineChars="200" w:firstLine="487"/>
    </w:pPr>
    <w:rPr>
      <w:kern w:val="2"/>
    </w:rPr>
  </w:style>
  <w:style w:type="paragraph" w:customStyle="1" w:styleId="Charf9">
    <w:name w:val="Char"/>
    <w:basedOn w:val="a0"/>
    <w:next w:val="a0"/>
    <w:pPr>
      <w:spacing w:line="360" w:lineRule="auto"/>
      <w:ind w:firstLineChars="200" w:firstLine="200"/>
    </w:pPr>
    <w:rPr>
      <w:rFonts w:ascii="Times New Roman" w:eastAsia="汉鼎简书宋" w:hAnsi="Times New Roman" w:cs="宋体"/>
      <w:sz w:val="24"/>
      <w:szCs w:val="24"/>
    </w:rPr>
  </w:style>
  <w:style w:type="table" w:customStyle="1" w:styleId="1f7">
    <w:name w:val="网格型1"/>
    <w:basedOn w:val="a2"/>
    <w:uiPriority w:val="3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3">
    <w:name w:val="网格型2"/>
    <w:basedOn w:val="a2"/>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f0">
    <w:name w:val="网格型3"/>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网格型11"/>
    <w:basedOn w:val="a2"/>
    <w:pPr>
      <w:widowControl w:val="0"/>
      <w:spacing w:line="520" w:lineRule="exact"/>
      <w:ind w:firstLineChars="200" w:firstLine="2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1">
    <w:name w:val="注释标题 字符3"/>
    <w:basedOn w:val="a1"/>
    <w:uiPriority w:val="99"/>
    <w:qFormat/>
    <w:rPr>
      <w:rFonts w:ascii="Times New Roman" w:eastAsia="黑体" w:hAnsi="Times New Roman"/>
      <w:kern w:val="2"/>
      <w:sz w:val="24"/>
      <w:szCs w:val="24"/>
    </w:rPr>
  </w:style>
  <w:style w:type="character" w:customStyle="1" w:styleId="-lsChar">
    <w:name w:val="正文-ls Char"/>
    <w:basedOn w:val="a1"/>
    <w:qFormat/>
    <w:rPr>
      <w:rFonts w:ascii="Times New Roman" w:hAnsi="宋体" w:cs="宋体"/>
      <w:kern w:val="2"/>
      <w:sz w:val="24"/>
    </w:rPr>
  </w:style>
  <w:style w:type="character" w:customStyle="1" w:styleId="Charfa">
    <w:name w:val="环评图表 Char"/>
    <w:link w:val="affffffffd"/>
    <w:uiPriority w:val="99"/>
    <w:qFormat/>
    <w:locked/>
    <w:rPr>
      <w:rFonts w:ascii="Times New Roman" w:hAnsi="Times New Roman"/>
      <w:bCs/>
      <w:spacing w:val="10"/>
      <w:szCs w:val="21"/>
      <w:lang w:eastAsia="en-US"/>
    </w:rPr>
  </w:style>
  <w:style w:type="paragraph" w:customStyle="1" w:styleId="affffffffd">
    <w:name w:val="环评图表"/>
    <w:basedOn w:val="a0"/>
    <w:link w:val="Charfa"/>
    <w:uiPriority w:val="99"/>
    <w:qFormat/>
    <w:pPr>
      <w:widowControl/>
      <w:jc w:val="center"/>
    </w:pPr>
    <w:rPr>
      <w:rFonts w:ascii="Times New Roman" w:hAnsi="Times New Roman"/>
      <w:bCs/>
      <w:spacing w:val="10"/>
      <w:szCs w:val="21"/>
      <w:lang w:eastAsia="en-US"/>
    </w:rPr>
  </w:style>
  <w:style w:type="character" w:customStyle="1" w:styleId="font01">
    <w:name w:val="font01"/>
    <w:rPr>
      <w:rFonts w:ascii="宋体" w:eastAsia="宋体" w:hAnsi="宋体" w:cs="宋体" w:hint="eastAsia"/>
      <w:color w:val="000000"/>
      <w:sz w:val="24"/>
      <w:szCs w:val="24"/>
      <w:u w:val="none"/>
    </w:rPr>
  </w:style>
  <w:style w:type="character" w:customStyle="1" w:styleId="2f4">
    <w:name w:val="批注文字 字符2"/>
    <w:basedOn w:val="a1"/>
    <w:uiPriority w:val="99"/>
    <w:qFormat/>
    <w:rPr>
      <w:rFonts w:ascii="Times New Roman" w:hAnsi="Times New Roman"/>
      <w:kern w:val="2"/>
      <w:sz w:val="21"/>
      <w:szCs w:val="24"/>
    </w:rPr>
  </w:style>
  <w:style w:type="character" w:customStyle="1" w:styleId="1f8">
    <w:name w:val="明显强调1"/>
    <w:uiPriority w:val="21"/>
    <w:qFormat/>
    <w:rPr>
      <w:sz w:val="21"/>
      <w:szCs w:val="21"/>
    </w:rPr>
  </w:style>
  <w:style w:type="paragraph" w:customStyle="1" w:styleId="affffffffe">
    <w:name w:val="报告正文文字"/>
    <w:basedOn w:val="a0"/>
    <w:qFormat/>
    <w:pPr>
      <w:widowControl/>
      <w:autoSpaceDE w:val="0"/>
      <w:autoSpaceDN w:val="0"/>
      <w:spacing w:line="360" w:lineRule="auto"/>
      <w:ind w:firstLineChars="200" w:firstLine="200"/>
    </w:pPr>
    <w:rPr>
      <w:rFonts w:ascii="Times New Roman" w:eastAsia="宋体" w:hAnsi="Times New Roman" w:cs="Times New Roman"/>
      <w:color w:val="000000"/>
      <w:spacing w:val="4"/>
      <w:kern w:val="0"/>
      <w:sz w:val="24"/>
      <w:szCs w:val="24"/>
    </w:rPr>
  </w:style>
  <w:style w:type="paragraph" w:customStyle="1" w:styleId="1f9">
    <w:name w:val="1表格"/>
    <w:qFormat/>
    <w:pPr>
      <w:adjustRightInd w:val="0"/>
      <w:snapToGrid w:val="0"/>
      <w:jc w:val="center"/>
    </w:pPr>
    <w:rPr>
      <w:sz w:val="21"/>
      <w:szCs w:val="21"/>
    </w:rPr>
  </w:style>
  <w:style w:type="character" w:customStyle="1" w:styleId="212">
    <w:name w:val="标题 2 字符1"/>
    <w:qFormat/>
    <w:rPr>
      <w:rFonts w:ascii="Times New Roman" w:eastAsia="黑体" w:hAnsi="Times New Roman" w:cs="Times New Roman"/>
      <w:b/>
      <w:sz w:val="24"/>
      <w:szCs w:val="20"/>
    </w:rPr>
  </w:style>
  <w:style w:type="character" w:customStyle="1" w:styleId="410">
    <w:name w:val="标题 4 字符1"/>
    <w:basedOn w:val="a1"/>
    <w:qFormat/>
    <w:rPr>
      <w:rFonts w:asciiTheme="majorHAnsi" w:eastAsiaTheme="majorEastAsia" w:hAnsiTheme="majorHAnsi" w:cstheme="majorBidi"/>
      <w:b/>
      <w:bCs/>
      <w:sz w:val="28"/>
      <w:szCs w:val="28"/>
    </w:rPr>
  </w:style>
  <w:style w:type="character" w:customStyle="1" w:styleId="510">
    <w:name w:val="标题 5 字符1"/>
    <w:basedOn w:val="a1"/>
    <w:qFormat/>
    <w:rPr>
      <w:b/>
      <w:bCs/>
      <w:sz w:val="28"/>
      <w:szCs w:val="28"/>
    </w:rPr>
  </w:style>
  <w:style w:type="character" w:customStyle="1" w:styleId="610">
    <w:name w:val="标题 6 字符1"/>
    <w:basedOn w:val="a1"/>
    <w:qFormat/>
    <w:rPr>
      <w:rFonts w:asciiTheme="majorHAnsi" w:eastAsiaTheme="majorEastAsia" w:hAnsiTheme="majorHAnsi" w:cstheme="majorBidi"/>
      <w:b/>
      <w:bCs/>
      <w:sz w:val="24"/>
      <w:szCs w:val="24"/>
    </w:rPr>
  </w:style>
  <w:style w:type="character" w:customStyle="1" w:styleId="710">
    <w:name w:val="标题 7 字符1"/>
    <w:basedOn w:val="a1"/>
    <w:qFormat/>
    <w:rPr>
      <w:b/>
      <w:bCs/>
      <w:sz w:val="24"/>
      <w:szCs w:val="24"/>
    </w:rPr>
  </w:style>
  <w:style w:type="character" w:customStyle="1" w:styleId="810">
    <w:name w:val="标题 8 字符1"/>
    <w:basedOn w:val="a1"/>
    <w:qFormat/>
    <w:rPr>
      <w:rFonts w:asciiTheme="majorHAnsi" w:eastAsiaTheme="majorEastAsia" w:hAnsiTheme="majorHAnsi" w:cstheme="majorBidi"/>
      <w:sz w:val="24"/>
      <w:szCs w:val="24"/>
    </w:rPr>
  </w:style>
  <w:style w:type="character" w:customStyle="1" w:styleId="910">
    <w:name w:val="标题 9 字符1"/>
    <w:basedOn w:val="a1"/>
    <w:qFormat/>
    <w:rPr>
      <w:rFonts w:asciiTheme="majorHAnsi" w:eastAsiaTheme="majorEastAsia" w:hAnsiTheme="majorHAnsi" w:cstheme="majorBidi"/>
      <w:szCs w:val="21"/>
    </w:rPr>
  </w:style>
  <w:style w:type="character" w:customStyle="1" w:styleId="11">
    <w:name w:val="电子邮件签名 字符1"/>
    <w:basedOn w:val="a1"/>
    <w:link w:val="a7"/>
    <w:semiHidden/>
    <w:rPr>
      <w:rFonts w:ascii="Times New Roman" w:eastAsia="宋体" w:hAnsi="Times New Roman" w:cs="Times New Roman"/>
      <w:szCs w:val="24"/>
    </w:rPr>
  </w:style>
  <w:style w:type="character" w:customStyle="1" w:styleId="afffffffff">
    <w:name w:val="电子邮件签名 字符"/>
    <w:basedOn w:val="a1"/>
    <w:uiPriority w:val="99"/>
    <w:semiHidden/>
    <w:qFormat/>
  </w:style>
  <w:style w:type="character" w:customStyle="1" w:styleId="12">
    <w:name w:val="称呼 字符1"/>
    <w:basedOn w:val="a1"/>
    <w:link w:val="af3"/>
    <w:semiHidden/>
    <w:rPr>
      <w:rFonts w:ascii="Times New Roman" w:eastAsia="宋体" w:hAnsi="Times New Roman" w:cs="Times New Roman"/>
      <w:szCs w:val="24"/>
    </w:rPr>
  </w:style>
  <w:style w:type="character" w:customStyle="1" w:styleId="afffffffff0">
    <w:name w:val="称呼 字符"/>
    <w:basedOn w:val="a1"/>
    <w:uiPriority w:val="99"/>
    <w:semiHidden/>
  </w:style>
  <w:style w:type="character" w:customStyle="1" w:styleId="13">
    <w:name w:val="结束语 字符1"/>
    <w:basedOn w:val="a1"/>
    <w:link w:val="af4"/>
    <w:qFormat/>
    <w:rPr>
      <w:rFonts w:ascii="Times New Roman" w:eastAsia="宋体" w:hAnsi="Times New Roman" w:cs="Times New Roman"/>
      <w:szCs w:val="24"/>
    </w:rPr>
  </w:style>
  <w:style w:type="character" w:customStyle="1" w:styleId="afffffffff1">
    <w:name w:val="结束语 字符"/>
    <w:basedOn w:val="a1"/>
    <w:uiPriority w:val="99"/>
    <w:semiHidden/>
    <w:qFormat/>
  </w:style>
  <w:style w:type="character" w:customStyle="1" w:styleId="1fa">
    <w:name w:val="正文文本 字符1"/>
    <w:basedOn w:val="a1"/>
    <w:qFormat/>
    <w:rPr>
      <w:rFonts w:ascii="Calibri" w:eastAsia="宋体" w:hAnsi="Calibri" w:cs="Times New Roman"/>
    </w:rPr>
  </w:style>
  <w:style w:type="character" w:customStyle="1" w:styleId="1fb">
    <w:name w:val="正文文本缩进 字符1"/>
    <w:basedOn w:val="a1"/>
    <w:qFormat/>
    <w:rPr>
      <w:rFonts w:ascii="Times New Roman" w:eastAsia="宋体" w:hAnsi="Times New Roman" w:cs="Times New Roman"/>
      <w:szCs w:val="24"/>
    </w:rPr>
  </w:style>
  <w:style w:type="character" w:customStyle="1" w:styleId="HTML1">
    <w:name w:val="HTML 地址 字符1"/>
    <w:basedOn w:val="a1"/>
    <w:link w:val="HTML"/>
    <w:semiHidden/>
    <w:qFormat/>
    <w:rPr>
      <w:rFonts w:ascii="Times New Roman" w:eastAsia="宋体" w:hAnsi="Times New Roman" w:cs="Times New Roman"/>
      <w:i/>
      <w:iCs/>
      <w:szCs w:val="24"/>
    </w:rPr>
  </w:style>
  <w:style w:type="character" w:customStyle="1" w:styleId="HTML8">
    <w:name w:val="HTML 地址 字符"/>
    <w:basedOn w:val="a1"/>
    <w:uiPriority w:val="99"/>
    <w:semiHidden/>
    <w:qFormat/>
    <w:rPr>
      <w:i/>
      <w:iCs/>
    </w:rPr>
  </w:style>
  <w:style w:type="character" w:customStyle="1" w:styleId="1fc">
    <w:name w:val="日期 字符1"/>
    <w:basedOn w:val="a1"/>
    <w:qFormat/>
    <w:rPr>
      <w:rFonts w:ascii="Times New Roman" w:eastAsia="宋体" w:hAnsi="Times New Roman" w:cs="Times New Roman"/>
      <w:szCs w:val="24"/>
    </w:rPr>
  </w:style>
  <w:style w:type="character" w:customStyle="1" w:styleId="213">
    <w:name w:val="正文文本缩进 2 字符1"/>
    <w:basedOn w:val="a1"/>
    <w:qFormat/>
    <w:rPr>
      <w:rFonts w:ascii="Times New Roman" w:eastAsia="宋体" w:hAnsi="Times New Roman" w:cs="Times New Roman"/>
      <w:szCs w:val="24"/>
    </w:rPr>
  </w:style>
  <w:style w:type="character" w:customStyle="1" w:styleId="14">
    <w:name w:val="签名 字符1"/>
    <w:basedOn w:val="a1"/>
    <w:link w:val="aff7"/>
    <w:semiHidden/>
    <w:qFormat/>
    <w:rPr>
      <w:rFonts w:ascii="Times New Roman" w:eastAsia="宋体" w:hAnsi="Times New Roman" w:cs="Times New Roman"/>
      <w:szCs w:val="24"/>
    </w:rPr>
  </w:style>
  <w:style w:type="character" w:customStyle="1" w:styleId="afffffffff2">
    <w:name w:val="签名 字符"/>
    <w:basedOn w:val="a1"/>
    <w:uiPriority w:val="99"/>
    <w:semiHidden/>
  </w:style>
  <w:style w:type="character" w:customStyle="1" w:styleId="1fd">
    <w:name w:val="脚注文本 字符1"/>
    <w:basedOn w:val="a1"/>
    <w:qFormat/>
    <w:rPr>
      <w:rFonts w:ascii="宋体" w:eastAsia="宋体" w:hAnsi="Times New Roman" w:cs="Times New Roman"/>
      <w:sz w:val="18"/>
      <w:szCs w:val="20"/>
    </w:rPr>
  </w:style>
  <w:style w:type="character" w:customStyle="1" w:styleId="310">
    <w:name w:val="正文文本缩进 3 字符1"/>
    <w:basedOn w:val="a1"/>
    <w:qFormat/>
    <w:rPr>
      <w:rFonts w:ascii="Times New Roman" w:eastAsia="宋体" w:hAnsi="Times New Roman" w:cs="Times New Roman"/>
      <w:sz w:val="16"/>
      <w:szCs w:val="16"/>
    </w:rPr>
  </w:style>
  <w:style w:type="character" w:customStyle="1" w:styleId="214">
    <w:name w:val="正文文本 2 字符1"/>
    <w:basedOn w:val="a1"/>
    <w:qFormat/>
    <w:rPr>
      <w:rFonts w:ascii="Times New Roman" w:eastAsia="黑体" w:hAnsi="Times New Roman" w:cs="Times New Roman"/>
      <w:sz w:val="24"/>
      <w:szCs w:val="20"/>
    </w:rPr>
  </w:style>
  <w:style w:type="character" w:customStyle="1" w:styleId="17">
    <w:name w:val="信息标题 字符1"/>
    <w:basedOn w:val="a1"/>
    <w:link w:val="afff"/>
    <w:semiHidden/>
    <w:qFormat/>
    <w:rPr>
      <w:rFonts w:ascii="Arial" w:eastAsia="宋体" w:hAnsi="Arial" w:cs="Arial"/>
      <w:sz w:val="24"/>
      <w:szCs w:val="24"/>
      <w:shd w:val="pct20" w:color="auto" w:fill="auto"/>
    </w:rPr>
  </w:style>
  <w:style w:type="character" w:customStyle="1" w:styleId="afffffffff3">
    <w:name w:val="信息标题 字符"/>
    <w:basedOn w:val="a1"/>
    <w:uiPriority w:val="99"/>
    <w:semiHidden/>
    <w:qFormat/>
    <w:rPr>
      <w:rFonts w:asciiTheme="majorHAnsi" w:eastAsiaTheme="majorEastAsia" w:hAnsiTheme="majorHAnsi" w:cstheme="majorBidi"/>
      <w:sz w:val="24"/>
      <w:szCs w:val="24"/>
      <w:shd w:val="pct20" w:color="auto" w:fill="auto"/>
    </w:rPr>
  </w:style>
  <w:style w:type="character" w:customStyle="1" w:styleId="1fe">
    <w:name w:val="标题 字符1"/>
    <w:qFormat/>
    <w:rPr>
      <w:rFonts w:ascii="Arial" w:hAnsi="Arial" w:cs="Arial"/>
      <w:b/>
      <w:bCs/>
      <w:sz w:val="32"/>
      <w:szCs w:val="32"/>
    </w:rPr>
  </w:style>
  <w:style w:type="paragraph" w:customStyle="1" w:styleId="afffffffff4">
    <w:name w:val="报告表格"/>
    <w:basedOn w:val="a0"/>
    <w:link w:val="Charfb"/>
    <w:qFormat/>
    <w:pPr>
      <w:autoSpaceDE w:val="0"/>
      <w:autoSpaceDN w:val="0"/>
      <w:adjustRightInd w:val="0"/>
      <w:spacing w:before="40" w:after="40"/>
      <w:jc w:val="center"/>
    </w:pPr>
    <w:rPr>
      <w:rFonts w:ascii="Times New Roman" w:eastAsia="宋体" w:hAnsi="Times New Roman" w:cs="Times New Roman"/>
      <w:kern w:val="0"/>
      <w:szCs w:val="24"/>
    </w:rPr>
  </w:style>
  <w:style w:type="character" w:customStyle="1" w:styleId="Charfb">
    <w:name w:val="报告表格 Char"/>
    <w:link w:val="afffffffff4"/>
    <w:qFormat/>
    <w:rPr>
      <w:rFonts w:ascii="Times New Roman" w:eastAsia="宋体" w:hAnsi="Times New Roman" w:cs="Times New Roman"/>
      <w:kern w:val="0"/>
      <w:szCs w:val="24"/>
    </w:rPr>
  </w:style>
  <w:style w:type="character" w:customStyle="1" w:styleId="Charfc">
    <w:name w:val="页眉 Char"/>
    <w:basedOn w:val="a1"/>
    <w:qFormat/>
    <w:rPr>
      <w:sz w:val="18"/>
      <w:szCs w:val="18"/>
    </w:rPr>
  </w:style>
  <w:style w:type="character" w:customStyle="1" w:styleId="Charfd">
    <w:name w:val="页脚 Char"/>
    <w:basedOn w:val="a1"/>
    <w:qFormat/>
    <w:rPr>
      <w:sz w:val="18"/>
      <w:szCs w:val="18"/>
    </w:rPr>
  </w:style>
  <w:style w:type="character" w:customStyle="1" w:styleId="2Char0">
    <w:name w:val="标题 2 Char"/>
    <w:basedOn w:val="a1"/>
    <w:qFormat/>
    <w:rPr>
      <w:rFonts w:ascii="Times New Roman" w:eastAsia="黑体" w:hAnsi="Times New Roman"/>
      <w:b/>
      <w:bCs/>
      <w:kern w:val="2"/>
      <w:sz w:val="32"/>
      <w:szCs w:val="32"/>
    </w:rPr>
  </w:style>
  <w:style w:type="character" w:customStyle="1" w:styleId="3Char0">
    <w:name w:val="标题 3 Char"/>
    <w:basedOn w:val="a1"/>
    <w:qFormat/>
    <w:rPr>
      <w:rFonts w:ascii="等线" w:eastAsia="等线" w:hAnsi="等线"/>
      <w:b/>
      <w:bCs/>
      <w:kern w:val="2"/>
      <w:sz w:val="32"/>
      <w:szCs w:val="32"/>
    </w:rPr>
  </w:style>
  <w:style w:type="character" w:customStyle="1" w:styleId="1Char5">
    <w:name w:val="标题 1 Char"/>
    <w:basedOn w:val="a1"/>
    <w:qFormat/>
    <w:rPr>
      <w:rFonts w:ascii="Arial" w:eastAsia="黑体" w:hAnsi="Arial" w:cs="Arial"/>
      <w:b/>
      <w:bCs/>
      <w:kern w:val="2"/>
      <w:sz w:val="24"/>
      <w:szCs w:val="24"/>
    </w:rPr>
  </w:style>
  <w:style w:type="paragraph" w:customStyle="1" w:styleId="1-ls">
    <w:name w:val="标题1-ls"/>
    <w:basedOn w:val="26"/>
    <w:qFormat/>
    <w:pPr>
      <w:tabs>
        <w:tab w:val="clear" w:pos="2100"/>
        <w:tab w:val="clear" w:pos="7200"/>
      </w:tabs>
      <w:adjustRightInd w:val="0"/>
      <w:spacing w:before="240" w:afterLines="100" w:line="360" w:lineRule="auto"/>
      <w:ind w:firstLineChars="0" w:firstLine="0"/>
      <w:jc w:val="center"/>
      <w:textAlignment w:val="baseline"/>
      <w:outlineLvl w:val="0"/>
    </w:pPr>
    <w:rPr>
      <w:rFonts w:ascii="Times New Roman" w:eastAsia="黑体" w:cs="Arial"/>
      <w:b/>
      <w:kern w:val="2"/>
      <w:sz w:val="36"/>
      <w:szCs w:val="32"/>
    </w:rPr>
  </w:style>
  <w:style w:type="character" w:customStyle="1" w:styleId="Charfe">
    <w:name w:val="标题 Char"/>
    <w:basedOn w:val="a1"/>
    <w:qFormat/>
    <w:rPr>
      <w:rFonts w:ascii="Cambria" w:hAnsi="Cambria"/>
      <w:b/>
      <w:bCs/>
      <w:kern w:val="2"/>
      <w:sz w:val="32"/>
      <w:szCs w:val="32"/>
    </w:rPr>
  </w:style>
  <w:style w:type="character" w:customStyle="1" w:styleId="Char1c">
    <w:name w:val="正文首行缩进 Char1"/>
    <w:basedOn w:val="1fa"/>
    <w:qFormat/>
    <w:rPr>
      <w:rFonts w:ascii="Calibri" w:eastAsia="宋体" w:hAnsi="Calibri" w:cs="Times New Roman"/>
    </w:rPr>
  </w:style>
  <w:style w:type="character" w:customStyle="1" w:styleId="4Char2">
    <w:name w:val="标题 4 Char2"/>
    <w:basedOn w:val="a1"/>
    <w:qFormat/>
    <w:rPr>
      <w:rFonts w:eastAsia="黑体"/>
      <w:b/>
      <w:bCs/>
      <w:kern w:val="2"/>
      <w:sz w:val="24"/>
      <w:szCs w:val="28"/>
      <w:lang w:val="en-US" w:eastAsia="zh-CN" w:bidi="ar-SA"/>
    </w:rPr>
  </w:style>
  <w:style w:type="paragraph" w:customStyle="1" w:styleId="xl30">
    <w:name w:val="xl30"/>
    <w:basedOn w:val="a0"/>
    <w:qFormat/>
    <w:pPr>
      <w:widowControl/>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Chars="200" w:firstLine="200"/>
      <w:jc w:val="center"/>
      <w:textAlignment w:val="center"/>
    </w:pPr>
    <w:rPr>
      <w:rFonts w:ascii="宋体" w:eastAsia="Arial Unicode MS" w:hAnsi="Times New Roman" w:cs="Times New Roman"/>
      <w:kern w:val="0"/>
      <w:sz w:val="20"/>
      <w:szCs w:val="20"/>
    </w:rPr>
  </w:style>
  <w:style w:type="paragraph" w:customStyle="1" w:styleId="xl32">
    <w:name w:val="xl32"/>
    <w:basedOn w:val="a0"/>
    <w:qFormat/>
    <w:pPr>
      <w:widowControl/>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s="Arial Unicode MS"/>
      <w:kern w:val="0"/>
      <w:sz w:val="20"/>
      <w:szCs w:val="20"/>
    </w:rPr>
  </w:style>
  <w:style w:type="paragraph" w:customStyle="1" w:styleId="xl34">
    <w:name w:val="xl3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eastAsia="Arial Unicode MS" w:hAnsi="Times New Roman" w:cs="Times New Roman"/>
      <w:kern w:val="0"/>
      <w:sz w:val="20"/>
      <w:szCs w:val="20"/>
    </w:rPr>
  </w:style>
  <w:style w:type="paragraph" w:customStyle="1" w:styleId="xl35">
    <w:name w:val="xl35"/>
    <w:basedOn w:val="a0"/>
    <w:qFormat/>
    <w:pPr>
      <w:widowControl/>
      <w:pBdr>
        <w:top w:val="single" w:sz="4" w:space="0" w:color="auto"/>
        <w:left w:val="single" w:sz="8" w:space="0" w:color="auto"/>
        <w:bottom w:val="single" w:sz="8" w:space="0" w:color="auto"/>
        <w:right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s="Arial Unicode MS"/>
      <w:kern w:val="0"/>
      <w:sz w:val="24"/>
      <w:szCs w:val="24"/>
    </w:rPr>
  </w:style>
  <w:style w:type="paragraph" w:customStyle="1" w:styleId="xl37">
    <w:name w:val="xl37"/>
    <w:basedOn w:val="a0"/>
    <w:qFormat/>
    <w:pPr>
      <w:widowControl/>
      <w:pBdr>
        <w:top w:val="single" w:sz="4" w:space="0" w:color="auto"/>
        <w:left w:val="single" w:sz="4" w:space="0" w:color="auto"/>
        <w:bottom w:val="single" w:sz="8" w:space="0" w:color="auto"/>
        <w:right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s="Arial Unicode MS"/>
      <w:kern w:val="0"/>
      <w:sz w:val="24"/>
      <w:szCs w:val="24"/>
    </w:rPr>
  </w:style>
  <w:style w:type="paragraph" w:customStyle="1" w:styleId="xl41">
    <w:name w:val="xl41"/>
    <w:basedOn w:val="a0"/>
    <w:qFormat/>
    <w:pPr>
      <w:widowControl/>
      <w:pBdr>
        <w:top w:val="single" w:sz="8"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s="Arial Unicode MS"/>
      <w:kern w:val="0"/>
      <w:sz w:val="24"/>
      <w:szCs w:val="24"/>
    </w:rPr>
  </w:style>
  <w:style w:type="paragraph" w:customStyle="1" w:styleId="xl43">
    <w:name w:val="xl43"/>
    <w:basedOn w:val="a0"/>
    <w:qFormat/>
    <w:pPr>
      <w:widowControl/>
      <w:pBdr>
        <w:top w:val="single" w:sz="8" w:space="0" w:color="auto"/>
        <w:left w:val="single" w:sz="4" w:space="0" w:color="auto"/>
        <w:bottom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s="Arial Unicode MS"/>
      <w:kern w:val="0"/>
      <w:sz w:val="24"/>
      <w:szCs w:val="24"/>
    </w:rPr>
  </w:style>
  <w:style w:type="paragraph" w:customStyle="1" w:styleId="xl45">
    <w:name w:val="xl4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eastAsia="Arial Unicode MS" w:hAnsi="Times New Roman" w:cs="Times New Roman"/>
      <w:kern w:val="0"/>
      <w:sz w:val="20"/>
      <w:szCs w:val="20"/>
    </w:rPr>
  </w:style>
  <w:style w:type="paragraph" w:customStyle="1" w:styleId="xl46">
    <w:name w:val="xl46"/>
    <w:basedOn w:val="a0"/>
    <w:qFormat/>
    <w:pPr>
      <w:widowControl/>
      <w:pBdr>
        <w:top w:val="single" w:sz="4" w:space="0" w:color="auto"/>
        <w:left w:val="single" w:sz="8" w:space="0" w:color="auto"/>
        <w:right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s="Arial Unicode MS"/>
      <w:kern w:val="0"/>
      <w:sz w:val="24"/>
      <w:szCs w:val="24"/>
    </w:rPr>
  </w:style>
  <w:style w:type="paragraph" w:customStyle="1" w:styleId="xl51">
    <w:name w:val="xl51"/>
    <w:basedOn w:val="a0"/>
    <w:qFormat/>
    <w:pPr>
      <w:widowControl/>
      <w:pBdr>
        <w:bottom w:val="single" w:sz="8"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s="Arial Unicode MS"/>
      <w:kern w:val="0"/>
      <w:sz w:val="28"/>
      <w:szCs w:val="28"/>
    </w:rPr>
  </w:style>
  <w:style w:type="paragraph" w:customStyle="1" w:styleId="xl52">
    <w:name w:val="xl52"/>
    <w:basedOn w:val="a0"/>
    <w:qFormat/>
    <w:pPr>
      <w:widowControl/>
      <w:pBdr>
        <w:top w:val="single" w:sz="8" w:space="0" w:color="auto"/>
      </w:pBdr>
      <w:spacing w:before="100" w:beforeAutospacing="1" w:after="100" w:afterAutospacing="1" w:line="360" w:lineRule="auto"/>
      <w:ind w:firstLineChars="200" w:firstLine="200"/>
      <w:jc w:val="left"/>
      <w:textAlignment w:val="center"/>
    </w:pPr>
    <w:rPr>
      <w:rFonts w:ascii="Arial Unicode MS" w:eastAsia="Arial Unicode MS" w:hAnsi="Arial Unicode MS" w:cs="Arial Unicode MS"/>
      <w:kern w:val="0"/>
      <w:sz w:val="24"/>
      <w:szCs w:val="24"/>
    </w:rPr>
  </w:style>
  <w:style w:type="paragraph" w:customStyle="1" w:styleId="afffffffff5">
    <w:name w:val="正文图小四"/>
    <w:basedOn w:val="a0"/>
    <w:qFormat/>
    <w:pPr>
      <w:adjustRightInd w:val="0"/>
      <w:snapToGrid w:val="0"/>
      <w:jc w:val="center"/>
      <w:textAlignment w:val="baseline"/>
    </w:pPr>
    <w:rPr>
      <w:rFonts w:ascii="宋体" w:eastAsia="宋体" w:hAnsi="Times New Roman" w:cs="Times New Roman"/>
      <w:kern w:val="0"/>
      <w:sz w:val="24"/>
      <w:szCs w:val="24"/>
    </w:rPr>
  </w:style>
  <w:style w:type="character" w:customStyle="1" w:styleId="08505Char1">
    <w:name w:val="样式 样式 首行缩进:  0.85 厘米 + 段前: 0.5 行 Char1"/>
    <w:basedOn w:val="a1"/>
    <w:link w:val="08505"/>
    <w:qFormat/>
    <w:rPr>
      <w:sz w:val="24"/>
    </w:rPr>
  </w:style>
  <w:style w:type="paragraph" w:customStyle="1" w:styleId="08505">
    <w:name w:val="样式 样式 首行缩进:  0.85 厘米 + 段前: 0.5 行"/>
    <w:basedOn w:val="a0"/>
    <w:link w:val="08505Char1"/>
    <w:qFormat/>
    <w:pPr>
      <w:spacing w:before="50" w:line="360" w:lineRule="auto"/>
      <w:ind w:firstLine="482"/>
    </w:pPr>
    <w:rPr>
      <w:sz w:val="24"/>
    </w:rPr>
  </w:style>
  <w:style w:type="character" w:customStyle="1" w:styleId="Charff">
    <w:name w:val="首行缩进 Char"/>
    <w:basedOn w:val="a1"/>
    <w:qFormat/>
    <w:locked/>
    <w:rPr>
      <w:rFonts w:eastAsia="宋体"/>
      <w:kern w:val="2"/>
      <w:sz w:val="21"/>
      <w:lang w:val="en-US" w:eastAsia="zh-CN" w:bidi="ar-SA"/>
    </w:rPr>
  </w:style>
  <w:style w:type="character" w:customStyle="1" w:styleId="1858D7CFB-ED40-4347-BF05-701D383B685F">
    <w:name w:val="标题 1[858D7CFB-ED40-4347-BF05-701D383B685F]"/>
    <w:qFormat/>
    <w:rPr>
      <w:rFonts w:ascii="Times New Roman" w:eastAsia="宋体" w:hAnsi="Times New Roman"/>
      <w:b/>
      <w:bCs/>
      <w:kern w:val="44"/>
      <w:sz w:val="44"/>
      <w:szCs w:val="44"/>
    </w:rPr>
  </w:style>
  <w:style w:type="character" w:customStyle="1" w:styleId="QuoteChar">
    <w:name w:val="Quote Char"/>
    <w:qFormat/>
    <w:rPr>
      <w:rFonts w:ascii="Times New Roman" w:eastAsia="黑体" w:hAnsi="Times New Roman" w:cs="宋体"/>
      <w:sz w:val="24"/>
      <w:szCs w:val="20"/>
    </w:rPr>
  </w:style>
  <w:style w:type="paragraph" w:customStyle="1" w:styleId="Para">
    <w:name w:val="默认段落字体 Para"/>
    <w:basedOn w:val="a0"/>
    <w:qFormat/>
    <w:rPr>
      <w:rFonts w:ascii="Times New Roman" w:eastAsia="宋体" w:hAnsi="Times New Roman" w:cs="Times New Roman"/>
      <w:szCs w:val="24"/>
    </w:rPr>
  </w:style>
  <w:style w:type="paragraph" w:customStyle="1" w:styleId="666666-4">
    <w:name w:val="666666-正文文本"/>
    <w:link w:val="666666-Char1"/>
    <w:pPr>
      <w:autoSpaceDE w:val="0"/>
      <w:autoSpaceDN w:val="0"/>
      <w:adjustRightInd w:val="0"/>
      <w:spacing w:line="360" w:lineRule="auto"/>
      <w:ind w:firstLineChars="200" w:firstLine="200"/>
      <w:jc w:val="both"/>
    </w:pPr>
    <w:rPr>
      <w:kern w:val="2"/>
      <w:sz w:val="24"/>
      <w:szCs w:val="24"/>
    </w:rPr>
  </w:style>
  <w:style w:type="character" w:customStyle="1" w:styleId="666666-Char1">
    <w:name w:val="666666-正文文本 Char"/>
    <w:basedOn w:val="a1"/>
    <w:link w:val="666666-4"/>
    <w:rPr>
      <w:rFonts w:ascii="Times New Roman" w:eastAsia="宋体" w:hAnsi="Times New Roman" w:cs="Times New Roman"/>
      <w:sz w:val="24"/>
      <w:szCs w:val="24"/>
    </w:rPr>
  </w:style>
  <w:style w:type="character" w:customStyle="1" w:styleId="1Char6">
    <w:name w:val="纯文本1 Char"/>
    <w:basedOn w:val="a1"/>
    <w:qFormat/>
    <w:rPr>
      <w:rFonts w:ascii="宋体" w:eastAsia="宋体" w:hAnsi="Courier New"/>
      <w:kern w:val="2"/>
      <w:sz w:val="21"/>
      <w:lang w:val="en-US" w:eastAsia="zh-CN" w:bidi="ar-SA"/>
    </w:rPr>
  </w:style>
  <w:style w:type="paragraph" w:customStyle="1" w:styleId="93">
    <w:name w:val="样式9"/>
    <w:basedOn w:val="a0"/>
    <w:qFormat/>
    <w:pPr>
      <w:spacing w:line="360" w:lineRule="exact"/>
      <w:jc w:val="center"/>
    </w:pPr>
    <w:rPr>
      <w:rFonts w:ascii="Times New Roman" w:eastAsia="宋体" w:hAnsi="Times New Roman" w:cs="Times New Roman"/>
      <w:color w:val="000000"/>
      <w:szCs w:val="24"/>
    </w:rPr>
  </w:style>
  <w:style w:type="character" w:customStyle="1" w:styleId="Char24">
    <w:name w:val="文本 Char2"/>
    <w:basedOn w:val="a1"/>
    <w:qFormat/>
    <w:rPr>
      <w:rFonts w:eastAsia="宋体"/>
      <w:snapToGrid w:val="0"/>
      <w:sz w:val="28"/>
      <w:lang w:val="en-US" w:eastAsia="zh-CN" w:bidi="ar-SA"/>
    </w:rPr>
  </w:style>
  <w:style w:type="character" w:customStyle="1" w:styleId="Char1d">
    <w:name w:val="三级标题 Char1"/>
    <w:basedOn w:val="a1"/>
    <w:qFormat/>
    <w:rPr>
      <w:rFonts w:eastAsia="宋体"/>
      <w:b/>
      <w:bCs/>
      <w:kern w:val="2"/>
      <w:sz w:val="32"/>
      <w:szCs w:val="32"/>
      <w:lang w:val="en-US" w:eastAsia="zh-CN" w:bidi="ar-SA"/>
    </w:rPr>
  </w:style>
  <w:style w:type="paragraph" w:customStyle="1" w:styleId="afffffffff6">
    <w:name w:val="文字"/>
    <w:basedOn w:val="a0"/>
    <w:qFormat/>
    <w:pPr>
      <w:widowControl/>
      <w:spacing w:afterLines="50" w:line="360" w:lineRule="auto"/>
      <w:ind w:firstLine="420"/>
    </w:pPr>
    <w:rPr>
      <w:rFonts w:ascii="Times New Roman" w:eastAsia="宋体" w:hAnsi="Times New Roman" w:cs="Times New Roman"/>
      <w:kern w:val="0"/>
      <w:sz w:val="24"/>
      <w:szCs w:val="24"/>
    </w:rPr>
  </w:style>
  <w:style w:type="character" w:customStyle="1" w:styleId="CharCharCharCharCharCharCharCharChar">
    <w:name w:val="Char Char Char Char Char Char Char Char Char"/>
    <w:qFormat/>
    <w:rPr>
      <w:rFonts w:ascii="宋体" w:eastAsia="宋体" w:hAnsi="Courier New"/>
      <w:kern w:val="2"/>
      <w:sz w:val="21"/>
      <w:szCs w:val="21"/>
      <w:lang w:bidi="ar-SA"/>
    </w:rPr>
  </w:style>
  <w:style w:type="paragraph" w:customStyle="1" w:styleId="2ChapterHeading2ndlevelh22Titre2l2H22CharHe">
    <w:name w:val="样式 标题 2Chapter Heading2nd levelh22Titre2l2H2标题 2 CharHe..."/>
    <w:basedOn w:val="2"/>
    <w:link w:val="2ChapterHeading2ndlevelh22Titre2l2H22CharHeChar"/>
    <w:qFormat/>
    <w:pPr>
      <w:tabs>
        <w:tab w:val="left" w:pos="720"/>
        <w:tab w:val="left" w:pos="1440"/>
      </w:tabs>
      <w:ind w:firstLineChars="0" w:firstLine="0"/>
    </w:pPr>
    <w:rPr>
      <w:kern w:val="2"/>
      <w:sz w:val="28"/>
      <w:szCs w:val="28"/>
    </w:rPr>
  </w:style>
  <w:style w:type="character" w:customStyle="1" w:styleId="2ChapterHeading2ndlevelh22Titre2l2H22CharHeChar">
    <w:name w:val="样式 标题 2Chapter Heading2nd levelh22Titre2l2H2标题 2 CharHe... Char"/>
    <w:basedOn w:val="a1"/>
    <w:link w:val="2ChapterHeading2ndlevelh22Titre2l2H22CharHe"/>
    <w:rPr>
      <w:rFonts w:ascii="Times New Roman" w:eastAsia="黑体" w:hAnsi="Times New Roman" w:cs="Times New Roman"/>
      <w:sz w:val="28"/>
      <w:szCs w:val="28"/>
    </w:rPr>
  </w:style>
  <w:style w:type="paragraph" w:customStyle="1" w:styleId="3h33rdlevelH33Head3level3PIM3Level3Head">
    <w:name w:val="样式 标题 3h33rd levelH33Head 3level_3PIM 3Level 3 Head二级节名..."/>
    <w:basedOn w:val="30"/>
    <w:qFormat/>
    <w:pPr>
      <w:tabs>
        <w:tab w:val="left" w:pos="720"/>
        <w:tab w:val="left" w:pos="2160"/>
      </w:tabs>
      <w:spacing w:before="120" w:after="120" w:line="240" w:lineRule="auto"/>
    </w:pPr>
    <w:rPr>
      <w:rFonts w:ascii="Times New Roman" w:eastAsia="黑体" w:hAnsi="Times New Roman" w:cs="Times New Roman"/>
      <w:b w:val="0"/>
      <w:sz w:val="24"/>
      <w:szCs w:val="24"/>
    </w:rPr>
  </w:style>
  <w:style w:type="paragraph" w:customStyle="1" w:styleId="3h33rdlevelH33Head3level3PIM3Level3Head1">
    <w:name w:val="样式 标题 3h33rd levelH33Head 3level_3PIM 3Level 3 Head二级节名...1"/>
    <w:basedOn w:val="30"/>
    <w:qFormat/>
    <w:pPr>
      <w:tabs>
        <w:tab w:val="left" w:pos="720"/>
        <w:tab w:val="left" w:pos="2160"/>
      </w:tabs>
      <w:spacing w:before="120" w:after="120" w:line="530" w:lineRule="exact"/>
    </w:pPr>
    <w:rPr>
      <w:rFonts w:ascii="Times New Roman" w:eastAsia="黑体" w:hAnsi="Times New Roman" w:cs="宋体"/>
      <w:b w:val="0"/>
      <w:sz w:val="24"/>
      <w:szCs w:val="24"/>
    </w:rPr>
  </w:style>
  <w:style w:type="paragraph" w:customStyle="1" w:styleId="2ChapterHeading2ndlevelh22Titre2l2H22CharHe1">
    <w:name w:val="样式 标题 2Chapter Heading2nd levelh22Titre2l2H2标题 2 CharHe...1"/>
    <w:basedOn w:val="2"/>
    <w:qFormat/>
    <w:pPr>
      <w:tabs>
        <w:tab w:val="left" w:pos="720"/>
        <w:tab w:val="left" w:pos="1440"/>
      </w:tabs>
      <w:ind w:firstLineChars="0" w:firstLine="0"/>
    </w:pPr>
    <w:rPr>
      <w:rFonts w:ascii="Arial" w:hAnsi="Arial"/>
      <w:bCs/>
      <w:kern w:val="2"/>
      <w:sz w:val="28"/>
      <w:szCs w:val="28"/>
    </w:rPr>
  </w:style>
  <w:style w:type="paragraph" w:customStyle="1" w:styleId="20063">
    <w:name w:val="2006标题3"/>
    <w:basedOn w:val="30"/>
    <w:qFormat/>
    <w:pPr>
      <w:framePr w:hSpace="180" w:wrap="around" w:hAnchor="margin" w:y="600"/>
      <w:tabs>
        <w:tab w:val="left" w:pos="720"/>
        <w:tab w:val="left" w:pos="2160"/>
      </w:tabs>
      <w:spacing w:before="0" w:after="0" w:line="260" w:lineRule="exact"/>
      <w:ind w:right="-36"/>
      <w:jc w:val="center"/>
    </w:pPr>
    <w:rPr>
      <w:rFonts w:ascii="Times New Roman" w:eastAsia="仿宋_GB2312" w:hAnsi="Times New Roman" w:cs="Times New Roman"/>
      <w:b w:val="0"/>
      <w:bCs w:val="0"/>
      <w:color w:val="0000FF"/>
      <w:kern w:val="44"/>
      <w:sz w:val="28"/>
      <w:szCs w:val="28"/>
    </w:rPr>
  </w:style>
  <w:style w:type="paragraph" w:customStyle="1" w:styleId="CharCharCharCharCharCharCharCharCharChar1">
    <w:name w:val="Char Char Char Char Char Char Char Char Char Char1"/>
    <w:basedOn w:val="a0"/>
    <w:qFormat/>
    <w:pPr>
      <w:widowControl/>
      <w:spacing w:after="160" w:line="240" w:lineRule="exact"/>
      <w:jc w:val="left"/>
    </w:pPr>
    <w:rPr>
      <w:rFonts w:ascii="Verdana" w:eastAsia="仿宋_GB2312" w:hAnsi="Verdana" w:cs="”“Times New Roman”“"/>
      <w:kern w:val="0"/>
      <w:sz w:val="24"/>
      <w:szCs w:val="20"/>
      <w:lang w:eastAsia="en-US"/>
    </w:rPr>
  </w:style>
  <w:style w:type="paragraph" w:customStyle="1" w:styleId="pvc11">
    <w:name w:val="pvc1.1"/>
    <w:basedOn w:val="2"/>
    <w:next w:val="2"/>
    <w:qFormat/>
    <w:pPr>
      <w:tabs>
        <w:tab w:val="left" w:pos="576"/>
        <w:tab w:val="left" w:pos="768"/>
        <w:tab w:val="left" w:pos="1440"/>
      </w:tabs>
      <w:adjustRightInd w:val="0"/>
      <w:spacing w:beforeLines="100" w:afterLines="100" w:line="324" w:lineRule="auto"/>
      <w:ind w:left="576" w:hanging="576"/>
    </w:pPr>
    <w:rPr>
      <w:rFonts w:ascii="Arial" w:hAnsi="Arial"/>
      <w:b/>
      <w:color w:val="000000"/>
      <w:kern w:val="2"/>
      <w:sz w:val="28"/>
      <w:szCs w:val="20"/>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2a"/>
    <w:qFormat/>
    <w:pPr>
      <w:widowControl/>
      <w:adjustRightInd w:val="0"/>
      <w:snapToGrid w:val="0"/>
      <w:spacing w:after="0" w:line="360" w:lineRule="auto"/>
      <w:ind w:leftChars="0" w:left="0" w:firstLine="200"/>
      <w:jc w:val="left"/>
    </w:pPr>
    <w:rPr>
      <w:snapToGrid w:val="0"/>
    </w:rPr>
  </w:style>
  <w:style w:type="character" w:customStyle="1" w:styleId="3f2">
    <w:name w:val="标题3"/>
    <w:basedOn w:val="a1"/>
    <w:qFormat/>
  </w:style>
  <w:style w:type="paragraph" w:customStyle="1" w:styleId="5S">
    <w:name w:val="表内5S"/>
    <w:basedOn w:val="a0"/>
    <w:qFormat/>
    <w:pPr>
      <w:spacing w:line="300" w:lineRule="atLeast"/>
      <w:jc w:val="center"/>
    </w:pPr>
    <w:rPr>
      <w:rFonts w:ascii="Times New Roman" w:eastAsia="方正宋三简体" w:hAnsi="Times New Roman" w:cs="Times New Roman"/>
      <w:szCs w:val="20"/>
    </w:rPr>
  </w:style>
  <w:style w:type="paragraph" w:customStyle="1" w:styleId="CharCharChar1CharCharCharCharCharCharChar">
    <w:name w:val="Char Char Char1 Char Char Char Char Char Char Char"/>
    <w:basedOn w:val="a0"/>
    <w:qFormat/>
    <w:pPr>
      <w:spacing w:line="360" w:lineRule="auto"/>
      <w:ind w:firstLineChars="200" w:firstLine="200"/>
    </w:pPr>
    <w:rPr>
      <w:rFonts w:ascii="宋体" w:eastAsia="宋体" w:hAnsi="宋体" w:cs="Times New Roman"/>
      <w:sz w:val="24"/>
      <w:szCs w:val="20"/>
    </w:rPr>
  </w:style>
  <w:style w:type="character" w:customStyle="1" w:styleId="2f5">
    <w:name w:val="正文缩进2"/>
    <w:qFormat/>
  </w:style>
  <w:style w:type="paragraph" w:customStyle="1" w:styleId="666-152">
    <w:name w:val="样式 666-正文 四号 行距: 1.5 倍行距 + 首行缩进:  2 字符"/>
    <w:basedOn w:val="a0"/>
    <w:qFormat/>
    <w:pPr>
      <w:spacing w:line="560" w:lineRule="exact"/>
      <w:ind w:firstLineChars="200" w:firstLine="200"/>
    </w:pPr>
    <w:rPr>
      <w:rFonts w:ascii="Times New Roman" w:eastAsia="宋体" w:hAnsi="Times New Roman" w:cs="宋体"/>
      <w:sz w:val="28"/>
      <w:szCs w:val="20"/>
    </w:rPr>
  </w:style>
  <w:style w:type="paragraph" w:customStyle="1" w:styleId="1Char7">
    <w:name w:val="1 Char"/>
    <w:basedOn w:val="a0"/>
    <w:qFormat/>
    <w:pPr>
      <w:widowControl/>
      <w:spacing w:after="160" w:line="240" w:lineRule="exact"/>
      <w:jc w:val="left"/>
    </w:pPr>
    <w:rPr>
      <w:rFonts w:ascii="Verdana" w:eastAsia="仿宋_GB2312" w:hAnsi="Verdana" w:cs="Times New Roman"/>
      <w:kern w:val="0"/>
      <w:sz w:val="24"/>
      <w:szCs w:val="20"/>
      <w:lang w:eastAsia="en-US"/>
    </w:rPr>
  </w:style>
  <w:style w:type="character" w:customStyle="1" w:styleId="javascript1">
    <w:name w:val="javascript1"/>
    <w:basedOn w:val="a1"/>
    <w:qFormat/>
    <w:rPr>
      <w:rFonts w:ascii="Tahoma" w:hAnsi="Tahoma" w:cs="Tahoma" w:hint="default"/>
      <w:sz w:val="18"/>
      <w:szCs w:val="18"/>
    </w:rPr>
  </w:style>
  <w:style w:type="character" w:customStyle="1" w:styleId="CharChar8">
    <w:name w:val="表格 Char Char"/>
    <w:basedOn w:val="a1"/>
    <w:qFormat/>
    <w:rPr>
      <w:rFonts w:eastAsia="宋体"/>
      <w:kern w:val="2"/>
      <w:sz w:val="21"/>
      <w:lang w:val="en-US" w:eastAsia="zh-CN" w:bidi="ar-SA"/>
    </w:rPr>
  </w:style>
  <w:style w:type="paragraph" w:customStyle="1" w:styleId="Z0">
    <w:name w:val="Z正文"/>
    <w:basedOn w:val="af5"/>
    <w:link w:val="ZChar"/>
    <w:qFormat/>
    <w:pPr>
      <w:spacing w:line="360" w:lineRule="auto"/>
      <w:ind w:firstLine="600"/>
    </w:pPr>
    <w:rPr>
      <w:rFonts w:eastAsia="仿宋_GB2312"/>
      <w:kern w:val="2"/>
      <w:sz w:val="30"/>
      <w:szCs w:val="20"/>
    </w:rPr>
  </w:style>
  <w:style w:type="character" w:customStyle="1" w:styleId="ZChar">
    <w:name w:val="Z正文 Char"/>
    <w:basedOn w:val="a1"/>
    <w:link w:val="Z0"/>
    <w:qFormat/>
    <w:rPr>
      <w:rFonts w:ascii="Times New Roman" w:eastAsia="仿宋_GB2312" w:hAnsi="Times New Roman" w:cs="Times New Roman"/>
      <w:sz w:val="30"/>
      <w:szCs w:val="20"/>
    </w:rPr>
  </w:style>
  <w:style w:type="paragraph" w:customStyle="1" w:styleId="Style16">
    <w:name w:val="_Style 16"/>
    <w:basedOn w:val="a0"/>
    <w:next w:val="a8"/>
    <w:qFormat/>
    <w:rPr>
      <w:rFonts w:ascii="Times New Roman" w:eastAsia="宋体" w:hAnsi="Times New Roman" w:cs="Times New Roman"/>
      <w:sz w:val="24"/>
      <w:szCs w:val="20"/>
    </w:rPr>
  </w:style>
  <w:style w:type="paragraph" w:customStyle="1" w:styleId="brdrw15brsp20tqctx4153t">
    <w:name w:val="brdrw15brsp20 tqctx4153t"/>
    <w:qFormat/>
    <w:pPr>
      <w:widowControl w:val="0"/>
      <w:pBdr>
        <w:bottom w:val="single" w:sz="6" w:space="0" w:color="auto"/>
      </w:pBdr>
      <w:adjustRightInd w:val="0"/>
      <w:spacing w:line="312" w:lineRule="atLeast"/>
      <w:jc w:val="center"/>
      <w:textAlignment w:val="baseline"/>
    </w:pPr>
    <w:rPr>
      <w:sz w:val="21"/>
    </w:rPr>
  </w:style>
  <w:style w:type="character" w:customStyle="1" w:styleId="NormalChar">
    <w:name w:val="Normal Char"/>
    <w:basedOn w:val="a1"/>
    <w:qFormat/>
    <w:rPr>
      <w:rFonts w:ascii="宋体" w:eastAsia="宋体" w:hAnsi="Times New Roman" w:cs="Times New Roman"/>
      <w:kern w:val="0"/>
      <w:sz w:val="24"/>
      <w:szCs w:val="20"/>
    </w:rPr>
  </w:style>
  <w:style w:type="character" w:customStyle="1" w:styleId="p148h">
    <w:name w:val="p148h"/>
    <w:basedOn w:val="a1"/>
    <w:qFormat/>
  </w:style>
  <w:style w:type="paragraph" w:customStyle="1" w:styleId="58">
    <w:name w:val="标题5"/>
    <w:basedOn w:val="a0"/>
    <w:qFormat/>
    <w:pPr>
      <w:spacing w:line="360" w:lineRule="auto"/>
      <w:jc w:val="left"/>
    </w:pPr>
    <w:rPr>
      <w:rFonts w:ascii="Times New Roman" w:eastAsia="宋体" w:hAnsi="Times New Roman" w:cs="Times New Roman"/>
      <w:sz w:val="24"/>
      <w:szCs w:val="28"/>
    </w:rPr>
  </w:style>
  <w:style w:type="character" w:customStyle="1" w:styleId="main1">
    <w:name w:val="main1"/>
    <w:basedOn w:val="a1"/>
    <w:qFormat/>
    <w:rPr>
      <w:color w:val="333333"/>
      <w:spacing w:val="336"/>
      <w:sz w:val="16"/>
      <w:szCs w:val="16"/>
    </w:rPr>
  </w:style>
  <w:style w:type="paragraph" w:customStyle="1" w:styleId="74">
    <w:name w:val="7"/>
    <w:basedOn w:val="a0"/>
    <w:next w:val="a8"/>
    <w:qFormat/>
    <w:pPr>
      <w:ind w:firstLineChars="200" w:firstLine="420"/>
    </w:pPr>
    <w:rPr>
      <w:rFonts w:ascii="Times New Roman" w:eastAsia="宋体" w:hAnsi="Times New Roman" w:cs="Times New Roman"/>
      <w:szCs w:val="24"/>
    </w:rPr>
  </w:style>
  <w:style w:type="paragraph" w:customStyle="1" w:styleId="311">
    <w:name w:val="正文31"/>
    <w:basedOn w:val="a0"/>
    <w:next w:val="a0"/>
    <w:qFormat/>
    <w:pPr>
      <w:spacing w:line="529" w:lineRule="exact"/>
      <w:ind w:firstLineChars="200" w:firstLine="200"/>
    </w:pPr>
    <w:rPr>
      <w:rFonts w:ascii="宋体" w:eastAsia="宋体" w:hAnsi="宋体" w:cs="Times New Roman"/>
      <w:sz w:val="24"/>
      <w:szCs w:val="24"/>
    </w:rPr>
  </w:style>
  <w:style w:type="paragraph" w:customStyle="1" w:styleId="afffffffff7">
    <w:name w:val="正文 + 小四"/>
    <w:basedOn w:val="a0"/>
    <w:qFormat/>
    <w:pPr>
      <w:jc w:val="left"/>
    </w:pPr>
    <w:rPr>
      <w:rFonts w:ascii="Times New Roman" w:eastAsia="宋体" w:hAnsi="Times New Roman" w:cs="Times New Roman"/>
      <w:sz w:val="24"/>
      <w:szCs w:val="24"/>
    </w:rPr>
  </w:style>
  <w:style w:type="paragraph" w:customStyle="1" w:styleId="xl22">
    <w:name w:val="xl22"/>
    <w:basedOn w:val="a0"/>
    <w:qFormat/>
    <w:pPr>
      <w:widowControl/>
      <w:spacing w:before="100" w:after="100"/>
      <w:jc w:val="center"/>
    </w:pPr>
    <w:rPr>
      <w:rFonts w:ascii="宋体" w:eastAsia="宋体" w:hAnsi="宋体" w:cs="Times New Roman"/>
      <w:kern w:val="0"/>
      <w:sz w:val="24"/>
      <w:szCs w:val="20"/>
    </w:rPr>
  </w:style>
  <w:style w:type="paragraph" w:customStyle="1" w:styleId="001">
    <w:name w:val="正文001"/>
    <w:basedOn w:val="a0"/>
    <w:qFormat/>
    <w:pPr>
      <w:spacing w:before="60" w:line="460" w:lineRule="exact"/>
      <w:ind w:firstLine="482"/>
    </w:pPr>
    <w:rPr>
      <w:rFonts w:ascii="Arial" w:eastAsia="宋体" w:hAnsi="Arial" w:cs="Times New Roman"/>
      <w:kern w:val="0"/>
      <w:sz w:val="24"/>
      <w:szCs w:val="24"/>
    </w:rPr>
  </w:style>
  <w:style w:type="paragraph" w:customStyle="1" w:styleId="afffffffff8">
    <w:name w:val="热电厂正文"/>
    <w:basedOn w:val="a0"/>
    <w:link w:val="Charff0"/>
    <w:qFormat/>
    <w:pPr>
      <w:spacing w:line="440" w:lineRule="exact"/>
      <w:ind w:firstLineChars="200" w:firstLine="480"/>
    </w:pPr>
    <w:rPr>
      <w:rFonts w:ascii="Times New Roman" w:eastAsia="宋体" w:hAnsi="Times New Roman" w:cs="Times New Roman"/>
      <w:sz w:val="24"/>
      <w:szCs w:val="24"/>
    </w:rPr>
  </w:style>
  <w:style w:type="character" w:customStyle="1" w:styleId="Charff0">
    <w:name w:val="热电厂正文 Char"/>
    <w:basedOn w:val="a1"/>
    <w:link w:val="afffffffff8"/>
    <w:qFormat/>
    <w:rPr>
      <w:rFonts w:ascii="Times New Roman" w:eastAsia="宋体" w:hAnsi="Times New Roman" w:cs="Times New Roman"/>
      <w:sz w:val="24"/>
      <w:szCs w:val="24"/>
    </w:rPr>
  </w:style>
  <w:style w:type="paragraph" w:customStyle="1" w:styleId="afffffffff9">
    <w:name w:val="插图"/>
    <w:basedOn w:val="a0"/>
    <w:qFormat/>
    <w:rPr>
      <w:rFonts w:ascii="Times New Roman" w:eastAsia="宋体" w:hAnsi="Times New Roman" w:cs="Times New Roman"/>
      <w:sz w:val="24"/>
      <w:szCs w:val="24"/>
    </w:rPr>
  </w:style>
  <w:style w:type="paragraph" w:customStyle="1" w:styleId="afffffffffa">
    <w:name w:val="表内文"/>
    <w:basedOn w:val="a0"/>
    <w:qFormat/>
    <w:pPr>
      <w:spacing w:line="320" w:lineRule="exact"/>
      <w:jc w:val="center"/>
    </w:pPr>
    <w:rPr>
      <w:rFonts w:ascii="Times New Roman" w:eastAsia="宋体" w:hAnsi="Times New Roman" w:cs="Times New Roman"/>
      <w:szCs w:val="20"/>
    </w:rPr>
  </w:style>
  <w:style w:type="paragraph" w:customStyle="1" w:styleId="1ff">
    <w:name w:val="表样式1"/>
    <w:basedOn w:val="a0"/>
    <w:pPr>
      <w:spacing w:line="360" w:lineRule="auto"/>
      <w:jc w:val="center"/>
    </w:pPr>
    <w:rPr>
      <w:rFonts w:ascii="宋体" w:eastAsia="宋体" w:hAnsi="宋体" w:cs="宋体"/>
      <w:color w:val="000000"/>
      <w:szCs w:val="21"/>
    </w:rPr>
  </w:style>
  <w:style w:type="paragraph" w:customStyle="1" w:styleId="1ff0">
    <w:name w:val="表头样式1"/>
    <w:basedOn w:val="a0"/>
    <w:qFormat/>
    <w:pPr>
      <w:autoSpaceDE w:val="0"/>
      <w:autoSpaceDN w:val="0"/>
      <w:adjustRightInd w:val="0"/>
      <w:spacing w:line="360" w:lineRule="auto"/>
      <w:jc w:val="center"/>
    </w:pPr>
    <w:rPr>
      <w:rFonts w:ascii="黑体" w:eastAsia="黑体" w:hAnsi="Times New Roman" w:cs="黑体"/>
      <w:color w:val="000000"/>
      <w:kern w:val="0"/>
      <w:sz w:val="24"/>
      <w:szCs w:val="24"/>
      <w:lang w:eastAsia="zh-TW"/>
    </w:rPr>
  </w:style>
  <w:style w:type="character" w:customStyle="1" w:styleId="6Char0">
    <w:name w:val="样式6 Char"/>
    <w:basedOn w:val="a1"/>
    <w:qFormat/>
    <w:rPr>
      <w:rFonts w:ascii="Times New Roman" w:eastAsia="宋体" w:hAnsi="Times New Roman" w:cs="Times New Roman"/>
      <w:sz w:val="24"/>
      <w:szCs w:val="24"/>
    </w:rPr>
  </w:style>
  <w:style w:type="character" w:customStyle="1" w:styleId="CharCharCharCharChar">
    <w:name w:val="Char Char Char Char Char"/>
    <w:basedOn w:val="a1"/>
    <w:qFormat/>
    <w:rPr>
      <w:rFonts w:ascii="宋体" w:eastAsia="宋体" w:hAnsi="Courier New"/>
      <w:kern w:val="2"/>
      <w:sz w:val="21"/>
      <w:lang w:val="en-US" w:eastAsia="zh-CN" w:bidi="ar-SA"/>
    </w:rPr>
  </w:style>
  <w:style w:type="paragraph" w:customStyle="1" w:styleId="004">
    <w:name w:val="标题004"/>
    <w:basedOn w:val="001"/>
    <w:qFormat/>
    <w:pPr>
      <w:spacing w:line="420" w:lineRule="exact"/>
      <w:ind w:firstLine="0"/>
      <w:outlineLvl w:val="3"/>
    </w:pPr>
    <w:rPr>
      <w:rFonts w:ascii="Times New Roman" w:hAnsi="Times New Roman"/>
      <w:b/>
      <w:kern w:val="2"/>
      <w:szCs w:val="20"/>
    </w:rPr>
  </w:style>
  <w:style w:type="paragraph" w:customStyle="1" w:styleId="378">
    <w:name w:val="样式 标题 3 + 段前: 7.8 磅"/>
    <w:basedOn w:val="30"/>
    <w:qFormat/>
    <w:pPr>
      <w:tabs>
        <w:tab w:val="left" w:pos="720"/>
        <w:tab w:val="left" w:pos="2160"/>
      </w:tabs>
      <w:autoSpaceDE w:val="0"/>
      <w:autoSpaceDN w:val="0"/>
      <w:adjustRightInd w:val="0"/>
      <w:spacing w:before="100" w:afterLines="20" w:line="360" w:lineRule="exact"/>
      <w:jc w:val="center"/>
    </w:pPr>
    <w:rPr>
      <w:rFonts w:ascii="Times New Roman" w:eastAsia="宋体" w:hAnsi="Times New Roman" w:cs="Times New Roman"/>
      <w:b w:val="0"/>
      <w:kern w:val="0"/>
      <w:sz w:val="21"/>
      <w:szCs w:val="21"/>
    </w:rPr>
  </w:style>
  <w:style w:type="paragraph" w:customStyle="1" w:styleId="113">
    <w:name w:val="表样式1.1"/>
    <w:basedOn w:val="1ff"/>
    <w:qFormat/>
    <w:pPr>
      <w:autoSpaceDE w:val="0"/>
      <w:autoSpaceDN w:val="0"/>
      <w:adjustRightInd w:val="0"/>
      <w:snapToGrid w:val="0"/>
      <w:spacing w:line="374" w:lineRule="exact"/>
    </w:pPr>
    <w:rPr>
      <w:bCs/>
      <w:kern w:val="0"/>
    </w:rPr>
  </w:style>
  <w:style w:type="character" w:customStyle="1" w:styleId="Char1e">
    <w:name w:val="表 Char1"/>
    <w:basedOn w:val="a1"/>
    <w:qFormat/>
    <w:rPr>
      <w:rFonts w:ascii="Arial" w:eastAsia="仿宋_GB2312" w:hAnsi="Arial" w:cs="Arial"/>
      <w:szCs w:val="21"/>
    </w:rPr>
  </w:style>
  <w:style w:type="paragraph" w:customStyle="1" w:styleId="240">
    <w:name w:val="样式 正文文本 + 首行缩进:  2 字符4"/>
    <w:basedOn w:val="af5"/>
    <w:qFormat/>
    <w:pPr>
      <w:adjustRightInd w:val="0"/>
      <w:spacing w:after="0"/>
      <w:ind w:firstLineChars="0" w:firstLine="0"/>
      <w:textAlignment w:val="baseline"/>
    </w:pPr>
    <w:rPr>
      <w:rFonts w:eastAsia="仿宋_GB2312" w:cs="宋体"/>
      <w:color w:val="000000"/>
      <w:kern w:val="2"/>
      <w:sz w:val="21"/>
      <w:szCs w:val="21"/>
    </w:rPr>
  </w:style>
  <w:style w:type="paragraph" w:customStyle="1" w:styleId="afffffffffb">
    <w:name w:val="正文文字"/>
    <w:basedOn w:val="a0"/>
    <w:qFormat/>
    <w:pPr>
      <w:snapToGrid w:val="0"/>
      <w:spacing w:beforeLines="50" w:line="312" w:lineRule="auto"/>
      <w:ind w:firstLineChars="225" w:firstLine="540"/>
    </w:pPr>
    <w:rPr>
      <w:rFonts w:ascii="Arial" w:eastAsia="仿宋_GB2312" w:hAnsi="Arial" w:cs="Arial"/>
      <w:bCs/>
      <w:kern w:val="0"/>
      <w:sz w:val="24"/>
      <w:szCs w:val="24"/>
      <w:lang w:val="de-DE"/>
    </w:rPr>
  </w:style>
  <w:style w:type="paragraph" w:customStyle="1" w:styleId="1ff1">
    <w:name w:val="正文样式1"/>
    <w:basedOn w:val="afb"/>
    <w:qFormat/>
    <w:pPr>
      <w:spacing w:line="360" w:lineRule="auto"/>
      <w:ind w:firstLine="560"/>
    </w:pPr>
    <w:rPr>
      <w:rFonts w:ascii="宋体" w:cs="Courier New"/>
      <w:kern w:val="2"/>
      <w:sz w:val="24"/>
    </w:rPr>
  </w:style>
  <w:style w:type="paragraph" w:customStyle="1" w:styleId="hb3">
    <w:name w:val="hb3"/>
    <w:link w:val="hb3Char"/>
    <w:pPr>
      <w:spacing w:beforeLines="100" w:afterLines="50" w:line="360" w:lineRule="auto"/>
      <w:outlineLvl w:val="2"/>
    </w:pPr>
    <w:rPr>
      <w:b/>
      <w:kern w:val="2"/>
      <w:sz w:val="24"/>
      <w:szCs w:val="24"/>
    </w:rPr>
  </w:style>
  <w:style w:type="character" w:customStyle="1" w:styleId="hb3Char">
    <w:name w:val="hb3 Char"/>
    <w:basedOn w:val="a1"/>
    <w:link w:val="hb3"/>
    <w:rPr>
      <w:rFonts w:ascii="Times New Roman" w:eastAsia="宋体" w:hAnsi="Times New Roman" w:cs="Times New Roman"/>
      <w:b/>
      <w:sz w:val="24"/>
      <w:szCs w:val="24"/>
    </w:rPr>
  </w:style>
  <w:style w:type="character" w:customStyle="1" w:styleId="Char1f">
    <w:name w:val="正文文本 Char1"/>
    <w:basedOn w:val="a1"/>
    <w:qFormat/>
    <w:rPr>
      <w:rFonts w:eastAsia="宋体"/>
      <w:kern w:val="2"/>
      <w:sz w:val="21"/>
      <w:szCs w:val="24"/>
      <w:lang w:val="en-US" w:eastAsia="zh-CN" w:bidi="ar-SA"/>
    </w:rPr>
  </w:style>
  <w:style w:type="paragraph" w:customStyle="1" w:styleId="dh">
    <w:name w:val="正文dh"/>
    <w:basedOn w:val="a0"/>
    <w:qFormat/>
    <w:pPr>
      <w:spacing w:line="520" w:lineRule="exact"/>
      <w:ind w:firstLineChars="200" w:firstLine="482"/>
    </w:pPr>
    <w:rPr>
      <w:rFonts w:ascii="宋体" w:eastAsia="宋体" w:hAnsi="Times New Roman" w:cs="Times New Roman"/>
      <w:sz w:val="24"/>
      <w:szCs w:val="20"/>
    </w:rPr>
  </w:style>
  <w:style w:type="paragraph" w:customStyle="1" w:styleId="hb2">
    <w:name w:val="hb2"/>
    <w:basedOn w:val="2"/>
    <w:link w:val="hb2Char"/>
    <w:qFormat/>
    <w:pPr>
      <w:tabs>
        <w:tab w:val="left" w:pos="720"/>
        <w:tab w:val="left" w:pos="1440"/>
      </w:tabs>
      <w:adjustRightInd w:val="0"/>
      <w:spacing w:beforeLines="50" w:line="360" w:lineRule="auto"/>
      <w:ind w:firstLineChars="0" w:firstLine="0"/>
      <w:textAlignment w:val="baseline"/>
    </w:pPr>
    <w:rPr>
      <w:rFonts w:ascii="黑体"/>
      <w:bCs/>
      <w:sz w:val="28"/>
      <w:szCs w:val="28"/>
    </w:rPr>
  </w:style>
  <w:style w:type="character" w:customStyle="1" w:styleId="hb2Char">
    <w:name w:val="hb2 Char"/>
    <w:basedOn w:val="a1"/>
    <w:link w:val="hb2"/>
    <w:qFormat/>
    <w:rPr>
      <w:rFonts w:ascii="黑体" w:eastAsia="黑体" w:hAnsi="Times New Roman" w:cs="Times New Roman"/>
      <w:bCs/>
      <w:kern w:val="0"/>
      <w:sz w:val="28"/>
      <w:szCs w:val="28"/>
    </w:rPr>
  </w:style>
  <w:style w:type="paragraph" w:customStyle="1" w:styleId="hb1">
    <w:name w:val="hb1"/>
    <w:link w:val="hb1Char"/>
    <w:pPr>
      <w:spacing w:beforeLines="100" w:afterLines="100"/>
      <w:jc w:val="center"/>
      <w:outlineLvl w:val="0"/>
    </w:pPr>
    <w:rPr>
      <w:rFonts w:eastAsia="黑体"/>
      <w:b/>
      <w:sz w:val="32"/>
      <w:szCs w:val="32"/>
    </w:rPr>
  </w:style>
  <w:style w:type="character" w:customStyle="1" w:styleId="hb1Char">
    <w:name w:val="hb1 Char"/>
    <w:basedOn w:val="a1"/>
    <w:link w:val="hb1"/>
    <w:qFormat/>
    <w:rPr>
      <w:rFonts w:ascii="Times New Roman" w:eastAsia="黑体" w:hAnsi="Times New Roman" w:cs="Times New Roman"/>
      <w:b/>
      <w:kern w:val="0"/>
      <w:sz w:val="32"/>
      <w:szCs w:val="32"/>
    </w:rPr>
  </w:style>
  <w:style w:type="character" w:customStyle="1" w:styleId="Charff1">
    <w:name w:val="节，一 Char"/>
    <w:basedOn w:val="a1"/>
    <w:qFormat/>
    <w:rPr>
      <w:rFonts w:ascii="Arial" w:eastAsia="黑体" w:hAnsi="Arial"/>
      <w:b/>
      <w:bCs/>
      <w:kern w:val="2"/>
      <w:sz w:val="32"/>
      <w:szCs w:val="32"/>
      <w:lang w:val="en-US" w:eastAsia="zh-CN" w:bidi="ar-SA"/>
    </w:rPr>
  </w:style>
  <w:style w:type="character" w:customStyle="1" w:styleId="Charff2">
    <w:name w:val="(一) Char"/>
    <w:basedOn w:val="a1"/>
    <w:qFormat/>
    <w:rPr>
      <w:rFonts w:ascii="Arial" w:eastAsia="黑体" w:hAnsi="Arial"/>
      <w:b/>
      <w:kern w:val="2"/>
      <w:sz w:val="28"/>
      <w:lang w:val="en-US" w:eastAsia="zh-CN" w:bidi="ar-SA"/>
    </w:rPr>
  </w:style>
  <w:style w:type="paragraph" w:customStyle="1" w:styleId="CharCharChar2Char1">
    <w:name w:val="Char Char Char2 Char1"/>
    <w:basedOn w:val="a0"/>
    <w:qFormat/>
    <w:pPr>
      <w:spacing w:line="360" w:lineRule="auto"/>
      <w:ind w:firstLineChars="200" w:firstLine="200"/>
    </w:pPr>
    <w:rPr>
      <w:rFonts w:ascii="宋体" w:eastAsia="宋体" w:hAnsi="宋体" w:cs="宋体"/>
      <w:sz w:val="24"/>
      <w:szCs w:val="24"/>
    </w:rPr>
  </w:style>
  <w:style w:type="character" w:customStyle="1" w:styleId="mystyle1">
    <w:name w:val="mystyle1"/>
    <w:basedOn w:val="a1"/>
    <w:qFormat/>
  </w:style>
  <w:style w:type="paragraph" w:customStyle="1" w:styleId="afffffffffc">
    <w:name w:val="段"/>
    <w:qFormat/>
    <w:pPr>
      <w:autoSpaceDE w:val="0"/>
      <w:autoSpaceDN w:val="0"/>
      <w:ind w:firstLineChars="200" w:firstLine="200"/>
      <w:jc w:val="both"/>
    </w:pPr>
    <w:rPr>
      <w:rFonts w:ascii="宋体"/>
      <w:sz w:val="21"/>
    </w:rPr>
  </w:style>
  <w:style w:type="paragraph" w:customStyle="1" w:styleId="59">
    <w:name w:val="表5号字"/>
    <w:qFormat/>
    <w:pPr>
      <w:keepNext/>
      <w:widowControl w:val="0"/>
      <w:tabs>
        <w:tab w:val="left" w:pos="720"/>
      </w:tabs>
      <w:adjustRightInd w:val="0"/>
      <w:spacing w:before="120" w:line="60" w:lineRule="atLeast"/>
      <w:ind w:left="720" w:hanging="720"/>
      <w:jc w:val="center"/>
    </w:pPr>
    <w:rPr>
      <w:sz w:val="21"/>
    </w:rPr>
  </w:style>
  <w:style w:type="character" w:customStyle="1" w:styleId="CharChar9">
    <w:name w:val="表号 Char Char"/>
    <w:basedOn w:val="a1"/>
    <w:qFormat/>
    <w:locked/>
    <w:rPr>
      <w:rFonts w:eastAsia="宋体"/>
      <w:sz w:val="24"/>
      <w:szCs w:val="24"/>
      <w:lang w:val="en-US" w:eastAsia="zh-CN" w:bidi="ar-SA"/>
    </w:rPr>
  </w:style>
  <w:style w:type="paragraph" w:customStyle="1" w:styleId="hp2">
    <w:name w:val="hp2"/>
    <w:basedOn w:val="2"/>
    <w:qFormat/>
    <w:pPr>
      <w:tabs>
        <w:tab w:val="left" w:pos="720"/>
        <w:tab w:val="left" w:pos="1440"/>
      </w:tabs>
      <w:spacing w:line="360" w:lineRule="auto"/>
      <w:ind w:firstLineChars="0" w:firstLine="0"/>
    </w:pPr>
    <w:rPr>
      <w:rFonts w:ascii="黑体" w:eastAsia="宋体"/>
      <w:kern w:val="2"/>
      <w:sz w:val="28"/>
      <w:szCs w:val="32"/>
    </w:rPr>
  </w:style>
  <w:style w:type="paragraph" w:customStyle="1" w:styleId="hb4050526">
    <w:name w:val="样式 hb4 + 段前: 0.5 行 段后: 0.5 行 行距: 固定值 26 磅"/>
    <w:basedOn w:val="a0"/>
    <w:qFormat/>
    <w:pPr>
      <w:keepNext/>
      <w:keepLines/>
      <w:spacing w:before="156" w:after="156" w:line="520" w:lineRule="exact"/>
      <w:outlineLvl w:val="3"/>
    </w:pPr>
    <w:rPr>
      <w:rFonts w:ascii="Times New Roman" w:eastAsia="宋体" w:hAnsi="Arial" w:cs="宋体"/>
      <w:bCs/>
      <w:snapToGrid w:val="0"/>
      <w:kern w:val="24"/>
      <w:sz w:val="24"/>
      <w:szCs w:val="20"/>
    </w:rPr>
  </w:style>
  <w:style w:type="paragraph" w:customStyle="1" w:styleId="afffffffffd">
    <w:name w:val="正文 + 宋体"/>
    <w:basedOn w:val="a0"/>
    <w:qFormat/>
    <w:pPr>
      <w:spacing w:line="520" w:lineRule="exact"/>
      <w:ind w:firstLineChars="200" w:firstLine="200"/>
    </w:pPr>
    <w:rPr>
      <w:rFonts w:ascii="宋体" w:eastAsia="宋体" w:hAnsi="宋体" w:cs="Times New Roman"/>
      <w:sz w:val="24"/>
      <w:szCs w:val="24"/>
    </w:rPr>
  </w:style>
  <w:style w:type="paragraph" w:customStyle="1" w:styleId="02">
    <w:name w:val="样式 表号 + 左侧:  0 厘米"/>
    <w:basedOn w:val="affffffff2"/>
    <w:qFormat/>
    <w:pPr>
      <w:widowControl/>
      <w:adjustRightInd/>
      <w:spacing w:line="240" w:lineRule="auto"/>
      <w:ind w:firstLineChars="0" w:firstLine="0"/>
      <w:jc w:val="left"/>
    </w:pPr>
    <w:rPr>
      <w:rFonts w:ascii="Times New Roman" w:eastAsia="宋体" w:hAnsi="Times New Roman"/>
      <w:kern w:val="0"/>
      <w:szCs w:val="20"/>
    </w:rPr>
  </w:style>
  <w:style w:type="paragraph" w:customStyle="1" w:styleId="hp1">
    <w:name w:val="hp1"/>
    <w:basedOn w:val="1"/>
    <w:qFormat/>
    <w:pPr>
      <w:widowControl/>
      <w:tabs>
        <w:tab w:val="left" w:pos="720"/>
      </w:tabs>
      <w:spacing w:line="578" w:lineRule="atLeast"/>
      <w:ind w:firstLineChars="200" w:firstLine="200"/>
      <w:jc w:val="center"/>
    </w:pPr>
    <w:rPr>
      <w:rFonts w:ascii="黑体" w:hAnsi="宋体"/>
      <w:b/>
      <w:sz w:val="32"/>
      <w:szCs w:val="28"/>
    </w:rPr>
  </w:style>
  <w:style w:type="paragraph" w:customStyle="1" w:styleId="afffffffffe">
    <w:name w:val="样式 正文段落 + 五号"/>
    <w:basedOn w:val="affffffffff"/>
    <w:qFormat/>
    <w:pPr>
      <w:ind w:firstLineChars="0" w:firstLine="0"/>
    </w:pPr>
    <w:rPr>
      <w:rFonts w:ascii="Arial Narrow" w:eastAsia="汉鼎简书宋" w:hAnsi="Arial Narrow"/>
      <w:sz w:val="21"/>
      <w:szCs w:val="20"/>
    </w:rPr>
  </w:style>
  <w:style w:type="paragraph" w:customStyle="1" w:styleId="affffffffff">
    <w:name w:val="正文段落"/>
    <w:basedOn w:val="a0"/>
    <w:qFormat/>
    <w:pPr>
      <w:topLinePunct/>
      <w:autoSpaceDN w:val="0"/>
      <w:adjustRightInd w:val="0"/>
      <w:spacing w:line="500" w:lineRule="exact"/>
      <w:ind w:firstLineChars="200" w:firstLine="480"/>
      <w:jc w:val="center"/>
      <w:textAlignment w:val="baseline"/>
    </w:pPr>
    <w:rPr>
      <w:rFonts w:ascii="宋体" w:eastAsia="宋体" w:hAnsi="Arial" w:cs="Times New Roman"/>
      <w:kern w:val="0"/>
      <w:sz w:val="24"/>
      <w:szCs w:val="24"/>
    </w:rPr>
  </w:style>
  <w:style w:type="paragraph" w:customStyle="1" w:styleId="101">
    <w:name w:val="样式10"/>
    <w:basedOn w:val="afb"/>
    <w:qFormat/>
    <w:pPr>
      <w:spacing w:line="500" w:lineRule="exact"/>
      <w:ind w:firstLine="200"/>
    </w:pPr>
    <w:rPr>
      <w:rFonts w:ascii="宋体"/>
      <w:b/>
      <w:kern w:val="2"/>
      <w:sz w:val="28"/>
      <w:szCs w:val="20"/>
    </w:rPr>
  </w:style>
  <w:style w:type="character" w:customStyle="1" w:styleId="hb4Char">
    <w:name w:val="hb4 Char"/>
    <w:basedOn w:val="a1"/>
    <w:qFormat/>
    <w:locked/>
    <w:rPr>
      <w:rFonts w:eastAsia="宋体" w:hAnsi="Arial" w:cs="宋体"/>
      <w:b/>
      <w:bCs/>
      <w:kern w:val="24"/>
      <w:sz w:val="24"/>
      <w:lang w:val="en-US" w:eastAsia="zh-CN" w:bidi="ar-SA"/>
    </w:rPr>
  </w:style>
  <w:style w:type="character" w:customStyle="1" w:styleId="Char1f0">
    <w:name w:val="表文字 Char1"/>
    <w:basedOn w:val="a1"/>
    <w:qFormat/>
    <w:rPr>
      <w:rFonts w:eastAsia="宋体"/>
      <w:sz w:val="21"/>
      <w:szCs w:val="21"/>
      <w:lang w:val="en-US" w:eastAsia="zh-CN" w:bidi="ar-SA"/>
    </w:rPr>
  </w:style>
  <w:style w:type="character" w:customStyle="1" w:styleId="2Char1">
    <w:name w:val="样式 样式 首行缩进:  2 字符 + 宋体 Char"/>
    <w:basedOn w:val="a1"/>
    <w:qFormat/>
    <w:rPr>
      <w:rFonts w:ascii="宋体" w:eastAsia="宋体" w:hAnsi="宋体" w:cs="宋体"/>
      <w:kern w:val="2"/>
      <w:sz w:val="24"/>
      <w:szCs w:val="24"/>
      <w:lang w:val="en-US" w:eastAsia="zh-CN" w:bidi="ar-SA"/>
    </w:rPr>
  </w:style>
  <w:style w:type="character" w:customStyle="1" w:styleId="Charff3">
    <w:name w:val="正文 + 宋体 Char"/>
    <w:basedOn w:val="a1"/>
    <w:qFormat/>
    <w:rPr>
      <w:rFonts w:ascii="宋体" w:eastAsia="宋体" w:hAnsi="宋体" w:cs="宋体"/>
      <w:kern w:val="2"/>
      <w:sz w:val="24"/>
      <w:szCs w:val="24"/>
      <w:lang w:val="en-US" w:eastAsia="zh-CN" w:bidi="ar-SA"/>
    </w:rPr>
  </w:style>
  <w:style w:type="paragraph" w:customStyle="1" w:styleId="114">
    <w:name w:val="样式11"/>
    <w:basedOn w:val="afb"/>
    <w:qFormat/>
    <w:pPr>
      <w:adjustRightInd w:val="0"/>
      <w:snapToGrid w:val="0"/>
      <w:spacing w:line="500" w:lineRule="exact"/>
      <w:ind w:firstLine="200"/>
      <w:jc w:val="center"/>
    </w:pPr>
    <w:rPr>
      <w:rFonts w:ascii="黑体" w:eastAsia="黑体" w:cs="黑体"/>
      <w:b/>
      <w:bCs/>
      <w:kern w:val="2"/>
      <w:sz w:val="32"/>
      <w:szCs w:val="32"/>
    </w:rPr>
  </w:style>
  <w:style w:type="paragraph" w:customStyle="1" w:styleId="201">
    <w:name w:val="样式 行距: 最小值 20 磅"/>
    <w:basedOn w:val="a0"/>
    <w:next w:val="af5"/>
    <w:qFormat/>
    <w:pPr>
      <w:adjustRightInd w:val="0"/>
      <w:spacing w:line="400" w:lineRule="atLeast"/>
      <w:ind w:firstLineChars="200" w:firstLine="200"/>
      <w:jc w:val="left"/>
      <w:textAlignment w:val="baseline"/>
    </w:pPr>
    <w:rPr>
      <w:rFonts w:ascii="Times New Roman" w:eastAsia="汉鼎简书宋" w:hAnsi="Times New Roman" w:cs="Times New Roman"/>
      <w:kern w:val="0"/>
      <w:sz w:val="24"/>
      <w:szCs w:val="24"/>
    </w:rPr>
  </w:style>
  <w:style w:type="paragraph" w:customStyle="1" w:styleId="xl53">
    <w:name w:val="xl53"/>
    <w:basedOn w:val="a0"/>
    <w:qFormat/>
    <w:pPr>
      <w:widowControl/>
      <w:pBdr>
        <w:top w:val="single" w:sz="4" w:space="0" w:color="auto"/>
        <w:left w:val="single" w:sz="4" w:space="0" w:color="auto"/>
        <w:bottom w:val="single" w:sz="8" w:space="0" w:color="auto"/>
        <w:right w:val="single" w:sz="8" w:space="0" w:color="auto"/>
      </w:pBdr>
      <w:spacing w:before="100" w:beforeAutospacing="1" w:after="100" w:afterAutospacing="1"/>
      <w:ind w:firstLineChars="200" w:firstLine="200"/>
      <w:jc w:val="center"/>
      <w:textAlignment w:val="center"/>
    </w:pPr>
    <w:rPr>
      <w:rFonts w:ascii="宋体" w:eastAsia="汉鼎简书宋" w:hAnsi="宋体" w:cs="宋体"/>
      <w:kern w:val="0"/>
      <w:sz w:val="20"/>
      <w:szCs w:val="20"/>
    </w:rPr>
  </w:style>
  <w:style w:type="paragraph" w:customStyle="1" w:styleId="xl54">
    <w:name w:val="xl54"/>
    <w:basedOn w:val="a0"/>
    <w:qFormat/>
    <w:pPr>
      <w:widowControl/>
      <w:pBdr>
        <w:bottom w:val="single" w:sz="8" w:space="0" w:color="auto"/>
      </w:pBdr>
      <w:spacing w:before="100" w:beforeAutospacing="1" w:after="100" w:afterAutospacing="1"/>
      <w:ind w:firstLineChars="200" w:firstLine="200"/>
      <w:jc w:val="center"/>
      <w:textAlignment w:val="center"/>
    </w:pPr>
    <w:rPr>
      <w:rFonts w:ascii="宋体" w:eastAsia="汉鼎简书宋" w:hAnsi="宋体" w:cs="宋体"/>
      <w:b/>
      <w:bCs/>
      <w:kern w:val="0"/>
      <w:sz w:val="28"/>
      <w:szCs w:val="28"/>
    </w:rPr>
  </w:style>
  <w:style w:type="character" w:customStyle="1" w:styleId="Charff4">
    <w:name w:val="图号 Char"/>
    <w:basedOn w:val="a1"/>
    <w:link w:val="affffffffff0"/>
    <w:rPr>
      <w:rFonts w:ascii="宋体" w:hAnsi="宋体" w:cs="宋体"/>
      <w:b/>
      <w:bCs/>
      <w:kern w:val="32"/>
      <w:sz w:val="24"/>
      <w:szCs w:val="24"/>
    </w:rPr>
  </w:style>
  <w:style w:type="paragraph" w:customStyle="1" w:styleId="affffffffff0">
    <w:name w:val="图号"/>
    <w:basedOn w:val="16"/>
    <w:link w:val="Charff4"/>
    <w:pPr>
      <w:adjustRightInd w:val="0"/>
      <w:spacing w:line="529" w:lineRule="exact"/>
      <w:ind w:left="198" w:firstLineChars="150" w:firstLine="315"/>
      <w:textAlignment w:val="baseline"/>
    </w:pPr>
    <w:rPr>
      <w:rFonts w:ascii="宋体" w:hAnsi="宋体" w:cs="宋体"/>
      <w:b/>
      <w:bCs/>
      <w:kern w:val="32"/>
      <w:sz w:val="24"/>
      <w:szCs w:val="24"/>
    </w:rPr>
  </w:style>
  <w:style w:type="character" w:customStyle="1" w:styleId="Charff5">
    <w:name w:val="样式 图号 + 宋体 Char"/>
    <w:basedOn w:val="Charff4"/>
    <w:link w:val="affffffffff1"/>
    <w:qFormat/>
    <w:rPr>
      <w:rFonts w:ascii="宋体" w:hAnsi="宋体" w:cs="宋体"/>
      <w:b/>
      <w:bCs/>
      <w:kern w:val="32"/>
      <w:sz w:val="24"/>
      <w:szCs w:val="24"/>
    </w:rPr>
  </w:style>
  <w:style w:type="paragraph" w:customStyle="1" w:styleId="affffffffff1">
    <w:name w:val="样式 图号 + 宋体"/>
    <w:basedOn w:val="affffffffff0"/>
    <w:link w:val="Charff5"/>
    <w:qFormat/>
    <w:pPr>
      <w:ind w:firstLineChars="200" w:firstLine="200"/>
    </w:pPr>
  </w:style>
  <w:style w:type="paragraph" w:customStyle="1" w:styleId="5a">
    <w:name w:val="5"/>
    <w:basedOn w:val="a0"/>
    <w:qFormat/>
    <w:pPr>
      <w:snapToGrid w:val="0"/>
      <w:spacing w:line="408" w:lineRule="auto"/>
      <w:ind w:right="-510"/>
    </w:pPr>
    <w:rPr>
      <w:rFonts w:ascii="Times New Roman" w:eastAsia="汉鼎简书宋" w:hAnsi="Times New Roman" w:cs="Times New Roman"/>
      <w:sz w:val="24"/>
      <w:szCs w:val="20"/>
    </w:rPr>
  </w:style>
  <w:style w:type="character" w:customStyle="1" w:styleId="affffffffff2">
    <w:name w:val="样式 (中文) 隶书 一号 加粗"/>
    <w:basedOn w:val="a1"/>
    <w:qFormat/>
    <w:rPr>
      <w:rFonts w:ascii="宋体" w:eastAsia="隶书" w:hAnsi="宋体" w:cs="宋体"/>
      <w:b/>
      <w:bCs/>
      <w:w w:val="73"/>
      <w:kern w:val="0"/>
      <w:sz w:val="44"/>
      <w:szCs w:val="24"/>
      <w:lang w:val="en-US" w:eastAsia="zh-CN" w:bidi="ar-SA"/>
    </w:rPr>
  </w:style>
  <w:style w:type="paragraph" w:customStyle="1" w:styleId="360">
    <w:name w:val="样式 一号 加粗 居中 行距: 固定值 36 磅"/>
    <w:basedOn w:val="a0"/>
    <w:qFormat/>
    <w:pPr>
      <w:spacing w:line="720" w:lineRule="exact"/>
      <w:jc w:val="center"/>
    </w:pPr>
    <w:rPr>
      <w:rFonts w:ascii="Times New Roman" w:eastAsia="汉鼎简书宋" w:hAnsi="Times New Roman" w:cs="宋体"/>
      <w:b/>
      <w:bCs/>
      <w:kern w:val="0"/>
      <w:sz w:val="48"/>
      <w:szCs w:val="48"/>
    </w:rPr>
  </w:style>
  <w:style w:type="paragraph" w:customStyle="1" w:styleId="affffffffff3">
    <w:name w:val="样式 日期 + 黑体"/>
    <w:basedOn w:val="afd"/>
    <w:qFormat/>
    <w:pPr>
      <w:spacing w:line="500" w:lineRule="exact"/>
      <w:ind w:leftChars="0" w:left="0" w:firstLineChars="0" w:firstLine="0"/>
    </w:pPr>
    <w:rPr>
      <w:rFonts w:ascii="黑体" w:eastAsia="黑体" w:hAnsi="黑体"/>
      <w:b/>
      <w:spacing w:val="40"/>
      <w:kern w:val="2"/>
      <w:sz w:val="30"/>
      <w:szCs w:val="30"/>
    </w:rPr>
  </w:style>
  <w:style w:type="paragraph" w:customStyle="1" w:styleId="20125">
    <w:name w:val="样式 (西文) 宋体 首行缩进:  2 字符 加宽量  0.1 磅 行距: 固定值 25 磅"/>
    <w:basedOn w:val="a0"/>
    <w:qFormat/>
    <w:pPr>
      <w:topLinePunct/>
      <w:spacing w:line="500" w:lineRule="exact"/>
      <w:ind w:firstLineChars="200" w:firstLine="488"/>
    </w:pPr>
    <w:rPr>
      <w:rFonts w:ascii="宋体" w:eastAsia="汉鼎简书宋" w:hAnsi="宋体" w:cs="宋体"/>
      <w:spacing w:val="2"/>
      <w:sz w:val="24"/>
      <w:szCs w:val="20"/>
    </w:rPr>
  </w:style>
  <w:style w:type="paragraph" w:customStyle="1" w:styleId="0850">
    <w:name w:val="样式 左侧:  0.85 厘米 首行缩进:  0 字符"/>
    <w:basedOn w:val="a0"/>
    <w:qFormat/>
    <w:pPr>
      <w:topLinePunct/>
      <w:spacing w:line="529" w:lineRule="exact"/>
      <w:ind w:left="480"/>
    </w:pPr>
    <w:rPr>
      <w:rFonts w:ascii="Times New Roman" w:eastAsia="汉鼎简书宋" w:hAnsi="Times New Roman" w:cs="宋体"/>
      <w:sz w:val="24"/>
      <w:szCs w:val="20"/>
    </w:rPr>
  </w:style>
  <w:style w:type="character" w:customStyle="1" w:styleId="hb3Char1">
    <w:name w:val="hb3 Char1"/>
    <w:qFormat/>
    <w:rPr>
      <w:rFonts w:eastAsia="宋体"/>
      <w:b/>
      <w:bCs/>
      <w:kern w:val="2"/>
      <w:sz w:val="24"/>
      <w:szCs w:val="24"/>
      <w:lang w:val="en-US" w:eastAsia="zh-CN" w:bidi="ar-SA"/>
    </w:rPr>
  </w:style>
  <w:style w:type="character" w:customStyle="1" w:styleId="Charff6">
    <w:name w:val="表号 Char"/>
    <w:basedOn w:val="a1"/>
    <w:qFormat/>
    <w:locked/>
    <w:rPr>
      <w:rFonts w:ascii="宋体" w:eastAsia="宋体" w:hAnsi="宋体" w:cs="宋体"/>
      <w:kern w:val="2"/>
      <w:sz w:val="24"/>
      <w:szCs w:val="24"/>
      <w:lang w:val="en-US" w:eastAsia="zh-CN" w:bidi="ar-SA"/>
    </w:rPr>
  </w:style>
  <w:style w:type="character" w:customStyle="1" w:styleId="Charff7">
    <w:name w:val="表文字 Char"/>
    <w:basedOn w:val="a1"/>
    <w:qFormat/>
    <w:rPr>
      <w:rFonts w:ascii="宋体" w:eastAsia="宋体" w:hAnsi="宋体" w:cs="宋体"/>
      <w:kern w:val="2"/>
      <w:sz w:val="21"/>
      <w:szCs w:val="21"/>
      <w:lang w:val="en-US" w:eastAsia="zh-CN" w:bidi="ar-SA"/>
    </w:rPr>
  </w:style>
  <w:style w:type="paragraph" w:customStyle="1" w:styleId="affffffffff4">
    <w:name w:val="环保章标题"/>
    <w:basedOn w:val="30"/>
    <w:qFormat/>
    <w:pPr>
      <w:tabs>
        <w:tab w:val="left" w:pos="720"/>
        <w:tab w:val="left" w:pos="2160"/>
      </w:tabs>
      <w:adjustRightInd w:val="0"/>
      <w:spacing w:line="416" w:lineRule="atLeast"/>
      <w:ind w:firstLineChars="200" w:firstLine="480"/>
      <w:textAlignment w:val="baseline"/>
    </w:pPr>
    <w:rPr>
      <w:rFonts w:ascii="Times New Roman" w:eastAsia="宋体" w:hAnsi="Times New Roman" w:cs="Times New Roman"/>
      <w:kern w:val="0"/>
      <w:sz w:val="28"/>
      <w:szCs w:val="28"/>
    </w:rPr>
  </w:style>
  <w:style w:type="character" w:customStyle="1" w:styleId="hb3CharChar">
    <w:name w:val="样式 hb3 Char Char + 非加粗"/>
    <w:basedOn w:val="a1"/>
    <w:qFormat/>
    <w:rPr>
      <w:rFonts w:ascii="宋体" w:eastAsia="宋体" w:hAnsi="宋体" w:cs="宋体"/>
      <w:b/>
      <w:bCs/>
      <w:kern w:val="2"/>
      <w:sz w:val="24"/>
      <w:szCs w:val="32"/>
      <w:lang w:val="en-US" w:eastAsia="zh-CN" w:bidi="ar-SA"/>
    </w:rPr>
  </w:style>
  <w:style w:type="character" w:customStyle="1" w:styleId="hb3CharChar0">
    <w:name w:val="hb3 Char Char"/>
    <w:basedOn w:val="a1"/>
    <w:qFormat/>
    <w:rPr>
      <w:rFonts w:ascii="宋体" w:eastAsia="宋体" w:hAnsi="宋体" w:cs="宋体"/>
      <w:b/>
      <w:bCs/>
      <w:kern w:val="2"/>
      <w:sz w:val="24"/>
      <w:szCs w:val="32"/>
      <w:lang w:val="en-US" w:eastAsia="zh-CN" w:bidi="ar-SA"/>
    </w:rPr>
  </w:style>
  <w:style w:type="character" w:customStyle="1" w:styleId="hp2Char">
    <w:name w:val="hp2 Char"/>
    <w:basedOn w:val="hb3Char"/>
    <w:qFormat/>
    <w:rPr>
      <w:rFonts w:ascii="宋体" w:eastAsia="宋体" w:hAnsi="宋体" w:cs="宋体"/>
      <w:b w:val="0"/>
      <w:bCs/>
      <w:sz w:val="32"/>
      <w:szCs w:val="24"/>
    </w:rPr>
  </w:style>
  <w:style w:type="character" w:customStyle="1" w:styleId="Char1f1">
    <w:name w:val="表号 Char1"/>
    <w:basedOn w:val="a1"/>
    <w:qFormat/>
    <w:locked/>
    <w:rPr>
      <w:rFonts w:ascii="宋体" w:eastAsia="宋体" w:hAnsi="宋体" w:cs="宋体"/>
      <w:bCs/>
      <w:kern w:val="2"/>
      <w:sz w:val="24"/>
      <w:szCs w:val="24"/>
      <w:lang w:val="en-US" w:eastAsia="zh-CN" w:bidi="ar-SA"/>
    </w:rPr>
  </w:style>
  <w:style w:type="paragraph" w:customStyle="1" w:styleId="hb405051">
    <w:name w:val="样式 hb4 + 段前: 0.5 行 段后: 0.5 行1"/>
    <w:basedOn w:val="a0"/>
    <w:next w:val="hb4"/>
    <w:qFormat/>
    <w:pPr>
      <w:keepNext/>
      <w:keepLines/>
      <w:topLinePunct/>
      <w:outlineLvl w:val="3"/>
    </w:pPr>
    <w:rPr>
      <w:rFonts w:ascii="Times New Roman" w:eastAsia="宋体" w:hAnsi="Times New Roman" w:cs="宋体"/>
      <w:b/>
      <w:bCs/>
      <w:snapToGrid w:val="0"/>
      <w:color w:val="000000"/>
      <w:kern w:val="0"/>
      <w:sz w:val="24"/>
      <w:szCs w:val="20"/>
    </w:rPr>
  </w:style>
  <w:style w:type="paragraph" w:customStyle="1" w:styleId="hb4">
    <w:name w:val="hb4"/>
    <w:pPr>
      <w:keepNext/>
      <w:keepLines/>
      <w:spacing w:beforeLines="50" w:afterLines="50" w:line="529" w:lineRule="exact"/>
      <w:outlineLvl w:val="3"/>
    </w:pPr>
    <w:rPr>
      <w:bCs/>
      <w:kern w:val="24"/>
      <w:sz w:val="24"/>
      <w:szCs w:val="24"/>
    </w:rPr>
  </w:style>
  <w:style w:type="paragraph" w:customStyle="1" w:styleId="hb40505">
    <w:name w:val="样式 hb4 + 段前: 0.5 行 段后: 0.5 行"/>
    <w:basedOn w:val="a0"/>
    <w:next w:val="hb4"/>
    <w:qFormat/>
    <w:pPr>
      <w:keepNext/>
      <w:keepLines/>
      <w:topLinePunct/>
      <w:outlineLvl w:val="3"/>
    </w:pPr>
    <w:rPr>
      <w:rFonts w:ascii="Times New Roman" w:eastAsia="宋体" w:hAnsi="Times New Roman" w:cs="宋体"/>
      <w:b/>
      <w:bCs/>
      <w:snapToGrid w:val="0"/>
      <w:kern w:val="0"/>
      <w:sz w:val="24"/>
      <w:szCs w:val="20"/>
    </w:rPr>
  </w:style>
  <w:style w:type="paragraph" w:customStyle="1" w:styleId="0144">
    <w:name w:val="样式 正文 + 左侧:  0 厘米 悬挂缩进: 14.4 字符"/>
    <w:basedOn w:val="a0"/>
    <w:qFormat/>
    <w:pPr>
      <w:widowControl/>
      <w:spacing w:line="529" w:lineRule="exact"/>
      <w:ind w:firstLineChars="200" w:firstLine="200"/>
      <w:jc w:val="left"/>
    </w:pPr>
    <w:rPr>
      <w:rFonts w:ascii="Times New Roman" w:eastAsia="宋体" w:hAnsi="Times New Roman" w:cs="宋体"/>
      <w:sz w:val="24"/>
      <w:szCs w:val="20"/>
    </w:rPr>
  </w:style>
  <w:style w:type="paragraph" w:customStyle="1" w:styleId="affffffffff5">
    <w:name w:val="样式 表文字 +"/>
    <w:basedOn w:val="affffffff9"/>
    <w:next w:val="affffffff9"/>
    <w:qFormat/>
    <w:pPr>
      <w:topLinePunct/>
      <w:adjustRightInd w:val="0"/>
      <w:spacing w:line="240" w:lineRule="exact"/>
      <w:ind w:firstLineChars="0" w:firstLine="0"/>
      <w:jc w:val="center"/>
      <w:textAlignment w:val="baseline"/>
    </w:pPr>
    <w:rPr>
      <w:rFonts w:cs="宋体"/>
    </w:rPr>
  </w:style>
  <w:style w:type="paragraph" w:customStyle="1" w:styleId="440">
    <w:name w:val="样式 样式 表文字 + 左  4 字符 + 左  4 字符"/>
    <w:basedOn w:val="a0"/>
    <w:qFormat/>
    <w:pPr>
      <w:topLinePunct/>
      <w:adjustRightInd w:val="0"/>
      <w:spacing w:line="240" w:lineRule="exact"/>
      <w:jc w:val="center"/>
      <w:textAlignment w:val="baseline"/>
    </w:pPr>
    <w:rPr>
      <w:rFonts w:ascii="Times New Roman" w:eastAsia="宋体" w:hAnsi="Times New Roman" w:cs="宋体"/>
      <w:szCs w:val="20"/>
    </w:rPr>
  </w:style>
  <w:style w:type="paragraph" w:customStyle="1" w:styleId="49">
    <w:name w:val="样式 表文字 + 左  4 字符"/>
    <w:basedOn w:val="affffffff9"/>
    <w:qFormat/>
    <w:pPr>
      <w:topLinePunct/>
      <w:adjustRightInd w:val="0"/>
      <w:spacing w:line="240" w:lineRule="exact"/>
      <w:ind w:firstLineChars="0" w:firstLine="0"/>
      <w:jc w:val="center"/>
      <w:textAlignment w:val="baseline"/>
    </w:pPr>
    <w:rPr>
      <w:rFonts w:cs="宋体"/>
    </w:rPr>
  </w:style>
  <w:style w:type="paragraph" w:customStyle="1" w:styleId="hb40">
    <w:name w:val="样式 hb4 + 首行缩进:  0 厘米"/>
    <w:basedOn w:val="a0"/>
    <w:qFormat/>
    <w:pPr>
      <w:keepNext/>
      <w:keepLines/>
      <w:spacing w:before="120" w:after="120" w:line="529" w:lineRule="exact"/>
      <w:outlineLvl w:val="3"/>
    </w:pPr>
    <w:rPr>
      <w:rFonts w:ascii="Times New Roman" w:eastAsia="宋体" w:hAnsi="Times New Roman" w:cs="宋体"/>
      <w:bCs/>
      <w:snapToGrid w:val="0"/>
      <w:kern w:val="24"/>
      <w:sz w:val="24"/>
      <w:szCs w:val="24"/>
    </w:rPr>
  </w:style>
  <w:style w:type="character" w:customStyle="1" w:styleId="hb2Char1">
    <w:name w:val="hb2 Char1"/>
    <w:basedOn w:val="a1"/>
    <w:qFormat/>
    <w:rPr>
      <w:rFonts w:ascii="黑体" w:eastAsia="黑体" w:hAnsi="Arial Narrow" w:cs="Arial"/>
      <w:b/>
      <w:bCs/>
      <w:kern w:val="2"/>
      <w:sz w:val="28"/>
      <w:szCs w:val="28"/>
      <w:lang w:val="en-US" w:eastAsia="zh-CN" w:bidi="ar-SA"/>
    </w:rPr>
  </w:style>
  <w:style w:type="paragraph" w:customStyle="1" w:styleId="hb405052">
    <w:name w:val="样式 hb4 + 段前: 0.5 行 段后: 0.5 行2"/>
    <w:basedOn w:val="a0"/>
    <w:qFormat/>
    <w:pPr>
      <w:keepNext/>
      <w:keepLines/>
      <w:spacing w:before="156" w:after="156" w:line="529" w:lineRule="exact"/>
      <w:outlineLvl w:val="3"/>
    </w:pPr>
    <w:rPr>
      <w:rFonts w:ascii="Times New Roman" w:eastAsia="宋体" w:hAnsi="Arial" w:cs="宋体"/>
      <w:bCs/>
      <w:snapToGrid w:val="0"/>
      <w:kern w:val="24"/>
      <w:sz w:val="24"/>
      <w:szCs w:val="20"/>
    </w:rPr>
  </w:style>
  <w:style w:type="paragraph" w:customStyle="1" w:styleId="hb1TimesNewRoman">
    <w:name w:val="样式 hb1 + Times New Roman"/>
    <w:basedOn w:val="hb1"/>
    <w:link w:val="hb1TimesNewRomanChar"/>
    <w:qFormat/>
    <w:pPr>
      <w:keepNext/>
      <w:keepLines/>
      <w:widowControl w:val="0"/>
      <w:topLinePunct/>
      <w:adjustRightInd w:val="0"/>
      <w:spacing w:beforeLines="0" w:afterLines="0" w:line="240" w:lineRule="atLeast"/>
      <w:textAlignment w:val="baseline"/>
    </w:pPr>
    <w:rPr>
      <w:rFonts w:eastAsia="宋体"/>
    </w:rPr>
  </w:style>
  <w:style w:type="character" w:customStyle="1" w:styleId="hb1TimesNewRomanChar">
    <w:name w:val="样式 hb1 + Times New Roman Char"/>
    <w:basedOn w:val="hb1Char"/>
    <w:link w:val="hb1TimesNewRoman"/>
    <w:rPr>
      <w:rFonts w:ascii="Times New Roman" w:eastAsia="宋体" w:hAnsi="Times New Roman" w:cs="Times New Roman"/>
      <w:b/>
      <w:kern w:val="0"/>
      <w:sz w:val="32"/>
      <w:szCs w:val="32"/>
    </w:rPr>
  </w:style>
  <w:style w:type="paragraph" w:customStyle="1" w:styleId="250">
    <w:name w:val="样式 宋体 小四 行距: 固定值 25 磅"/>
    <w:basedOn w:val="a0"/>
    <w:qFormat/>
    <w:pPr>
      <w:spacing w:line="500" w:lineRule="exact"/>
      <w:ind w:firstLine="480"/>
    </w:pPr>
    <w:rPr>
      <w:rFonts w:ascii="Times New Roman" w:eastAsia="宋体" w:hAnsi="Times New Roman" w:cs="Times New Roman"/>
      <w:spacing w:val="2"/>
      <w:sz w:val="24"/>
      <w:szCs w:val="24"/>
    </w:rPr>
  </w:style>
  <w:style w:type="paragraph" w:customStyle="1" w:styleId="affffffffff6">
    <w:name w:val="样式 表文字 + 宋体"/>
    <w:basedOn w:val="affffffff9"/>
    <w:next w:val="affffffff9"/>
    <w:qFormat/>
    <w:pPr>
      <w:topLinePunct/>
      <w:adjustRightInd w:val="0"/>
      <w:spacing w:line="240" w:lineRule="exact"/>
      <w:ind w:firstLineChars="0" w:firstLine="0"/>
      <w:jc w:val="center"/>
      <w:textAlignment w:val="baseline"/>
    </w:pPr>
    <w:rPr>
      <w:rFonts w:ascii="宋体" w:hAnsi="宋体" w:cs="宋体"/>
      <w:kern w:val="0"/>
    </w:rPr>
  </w:style>
  <w:style w:type="paragraph" w:customStyle="1" w:styleId="affffffffff7">
    <w:name w:val="样式 (中文) 汉鼎简书宋"/>
    <w:basedOn w:val="a0"/>
    <w:next w:val="a0"/>
    <w:qFormat/>
    <w:pPr>
      <w:spacing w:line="529" w:lineRule="exact"/>
      <w:ind w:firstLineChars="200" w:firstLine="480"/>
    </w:pPr>
    <w:rPr>
      <w:rFonts w:ascii="Times New Roman" w:eastAsia="宋体" w:hAnsi="Times New Roman" w:cs="宋体"/>
      <w:sz w:val="24"/>
      <w:szCs w:val="20"/>
    </w:rPr>
  </w:style>
  <w:style w:type="paragraph" w:customStyle="1" w:styleId="hb30">
    <w:name w:val="样式 hb3 +"/>
    <w:basedOn w:val="hb3"/>
    <w:link w:val="hb3Char0"/>
    <w:qFormat/>
    <w:pPr>
      <w:keepNext/>
      <w:keepLines/>
      <w:widowControl w:val="0"/>
      <w:adjustRightInd w:val="0"/>
      <w:spacing w:beforeLines="0" w:afterLines="0" w:line="240" w:lineRule="auto"/>
      <w:textAlignment w:val="baseline"/>
    </w:pPr>
    <w:rPr>
      <w:bCs/>
      <w:kern w:val="0"/>
    </w:rPr>
  </w:style>
  <w:style w:type="character" w:customStyle="1" w:styleId="hb3Char0">
    <w:name w:val="样式 hb3 + Char"/>
    <w:basedOn w:val="hb3Char"/>
    <w:link w:val="hb30"/>
    <w:qFormat/>
    <w:rPr>
      <w:rFonts w:ascii="Times New Roman" w:eastAsia="宋体" w:hAnsi="Times New Roman" w:cs="Times New Roman"/>
      <w:b/>
      <w:bCs/>
      <w:kern w:val="0"/>
      <w:sz w:val="24"/>
      <w:szCs w:val="24"/>
    </w:rPr>
  </w:style>
  <w:style w:type="paragraph" w:customStyle="1" w:styleId="hb41">
    <w:name w:val="样式hb4"/>
    <w:basedOn w:val="a0"/>
    <w:link w:val="hb4CharChar"/>
    <w:qFormat/>
    <w:pPr>
      <w:keepNext/>
      <w:keepLines/>
      <w:topLinePunct/>
      <w:adjustRightInd w:val="0"/>
      <w:snapToGrid w:val="0"/>
      <w:spacing w:before="156" w:after="156"/>
      <w:outlineLvl w:val="3"/>
    </w:pPr>
    <w:rPr>
      <w:rFonts w:ascii="Times New Roman" w:eastAsia="Times New Roman" w:hAnsi="Times New Roman" w:cs="Times New Roman"/>
      <w:bCs/>
      <w:snapToGrid w:val="0"/>
      <w:kern w:val="0"/>
      <w:sz w:val="24"/>
      <w:szCs w:val="24"/>
    </w:rPr>
  </w:style>
  <w:style w:type="character" w:customStyle="1" w:styleId="hb4CharChar">
    <w:name w:val="样式hb4 Char Char"/>
    <w:basedOn w:val="a1"/>
    <w:link w:val="hb41"/>
    <w:qFormat/>
    <w:rPr>
      <w:rFonts w:ascii="Times New Roman" w:eastAsia="Times New Roman" w:hAnsi="Times New Roman" w:cs="Times New Roman"/>
      <w:bCs/>
      <w:snapToGrid w:val="0"/>
      <w:kern w:val="0"/>
      <w:sz w:val="24"/>
      <w:szCs w:val="24"/>
    </w:rPr>
  </w:style>
  <w:style w:type="character" w:customStyle="1" w:styleId="neirong1">
    <w:name w:val="neirong1"/>
    <w:basedOn w:val="a1"/>
    <w:qFormat/>
    <w:rPr>
      <w:rFonts w:ascii="ˎ̥" w:eastAsia="宋体" w:hAnsi="ˎ̥" w:cs="宋体" w:hint="default"/>
      <w:kern w:val="2"/>
      <w:sz w:val="22"/>
      <w:szCs w:val="22"/>
      <w:lang w:val="en-US" w:eastAsia="zh-CN" w:bidi="ar-SA"/>
    </w:rPr>
  </w:style>
  <w:style w:type="paragraph" w:customStyle="1" w:styleId="font9">
    <w:name w:val="font9"/>
    <w:basedOn w:val="a0"/>
    <w:qFormat/>
    <w:pPr>
      <w:widowControl/>
      <w:spacing w:before="100" w:beforeAutospacing="1" w:after="100" w:afterAutospacing="1"/>
      <w:jc w:val="left"/>
    </w:pPr>
    <w:rPr>
      <w:rFonts w:ascii="宋体" w:eastAsia="宋体" w:hAnsi="宋体" w:cs="Times New Roman"/>
      <w:kern w:val="0"/>
      <w:sz w:val="28"/>
      <w:szCs w:val="28"/>
    </w:rPr>
  </w:style>
  <w:style w:type="paragraph" w:customStyle="1" w:styleId="03">
    <w:name w:val="样式 表文字 + 首行缩进:  0 字符"/>
    <w:basedOn w:val="affffffff9"/>
    <w:qFormat/>
    <w:pPr>
      <w:overflowPunct w:val="0"/>
      <w:topLinePunct/>
      <w:adjustRightInd w:val="0"/>
      <w:spacing w:line="240" w:lineRule="exact"/>
      <w:ind w:firstLineChars="0" w:firstLine="0"/>
      <w:jc w:val="center"/>
      <w:textAlignment w:val="baseline"/>
    </w:pPr>
  </w:style>
  <w:style w:type="paragraph" w:customStyle="1" w:styleId="325">
    <w:name w:val="样式 正文3 + 行距: 固定值 25 磅"/>
    <w:basedOn w:val="a0"/>
    <w:qFormat/>
    <w:pPr>
      <w:spacing w:line="500" w:lineRule="exact"/>
      <w:ind w:firstLineChars="200" w:firstLine="480"/>
    </w:pPr>
    <w:rPr>
      <w:rFonts w:ascii="宋体" w:eastAsia="宋体" w:hAnsi="宋体" w:cs="宋体"/>
      <w:sz w:val="24"/>
      <w:szCs w:val="20"/>
    </w:rPr>
  </w:style>
  <w:style w:type="paragraph" w:customStyle="1" w:styleId="affffffffff8">
    <w:name w:val="图、表头文字"/>
    <w:basedOn w:val="a0"/>
    <w:qFormat/>
    <w:pPr>
      <w:autoSpaceDE w:val="0"/>
      <w:autoSpaceDN w:val="0"/>
      <w:adjustRightInd w:val="0"/>
      <w:spacing w:before="80" w:after="80"/>
      <w:jc w:val="center"/>
      <w:textAlignment w:val="baseline"/>
    </w:pPr>
    <w:rPr>
      <w:rFonts w:ascii="黑体" w:eastAsia="黑体" w:hAnsi="Times New Roman" w:cs="Times New Roman"/>
      <w:kern w:val="0"/>
      <w:szCs w:val="20"/>
    </w:rPr>
  </w:style>
  <w:style w:type="paragraph" w:customStyle="1" w:styleId="title4">
    <w:name w:val="title4"/>
    <w:basedOn w:val="a0"/>
    <w:qFormat/>
    <w:pPr>
      <w:tabs>
        <w:tab w:val="left" w:pos="432"/>
      </w:tabs>
      <w:spacing w:beforeLines="50" w:line="480" w:lineRule="atLeast"/>
      <w:ind w:left="432" w:hanging="432"/>
    </w:pPr>
    <w:rPr>
      <w:rFonts w:ascii="Times New Roman" w:eastAsia="宋体" w:hAnsi="Times New Roman" w:cs="Times New Roman"/>
      <w:b/>
      <w:sz w:val="28"/>
      <w:szCs w:val="24"/>
    </w:rPr>
  </w:style>
  <w:style w:type="paragraph" w:customStyle="1" w:styleId="affffffffff9">
    <w:name w:val="表头样式"/>
    <w:basedOn w:val="a0"/>
    <w:next w:val="a0"/>
    <w:qFormat/>
    <w:pPr>
      <w:widowControl/>
      <w:adjustRightInd w:val="0"/>
      <w:snapToGrid w:val="0"/>
      <w:spacing w:before="100" w:beforeAutospacing="1" w:line="460" w:lineRule="exact"/>
      <w:jc w:val="center"/>
    </w:pPr>
    <w:rPr>
      <w:rFonts w:ascii="Times New Roman" w:eastAsia="宋体" w:hAnsi="Times New Roman" w:cs="Times New Roman"/>
      <w:sz w:val="26"/>
      <w:szCs w:val="24"/>
    </w:rPr>
  </w:style>
  <w:style w:type="character" w:customStyle="1" w:styleId="Charff8">
    <w:name w:val="标题节 Char"/>
    <w:basedOn w:val="a1"/>
    <w:qFormat/>
    <w:rPr>
      <w:rFonts w:eastAsia="宋体"/>
      <w:b/>
      <w:bCs/>
      <w:kern w:val="2"/>
      <w:sz w:val="26"/>
      <w:szCs w:val="26"/>
      <w:lang w:val="en-US" w:eastAsia="zh-CN" w:bidi="ar-SA"/>
    </w:rPr>
  </w:style>
  <w:style w:type="character" w:customStyle="1" w:styleId="111Char">
    <w:name w:val="条标题1.1.1 Char"/>
    <w:basedOn w:val="a1"/>
    <w:qFormat/>
    <w:rPr>
      <w:rFonts w:eastAsia="宋体"/>
      <w:b/>
      <w:bCs/>
      <w:kern w:val="2"/>
      <w:sz w:val="26"/>
      <w:szCs w:val="32"/>
      <w:lang w:val="en-US" w:eastAsia="zh-CN" w:bidi="ar-SA"/>
    </w:rPr>
  </w:style>
  <w:style w:type="character" w:customStyle="1" w:styleId="hb4CharChar0">
    <w:name w:val="hb4 Char Char"/>
    <w:basedOn w:val="a1"/>
    <w:qFormat/>
    <w:rPr>
      <w:rFonts w:ascii="宋体" w:eastAsia="宋体" w:hAnsi="Arial" w:cs="宋体"/>
      <w:kern w:val="2"/>
      <w:sz w:val="24"/>
      <w:szCs w:val="24"/>
      <w:lang w:val="en-US" w:eastAsia="zh-CN" w:bidi="ar-SA"/>
    </w:rPr>
  </w:style>
  <w:style w:type="paragraph" w:customStyle="1" w:styleId="affffffffffa">
    <w:name w:val="表、图名"/>
    <w:basedOn w:val="a0"/>
    <w:qFormat/>
    <w:pPr>
      <w:adjustRightInd w:val="0"/>
      <w:snapToGrid w:val="0"/>
      <w:jc w:val="center"/>
    </w:pPr>
    <w:rPr>
      <w:rFonts w:ascii="黑体" w:eastAsia="黑体" w:hAnsi="宋体" w:cs="Times New Roman"/>
      <w:color w:val="000000"/>
      <w:szCs w:val="21"/>
    </w:rPr>
  </w:style>
  <w:style w:type="paragraph" w:customStyle="1" w:styleId="affffffffffb">
    <w:name w:val="正文样式"/>
    <w:basedOn w:val="a0"/>
    <w:qFormat/>
    <w:pPr>
      <w:spacing w:line="360" w:lineRule="auto"/>
      <w:ind w:firstLineChars="200" w:firstLine="480"/>
    </w:pPr>
    <w:rPr>
      <w:rFonts w:ascii="宋体" w:eastAsia="宋体" w:hAnsi="宋体" w:cs="Times New Roman"/>
      <w:sz w:val="24"/>
      <w:szCs w:val="24"/>
    </w:rPr>
  </w:style>
  <w:style w:type="character" w:customStyle="1" w:styleId="Charff9">
    <w:name w:val="正文样式 Char"/>
    <w:basedOn w:val="a1"/>
    <w:qFormat/>
    <w:rPr>
      <w:rFonts w:ascii="宋体" w:eastAsia="宋体" w:hAnsi="宋体"/>
      <w:kern w:val="2"/>
      <w:sz w:val="24"/>
      <w:szCs w:val="24"/>
      <w:lang w:val="en-US" w:eastAsia="zh-CN" w:bidi="ar-SA"/>
    </w:rPr>
  </w:style>
  <w:style w:type="paragraph" w:customStyle="1" w:styleId="affffffffffc">
    <w:name w:val="正文（首行缩进）"/>
    <w:basedOn w:val="a0"/>
    <w:qFormat/>
    <w:pPr>
      <w:widowControl/>
      <w:spacing w:line="360" w:lineRule="auto"/>
      <w:ind w:firstLineChars="200" w:firstLine="200"/>
      <w:jc w:val="left"/>
    </w:pPr>
    <w:rPr>
      <w:rFonts w:ascii="宋体" w:eastAsia="宋体" w:hAnsi="宋体" w:cs="Times New Roman"/>
      <w:snapToGrid w:val="0"/>
      <w:color w:val="000000"/>
      <w:sz w:val="24"/>
      <w:szCs w:val="20"/>
    </w:rPr>
  </w:style>
  <w:style w:type="paragraph" w:customStyle="1" w:styleId="1ff2">
    <w:name w:val="注释标题1"/>
    <w:basedOn w:val="a8"/>
    <w:next w:val="a8"/>
    <w:qFormat/>
    <w:pPr>
      <w:tabs>
        <w:tab w:val="left" w:pos="420"/>
      </w:tabs>
      <w:spacing w:line="360" w:lineRule="auto"/>
      <w:ind w:left="420" w:hanging="420"/>
    </w:pPr>
    <w:rPr>
      <w:color w:val="000000"/>
      <w:kern w:val="2"/>
      <w:sz w:val="24"/>
      <w:szCs w:val="18"/>
    </w:rPr>
  </w:style>
  <w:style w:type="paragraph" w:customStyle="1" w:styleId="xl60">
    <w:name w:val="xl60"/>
    <w:basedOn w:val="a0"/>
    <w:qFormat/>
    <w:pPr>
      <w:widowControl/>
      <w:pBdr>
        <w:left w:val="single" w:sz="8" w:space="0" w:color="auto"/>
        <w:right w:val="single" w:sz="4" w:space="0" w:color="auto"/>
      </w:pBdr>
      <w:spacing w:before="100" w:after="100"/>
      <w:jc w:val="center"/>
      <w:textAlignment w:val="top"/>
    </w:pPr>
    <w:rPr>
      <w:rFonts w:ascii="Times New Roman" w:eastAsia="宋体" w:hAnsi="Times New Roman" w:cs="Times New Roman"/>
      <w:kern w:val="0"/>
      <w:sz w:val="24"/>
      <w:szCs w:val="24"/>
    </w:rPr>
  </w:style>
  <w:style w:type="paragraph" w:customStyle="1" w:styleId="affffffffffd">
    <w:name w:val="表几"/>
    <w:basedOn w:val="a0"/>
    <w:next w:val="a0"/>
    <w:qFormat/>
    <w:pPr>
      <w:adjustRightInd w:val="0"/>
      <w:spacing w:line="360" w:lineRule="auto"/>
      <w:ind w:firstLine="480"/>
      <w:textAlignment w:val="baseline"/>
    </w:pPr>
    <w:rPr>
      <w:rFonts w:ascii="宋体" w:eastAsia="宋体" w:hAnsi="宋体" w:cs="Times New Roman"/>
      <w:sz w:val="24"/>
      <w:szCs w:val="20"/>
    </w:rPr>
  </w:style>
  <w:style w:type="paragraph" w:customStyle="1" w:styleId="070706">
    <w:name w:val="070706正文样式"/>
    <w:basedOn w:val="af7"/>
    <w:link w:val="070706Char"/>
    <w:qFormat/>
    <w:pPr>
      <w:adjustRightInd w:val="0"/>
      <w:snapToGrid w:val="0"/>
      <w:spacing w:line="336" w:lineRule="auto"/>
      <w:ind w:leftChars="0" w:left="0" w:firstLineChars="200" w:firstLine="560"/>
    </w:pPr>
    <w:rPr>
      <w:rFonts w:ascii="宋体" w:hAnsi="宋体" w:cs="宋体"/>
      <w:bCs/>
      <w:snapToGrid w:val="0"/>
      <w:color w:val="000000"/>
    </w:rPr>
  </w:style>
  <w:style w:type="character" w:customStyle="1" w:styleId="070706Char">
    <w:name w:val="070706正文样式 Char"/>
    <w:basedOn w:val="a1"/>
    <w:link w:val="070706"/>
    <w:qFormat/>
    <w:rPr>
      <w:rFonts w:ascii="宋体" w:eastAsia="宋体" w:hAnsi="宋体" w:cs="宋体"/>
      <w:bCs/>
      <w:snapToGrid w:val="0"/>
      <w:color w:val="000000"/>
      <w:kern w:val="0"/>
      <w:sz w:val="28"/>
      <w:szCs w:val="28"/>
    </w:rPr>
  </w:style>
  <w:style w:type="paragraph" w:customStyle="1" w:styleId="131">
    <w:name w:val="1.3行"/>
    <w:basedOn w:val="070706"/>
    <w:qFormat/>
    <w:pPr>
      <w:spacing w:line="312" w:lineRule="auto"/>
    </w:pPr>
  </w:style>
  <w:style w:type="character" w:customStyle="1" w:styleId="CharCharCharCharCharCharCharCharCharCharCharCharCharChar">
    <w:name w:val="普通文字 Char Char Char Char Char Char Char Char Char Char Char Char Char Char"/>
    <w:basedOn w:val="a1"/>
    <w:qFormat/>
    <w:rPr>
      <w:rFonts w:ascii="宋体" w:eastAsia="宋体"/>
      <w:kern w:val="2"/>
      <w:sz w:val="28"/>
      <w:lang w:val="en-US" w:eastAsia="zh-CN" w:bidi="ar-SA"/>
    </w:rPr>
  </w:style>
  <w:style w:type="character" w:customStyle="1" w:styleId="css-text3">
    <w:name w:val="css-text3"/>
    <w:basedOn w:val="a1"/>
    <w:qFormat/>
  </w:style>
  <w:style w:type="paragraph" w:customStyle="1" w:styleId="affffffffffe">
    <w:name w:val="正文缩"/>
    <w:basedOn w:val="a0"/>
    <w:qFormat/>
    <w:pPr>
      <w:adjustRightInd w:val="0"/>
      <w:snapToGrid w:val="0"/>
      <w:spacing w:line="480" w:lineRule="atLeast"/>
      <w:ind w:firstLineChars="150" w:firstLine="671"/>
    </w:pPr>
    <w:rPr>
      <w:rFonts w:ascii="宋体" w:eastAsia="宋体" w:hAnsi="Times New Roman" w:cs="Times New Roman"/>
      <w:snapToGrid w:val="0"/>
      <w:spacing w:val="6"/>
      <w:kern w:val="0"/>
      <w:sz w:val="28"/>
      <w:szCs w:val="20"/>
    </w:rPr>
  </w:style>
  <w:style w:type="paragraph" w:customStyle="1" w:styleId="1ff3">
    <w:name w:val="样式 首行缩进:  1 字符"/>
    <w:basedOn w:val="a0"/>
    <w:link w:val="1Char8"/>
    <w:qFormat/>
    <w:pPr>
      <w:adjustRightInd w:val="0"/>
      <w:snapToGrid w:val="0"/>
      <w:spacing w:line="360" w:lineRule="auto"/>
      <w:ind w:firstLineChars="200" w:firstLine="200"/>
    </w:pPr>
    <w:rPr>
      <w:rFonts w:ascii="宋体" w:eastAsia="宋体" w:hAnsi="Times New Roman" w:cs="宋体"/>
      <w:snapToGrid w:val="0"/>
      <w:kern w:val="0"/>
      <w:sz w:val="24"/>
      <w:szCs w:val="24"/>
    </w:rPr>
  </w:style>
  <w:style w:type="character" w:customStyle="1" w:styleId="1Char8">
    <w:name w:val="样式 首行缩进:  1 字符 Char"/>
    <w:basedOn w:val="a1"/>
    <w:link w:val="1ff3"/>
    <w:rPr>
      <w:rFonts w:ascii="宋体" w:eastAsia="宋体" w:hAnsi="Times New Roman" w:cs="宋体"/>
      <w:snapToGrid w:val="0"/>
      <w:kern w:val="0"/>
      <w:sz w:val="24"/>
      <w:szCs w:val="24"/>
    </w:rPr>
  </w:style>
  <w:style w:type="paragraph" w:customStyle="1" w:styleId="2f6">
    <w:name w:val="样式 样式 首行缩进:  2 字符 +"/>
    <w:basedOn w:val="2d"/>
    <w:link w:val="2Char2"/>
    <w:qFormat/>
    <w:pPr>
      <w:adjustRightInd w:val="0"/>
      <w:snapToGrid w:val="0"/>
    </w:pPr>
    <w:rPr>
      <w:rFonts w:ascii="宋体"/>
      <w:color w:val="000000"/>
      <w:kern w:val="0"/>
    </w:rPr>
  </w:style>
  <w:style w:type="character" w:customStyle="1" w:styleId="2Char2">
    <w:name w:val="样式 样式 首行缩进:  2 字符 + Char"/>
    <w:basedOn w:val="2Char"/>
    <w:link w:val="2f6"/>
    <w:qFormat/>
    <w:rPr>
      <w:rFonts w:ascii="宋体" w:eastAsia="宋体" w:hAnsi="Times New Roman" w:cs="宋体"/>
      <w:color w:val="000000"/>
      <w:kern w:val="0"/>
      <w:sz w:val="24"/>
      <w:szCs w:val="24"/>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0"/>
    <w:qFormat/>
    <w:pPr>
      <w:spacing w:line="360" w:lineRule="auto"/>
      <w:ind w:firstLineChars="200" w:firstLine="200"/>
    </w:pPr>
    <w:rPr>
      <w:rFonts w:ascii="宋体" w:eastAsia="宋体" w:hAnsi="宋体" w:cs="宋体"/>
      <w:sz w:val="24"/>
      <w:szCs w:val="24"/>
    </w:rPr>
  </w:style>
  <w:style w:type="paragraph" w:customStyle="1" w:styleId="1ff4">
    <w:name w:val="字元 字元1"/>
    <w:basedOn w:val="a0"/>
    <w:qFormat/>
    <w:rPr>
      <w:rFonts w:ascii="Times New Roman" w:eastAsia="宋体" w:hAnsi="Times New Roman" w:cs="Times New Roman"/>
      <w:szCs w:val="24"/>
    </w:rPr>
  </w:style>
  <w:style w:type="paragraph" w:customStyle="1" w:styleId="afffffffffff">
    <w:name w:val="主体"/>
    <w:basedOn w:val="a0"/>
    <w:link w:val="Charffa"/>
    <w:qFormat/>
    <w:pPr>
      <w:spacing w:line="440" w:lineRule="exact"/>
      <w:ind w:firstLineChars="200" w:firstLine="480"/>
    </w:pPr>
    <w:rPr>
      <w:rFonts w:ascii="Times New Roman" w:eastAsia="仿宋_GB2312" w:hAnsi="Times New Roman" w:cs="宋体"/>
      <w:sz w:val="24"/>
      <w:szCs w:val="20"/>
    </w:rPr>
  </w:style>
  <w:style w:type="character" w:customStyle="1" w:styleId="Charffa">
    <w:name w:val="主体 Char"/>
    <w:basedOn w:val="a1"/>
    <w:link w:val="afffffffffff"/>
    <w:qFormat/>
    <w:rPr>
      <w:rFonts w:ascii="Times New Roman" w:eastAsia="仿宋_GB2312" w:hAnsi="Times New Roman" w:cs="宋体"/>
      <w:sz w:val="24"/>
      <w:szCs w:val="20"/>
    </w:rPr>
  </w:style>
  <w:style w:type="paragraph" w:customStyle="1" w:styleId="1ff5">
    <w:name w:val="无间隔1"/>
    <w:link w:val="Charffb"/>
    <w:qFormat/>
    <w:pPr>
      <w:widowControl w:val="0"/>
      <w:jc w:val="both"/>
    </w:pPr>
    <w:rPr>
      <w:rFonts w:ascii="Calibri" w:hAnsi="Calibri"/>
      <w:kern w:val="2"/>
      <w:sz w:val="21"/>
      <w:szCs w:val="22"/>
    </w:rPr>
  </w:style>
  <w:style w:type="character" w:customStyle="1" w:styleId="Charffb">
    <w:name w:val="无间隔 Char"/>
    <w:link w:val="1ff5"/>
    <w:rPr>
      <w:rFonts w:ascii="Calibri" w:eastAsia="宋体" w:hAnsi="Calibri" w:cs="Times New Roman"/>
    </w:rPr>
  </w:style>
  <w:style w:type="paragraph" w:customStyle="1" w:styleId="font12">
    <w:name w:val="font12"/>
    <w:basedOn w:val="a0"/>
    <w:qFormat/>
    <w:pPr>
      <w:widowControl/>
      <w:spacing w:before="100" w:beforeAutospacing="1" w:after="100" w:afterAutospacing="1"/>
      <w:jc w:val="left"/>
    </w:pPr>
    <w:rPr>
      <w:rFonts w:ascii="宋体" w:eastAsia="宋体" w:hAnsi="宋体" w:cs="宋体"/>
      <w:color w:val="333333"/>
      <w:kern w:val="0"/>
      <w:sz w:val="22"/>
    </w:rPr>
  </w:style>
  <w:style w:type="paragraph" w:customStyle="1" w:styleId="font13">
    <w:name w:val="font13"/>
    <w:basedOn w:val="a0"/>
    <w:qFormat/>
    <w:pPr>
      <w:widowControl/>
      <w:spacing w:before="100" w:beforeAutospacing="1" w:after="100" w:afterAutospacing="1"/>
      <w:jc w:val="left"/>
    </w:pPr>
    <w:rPr>
      <w:rFonts w:ascii="宋体" w:eastAsia="宋体" w:hAnsi="宋体" w:cs="宋体"/>
      <w:kern w:val="0"/>
      <w:sz w:val="18"/>
      <w:szCs w:val="18"/>
    </w:rPr>
  </w:style>
  <w:style w:type="paragraph" w:customStyle="1" w:styleId="xl56">
    <w:name w:val="xl5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宋体" w:hAnsi="Times New Roman" w:cs="Times New Roman"/>
      <w:color w:val="333333"/>
      <w:kern w:val="0"/>
      <w:sz w:val="24"/>
      <w:szCs w:val="24"/>
    </w:rPr>
  </w:style>
  <w:style w:type="paragraph" w:customStyle="1" w:styleId="xl57">
    <w:name w:val="xl57"/>
    <w:basedOn w:val="a0"/>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333333"/>
      <w:kern w:val="0"/>
      <w:sz w:val="24"/>
      <w:szCs w:val="24"/>
    </w:rPr>
  </w:style>
  <w:style w:type="paragraph" w:customStyle="1" w:styleId="xl58">
    <w:name w:val="xl5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333333"/>
      <w:kern w:val="0"/>
      <w:sz w:val="24"/>
      <w:szCs w:val="24"/>
    </w:rPr>
  </w:style>
  <w:style w:type="paragraph" w:customStyle="1" w:styleId="xl59">
    <w:name w:val="xl5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宋体" w:hAnsi="Times New Roman" w:cs="Times New Roman"/>
      <w:i/>
      <w:iCs/>
      <w:color w:val="333333"/>
      <w:kern w:val="0"/>
      <w:sz w:val="24"/>
      <w:szCs w:val="24"/>
    </w:rPr>
  </w:style>
  <w:style w:type="paragraph" w:customStyle="1" w:styleId="xl64">
    <w:name w:val="xl6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宋体" w:hAnsi="Times New Roman" w:cs="Times New Roman"/>
      <w:kern w:val="0"/>
      <w:sz w:val="24"/>
      <w:szCs w:val="24"/>
    </w:rPr>
  </w:style>
  <w:style w:type="paragraph" w:customStyle="1" w:styleId="xl65">
    <w:name w:val="xl6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szCs w:val="24"/>
    </w:rPr>
  </w:style>
  <w:style w:type="paragraph" w:customStyle="1" w:styleId="xl66">
    <w:name w:val="xl6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宋体" w:hAnsi="Arial" w:cs="Arial"/>
      <w:color w:val="333333"/>
      <w:kern w:val="0"/>
      <w:sz w:val="24"/>
      <w:szCs w:val="24"/>
    </w:rPr>
  </w:style>
  <w:style w:type="character" w:customStyle="1" w:styleId="msonormal0">
    <w:name w:val="msonormal0"/>
    <w:basedOn w:val="a1"/>
    <w:qFormat/>
  </w:style>
  <w:style w:type="character" w:customStyle="1" w:styleId="CharCharCharCharCharCharCharChar">
    <w:name w:val="正文（首行缩进两字） Char Char Char Char Char Char Char Char"/>
    <w:qFormat/>
    <w:rPr>
      <w:rFonts w:eastAsia="宋体"/>
      <w:kern w:val="2"/>
      <w:sz w:val="21"/>
      <w:lang w:val="en-US" w:eastAsia="zh-CN" w:bidi="ar-SA"/>
    </w:rPr>
  </w:style>
  <w:style w:type="paragraph" w:customStyle="1" w:styleId="cucd-TB">
    <w:name w:val="cucd-TB"/>
    <w:link w:val="cucd-TBChar"/>
    <w:qFormat/>
    <w:pPr>
      <w:spacing w:line="360" w:lineRule="auto"/>
      <w:jc w:val="center"/>
    </w:pPr>
    <w:rPr>
      <w:kern w:val="2"/>
      <w:sz w:val="21"/>
      <w:szCs w:val="24"/>
    </w:rPr>
  </w:style>
  <w:style w:type="character" w:customStyle="1" w:styleId="cucd-TBChar">
    <w:name w:val="cucd-TB Char"/>
    <w:basedOn w:val="a1"/>
    <w:link w:val="cucd-TB"/>
    <w:qFormat/>
    <w:rPr>
      <w:rFonts w:ascii="Times New Roman" w:eastAsia="宋体" w:hAnsi="Times New Roman" w:cs="Times New Roman"/>
      <w:szCs w:val="24"/>
    </w:rPr>
  </w:style>
  <w:style w:type="paragraph" w:customStyle="1" w:styleId="64">
    <w:name w:val="正文首行缩进6"/>
    <w:basedOn w:val="af5"/>
    <w:qFormat/>
    <w:pPr>
      <w:adjustRightInd w:val="0"/>
      <w:spacing w:after="0" w:line="312" w:lineRule="auto"/>
      <w:ind w:firstLineChars="0" w:firstLine="567"/>
    </w:pPr>
    <w:rPr>
      <w:sz w:val="28"/>
      <w:szCs w:val="20"/>
    </w:rPr>
  </w:style>
  <w:style w:type="paragraph" w:customStyle="1" w:styleId="1111112">
    <w:name w:val="11111样式 无间隔 + 居中 行距: 多倍行距 1.2 字行"/>
    <w:basedOn w:val="a0"/>
    <w:qFormat/>
    <w:pPr>
      <w:adjustRightInd w:val="0"/>
      <w:jc w:val="center"/>
      <w:textAlignment w:val="baseline"/>
    </w:pPr>
    <w:rPr>
      <w:rFonts w:ascii="Times New Roman" w:eastAsia="宋体" w:hAnsi="Times New Roman" w:cs="宋体"/>
      <w:sz w:val="24"/>
      <w:szCs w:val="20"/>
    </w:rPr>
  </w:style>
  <w:style w:type="character" w:customStyle="1" w:styleId="WebCharChar">
    <w:name w:val="普通 (Web) Char Char"/>
    <w:basedOn w:val="a1"/>
    <w:qFormat/>
    <w:locked/>
    <w:rPr>
      <w:rFonts w:eastAsia="宋体"/>
      <w:kern w:val="2"/>
      <w:sz w:val="24"/>
      <w:szCs w:val="24"/>
      <w:lang w:val="en-US" w:eastAsia="zh-CN" w:bidi="ar-SA"/>
    </w:rPr>
  </w:style>
  <w:style w:type="character" w:customStyle="1" w:styleId="CharChar14">
    <w:name w:val="正文文字 Char Char1"/>
    <w:basedOn w:val="a1"/>
    <w:qFormat/>
    <w:rPr>
      <w:rFonts w:eastAsia="宋体"/>
      <w:kern w:val="2"/>
      <w:sz w:val="21"/>
      <w:szCs w:val="24"/>
      <w:lang w:val="en-US" w:eastAsia="zh-CN" w:bidi="ar-SA"/>
    </w:rPr>
  </w:style>
  <w:style w:type="paragraph" w:customStyle="1" w:styleId="CharCharCharCharCharChar1">
    <w:name w:val="Char Char Char Char Char Char1"/>
    <w:basedOn w:val="a0"/>
    <w:qFormat/>
    <w:rPr>
      <w:rFonts w:ascii="Times New Roman" w:eastAsia="宋体" w:hAnsi="Times New Roman" w:cs="Times New Roman"/>
      <w:szCs w:val="24"/>
    </w:rPr>
  </w:style>
  <w:style w:type="paragraph" w:customStyle="1" w:styleId="p18">
    <w:name w:val="p18"/>
    <w:basedOn w:val="a0"/>
    <w:qFormat/>
    <w:pPr>
      <w:widowControl/>
      <w:spacing w:line="360" w:lineRule="auto"/>
      <w:jc w:val="center"/>
    </w:pPr>
    <w:rPr>
      <w:rFonts w:ascii="Times New Roman" w:eastAsia="宋体" w:hAnsi="Times New Roman" w:cs="Times New Roman"/>
      <w:kern w:val="0"/>
      <w:sz w:val="24"/>
      <w:szCs w:val="24"/>
    </w:rPr>
  </w:style>
  <w:style w:type="paragraph" w:customStyle="1" w:styleId="ParaCharCharCharCharCharCharCharCharCharCharCharCharChar">
    <w:name w:val="默认段落字体 Para Char Char Char Char Char Char Char Char Char Char Char Char Char"/>
    <w:basedOn w:val="a0"/>
    <w:qFormat/>
    <w:rPr>
      <w:rFonts w:ascii="Times New Roman" w:eastAsia="宋体" w:hAnsi="Times New Roman" w:cs="Times New Roman"/>
      <w:szCs w:val="24"/>
    </w:rPr>
  </w:style>
  <w:style w:type="paragraph" w:customStyle="1" w:styleId="2007">
    <w:name w:val="2007正文"/>
    <w:link w:val="2007Char"/>
    <w:qFormat/>
    <w:pPr>
      <w:spacing w:line="500" w:lineRule="exact"/>
      <w:ind w:firstLineChars="200" w:firstLine="560"/>
      <w:jc w:val="both"/>
    </w:pPr>
    <w:rPr>
      <w:rFonts w:eastAsia="仿宋_GB2312"/>
      <w:kern w:val="2"/>
      <w:sz w:val="28"/>
      <w:lang w:val="en-GB"/>
    </w:rPr>
  </w:style>
  <w:style w:type="character" w:customStyle="1" w:styleId="2007Char">
    <w:name w:val="2007正文 Char"/>
    <w:link w:val="2007"/>
    <w:qFormat/>
    <w:rPr>
      <w:rFonts w:ascii="Times New Roman" w:eastAsia="仿宋_GB2312" w:hAnsi="Times New Roman" w:cs="Times New Roman"/>
      <w:sz w:val="28"/>
      <w:szCs w:val="20"/>
      <w:lang w:val="en-GB"/>
    </w:rPr>
  </w:style>
  <w:style w:type="paragraph" w:customStyle="1" w:styleId="1ff6">
    <w:name w:val="引用1"/>
    <w:basedOn w:val="a0"/>
    <w:next w:val="a0"/>
    <w:link w:val="Charffc"/>
    <w:qFormat/>
    <w:pPr>
      <w:jc w:val="center"/>
    </w:pPr>
    <w:rPr>
      <w:rFonts w:ascii="Calibri" w:eastAsia="宋体" w:hAnsi="Calibri" w:cs="Times New Roman"/>
      <w:iCs/>
      <w:color w:val="000000"/>
      <w:lang w:val="zh-CN"/>
    </w:rPr>
  </w:style>
  <w:style w:type="character" w:customStyle="1" w:styleId="Charffc">
    <w:name w:val="引用 Char"/>
    <w:link w:val="1ff6"/>
    <w:qFormat/>
    <w:rPr>
      <w:rFonts w:ascii="Calibri" w:eastAsia="宋体" w:hAnsi="Calibri" w:cs="Times New Roman"/>
      <w:iCs/>
      <w:color w:val="000000"/>
      <w:lang w:val="zh-CN"/>
    </w:rPr>
  </w:style>
  <w:style w:type="paragraph" w:customStyle="1" w:styleId="charffd">
    <w:name w:val="char"/>
    <w:basedOn w:val="a0"/>
    <w:qFormat/>
    <w:pPr>
      <w:widowControl/>
      <w:spacing w:after="160" w:line="240" w:lineRule="exact"/>
      <w:jc w:val="left"/>
    </w:pPr>
    <w:rPr>
      <w:rFonts w:ascii="Verdana" w:eastAsia="仿宋_GB2312" w:hAnsi="Verdana" w:cs="”“Times New Roman”“"/>
      <w:kern w:val="0"/>
      <w:sz w:val="24"/>
      <w:szCs w:val="20"/>
      <w:lang w:eastAsia="en-US"/>
    </w:rPr>
  </w:style>
  <w:style w:type="paragraph" w:customStyle="1" w:styleId="2006">
    <w:name w:val="2006表格"/>
    <w:basedOn w:val="a0"/>
    <w:uiPriority w:val="99"/>
    <w:qFormat/>
    <w:pPr>
      <w:spacing w:line="240" w:lineRule="atLeast"/>
      <w:jc w:val="center"/>
    </w:pPr>
    <w:rPr>
      <w:rFonts w:ascii="Times New Roman" w:eastAsia="宋体" w:hAnsi="Times New Roman" w:cs="Times New Roman"/>
      <w:szCs w:val="24"/>
    </w:rPr>
  </w:style>
  <w:style w:type="character" w:customStyle="1" w:styleId="3Char1">
    <w:name w:val="表格3 Char"/>
    <w:link w:val="3f3"/>
    <w:qFormat/>
    <w:locked/>
    <w:rPr>
      <w:rFonts w:eastAsia="Times New Roman"/>
      <w:szCs w:val="21"/>
    </w:rPr>
  </w:style>
  <w:style w:type="paragraph" w:customStyle="1" w:styleId="3f3">
    <w:name w:val="表格3"/>
    <w:link w:val="3Char1"/>
    <w:qFormat/>
    <w:pPr>
      <w:spacing w:line="240" w:lineRule="atLeast"/>
      <w:jc w:val="center"/>
    </w:pPr>
    <w:rPr>
      <w:rFonts w:asciiTheme="minorHAnsi" w:eastAsia="Times New Roman" w:hAnsiTheme="minorHAnsi" w:cstheme="minorBidi"/>
      <w:kern w:val="2"/>
      <w:sz w:val="21"/>
      <w:szCs w:val="21"/>
    </w:rPr>
  </w:style>
  <w:style w:type="character" w:customStyle="1" w:styleId="headline-content4">
    <w:name w:val="headline-content4"/>
    <w:basedOn w:val="a1"/>
    <w:qFormat/>
  </w:style>
  <w:style w:type="character" w:customStyle="1" w:styleId="1ff7">
    <w:name w:val="不明显强调1"/>
    <w:qFormat/>
    <w:rPr>
      <w:rFonts w:ascii="Times New Roman" w:eastAsia="黑体" w:hAnsi="Times New Roman"/>
      <w:b/>
      <w:iCs/>
      <w:color w:val="auto"/>
      <w:sz w:val="21"/>
    </w:rPr>
  </w:style>
  <w:style w:type="paragraph" w:customStyle="1" w:styleId="2f7">
    <w:name w:val="封面标准号2"/>
    <w:qFormat/>
    <w:pPr>
      <w:framePr w:w="9140" w:h="1242" w:hRule="exact" w:hSpace="284" w:wrap="around" w:vAnchor="page" w:hAnchor="page" w:x="1645" w:y="2910" w:anchorLock="1"/>
      <w:spacing w:before="357" w:line="280" w:lineRule="exact"/>
      <w:jc w:val="right"/>
    </w:pPr>
    <w:rPr>
      <w:rFonts w:ascii="黑体" w:eastAsia="黑体"/>
      <w:sz w:val="28"/>
      <w:szCs w:val="28"/>
    </w:rPr>
  </w:style>
  <w:style w:type="paragraph" w:customStyle="1" w:styleId="CharChar90">
    <w:name w:val="Char Char9"/>
    <w:basedOn w:val="a0"/>
    <w:qFormat/>
    <w:rPr>
      <w:rFonts w:ascii="Times New Roman" w:eastAsia="宋体" w:hAnsi="Times New Roman" w:cs="Times New Roman"/>
      <w:szCs w:val="24"/>
    </w:rPr>
  </w:style>
  <w:style w:type="paragraph" w:customStyle="1" w:styleId="CharChar9CharChar">
    <w:name w:val="Char Char9 Char Char"/>
    <w:basedOn w:val="a0"/>
    <w:qFormat/>
    <w:rPr>
      <w:rFonts w:ascii="Times New Roman" w:eastAsia="宋体" w:hAnsi="Times New Roman" w:cs="Times New Roman"/>
      <w:szCs w:val="24"/>
    </w:rPr>
  </w:style>
  <w:style w:type="character" w:customStyle="1" w:styleId="CharChara">
    <w:name w:val="三级标题 Char Char"/>
    <w:qFormat/>
    <w:rPr>
      <w:rFonts w:ascii="Times New Roman" w:eastAsia="宋体" w:hAnsi="Times New Roman" w:cs="Times New Roman"/>
      <w:b/>
      <w:bCs/>
      <w:sz w:val="28"/>
      <w:szCs w:val="32"/>
    </w:rPr>
  </w:style>
  <w:style w:type="character" w:customStyle="1" w:styleId="lv3">
    <w:name w:val="lv3"/>
    <w:qFormat/>
    <w:rPr>
      <w:rFonts w:ascii="_x000B__x000C_" w:hAnsi="_x000B__x000C_" w:hint="default"/>
      <w:color w:val="2E7713"/>
      <w:sz w:val="20"/>
      <w:szCs w:val="20"/>
      <w:u w:val="none"/>
    </w:rPr>
  </w:style>
  <w:style w:type="paragraph" w:customStyle="1" w:styleId="TOC10">
    <w:name w:val="TOC 标题1"/>
    <w:basedOn w:val="1"/>
    <w:next w:val="a0"/>
    <w:uiPriority w:val="39"/>
    <w:unhideWhenUsed/>
    <w:qFormat/>
    <w:pPr>
      <w:widowControl/>
      <w:tabs>
        <w:tab w:val="left" w:pos="720"/>
      </w:tabs>
      <w:spacing w:line="276" w:lineRule="auto"/>
      <w:jc w:val="left"/>
      <w:outlineLvl w:val="9"/>
    </w:pPr>
    <w:rPr>
      <w:rFonts w:ascii="Cambria" w:eastAsia="宋体" w:hAnsi="Cambria"/>
      <w:b/>
      <w:bCs/>
      <w:color w:val="365F91"/>
      <w:kern w:val="0"/>
      <w:sz w:val="28"/>
      <w:szCs w:val="28"/>
    </w:rPr>
  </w:style>
  <w:style w:type="character" w:customStyle="1" w:styleId="digest1">
    <w:name w:val="digest1"/>
    <w:qFormat/>
    <w:rPr>
      <w:color w:val="393939"/>
      <w:sz w:val="20"/>
      <w:szCs w:val="20"/>
    </w:rPr>
  </w:style>
  <w:style w:type="paragraph" w:customStyle="1" w:styleId="1ff8">
    <w:name w:val="列出段落1"/>
    <w:basedOn w:val="a0"/>
    <w:uiPriority w:val="34"/>
    <w:qFormat/>
    <w:pPr>
      <w:ind w:firstLineChars="200" w:firstLine="420"/>
    </w:pPr>
    <w:rPr>
      <w:rFonts w:ascii="Calibri" w:eastAsia="宋体" w:hAnsi="Calibri" w:cs="Calibri"/>
      <w:sz w:val="24"/>
      <w:szCs w:val="24"/>
    </w:rPr>
  </w:style>
  <w:style w:type="paragraph" w:customStyle="1" w:styleId="afffffffffff0">
    <w:name w:val="表格内"/>
    <w:basedOn w:val="a0"/>
    <w:link w:val="Charffe"/>
    <w:qFormat/>
    <w:pPr>
      <w:adjustRightInd w:val="0"/>
      <w:spacing w:line="240" w:lineRule="atLeast"/>
      <w:jc w:val="center"/>
      <w:textAlignment w:val="baseline"/>
    </w:pPr>
    <w:rPr>
      <w:rFonts w:ascii="宋体" w:eastAsia="宋体" w:hAnsi="Times New Roman" w:cs="Times New Roman"/>
      <w:kern w:val="0"/>
      <w:sz w:val="28"/>
      <w:szCs w:val="20"/>
    </w:rPr>
  </w:style>
  <w:style w:type="character" w:customStyle="1" w:styleId="Charffe">
    <w:name w:val="表格内 Char"/>
    <w:basedOn w:val="a1"/>
    <w:link w:val="afffffffffff0"/>
    <w:qFormat/>
    <w:rPr>
      <w:rFonts w:ascii="宋体" w:eastAsia="宋体" w:hAnsi="Times New Roman" w:cs="Times New Roman"/>
      <w:kern w:val="0"/>
      <w:sz w:val="28"/>
      <w:szCs w:val="20"/>
    </w:rPr>
  </w:style>
  <w:style w:type="character" w:customStyle="1" w:styleId="3Char2">
    <w:name w:val="3正文 Char"/>
    <w:link w:val="3f4"/>
    <w:qFormat/>
    <w:locked/>
    <w:rPr>
      <w:rFonts w:hAnsi="宋体"/>
      <w:color w:val="000000"/>
      <w:sz w:val="24"/>
    </w:rPr>
  </w:style>
  <w:style w:type="paragraph" w:customStyle="1" w:styleId="3f4">
    <w:name w:val="3正文"/>
    <w:basedOn w:val="a0"/>
    <w:link w:val="3Char2"/>
    <w:qFormat/>
    <w:pPr>
      <w:adjustRightInd w:val="0"/>
      <w:snapToGrid w:val="0"/>
      <w:spacing w:line="360" w:lineRule="auto"/>
      <w:ind w:firstLineChars="200" w:firstLine="200"/>
      <w:jc w:val="left"/>
    </w:pPr>
    <w:rPr>
      <w:rFonts w:hAnsi="宋体"/>
      <w:color w:val="000000"/>
      <w:sz w:val="24"/>
    </w:rPr>
  </w:style>
  <w:style w:type="paragraph" w:customStyle="1" w:styleId="CM7">
    <w:name w:val="CM7"/>
    <w:basedOn w:val="a0"/>
    <w:next w:val="a0"/>
    <w:uiPriority w:val="99"/>
    <w:qFormat/>
    <w:pPr>
      <w:autoSpaceDE w:val="0"/>
      <w:autoSpaceDN w:val="0"/>
      <w:adjustRightInd w:val="0"/>
      <w:spacing w:line="468" w:lineRule="atLeast"/>
      <w:jc w:val="left"/>
    </w:pPr>
    <w:rPr>
      <w:rFonts w:ascii="宋体" w:eastAsia="宋体" w:hAnsi="Calibri" w:cs="Times New Roman"/>
      <w:kern w:val="0"/>
      <w:sz w:val="24"/>
      <w:szCs w:val="24"/>
    </w:rPr>
  </w:style>
  <w:style w:type="paragraph" w:customStyle="1" w:styleId="CM73">
    <w:name w:val="CM73"/>
    <w:basedOn w:val="a0"/>
    <w:next w:val="a0"/>
    <w:uiPriority w:val="99"/>
    <w:qFormat/>
    <w:pPr>
      <w:autoSpaceDE w:val="0"/>
      <w:autoSpaceDN w:val="0"/>
      <w:adjustRightInd w:val="0"/>
      <w:spacing w:after="178"/>
      <w:jc w:val="left"/>
    </w:pPr>
    <w:rPr>
      <w:rFonts w:ascii="宋体" w:eastAsia="宋体" w:hAnsi="Calibri" w:cs="Times New Roman"/>
      <w:kern w:val="0"/>
      <w:sz w:val="24"/>
      <w:szCs w:val="24"/>
    </w:rPr>
  </w:style>
  <w:style w:type="character" w:customStyle="1" w:styleId="2Char10">
    <w:name w:val="正文文本缩进 2 Char1"/>
    <w:qFormat/>
    <w:rPr>
      <w:rFonts w:ascii="宋体" w:eastAsia="宋体" w:hAnsi="宋体"/>
      <w:sz w:val="24"/>
      <w:szCs w:val="24"/>
      <w:lang w:bidi="ar-BH"/>
    </w:rPr>
  </w:style>
  <w:style w:type="paragraph" w:customStyle="1" w:styleId="dan7-1">
    <w:name w:val="dan7-1"/>
    <w:basedOn w:val="a0"/>
    <w:link w:val="dan7-1Char"/>
    <w:qFormat/>
    <w:pPr>
      <w:spacing w:before="40" w:after="40" w:line="360" w:lineRule="auto"/>
      <w:ind w:firstLineChars="200" w:firstLine="200"/>
    </w:pPr>
    <w:rPr>
      <w:rFonts w:ascii="Times New Roman" w:eastAsia="宋体" w:hAnsi="Times New Roman" w:cs="Times New Roman"/>
      <w:kern w:val="0"/>
      <w:sz w:val="24"/>
      <w:szCs w:val="24"/>
      <w:lang w:val="zh-CN"/>
    </w:rPr>
  </w:style>
  <w:style w:type="character" w:customStyle="1" w:styleId="dan7-1Char">
    <w:name w:val="dan7-1 Char"/>
    <w:link w:val="dan7-1"/>
    <w:qFormat/>
    <w:rPr>
      <w:rFonts w:ascii="Times New Roman" w:eastAsia="宋体" w:hAnsi="Times New Roman" w:cs="Times New Roman"/>
      <w:kern w:val="0"/>
      <w:sz w:val="24"/>
      <w:szCs w:val="24"/>
      <w:lang w:val="zh-CN"/>
    </w:rPr>
  </w:style>
  <w:style w:type="paragraph" w:customStyle="1" w:styleId="afffffffffff1">
    <w:name w:val="三级条标题"/>
    <w:basedOn w:val="affffffff0"/>
    <w:next w:val="a0"/>
    <w:qFormat/>
    <w:pPr>
      <w:tabs>
        <w:tab w:val="left" w:pos="1740"/>
        <w:tab w:val="left" w:pos="2130"/>
        <w:tab w:val="left" w:pos="2160"/>
        <w:tab w:val="left" w:pos="2580"/>
        <w:tab w:val="left" w:pos="2670"/>
        <w:tab w:val="left" w:pos="2790"/>
      </w:tabs>
      <w:ind w:left="2670" w:hanging="420"/>
      <w:outlineLvl w:val="4"/>
    </w:pPr>
  </w:style>
  <w:style w:type="paragraph" w:customStyle="1" w:styleId="84">
    <w:name w:val="8"/>
    <w:uiPriority w:val="99"/>
    <w:qFormat/>
    <w:pPr>
      <w:widowControl w:val="0"/>
      <w:jc w:val="both"/>
    </w:pPr>
    <w:rPr>
      <w:rFonts w:ascii="Calibri" w:hAnsi="Calibri"/>
      <w:kern w:val="2"/>
      <w:sz w:val="21"/>
      <w:szCs w:val="22"/>
    </w:rPr>
  </w:style>
  <w:style w:type="paragraph" w:customStyle="1" w:styleId="text13">
    <w:name w:val="text13"/>
    <w:basedOn w:val="a0"/>
    <w:qFormat/>
    <w:pPr>
      <w:widowControl/>
      <w:spacing w:before="100" w:beforeAutospacing="1" w:after="100" w:afterAutospacing="1"/>
      <w:jc w:val="left"/>
    </w:pPr>
    <w:rPr>
      <w:rFonts w:ascii="宋体" w:eastAsia="宋体" w:hAnsi="宋体" w:cs="Times New Roman"/>
      <w:kern w:val="0"/>
      <w:sz w:val="24"/>
      <w:szCs w:val="24"/>
    </w:rPr>
  </w:style>
  <w:style w:type="paragraph" w:customStyle="1" w:styleId="afffffffffff2">
    <w:name w:val="样式 表格内容 + (中文) 宋体 居中"/>
    <w:basedOn w:val="a0"/>
    <w:qFormat/>
    <w:pPr>
      <w:overflowPunct w:val="0"/>
      <w:adjustRightInd w:val="0"/>
      <w:snapToGrid w:val="0"/>
      <w:spacing w:after="120" w:line="440" w:lineRule="exact"/>
      <w:jc w:val="center"/>
      <w:textAlignment w:val="baseline"/>
    </w:pPr>
    <w:rPr>
      <w:rFonts w:ascii="Arial" w:eastAsia="宋体" w:hAnsi="Arial" w:cs="Times New Roman"/>
      <w:kern w:val="0"/>
      <w:szCs w:val="21"/>
    </w:rPr>
  </w:style>
  <w:style w:type="paragraph" w:customStyle="1" w:styleId="3Arial0622">
    <w:name w:val="标题 3 + Arial 小四 非加粗 段前: 0 磅 段后: 6 磅 行距: 固定值 22 磅"/>
    <w:basedOn w:val="30"/>
    <w:next w:val="a0"/>
    <w:qFormat/>
    <w:pPr>
      <w:tabs>
        <w:tab w:val="left" w:pos="720"/>
        <w:tab w:val="left" w:pos="2160"/>
      </w:tabs>
      <w:spacing w:before="0" w:after="120" w:line="440" w:lineRule="exact"/>
    </w:pPr>
    <w:rPr>
      <w:rFonts w:ascii="Arial" w:eastAsia="宋体" w:hAnsi="Arial" w:cs="Times New Roman"/>
      <w:b w:val="0"/>
      <w:bCs w:val="0"/>
      <w:kern w:val="0"/>
      <w:sz w:val="24"/>
      <w:szCs w:val="20"/>
    </w:rPr>
  </w:style>
  <w:style w:type="paragraph" w:customStyle="1" w:styleId="afffffffffff3">
    <w:name w:val="正文王"/>
    <w:basedOn w:val="afb"/>
    <w:qFormat/>
    <w:pPr>
      <w:spacing w:line="440" w:lineRule="exact"/>
      <w:ind w:firstLineChars="0" w:firstLine="0"/>
    </w:pPr>
    <w:rPr>
      <w:rFonts w:ascii="Arial" w:hAnsi="Arial"/>
      <w:sz w:val="24"/>
      <w:szCs w:val="20"/>
      <w:lang w:eastAsia="en-US"/>
    </w:rPr>
  </w:style>
  <w:style w:type="paragraph" w:customStyle="1" w:styleId="TEXT">
    <w:name w:val="TEXT"/>
    <w:basedOn w:val="a0"/>
    <w:qFormat/>
    <w:pPr>
      <w:spacing w:line="360" w:lineRule="auto"/>
    </w:pPr>
    <w:rPr>
      <w:rFonts w:ascii="Times New Roman" w:eastAsia="宋体" w:hAnsi="Times New Roman" w:cs="Times New Roman"/>
      <w:b/>
      <w:sz w:val="30"/>
      <w:szCs w:val="30"/>
    </w:rPr>
  </w:style>
  <w:style w:type="paragraph" w:customStyle="1" w:styleId="afffffffffff4">
    <w:name w:val="样式 列表 + 五号"/>
    <w:basedOn w:val="affb"/>
    <w:qFormat/>
    <w:pPr>
      <w:keepNext/>
      <w:ind w:left="0" w:firstLineChars="0" w:firstLine="0"/>
      <w:jc w:val="center"/>
    </w:pPr>
    <w:rPr>
      <w:sz w:val="21"/>
    </w:rPr>
  </w:style>
  <w:style w:type="paragraph" w:customStyle="1" w:styleId="3f5">
    <w:name w:val="样式 标题 3 + 宋体"/>
    <w:basedOn w:val="30"/>
    <w:qFormat/>
    <w:pPr>
      <w:tabs>
        <w:tab w:val="left" w:pos="720"/>
        <w:tab w:val="left" w:pos="2160"/>
      </w:tabs>
      <w:spacing w:before="0" w:after="0" w:line="360" w:lineRule="auto"/>
    </w:pPr>
    <w:rPr>
      <w:rFonts w:ascii="宋体" w:eastAsia="宋体" w:hAnsi="宋体" w:cs="Times New Roman"/>
      <w:sz w:val="24"/>
    </w:rPr>
  </w:style>
  <w:style w:type="character" w:customStyle="1" w:styleId="Char1f2">
    <w:name w:val="普通(网站) Char1"/>
    <w:uiPriority w:val="99"/>
    <w:qFormat/>
    <w:locked/>
    <w:rPr>
      <w:rFonts w:ascii="Arial Unicode MS" w:hAnsi="Arial Unicode MS"/>
      <w:sz w:val="24"/>
      <w:szCs w:val="24"/>
      <w:lang w:val="en-US" w:eastAsia="zh-CN" w:bidi="ar-SA"/>
    </w:rPr>
  </w:style>
  <w:style w:type="paragraph" w:customStyle="1" w:styleId="afffffffffff5">
    <w:name w:val="环表头"/>
    <w:basedOn w:val="a0"/>
    <w:next w:val="a0"/>
    <w:qFormat/>
    <w:pPr>
      <w:suppressAutoHyphens/>
      <w:adjustRightInd w:val="0"/>
      <w:spacing w:line="420" w:lineRule="exact"/>
      <w:ind w:right="28"/>
      <w:jc w:val="center"/>
      <w:textAlignment w:val="baseline"/>
    </w:pPr>
    <w:rPr>
      <w:rFonts w:ascii="宋体" w:eastAsia="宋体" w:hAnsi="宋体" w:cs="Times New Roman"/>
      <w:b/>
      <w:color w:val="000000"/>
      <w:kern w:val="0"/>
      <w:szCs w:val="21"/>
    </w:rPr>
  </w:style>
  <w:style w:type="paragraph" w:customStyle="1" w:styleId="1ff9">
    <w:name w:val="环标1"/>
    <w:basedOn w:val="1"/>
    <w:qFormat/>
    <w:pPr>
      <w:keepNext w:val="0"/>
      <w:keepLines w:val="0"/>
      <w:tabs>
        <w:tab w:val="left" w:pos="720"/>
      </w:tabs>
      <w:adjustRightInd w:val="0"/>
      <w:spacing w:line="312" w:lineRule="atLeast"/>
      <w:jc w:val="left"/>
      <w:textAlignment w:val="baseline"/>
    </w:pPr>
    <w:rPr>
      <w:rFonts w:ascii="黑体" w:hAnsi="Courier New"/>
      <w:sz w:val="32"/>
      <w:szCs w:val="20"/>
    </w:rPr>
  </w:style>
  <w:style w:type="paragraph" w:customStyle="1" w:styleId="Date1">
    <w:name w:val="Date1"/>
    <w:basedOn w:val="a0"/>
    <w:next w:val="a0"/>
    <w:qFormat/>
    <w:pPr>
      <w:adjustRightInd w:val="0"/>
      <w:textAlignment w:val="baseline"/>
    </w:pPr>
    <w:rPr>
      <w:rFonts w:ascii="Times New Roman" w:eastAsia="宋体" w:hAnsi="Times New Roman" w:cs="Times New Roman"/>
      <w:szCs w:val="20"/>
    </w:rPr>
  </w:style>
  <w:style w:type="character" w:customStyle="1" w:styleId="style31">
    <w:name w:val="style31"/>
    <w:qFormat/>
    <w:rPr>
      <w:b/>
      <w:bCs/>
      <w:color w:val="3795D2"/>
      <w:sz w:val="21"/>
      <w:szCs w:val="21"/>
    </w:rPr>
  </w:style>
  <w:style w:type="paragraph" w:customStyle="1" w:styleId="Char1CharCharChar">
    <w:name w:val="Char1 Char Char Char"/>
    <w:basedOn w:val="a0"/>
    <w:qFormat/>
    <w:rPr>
      <w:rFonts w:ascii="Times New Roman" w:eastAsia="宋体" w:hAnsi="Times New Roman" w:cs="Times New Roman"/>
      <w:szCs w:val="24"/>
    </w:rPr>
  </w:style>
  <w:style w:type="character" w:customStyle="1" w:styleId="pt91">
    <w:name w:val="pt91"/>
    <w:qFormat/>
    <w:rPr>
      <w:rFonts w:ascii="ˎ̥" w:hAnsi="ˎ̥" w:cs="Times New Roman" w:hint="default"/>
      <w:color w:val="000000"/>
      <w:sz w:val="18"/>
      <w:szCs w:val="18"/>
    </w:rPr>
  </w:style>
  <w:style w:type="character" w:customStyle="1" w:styleId="Charfff">
    <w:name w:val="无节 Char"/>
    <w:qFormat/>
    <w:rPr>
      <w:rFonts w:ascii="Arial" w:eastAsia="黑体" w:hAnsi="Arial"/>
      <w:b/>
      <w:bCs/>
      <w:kern w:val="2"/>
      <w:sz w:val="24"/>
      <w:szCs w:val="24"/>
      <w:lang w:val="en-US" w:eastAsia="zh-CN" w:bidi="ar-SA"/>
    </w:rPr>
  </w:style>
  <w:style w:type="character" w:customStyle="1" w:styleId="iiiChar1">
    <w:name w:val=". [(iii)] Char1"/>
    <w:qFormat/>
    <w:rPr>
      <w:rFonts w:ascii="Arial" w:eastAsia="黑体" w:hAnsi="Arial"/>
      <w:kern w:val="2"/>
      <w:sz w:val="21"/>
      <w:szCs w:val="21"/>
      <w:lang w:val="en-US" w:eastAsia="zh-CN" w:bidi="ar-SA"/>
    </w:rPr>
  </w:style>
  <w:style w:type="character" w:customStyle="1" w:styleId="right1">
    <w:name w:val="right1"/>
    <w:basedOn w:val="a1"/>
    <w:qFormat/>
  </w:style>
  <w:style w:type="paragraph" w:customStyle="1" w:styleId="142">
    <w:name w:val="样式 样式 宋体 小四 行距: 多倍行距 1.4 字行 + 首行缩进:  2 字符"/>
    <w:basedOn w:val="a0"/>
    <w:qFormat/>
    <w:pPr>
      <w:spacing w:line="360" w:lineRule="auto"/>
      <w:ind w:firstLineChars="200" w:firstLine="200"/>
    </w:pPr>
    <w:rPr>
      <w:rFonts w:ascii="宋体" w:eastAsia="宋体" w:hAnsi="宋体" w:cs="Times New Roman"/>
      <w:kern w:val="28"/>
      <w:sz w:val="28"/>
      <w:szCs w:val="20"/>
    </w:rPr>
  </w:style>
  <w:style w:type="paragraph" w:customStyle="1" w:styleId="C2">
    <w:name w:val="C2"/>
    <w:basedOn w:val="a0"/>
    <w:qFormat/>
    <w:rPr>
      <w:rFonts w:ascii="Times New Roman" w:eastAsia="宋体" w:hAnsi="Times New Roman" w:cs="Times New Roman"/>
      <w:kern w:val="0"/>
      <w:sz w:val="28"/>
      <w:szCs w:val="20"/>
    </w:rPr>
  </w:style>
  <w:style w:type="paragraph" w:customStyle="1" w:styleId="CharCharCharCharCharChar1Char">
    <w:name w:val="Char Char Char Char Char Char1 Char"/>
    <w:basedOn w:val="a0"/>
    <w:qFormat/>
    <w:rPr>
      <w:rFonts w:ascii="Times New Roman" w:eastAsia="宋体" w:hAnsi="Times New Roman" w:cs="Times New Roman"/>
      <w:szCs w:val="24"/>
    </w:rPr>
  </w:style>
  <w:style w:type="paragraph" w:customStyle="1" w:styleId="12Char">
    <w:name w:val="12 Char"/>
    <w:basedOn w:val="a0"/>
    <w:qFormat/>
    <w:pPr>
      <w:spacing w:line="360" w:lineRule="auto"/>
      <w:ind w:firstLineChars="200" w:firstLine="200"/>
      <w:jc w:val="left"/>
    </w:pPr>
    <w:rPr>
      <w:rFonts w:ascii="宋体" w:eastAsia="宋体" w:hAnsi="宋体" w:cs="Times New Roman"/>
      <w:position w:val="-6"/>
      <w:sz w:val="28"/>
      <w:szCs w:val="20"/>
      <w:u w:val="single"/>
    </w:rPr>
  </w:style>
  <w:style w:type="paragraph" w:customStyle="1" w:styleId="5b">
    <w:name w:val="正文首行缩进5"/>
    <w:basedOn w:val="af5"/>
    <w:qFormat/>
    <w:pPr>
      <w:adjustRightInd w:val="0"/>
      <w:spacing w:after="0" w:line="312" w:lineRule="auto"/>
      <w:ind w:firstLineChars="0" w:firstLine="567"/>
    </w:pPr>
    <w:rPr>
      <w:sz w:val="28"/>
      <w:szCs w:val="20"/>
    </w:rPr>
  </w:style>
  <w:style w:type="character" w:customStyle="1" w:styleId="CharChar17">
    <w:name w:val="正文文字缩进 Char Char1"/>
    <w:qFormat/>
    <w:locked/>
    <w:rPr>
      <w:szCs w:val="24"/>
      <w:lang w:bidi="ar-SA"/>
    </w:rPr>
  </w:style>
  <w:style w:type="paragraph" w:customStyle="1" w:styleId="221">
    <w:name w:val="样式 样式 首行缩进:  2 字符 + 左侧:  2 字符"/>
    <w:basedOn w:val="a0"/>
    <w:qFormat/>
    <w:pPr>
      <w:adjustRightInd w:val="0"/>
      <w:spacing w:line="360" w:lineRule="auto"/>
      <w:ind w:firstLineChars="200" w:firstLine="560"/>
      <w:textAlignment w:val="baseline"/>
    </w:pPr>
    <w:rPr>
      <w:rFonts w:ascii="Times New Roman" w:eastAsia="宋体" w:hAnsi="Times New Roman" w:cs="Times New Roman"/>
      <w:sz w:val="28"/>
      <w:szCs w:val="20"/>
    </w:rPr>
  </w:style>
  <w:style w:type="paragraph" w:customStyle="1" w:styleId="2f8">
    <w:name w:val="2标题"/>
    <w:basedOn w:val="2"/>
    <w:link w:val="2Char3"/>
    <w:qFormat/>
    <w:pPr>
      <w:tabs>
        <w:tab w:val="left" w:pos="720"/>
        <w:tab w:val="left" w:pos="1440"/>
      </w:tabs>
      <w:adjustRightInd w:val="0"/>
      <w:snapToGrid w:val="0"/>
      <w:spacing w:beforeLines="150" w:afterLines="100" w:line="480" w:lineRule="auto"/>
      <w:ind w:firstLine="482"/>
      <w:jc w:val="left"/>
      <w:textAlignment w:val="baseline"/>
    </w:pPr>
    <w:rPr>
      <w:rFonts w:eastAsia="宋体"/>
      <w:b/>
      <w:kern w:val="2"/>
      <w:szCs w:val="20"/>
      <w:lang w:val="zh-CN"/>
    </w:rPr>
  </w:style>
  <w:style w:type="character" w:customStyle="1" w:styleId="2Char3">
    <w:name w:val="2标题 Char"/>
    <w:link w:val="2f8"/>
    <w:qFormat/>
    <w:rPr>
      <w:rFonts w:ascii="Times New Roman" w:eastAsia="宋体" w:hAnsi="Times New Roman" w:cs="Times New Roman"/>
      <w:b/>
      <w:sz w:val="24"/>
      <w:szCs w:val="20"/>
      <w:lang w:val="zh-CN"/>
    </w:rPr>
  </w:style>
  <w:style w:type="paragraph" w:customStyle="1" w:styleId="2f9">
    <w:name w:val="样式 样式 首行缩进:  2 字符 + 小四 居中"/>
    <w:basedOn w:val="a0"/>
    <w:qFormat/>
    <w:pPr>
      <w:adjustRightInd w:val="0"/>
      <w:spacing w:line="360" w:lineRule="atLeast"/>
      <w:jc w:val="center"/>
      <w:textAlignment w:val="baseline"/>
    </w:pPr>
    <w:rPr>
      <w:rFonts w:ascii="Times New Roman" w:eastAsia="宋体" w:hAnsi="Times New Roman" w:cs="Times New Roman"/>
      <w:sz w:val="28"/>
      <w:szCs w:val="20"/>
    </w:rPr>
  </w:style>
  <w:style w:type="paragraph" w:customStyle="1" w:styleId="312">
    <w:name w:val="正文文本 31"/>
    <w:basedOn w:val="a0"/>
    <w:qFormat/>
    <w:pPr>
      <w:adjustRightInd w:val="0"/>
      <w:spacing w:line="360" w:lineRule="atLeast"/>
      <w:jc w:val="center"/>
      <w:textAlignment w:val="baseline"/>
    </w:pPr>
    <w:rPr>
      <w:rFonts w:ascii="仿宋体" w:eastAsia="仿宋体" w:hAnsi="宋体" w:cs="Times New Roman"/>
      <w:kern w:val="0"/>
      <w:sz w:val="24"/>
      <w:szCs w:val="20"/>
    </w:rPr>
  </w:style>
  <w:style w:type="paragraph" w:customStyle="1" w:styleId="afffffffffff6">
    <w:name w:val="表格内容格式"/>
    <w:basedOn w:val="a0"/>
    <w:qFormat/>
    <w:pPr>
      <w:adjustRightInd w:val="0"/>
      <w:spacing w:line="240" w:lineRule="atLeast"/>
      <w:textAlignment w:val="baseline"/>
    </w:pPr>
    <w:rPr>
      <w:rFonts w:ascii="宋体" w:eastAsia="宋体" w:hAnsi="宋体" w:cs="Times New Roman"/>
      <w:snapToGrid w:val="0"/>
      <w:color w:val="000000"/>
      <w:kern w:val="0"/>
      <w:szCs w:val="20"/>
    </w:rPr>
  </w:style>
  <w:style w:type="paragraph" w:customStyle="1" w:styleId="2fa">
    <w:name w:val="表格文字2"/>
    <w:basedOn w:val="a0"/>
    <w:qFormat/>
    <w:pPr>
      <w:adjustRightInd w:val="0"/>
      <w:snapToGrid w:val="0"/>
      <w:spacing w:before="20"/>
      <w:jc w:val="center"/>
      <w:textAlignment w:val="baseline"/>
    </w:pPr>
    <w:rPr>
      <w:rFonts w:ascii="Arial" w:eastAsia="宋体" w:hAnsi="Arial" w:cs="Times New Roman"/>
      <w:sz w:val="24"/>
      <w:szCs w:val="20"/>
    </w:rPr>
  </w:style>
  <w:style w:type="paragraph" w:customStyle="1" w:styleId="afffffffffff7">
    <w:name w:val="居中正文"/>
    <w:basedOn w:val="afff6"/>
    <w:qFormat/>
    <w:pPr>
      <w:adjustRightInd w:val="0"/>
      <w:spacing w:before="120" w:after="0" w:line="360" w:lineRule="auto"/>
      <w:ind w:firstLineChars="0" w:firstLine="0"/>
      <w:jc w:val="center"/>
    </w:pPr>
    <w:rPr>
      <w:rFonts w:ascii="宋体" w:eastAsiaTheme="minorEastAsia" w:cstheme="minorBidi" w:hint="eastAsia"/>
      <w:kern w:val="28"/>
    </w:rPr>
  </w:style>
  <w:style w:type="paragraph" w:customStyle="1" w:styleId="a30">
    <w:name w:val="a3"/>
    <w:basedOn w:val="a0"/>
    <w:qFormat/>
    <w:pPr>
      <w:widowControl/>
      <w:spacing w:before="100" w:beforeAutospacing="1" w:after="100" w:afterAutospacing="1"/>
      <w:jc w:val="left"/>
    </w:pPr>
    <w:rPr>
      <w:rFonts w:ascii="宋体" w:eastAsia="宋体" w:hAnsi="宋体" w:cs="Times New Roman"/>
      <w:color w:val="000000"/>
      <w:kern w:val="0"/>
      <w:sz w:val="24"/>
      <w:szCs w:val="24"/>
    </w:rPr>
  </w:style>
  <w:style w:type="paragraph" w:customStyle="1" w:styleId="afffffffffff8">
    <w:name w:val="标准正文"/>
    <w:basedOn w:val="a0"/>
    <w:qFormat/>
    <w:pPr>
      <w:widowControl/>
      <w:tabs>
        <w:tab w:val="right" w:pos="8640"/>
      </w:tabs>
      <w:spacing w:afterLines="50" w:line="360" w:lineRule="auto"/>
      <w:ind w:firstLineChars="225" w:firstLine="531"/>
    </w:pPr>
    <w:rPr>
      <w:rFonts w:ascii="Garamond" w:eastAsia="仿宋_GB2312" w:hAnsi="Garamond" w:cs="Times New Roman"/>
      <w:spacing w:val="-2"/>
      <w:kern w:val="44"/>
      <w:szCs w:val="24"/>
    </w:rPr>
  </w:style>
  <w:style w:type="character" w:customStyle="1" w:styleId="Charfff0">
    <w:name w:val="表头名称 Char"/>
    <w:qFormat/>
    <w:rPr>
      <w:rFonts w:ascii="黑体" w:eastAsia="黑体" w:hAnsi="宋体"/>
      <w:kern w:val="2"/>
      <w:sz w:val="24"/>
      <w:szCs w:val="24"/>
      <w:lang w:val="en-US" w:eastAsia="zh-CN" w:bidi="ar-SA"/>
    </w:rPr>
  </w:style>
  <w:style w:type="paragraph" w:customStyle="1" w:styleId="1ffa">
    <w:name w:val="样式 标题 1 + 小四"/>
    <w:basedOn w:val="1"/>
    <w:qFormat/>
    <w:pPr>
      <w:tabs>
        <w:tab w:val="left" w:pos="720"/>
      </w:tabs>
      <w:spacing w:line="0" w:lineRule="atLeast"/>
      <w:ind w:left="1200" w:hanging="720"/>
      <w:jc w:val="center"/>
    </w:pPr>
    <w:rPr>
      <w:rFonts w:eastAsia="宋体"/>
      <w:b/>
      <w:bCs/>
      <w:sz w:val="30"/>
      <w:szCs w:val="20"/>
    </w:rPr>
  </w:style>
  <w:style w:type="character" w:customStyle="1" w:styleId="Char1f3">
    <w:name w:val="正文(首行缩进) Char1"/>
    <w:qFormat/>
    <w:rPr>
      <w:rFonts w:ascii="宋体" w:eastAsia="宋体" w:hAnsi="宋体"/>
      <w:snapToGrid w:val="0"/>
      <w:spacing w:val="2"/>
      <w:sz w:val="24"/>
      <w:szCs w:val="21"/>
      <w:lang w:val="en-US" w:eastAsia="zh-CN" w:bidi="ar-SA"/>
    </w:rPr>
  </w:style>
  <w:style w:type="character" w:customStyle="1" w:styleId="ChapterTitleCharChar">
    <w:name w:val="Chapter Title Char Char"/>
    <w:qFormat/>
    <w:rPr>
      <w:rFonts w:ascii="Times New Roman" w:hAnsi="Times New Roman"/>
      <w:b/>
      <w:bCs/>
      <w:iCs/>
      <w:sz w:val="30"/>
      <w:szCs w:val="26"/>
      <w:lang w:bidi="en-US"/>
    </w:rPr>
  </w:style>
  <w:style w:type="paragraph" w:customStyle="1" w:styleId="1Part05">
    <w:name w:val="样式 标题 1Part + 段前: 0.5 行"/>
    <w:basedOn w:val="1"/>
    <w:qFormat/>
    <w:pPr>
      <w:keepNext w:val="0"/>
      <w:keepLines w:val="0"/>
      <w:pageBreakBefore/>
      <w:tabs>
        <w:tab w:val="left" w:pos="720"/>
        <w:tab w:val="center" w:pos="4323"/>
        <w:tab w:val="left" w:pos="7806"/>
      </w:tabs>
      <w:snapToGrid w:val="0"/>
      <w:spacing w:line="300" w:lineRule="auto"/>
      <w:ind w:left="3"/>
      <w:jc w:val="center"/>
      <w:outlineLvl w:val="9"/>
    </w:pPr>
    <w:rPr>
      <w:rFonts w:eastAsia="方正小标宋简体"/>
      <w:b/>
      <w:bCs/>
      <w:spacing w:val="20"/>
      <w:kern w:val="2"/>
      <w:sz w:val="36"/>
      <w:szCs w:val="20"/>
    </w:rPr>
  </w:style>
  <w:style w:type="character" w:customStyle="1" w:styleId="s4CharChar">
    <w:name w:val="s4 Char Char"/>
    <w:qFormat/>
    <w:rPr>
      <w:rFonts w:eastAsia="宋体"/>
      <w:kern w:val="2"/>
      <w:sz w:val="21"/>
      <w:szCs w:val="24"/>
      <w:lang w:val="en-US" w:eastAsia="zh-CN" w:bidi="ar-SA"/>
    </w:rPr>
  </w:style>
  <w:style w:type="paragraph" w:customStyle="1" w:styleId="afffffffffff9">
    <w:name w:val="内苡"/>
    <w:basedOn w:val="a0"/>
    <w:link w:val="Charfff1"/>
    <w:semiHidden/>
    <w:qFormat/>
    <w:pPr>
      <w:ind w:firstLineChars="200" w:firstLine="560"/>
    </w:pPr>
    <w:rPr>
      <w:rFonts w:ascii="宋体" w:eastAsia="宋体" w:hAnsi="宋体" w:cs="Times New Roman"/>
      <w:sz w:val="28"/>
      <w:szCs w:val="28"/>
      <w:lang w:val="zh-CN"/>
    </w:rPr>
  </w:style>
  <w:style w:type="character" w:customStyle="1" w:styleId="Charfff1">
    <w:name w:val="内苡 Char"/>
    <w:link w:val="afffffffffff9"/>
    <w:semiHidden/>
    <w:qFormat/>
    <w:rPr>
      <w:rFonts w:ascii="宋体" w:eastAsia="宋体" w:hAnsi="宋体" w:cs="Times New Roman"/>
      <w:sz w:val="28"/>
      <w:szCs w:val="28"/>
      <w:lang w:val="zh-CN"/>
    </w:rPr>
  </w:style>
  <w:style w:type="paragraph" w:customStyle="1" w:styleId="511">
    <w:name w:val="环 5级 1"/>
    <w:basedOn w:val="a0"/>
    <w:link w:val="51Char"/>
    <w:pPr>
      <w:ind w:firstLineChars="200" w:firstLine="200"/>
    </w:pPr>
    <w:rPr>
      <w:rFonts w:ascii="宋体" w:eastAsia="宋体" w:hAnsi="宋体" w:cs="Times New Roman"/>
      <w:b/>
      <w:snapToGrid w:val="0"/>
      <w:sz w:val="28"/>
      <w:szCs w:val="28"/>
      <w:lang w:val="zh-CN"/>
    </w:rPr>
  </w:style>
  <w:style w:type="character" w:customStyle="1" w:styleId="51Char">
    <w:name w:val="环 5级 1 Char"/>
    <w:link w:val="511"/>
    <w:qFormat/>
    <w:rPr>
      <w:rFonts w:ascii="宋体" w:eastAsia="宋体" w:hAnsi="宋体" w:cs="Times New Roman"/>
      <w:b/>
      <w:snapToGrid w:val="0"/>
      <w:sz w:val="28"/>
      <w:szCs w:val="28"/>
      <w:lang w:val="zh-CN"/>
    </w:rPr>
  </w:style>
  <w:style w:type="paragraph" w:customStyle="1" w:styleId="afffffffffffa">
    <w:name w:val="标题辞"/>
    <w:basedOn w:val="a0"/>
    <w:qFormat/>
    <w:pPr>
      <w:ind w:firstLineChars="200" w:firstLine="561"/>
    </w:pPr>
    <w:rPr>
      <w:rFonts w:ascii="楷体_GB2312" w:eastAsia="楷体_GB2312" w:hAnsi="Times New Roman" w:cs="Courier New"/>
      <w:b/>
      <w:bCs/>
      <w:kern w:val="10"/>
      <w:sz w:val="28"/>
      <w:szCs w:val="28"/>
    </w:rPr>
  </w:style>
  <w:style w:type="paragraph" w:customStyle="1" w:styleId="afffffffffffb">
    <w:name w:val="标准段落"/>
    <w:basedOn w:val="a0"/>
    <w:next w:val="a0"/>
    <w:qFormat/>
    <w:pPr>
      <w:spacing w:line="360" w:lineRule="auto"/>
      <w:ind w:firstLineChars="200" w:firstLine="480"/>
    </w:pPr>
    <w:rPr>
      <w:rFonts w:ascii="Times New Roman" w:eastAsia="宋体" w:hAnsi="宋体" w:cs="Times New Roman"/>
      <w:sz w:val="24"/>
      <w:szCs w:val="24"/>
    </w:rPr>
  </w:style>
  <w:style w:type="character" w:customStyle="1" w:styleId="lawsitemtext1">
    <w:name w:val="lawsitemtext1"/>
    <w:qFormat/>
    <w:rPr>
      <w:color w:val="154863"/>
      <w:sz w:val="21"/>
      <w:szCs w:val="21"/>
    </w:rPr>
  </w:style>
  <w:style w:type="paragraph" w:customStyle="1" w:styleId="BG1">
    <w:name w:val="BG1"/>
    <w:basedOn w:val="a0"/>
    <w:qFormat/>
    <w:pPr>
      <w:spacing w:line="300" w:lineRule="exact"/>
      <w:jc w:val="center"/>
    </w:pPr>
    <w:rPr>
      <w:rFonts w:ascii="宋体" w:eastAsia="宋体" w:hAnsi="宋体" w:cs="Times New Roman"/>
      <w:color w:val="000000"/>
      <w:szCs w:val="24"/>
    </w:rPr>
  </w:style>
  <w:style w:type="character" w:customStyle="1" w:styleId="CharChar19">
    <w:name w:val="Char Char19"/>
    <w:qFormat/>
    <w:rPr>
      <w:rFonts w:ascii="Times New Roman" w:hAnsi="Times New Roman"/>
      <w:b/>
      <w:bCs/>
      <w:iCs/>
      <w:sz w:val="28"/>
      <w:szCs w:val="28"/>
      <w:lang w:bidi="en-US"/>
    </w:rPr>
  </w:style>
  <w:style w:type="paragraph" w:customStyle="1" w:styleId="afffffffffffc">
    <w:name w:val="表格小"/>
    <w:basedOn w:val="a0"/>
    <w:qFormat/>
    <w:pPr>
      <w:jc w:val="center"/>
    </w:pPr>
    <w:rPr>
      <w:rFonts w:ascii="Times New Roman" w:eastAsia="宋体" w:hAnsi="Times New Roman" w:cs="Times New Roman"/>
      <w:sz w:val="18"/>
      <w:szCs w:val="24"/>
    </w:rPr>
  </w:style>
  <w:style w:type="paragraph" w:customStyle="1" w:styleId="afffffffffffd">
    <w:name w:val="表格注"/>
    <w:basedOn w:val="a0"/>
    <w:next w:val="a0"/>
    <w:qFormat/>
    <w:pPr>
      <w:spacing w:line="240" w:lineRule="exact"/>
      <w:jc w:val="left"/>
    </w:pPr>
    <w:rPr>
      <w:rFonts w:ascii="Times New Roman" w:eastAsia="宋体" w:hAnsi="Times New Roman" w:cs="Times New Roman"/>
      <w:sz w:val="18"/>
      <w:szCs w:val="24"/>
    </w:rPr>
  </w:style>
  <w:style w:type="paragraph" w:customStyle="1" w:styleId="50">
    <w:name w:val="5级正文"/>
    <w:basedOn w:val="af5"/>
    <w:next w:val="af5"/>
    <w:link w:val="5Char1"/>
    <w:pPr>
      <w:numPr>
        <w:numId w:val="2"/>
      </w:numPr>
      <w:spacing w:after="0" w:line="360" w:lineRule="auto"/>
      <w:ind w:left="0" w:firstLine="200"/>
      <w:outlineLvl w:val="4"/>
    </w:pPr>
    <w:rPr>
      <w:b/>
      <w:kern w:val="2"/>
      <w:lang w:val="zh-CN"/>
    </w:rPr>
  </w:style>
  <w:style w:type="character" w:customStyle="1" w:styleId="5Char1">
    <w:name w:val="5级正文 Char"/>
    <w:link w:val="50"/>
    <w:rPr>
      <w:rFonts w:ascii="Times New Roman" w:eastAsia="宋体" w:hAnsi="Times New Roman" w:cs="Times New Roman"/>
      <w:b/>
      <w:sz w:val="24"/>
      <w:szCs w:val="24"/>
      <w:lang w:val="zh-CN"/>
    </w:rPr>
  </w:style>
  <w:style w:type="paragraph" w:customStyle="1" w:styleId="afffffffffffe">
    <w:name w:val="样式 五号 蓝色 居中 行距: 单倍行距"/>
    <w:basedOn w:val="a0"/>
    <w:qFormat/>
    <w:pPr>
      <w:adjustRightInd w:val="0"/>
      <w:jc w:val="center"/>
      <w:textAlignment w:val="baseline"/>
    </w:pPr>
    <w:rPr>
      <w:rFonts w:ascii="Times New Roman" w:eastAsia="宋体" w:hAnsi="Times New Roman" w:cs="Times New Roman"/>
      <w:szCs w:val="21"/>
    </w:rPr>
  </w:style>
  <w:style w:type="character" w:customStyle="1" w:styleId="googqs-tidbitgoogqs-tidbit-0">
    <w:name w:val="goog_qs-tidbit goog_qs-tidbit-0"/>
    <w:basedOn w:val="a1"/>
    <w:qFormat/>
  </w:style>
  <w:style w:type="character" w:customStyle="1" w:styleId="googqs-tidbitgoogqs-tidbit-1">
    <w:name w:val="goog_qs-tidbit goog_qs-tidbit-1"/>
    <w:basedOn w:val="a1"/>
    <w:qFormat/>
  </w:style>
  <w:style w:type="paragraph" w:customStyle="1" w:styleId="1ffb">
    <w:name w:val="正文水资源论证1"/>
    <w:basedOn w:val="a0"/>
    <w:qFormat/>
    <w:pPr>
      <w:spacing w:line="520" w:lineRule="exact"/>
      <w:ind w:firstLineChars="200" w:firstLine="560"/>
    </w:pPr>
    <w:rPr>
      <w:rFonts w:ascii="宋体" w:eastAsia="宋体" w:hAnsi="宋体" w:cs="Times New Roman"/>
      <w:sz w:val="28"/>
      <w:szCs w:val="24"/>
    </w:rPr>
  </w:style>
  <w:style w:type="paragraph" w:customStyle="1" w:styleId="xl69">
    <w:name w:val="xl69"/>
    <w:basedOn w:val="a0"/>
    <w:qFormat/>
    <w:pPr>
      <w:widowControl/>
      <w:pBdr>
        <w:bottom w:val="single" w:sz="8" w:space="0" w:color="auto"/>
      </w:pBdr>
      <w:spacing w:before="100" w:after="100"/>
      <w:jc w:val="center"/>
      <w:textAlignment w:val="top"/>
    </w:pPr>
    <w:rPr>
      <w:rFonts w:ascii="Times New Roman" w:eastAsia="宋体" w:hAnsi="Times New Roman" w:cs="Times New Roman"/>
      <w:kern w:val="0"/>
      <w:sz w:val="24"/>
      <w:szCs w:val="24"/>
    </w:rPr>
  </w:style>
  <w:style w:type="paragraph" w:customStyle="1" w:styleId="xl70">
    <w:name w:val="xl70"/>
    <w:basedOn w:val="a0"/>
    <w:qFormat/>
    <w:pPr>
      <w:widowControl/>
      <w:pBdr>
        <w:bottom w:val="single" w:sz="8" w:space="0" w:color="auto"/>
        <w:right w:val="single" w:sz="4" w:space="0" w:color="auto"/>
      </w:pBdr>
      <w:spacing w:before="100" w:after="100"/>
      <w:jc w:val="center"/>
      <w:textAlignment w:val="top"/>
    </w:pPr>
    <w:rPr>
      <w:rFonts w:ascii="Times New Roman" w:eastAsia="宋体" w:hAnsi="Times New Roman" w:cs="Times New Roman"/>
      <w:kern w:val="0"/>
      <w:sz w:val="24"/>
      <w:szCs w:val="24"/>
    </w:rPr>
  </w:style>
  <w:style w:type="paragraph" w:customStyle="1" w:styleId="xl71">
    <w:name w:val="xl71"/>
    <w:basedOn w:val="a0"/>
    <w:qFormat/>
    <w:pPr>
      <w:widowControl/>
      <w:pBdr>
        <w:top w:val="single" w:sz="4" w:space="0" w:color="auto"/>
        <w:left w:val="single" w:sz="4" w:space="0" w:color="auto"/>
        <w:bottom w:val="single" w:sz="4" w:space="0" w:color="auto"/>
      </w:pBdr>
      <w:spacing w:before="100" w:after="100"/>
      <w:jc w:val="center"/>
      <w:textAlignment w:val="center"/>
    </w:pPr>
    <w:rPr>
      <w:rFonts w:ascii="宋体" w:eastAsia="宋体" w:hAnsi="宋体" w:cs="Times New Roman"/>
      <w:kern w:val="0"/>
      <w:sz w:val="24"/>
      <w:szCs w:val="24"/>
    </w:rPr>
  </w:style>
  <w:style w:type="paragraph" w:customStyle="1" w:styleId="xl72">
    <w:name w:val="xl72"/>
    <w:basedOn w:val="a0"/>
    <w:qFormat/>
    <w:pPr>
      <w:widowControl/>
      <w:pBdr>
        <w:top w:val="single" w:sz="8" w:space="0" w:color="auto"/>
        <w:left w:val="single" w:sz="4" w:space="0" w:color="auto"/>
      </w:pBdr>
      <w:spacing w:before="100" w:after="100"/>
      <w:jc w:val="center"/>
      <w:textAlignment w:val="center"/>
    </w:pPr>
    <w:rPr>
      <w:rFonts w:ascii="宋体" w:eastAsia="宋体" w:hAnsi="宋体" w:cs="Times New Roman"/>
      <w:kern w:val="0"/>
      <w:sz w:val="24"/>
      <w:szCs w:val="24"/>
    </w:rPr>
  </w:style>
  <w:style w:type="paragraph" w:customStyle="1" w:styleId="xl74">
    <w:name w:val="xl74"/>
    <w:basedOn w:val="a0"/>
    <w:qFormat/>
    <w:pPr>
      <w:widowControl/>
      <w:pBdr>
        <w:top w:val="single" w:sz="8" w:space="0" w:color="auto"/>
        <w:right w:val="single" w:sz="8" w:space="0" w:color="auto"/>
      </w:pBdr>
      <w:spacing w:before="100" w:after="100"/>
      <w:jc w:val="center"/>
      <w:textAlignment w:val="center"/>
    </w:pPr>
    <w:rPr>
      <w:rFonts w:ascii="Times New Roman" w:eastAsia="宋体" w:hAnsi="Times New Roman" w:cs="Times New Roman"/>
      <w:kern w:val="0"/>
      <w:sz w:val="24"/>
      <w:szCs w:val="24"/>
    </w:rPr>
  </w:style>
  <w:style w:type="paragraph" w:customStyle="1" w:styleId="xl75">
    <w:name w:val="xl75"/>
    <w:basedOn w:val="a0"/>
    <w:qFormat/>
    <w:pPr>
      <w:widowControl/>
      <w:pBdr>
        <w:left w:val="single" w:sz="4" w:space="0" w:color="auto"/>
      </w:pBdr>
      <w:spacing w:before="100" w:after="100"/>
      <w:jc w:val="center"/>
      <w:textAlignment w:val="center"/>
    </w:pPr>
    <w:rPr>
      <w:rFonts w:ascii="Times New Roman" w:eastAsia="宋体" w:hAnsi="Times New Roman" w:cs="Times New Roman"/>
      <w:kern w:val="0"/>
      <w:sz w:val="24"/>
      <w:szCs w:val="24"/>
    </w:rPr>
  </w:style>
  <w:style w:type="paragraph" w:customStyle="1" w:styleId="xl77">
    <w:name w:val="xl77"/>
    <w:basedOn w:val="a0"/>
    <w:qFormat/>
    <w:pPr>
      <w:widowControl/>
      <w:pBdr>
        <w:right w:val="single" w:sz="8" w:space="0" w:color="auto"/>
      </w:pBdr>
      <w:spacing w:before="100" w:after="100"/>
      <w:jc w:val="center"/>
      <w:textAlignment w:val="center"/>
    </w:pPr>
    <w:rPr>
      <w:rFonts w:ascii="Times New Roman" w:eastAsia="宋体" w:hAnsi="Times New Roman" w:cs="Times New Roman"/>
      <w:kern w:val="0"/>
      <w:sz w:val="24"/>
      <w:szCs w:val="24"/>
    </w:rPr>
  </w:style>
  <w:style w:type="paragraph" w:customStyle="1" w:styleId="xl80">
    <w:name w:val="xl80"/>
    <w:basedOn w:val="a0"/>
    <w:qFormat/>
    <w:pPr>
      <w:widowControl/>
      <w:pBdr>
        <w:bottom w:val="single" w:sz="8" w:space="0" w:color="auto"/>
        <w:right w:val="single" w:sz="8" w:space="0" w:color="auto"/>
      </w:pBdr>
      <w:spacing w:before="100" w:after="100"/>
      <w:jc w:val="center"/>
      <w:textAlignment w:val="center"/>
    </w:pPr>
    <w:rPr>
      <w:rFonts w:ascii="Times New Roman" w:eastAsia="宋体" w:hAnsi="Times New Roman" w:cs="Times New Roman"/>
      <w:kern w:val="0"/>
      <w:sz w:val="24"/>
      <w:szCs w:val="24"/>
    </w:rPr>
  </w:style>
  <w:style w:type="paragraph" w:customStyle="1" w:styleId="xl81">
    <w:name w:val="xl81"/>
    <w:basedOn w:val="a0"/>
    <w:qFormat/>
    <w:pPr>
      <w:widowControl/>
      <w:pBdr>
        <w:top w:val="single" w:sz="8" w:space="0" w:color="auto"/>
        <w:left w:val="single" w:sz="4" w:space="0" w:color="auto"/>
        <w:right w:val="single" w:sz="4" w:space="0" w:color="auto"/>
      </w:pBdr>
      <w:spacing w:before="100" w:after="100"/>
      <w:jc w:val="center"/>
      <w:textAlignment w:val="center"/>
    </w:pPr>
    <w:rPr>
      <w:rFonts w:ascii="宋体" w:eastAsia="宋体" w:hAnsi="宋体" w:cs="Times New Roman"/>
      <w:kern w:val="0"/>
      <w:sz w:val="24"/>
      <w:szCs w:val="24"/>
    </w:rPr>
  </w:style>
  <w:style w:type="paragraph" w:customStyle="1" w:styleId="xl83">
    <w:name w:val="xl83"/>
    <w:basedOn w:val="a0"/>
    <w:qFormat/>
    <w:pPr>
      <w:widowControl/>
      <w:pBdr>
        <w:left w:val="single" w:sz="4" w:space="0" w:color="auto"/>
        <w:bottom w:val="single" w:sz="8" w:space="0" w:color="auto"/>
        <w:right w:val="single" w:sz="4" w:space="0" w:color="auto"/>
      </w:pBdr>
      <w:spacing w:before="100" w:after="100"/>
      <w:jc w:val="center"/>
      <w:textAlignment w:val="center"/>
    </w:pPr>
    <w:rPr>
      <w:rFonts w:ascii="Times New Roman" w:eastAsia="宋体" w:hAnsi="Times New Roman" w:cs="Times New Roman"/>
      <w:kern w:val="0"/>
      <w:sz w:val="24"/>
      <w:szCs w:val="24"/>
    </w:rPr>
  </w:style>
  <w:style w:type="paragraph" w:customStyle="1" w:styleId="1ffc">
    <w:name w:val="项目符号1"/>
    <w:basedOn w:val="a0"/>
    <w:qFormat/>
    <w:pPr>
      <w:snapToGrid w:val="0"/>
      <w:spacing w:before="120" w:after="120" w:line="312" w:lineRule="auto"/>
    </w:pPr>
    <w:rPr>
      <w:rFonts w:ascii="Arial" w:eastAsia="楷体_GB2312" w:hAnsi="Arial" w:cs="Times New Roman"/>
      <w:b/>
      <w:sz w:val="28"/>
      <w:szCs w:val="20"/>
    </w:rPr>
  </w:style>
  <w:style w:type="paragraph" w:customStyle="1" w:styleId="1ffd">
    <w:name w:val="样式1 + 四号 居中"/>
    <w:basedOn w:val="a0"/>
    <w:qFormat/>
    <w:pPr>
      <w:spacing w:line="336" w:lineRule="auto"/>
      <w:jc w:val="center"/>
    </w:pPr>
    <w:rPr>
      <w:rFonts w:ascii="Times New Roman" w:eastAsia="宋体" w:hAnsi="Times New Roman" w:cs="Times New Roman"/>
      <w:sz w:val="28"/>
      <w:szCs w:val="20"/>
    </w:rPr>
  </w:style>
  <w:style w:type="paragraph" w:customStyle="1" w:styleId="3f6">
    <w:name w:val="副标题3"/>
    <w:basedOn w:val="a0"/>
    <w:qFormat/>
    <w:pPr>
      <w:keepLines/>
      <w:tabs>
        <w:tab w:val="left" w:pos="672"/>
        <w:tab w:val="left" w:pos="720"/>
      </w:tabs>
      <w:adjustRightInd w:val="0"/>
      <w:snapToGrid w:val="0"/>
      <w:spacing w:line="400" w:lineRule="atLeast"/>
      <w:ind w:left="672" w:hanging="348"/>
      <w:outlineLvl w:val="3"/>
    </w:pPr>
    <w:rPr>
      <w:rFonts w:ascii="宋体" w:eastAsia="宋体" w:hAnsi="Times New Roman" w:cs="Times New Roman"/>
      <w:snapToGrid w:val="0"/>
      <w:kern w:val="0"/>
      <w:sz w:val="24"/>
      <w:szCs w:val="24"/>
    </w:rPr>
  </w:style>
  <w:style w:type="paragraph" w:customStyle="1" w:styleId="CharCharCharCharCharCharCharCharChar1">
    <w:name w:val="Char Char Char Char Char Char Char Char Char1"/>
    <w:basedOn w:val="a0"/>
    <w:qFormat/>
    <w:rPr>
      <w:rFonts w:ascii="Times New Roman" w:eastAsia="宋体" w:hAnsi="Times New Roman" w:cs="Times New Roman"/>
      <w:szCs w:val="24"/>
    </w:rPr>
  </w:style>
  <w:style w:type="paragraph" w:customStyle="1" w:styleId="2h22Header2ndPageABCh2mainh2GB2312">
    <w:name w:val="样式 标题 2h22Header 2nd PageA.B.C.h2 main h标题2 + 仿宋_GB2312 行距..."/>
    <w:basedOn w:val="2"/>
    <w:qFormat/>
    <w:pPr>
      <w:widowControl/>
      <w:tabs>
        <w:tab w:val="left" w:pos="720"/>
        <w:tab w:val="left" w:pos="1440"/>
      </w:tabs>
      <w:spacing w:line="360" w:lineRule="auto"/>
      <w:ind w:firstLineChars="162" w:firstLine="455"/>
      <w:jc w:val="left"/>
    </w:pPr>
    <w:rPr>
      <w:rFonts w:ascii="仿宋_GB2312" w:eastAsia="仿宋_GB2312" w:hAnsi="ˎ̥" w:cs="宋体"/>
      <w:bCs/>
      <w:kern w:val="2"/>
      <w:sz w:val="28"/>
      <w:szCs w:val="20"/>
    </w:rPr>
  </w:style>
  <w:style w:type="paragraph" w:customStyle="1" w:styleId="GB2312152">
    <w:name w:val="样式 仿宋_GB2312 四号 行距: 1.5 倍行距 首行缩进:  2 字符"/>
    <w:basedOn w:val="a0"/>
    <w:qFormat/>
    <w:pPr>
      <w:spacing w:line="360" w:lineRule="auto"/>
      <w:ind w:firstLineChars="200" w:firstLine="560"/>
    </w:pPr>
    <w:rPr>
      <w:rFonts w:ascii="仿宋_GB2312" w:eastAsia="仿宋_GB2312" w:hAnsi="Times New Roman" w:cs="宋体"/>
      <w:sz w:val="28"/>
      <w:szCs w:val="20"/>
    </w:rPr>
  </w:style>
  <w:style w:type="paragraph" w:customStyle="1" w:styleId="dan7-17">
    <w:name w:val="dan7-1表头7"/>
    <w:basedOn w:val="a0"/>
    <w:link w:val="dan7-17Char"/>
    <w:qFormat/>
    <w:pPr>
      <w:tabs>
        <w:tab w:val="center" w:pos="0"/>
      </w:tabs>
      <w:spacing w:before="40" w:after="40" w:line="360" w:lineRule="auto"/>
      <w:ind w:left="1200" w:hanging="720"/>
      <w:jc w:val="center"/>
    </w:pPr>
    <w:rPr>
      <w:rFonts w:ascii="Times New Roman" w:eastAsia="黑体" w:hAnsi="Times New Roman" w:cs="Times New Roman"/>
      <w:sz w:val="24"/>
      <w:szCs w:val="24"/>
      <w:lang w:val="zh-CN"/>
    </w:rPr>
  </w:style>
  <w:style w:type="character" w:customStyle="1" w:styleId="dan7-17Char">
    <w:name w:val="dan7-1表头7 Char"/>
    <w:link w:val="dan7-17"/>
    <w:qFormat/>
    <w:rPr>
      <w:rFonts w:ascii="Times New Roman" w:eastAsia="黑体" w:hAnsi="Times New Roman" w:cs="Times New Roman"/>
      <w:sz w:val="24"/>
      <w:szCs w:val="24"/>
      <w:lang w:val="zh-CN"/>
    </w:rPr>
  </w:style>
  <w:style w:type="paragraph" w:customStyle="1" w:styleId="12CharCharCharChar">
    <w:name w:val="12 Char Char Char Char"/>
    <w:basedOn w:val="a0"/>
    <w:qFormat/>
    <w:pPr>
      <w:spacing w:line="360" w:lineRule="auto"/>
      <w:ind w:firstLineChars="200" w:firstLine="200"/>
      <w:jc w:val="left"/>
    </w:pPr>
    <w:rPr>
      <w:rFonts w:ascii="宋体" w:eastAsia="宋体" w:hAnsi="宋体" w:cs="Times New Roman"/>
      <w:position w:val="-6"/>
      <w:sz w:val="28"/>
      <w:szCs w:val="20"/>
      <w:u w:val="single"/>
    </w:rPr>
  </w:style>
  <w:style w:type="character" w:customStyle="1" w:styleId="CharChar170">
    <w:name w:val="Char Char17"/>
    <w:qFormat/>
    <w:rPr>
      <w:rFonts w:eastAsia="宋体"/>
      <w:b/>
      <w:bCs/>
      <w:kern w:val="2"/>
      <w:sz w:val="32"/>
      <w:szCs w:val="32"/>
      <w:lang w:val="en-US" w:eastAsia="zh-CN" w:bidi="ar-SA"/>
    </w:rPr>
  </w:style>
  <w:style w:type="paragraph" w:customStyle="1" w:styleId="affffffffffff">
    <w:name w:val="样式"/>
    <w:basedOn w:val="a0"/>
    <w:next w:val="afb"/>
    <w:qFormat/>
    <w:rPr>
      <w:rFonts w:ascii="宋体" w:eastAsia="宋体" w:hAnsi="Courier New" w:cs="Times New Roman"/>
      <w:szCs w:val="21"/>
    </w:rPr>
  </w:style>
  <w:style w:type="character" w:customStyle="1" w:styleId="text0">
    <w:name w:val="text"/>
    <w:basedOn w:val="a1"/>
    <w:qFormat/>
  </w:style>
  <w:style w:type="paragraph" w:customStyle="1" w:styleId="a">
    <w:name w:val="图表脚注说明"/>
    <w:basedOn w:val="a0"/>
    <w:qFormat/>
    <w:pPr>
      <w:numPr>
        <w:numId w:val="3"/>
      </w:numPr>
    </w:pPr>
    <w:rPr>
      <w:rFonts w:ascii="宋体" w:eastAsia="宋体" w:hAnsi="Times New Roman" w:cs="Times New Roman"/>
      <w:sz w:val="18"/>
      <w:szCs w:val="18"/>
    </w:rPr>
  </w:style>
  <w:style w:type="character" w:customStyle="1" w:styleId="text1">
    <w:name w:val="text1"/>
    <w:qFormat/>
    <w:rPr>
      <w:color w:val="000000"/>
      <w:spacing w:val="270"/>
      <w:sz w:val="18"/>
      <w:szCs w:val="18"/>
    </w:rPr>
  </w:style>
  <w:style w:type="paragraph" w:customStyle="1" w:styleId="099">
    <w:name w:val="样式 首行缩进:  0.99 厘米"/>
    <w:basedOn w:val="a0"/>
    <w:qFormat/>
    <w:pPr>
      <w:adjustRightInd w:val="0"/>
      <w:spacing w:line="480" w:lineRule="exact"/>
      <w:ind w:firstLine="567"/>
      <w:textAlignment w:val="baseline"/>
    </w:pPr>
    <w:rPr>
      <w:rFonts w:ascii="Times New Roman" w:eastAsia="宋体" w:hAnsi="Times New Roman" w:cs="宋体"/>
      <w:spacing w:val="-2"/>
      <w:kern w:val="0"/>
      <w:sz w:val="28"/>
      <w:szCs w:val="20"/>
    </w:rPr>
  </w:style>
  <w:style w:type="paragraph" w:customStyle="1" w:styleId="affffffffffff0">
    <w:name w:val="可研表格"/>
    <w:basedOn w:val="a0"/>
    <w:next w:val="a0"/>
    <w:link w:val="Charfff2"/>
    <w:pPr>
      <w:tabs>
        <w:tab w:val="left" w:pos="3686"/>
      </w:tabs>
      <w:spacing w:line="440" w:lineRule="exact"/>
      <w:jc w:val="center"/>
    </w:pPr>
    <w:rPr>
      <w:rFonts w:ascii="Times New Roman" w:eastAsia="宋体" w:hAnsi="Times New Roman" w:cs="Times New Roman"/>
      <w:sz w:val="24"/>
      <w:szCs w:val="24"/>
      <w:lang w:val="zh-CN"/>
    </w:rPr>
  </w:style>
  <w:style w:type="character" w:customStyle="1" w:styleId="Charfff2">
    <w:name w:val="可研表格 Char"/>
    <w:link w:val="affffffffffff0"/>
    <w:qFormat/>
    <w:locked/>
    <w:rPr>
      <w:rFonts w:ascii="Times New Roman" w:eastAsia="宋体" w:hAnsi="Times New Roman" w:cs="Times New Roman"/>
      <w:sz w:val="24"/>
      <w:szCs w:val="24"/>
      <w:lang w:val="zh-CN"/>
    </w:rPr>
  </w:style>
  <w:style w:type="character" w:customStyle="1" w:styleId="7Char">
    <w:name w:val="标题 7 表 Char"/>
    <w:qFormat/>
    <w:rPr>
      <w:rFonts w:eastAsia="宋体"/>
      <w:b/>
      <w:bCs/>
      <w:kern w:val="2"/>
      <w:sz w:val="24"/>
      <w:szCs w:val="24"/>
      <w:lang w:val="en-US" w:eastAsia="zh-CN" w:bidi="ar-SA"/>
    </w:rPr>
  </w:style>
  <w:style w:type="character" w:customStyle="1" w:styleId="iiiChar">
    <w:name w:val=". [(iii)] Char"/>
    <w:qFormat/>
    <w:rPr>
      <w:rFonts w:ascii="Arial" w:eastAsia="黑体" w:hAnsi="Arial"/>
      <w:kern w:val="2"/>
      <w:sz w:val="21"/>
      <w:szCs w:val="21"/>
      <w:lang w:val="en-US" w:eastAsia="zh-CN" w:bidi="ar-SA"/>
    </w:rPr>
  </w:style>
  <w:style w:type="character" w:customStyle="1" w:styleId="123YJCharChar1">
    <w:name w:val="123YJ Char Char1"/>
    <w:qFormat/>
    <w:rPr>
      <w:rFonts w:eastAsia="宋体"/>
      <w:kern w:val="2"/>
      <w:sz w:val="18"/>
      <w:szCs w:val="18"/>
      <w:lang w:val="en-US" w:eastAsia="zh-CN" w:bidi="ar-SA"/>
    </w:rPr>
  </w:style>
  <w:style w:type="paragraph" w:customStyle="1" w:styleId="3">
    <w:name w:val="样式 标题 3"/>
    <w:basedOn w:val="30"/>
    <w:qFormat/>
    <w:pPr>
      <w:numPr>
        <w:ilvl w:val="1"/>
        <w:numId w:val="4"/>
      </w:numPr>
      <w:tabs>
        <w:tab w:val="clear" w:pos="567"/>
        <w:tab w:val="left" w:pos="709"/>
        <w:tab w:val="left" w:pos="1440"/>
        <w:tab w:val="left" w:pos="2160"/>
      </w:tabs>
      <w:spacing w:line="480" w:lineRule="exact"/>
      <w:ind w:left="709" w:hanging="709"/>
    </w:pPr>
    <w:rPr>
      <w:rFonts w:ascii="Times New Roman" w:eastAsia="宋体" w:hAnsi="Times New Roman" w:cs="宋体"/>
      <w:sz w:val="28"/>
      <w:szCs w:val="20"/>
    </w:rPr>
  </w:style>
  <w:style w:type="paragraph" w:customStyle="1" w:styleId="2TimesNewRoman0024">
    <w:name w:val="样式 标题 2 + Times New Roman 左侧:  0 厘米 首行缩进:  0 厘米 行距: 固定值 24 磅"/>
    <w:basedOn w:val="2"/>
    <w:pPr>
      <w:numPr>
        <w:ilvl w:val="3"/>
        <w:numId w:val="4"/>
      </w:numPr>
      <w:tabs>
        <w:tab w:val="clear" w:pos="851"/>
        <w:tab w:val="left" w:pos="567"/>
        <w:tab w:val="left" w:pos="1440"/>
        <w:tab w:val="left" w:pos="2880"/>
      </w:tabs>
      <w:spacing w:line="500" w:lineRule="exact"/>
      <w:ind w:left="567" w:firstLineChars="0" w:hanging="567"/>
    </w:pPr>
    <w:rPr>
      <w:rFonts w:cs="宋体"/>
      <w:b/>
      <w:bCs/>
      <w:kern w:val="2"/>
      <w:sz w:val="28"/>
      <w:szCs w:val="20"/>
    </w:rPr>
  </w:style>
  <w:style w:type="paragraph" w:customStyle="1" w:styleId="4TimesNewRoman24">
    <w:name w:val="样式 标题 4 + (西文) Times New Roman (中文) 宋体 四号 行距: 固定值 24 磅"/>
    <w:basedOn w:val="4"/>
    <w:pPr>
      <w:numPr>
        <w:numId w:val="4"/>
      </w:numPr>
      <w:tabs>
        <w:tab w:val="clear" w:pos="425"/>
        <w:tab w:val="left" w:pos="720"/>
        <w:tab w:val="left" w:pos="851"/>
        <w:tab w:val="left" w:pos="1290"/>
        <w:tab w:val="left" w:pos="2880"/>
      </w:tabs>
      <w:spacing w:line="500" w:lineRule="exact"/>
      <w:ind w:left="851" w:hanging="851"/>
    </w:pPr>
    <w:rPr>
      <w:rFonts w:ascii="Times New Roman" w:eastAsia="宋体" w:hAnsi="Times New Roman" w:cs="宋体"/>
      <w:b w:val="0"/>
      <w:szCs w:val="20"/>
    </w:rPr>
  </w:style>
  <w:style w:type="paragraph" w:customStyle="1" w:styleId="07720">
    <w:name w:val="样式 首行缩进:  0.77 厘米 行距: 固定值 20 磅"/>
    <w:basedOn w:val="a0"/>
    <w:link w:val="07720Char"/>
    <w:pPr>
      <w:spacing w:line="360" w:lineRule="auto"/>
      <w:ind w:firstLine="435"/>
    </w:pPr>
    <w:rPr>
      <w:rFonts w:ascii="Times New Roman" w:eastAsia="宋体" w:hAnsi="Times New Roman" w:cs="Times New Roman"/>
      <w:sz w:val="24"/>
      <w:szCs w:val="20"/>
      <w:lang w:val="zh-CN"/>
    </w:rPr>
  </w:style>
  <w:style w:type="character" w:customStyle="1" w:styleId="07720Char">
    <w:name w:val="样式 首行缩进:  0.77 厘米 行距: 固定值 20 磅 Char"/>
    <w:link w:val="07720"/>
    <w:qFormat/>
    <w:rPr>
      <w:rFonts w:ascii="Times New Roman" w:eastAsia="宋体" w:hAnsi="Times New Roman" w:cs="Times New Roman"/>
      <w:sz w:val="24"/>
      <w:szCs w:val="20"/>
      <w:lang w:val="zh-CN"/>
    </w:rPr>
  </w:style>
  <w:style w:type="paragraph" w:customStyle="1" w:styleId="077200">
    <w:name w:val="样式 样式 首行缩进:  0.77 厘米 行距: 固定值 20 磅 + 居中 首行缩进:  0 厘米 行距: 单倍行距"/>
    <w:basedOn w:val="07720"/>
    <w:qFormat/>
    <w:pPr>
      <w:spacing w:line="400" w:lineRule="exact"/>
      <w:ind w:firstLine="0"/>
      <w:jc w:val="center"/>
    </w:pPr>
    <w:rPr>
      <w:rFonts w:cs="宋体"/>
    </w:rPr>
  </w:style>
  <w:style w:type="paragraph" w:customStyle="1" w:styleId="affffffffffff1">
    <w:name w:val="图标题注"/>
    <w:basedOn w:val="aa"/>
    <w:qFormat/>
    <w:pPr>
      <w:keepNext/>
      <w:widowControl/>
      <w:spacing w:before="120" w:after="120" w:line="400" w:lineRule="exact"/>
      <w:ind w:firstLineChars="0" w:firstLine="0"/>
      <w:jc w:val="center"/>
    </w:pPr>
    <w:rPr>
      <w:rFonts w:ascii="Times New Roman" w:hAnsi="Times New Roman" w:cs="宋体"/>
      <w:b/>
      <w:bCs/>
      <w:sz w:val="28"/>
    </w:rPr>
  </w:style>
  <w:style w:type="paragraph" w:customStyle="1" w:styleId="affffffffffff2">
    <w:name w:val="表中正文"/>
    <w:basedOn w:val="a0"/>
    <w:qFormat/>
    <w:pPr>
      <w:tabs>
        <w:tab w:val="left" w:pos="958"/>
        <w:tab w:val="left" w:pos="7320"/>
        <w:tab w:val="left" w:pos="8160"/>
      </w:tabs>
      <w:adjustRightInd w:val="0"/>
      <w:spacing w:line="360" w:lineRule="atLeast"/>
      <w:ind w:right="113"/>
      <w:jc w:val="center"/>
      <w:textAlignment w:val="baseline"/>
    </w:pPr>
    <w:rPr>
      <w:rFonts w:ascii="宋体" w:eastAsia="宋体" w:hAnsi="宋体" w:cs="Times New Roman"/>
      <w:spacing w:val="6"/>
      <w:kern w:val="20"/>
      <w:szCs w:val="24"/>
    </w:rPr>
  </w:style>
  <w:style w:type="character" w:customStyle="1" w:styleId="body-font">
    <w:name w:val="body-font"/>
    <w:basedOn w:val="a1"/>
    <w:qFormat/>
  </w:style>
  <w:style w:type="paragraph" w:customStyle="1" w:styleId="4a">
    <w:name w:val="表小4"/>
    <w:basedOn w:val="a0"/>
    <w:link w:val="4Char"/>
    <w:pPr>
      <w:widowControl/>
      <w:tabs>
        <w:tab w:val="left" w:pos="0"/>
      </w:tabs>
      <w:adjustRightInd w:val="0"/>
      <w:spacing w:line="0" w:lineRule="atLeast"/>
      <w:jc w:val="center"/>
    </w:pPr>
    <w:rPr>
      <w:rFonts w:ascii="宋体" w:eastAsia="宋体" w:hAnsi="宋体" w:cs="Times New Roman"/>
      <w:sz w:val="28"/>
      <w:szCs w:val="20"/>
      <w:lang w:val="zh-CN"/>
    </w:rPr>
  </w:style>
  <w:style w:type="character" w:customStyle="1" w:styleId="4Char">
    <w:name w:val="表小4 Char"/>
    <w:link w:val="4a"/>
    <w:rPr>
      <w:rFonts w:ascii="宋体" w:eastAsia="宋体" w:hAnsi="宋体" w:cs="Times New Roman"/>
      <w:sz w:val="28"/>
      <w:szCs w:val="20"/>
      <w:lang w:val="zh-CN"/>
    </w:rPr>
  </w:style>
  <w:style w:type="character" w:customStyle="1" w:styleId="vctext1">
    <w:name w:val="vctext1"/>
    <w:qFormat/>
    <w:rPr>
      <w:color w:val="666666"/>
      <w:sz w:val="24"/>
      <w:szCs w:val="24"/>
    </w:rPr>
  </w:style>
  <w:style w:type="paragraph" w:customStyle="1" w:styleId="Hu">
    <w:name w:val="Hu表头"/>
    <w:basedOn w:val="affff5"/>
    <w:qFormat/>
    <w:pPr>
      <w:snapToGrid w:val="0"/>
      <w:spacing w:before="0" w:afterLines="50" w:after="50"/>
      <w:ind w:firstLineChars="0" w:firstLine="0"/>
      <w:jc w:val="both"/>
    </w:pPr>
    <w:rPr>
      <w:rFonts w:ascii="宋体" w:eastAsia="宋体"/>
      <w:b/>
      <w:kern w:val="2"/>
    </w:rPr>
  </w:style>
  <w:style w:type="character" w:customStyle="1" w:styleId="1CharChar1">
    <w:name w:val="呼正1 Char Char"/>
    <w:link w:val="1ffe"/>
    <w:qFormat/>
    <w:rPr>
      <w:rFonts w:ascii="宋体" w:hAnsi="宋体"/>
      <w:sz w:val="28"/>
    </w:rPr>
  </w:style>
  <w:style w:type="paragraph" w:customStyle="1" w:styleId="1ffe">
    <w:name w:val="呼正1"/>
    <w:basedOn w:val="a0"/>
    <w:link w:val="1CharChar1"/>
    <w:qFormat/>
    <w:pPr>
      <w:snapToGrid w:val="0"/>
      <w:spacing w:line="360" w:lineRule="auto"/>
      <w:ind w:firstLineChars="210" w:firstLine="588"/>
    </w:pPr>
    <w:rPr>
      <w:rFonts w:ascii="宋体" w:hAnsi="宋体"/>
      <w:sz w:val="28"/>
    </w:rPr>
  </w:style>
  <w:style w:type="character" w:customStyle="1" w:styleId="CharChar70">
    <w:name w:val="Char Char7"/>
    <w:qFormat/>
    <w:rPr>
      <w:kern w:val="2"/>
      <w:sz w:val="18"/>
      <w:szCs w:val="18"/>
    </w:rPr>
  </w:style>
  <w:style w:type="character" w:customStyle="1" w:styleId="1CharChar2">
    <w:name w:val="正文文字1 Char Char"/>
    <w:qFormat/>
    <w:rPr>
      <w:rFonts w:eastAsia="宋体"/>
      <w:kern w:val="2"/>
      <w:sz w:val="21"/>
      <w:szCs w:val="24"/>
      <w:lang w:val="en-US" w:eastAsia="zh-CN" w:bidi="ar-SA"/>
    </w:rPr>
  </w:style>
  <w:style w:type="character" w:customStyle="1" w:styleId="CharChar23">
    <w:name w:val="Char Char23"/>
    <w:qFormat/>
    <w:rPr>
      <w:rFonts w:eastAsia="宋体"/>
      <w:kern w:val="2"/>
      <w:sz w:val="18"/>
      <w:szCs w:val="18"/>
      <w:lang w:val="en-US" w:eastAsia="zh-CN" w:bidi="ar-SA"/>
    </w:rPr>
  </w:style>
  <w:style w:type="character" w:customStyle="1" w:styleId="CharChar21">
    <w:name w:val="Char Char21"/>
    <w:qFormat/>
    <w:rPr>
      <w:rFonts w:ascii="仿宋_GB2312" w:eastAsia="仿宋_GB2312" w:hAnsi="宋体"/>
      <w:kern w:val="2"/>
      <w:sz w:val="28"/>
      <w:szCs w:val="24"/>
      <w:lang w:val="en-US" w:eastAsia="zh-CN" w:bidi="ar-SA"/>
    </w:rPr>
  </w:style>
  <w:style w:type="character" w:customStyle="1" w:styleId="Charfff3">
    <w:name w:val="第五层条 Char"/>
    <w:qFormat/>
    <w:rPr>
      <w:rFonts w:ascii="Arial" w:eastAsia="黑体" w:hAnsi="Arial"/>
      <w:b/>
      <w:kern w:val="2"/>
      <w:sz w:val="24"/>
      <w:lang w:val="en-US" w:eastAsia="zh-CN" w:bidi="ar-SA"/>
    </w:rPr>
  </w:style>
  <w:style w:type="character" w:customStyle="1" w:styleId="t2">
    <w:name w:val="t2"/>
    <w:basedOn w:val="a1"/>
    <w:qFormat/>
  </w:style>
  <w:style w:type="character" w:customStyle="1" w:styleId="duanluo1">
    <w:name w:val="duanluo1"/>
    <w:basedOn w:val="a1"/>
    <w:qFormat/>
  </w:style>
  <w:style w:type="character" w:customStyle="1" w:styleId="Charfff4">
    <w:name w:val="新正文样式 Char"/>
    <w:link w:val="affffffffffff3"/>
    <w:rPr>
      <w:spacing w:val="20"/>
      <w:sz w:val="24"/>
    </w:rPr>
  </w:style>
  <w:style w:type="paragraph" w:customStyle="1" w:styleId="affffffffffff3">
    <w:name w:val="新正文样式"/>
    <w:basedOn w:val="a0"/>
    <w:link w:val="Charfff4"/>
    <w:pPr>
      <w:tabs>
        <w:tab w:val="left" w:pos="567"/>
      </w:tabs>
      <w:spacing w:line="360" w:lineRule="auto"/>
      <w:ind w:firstLine="567"/>
    </w:pPr>
    <w:rPr>
      <w:spacing w:val="20"/>
      <w:sz w:val="24"/>
    </w:rPr>
  </w:style>
  <w:style w:type="character" w:customStyle="1" w:styleId="CharCharb">
    <w:name w:val="正文(首行缩进)宋旭峰 Char Char"/>
    <w:link w:val="affffffffffff4"/>
    <w:qFormat/>
    <w:rPr>
      <w:snapToGrid w:val="0"/>
      <w:sz w:val="28"/>
    </w:rPr>
  </w:style>
  <w:style w:type="paragraph" w:customStyle="1" w:styleId="affffffffffff4">
    <w:name w:val="正文(首行缩进)宋旭峰"/>
    <w:basedOn w:val="a8"/>
    <w:link w:val="CharCharb"/>
    <w:pPr>
      <w:spacing w:beforeLines="50" w:afterLines="50" w:line="360" w:lineRule="auto"/>
      <w:ind w:firstLine="560"/>
    </w:pPr>
    <w:rPr>
      <w:rFonts w:asciiTheme="minorHAnsi" w:eastAsiaTheme="minorEastAsia" w:hAnsiTheme="minorHAnsi" w:cstheme="minorBidi"/>
      <w:snapToGrid w:val="0"/>
      <w:kern w:val="2"/>
      <w:sz w:val="28"/>
      <w:szCs w:val="22"/>
    </w:rPr>
  </w:style>
  <w:style w:type="paragraph" w:customStyle="1" w:styleId="affffffffffff5">
    <w:name w:val="目录"/>
    <w:qFormat/>
    <w:pPr>
      <w:tabs>
        <w:tab w:val="left" w:pos="375"/>
      </w:tabs>
      <w:jc w:val="center"/>
      <w:outlineLvl w:val="0"/>
    </w:pPr>
    <w:rPr>
      <w:rFonts w:ascii="宋体"/>
      <w:color w:val="FF0000"/>
      <w:sz w:val="32"/>
    </w:rPr>
  </w:style>
  <w:style w:type="paragraph" w:customStyle="1" w:styleId="2fb">
    <w:name w:val="表格方案样式2"/>
    <w:basedOn w:val="a0"/>
    <w:qFormat/>
    <w:pPr>
      <w:tabs>
        <w:tab w:val="left" w:pos="567"/>
      </w:tabs>
      <w:jc w:val="center"/>
    </w:pPr>
    <w:rPr>
      <w:rFonts w:ascii="Times New Roman" w:eastAsia="华文中宋" w:hAnsi="Times New Roman" w:cs="Times New Roman"/>
      <w:sz w:val="24"/>
      <w:szCs w:val="20"/>
    </w:rPr>
  </w:style>
  <w:style w:type="paragraph" w:customStyle="1" w:styleId="affffffffffff6">
    <w:name w:val="表、图名宋旭峰"/>
    <w:basedOn w:val="a0"/>
    <w:qFormat/>
    <w:pPr>
      <w:spacing w:beforeLines="50" w:line="360" w:lineRule="auto"/>
      <w:jc w:val="center"/>
    </w:pPr>
    <w:rPr>
      <w:rFonts w:ascii="黑体" w:eastAsia="黑体" w:hAnsi="宋体" w:cs="Times New Roman"/>
      <w:kern w:val="0"/>
      <w:szCs w:val="20"/>
    </w:rPr>
  </w:style>
  <w:style w:type="paragraph" w:customStyle="1" w:styleId="affffffffffff7">
    <w:name w:val="表体宋旭峰"/>
    <w:basedOn w:val="a0"/>
    <w:qFormat/>
    <w:pPr>
      <w:overflowPunct w:val="0"/>
      <w:spacing w:line="280" w:lineRule="atLeast"/>
      <w:jc w:val="center"/>
      <w:textAlignment w:val="baseline"/>
    </w:pPr>
    <w:rPr>
      <w:rFonts w:ascii="宋体" w:eastAsia="宋体" w:hAnsi="Courier New" w:cs="Times New Roman"/>
      <w:snapToGrid w:val="0"/>
      <w:kern w:val="24"/>
      <w:sz w:val="18"/>
      <w:szCs w:val="20"/>
    </w:rPr>
  </w:style>
  <w:style w:type="paragraph" w:customStyle="1" w:styleId="Style3">
    <w:name w:val="_Style 3"/>
    <w:basedOn w:val="a0"/>
    <w:qFormat/>
    <w:rPr>
      <w:rFonts w:ascii="Times New Roman" w:eastAsia="宋体" w:hAnsi="Times New Roman" w:cs="Times New Roman"/>
      <w:szCs w:val="20"/>
    </w:rPr>
  </w:style>
  <w:style w:type="character" w:customStyle="1" w:styleId="headline-content2">
    <w:name w:val="headline-content2"/>
    <w:basedOn w:val="a1"/>
    <w:qFormat/>
  </w:style>
  <w:style w:type="character" w:customStyle="1" w:styleId="CharChar24">
    <w:name w:val="Char Char24"/>
    <w:qFormat/>
    <w:rPr>
      <w:rFonts w:ascii="Times New Roman" w:eastAsia="宋体" w:hAnsi="Times New Roman" w:cs="Times New Roman"/>
      <w:sz w:val="18"/>
      <w:szCs w:val="18"/>
    </w:rPr>
  </w:style>
  <w:style w:type="character" w:customStyle="1" w:styleId="CharChar27">
    <w:name w:val="Char Char27"/>
    <w:qFormat/>
    <w:rPr>
      <w:rFonts w:eastAsia="宋体"/>
      <w:kern w:val="2"/>
      <w:sz w:val="21"/>
      <w:szCs w:val="24"/>
      <w:lang w:val="en-US" w:eastAsia="zh-CN" w:bidi="ar-SA"/>
    </w:rPr>
  </w:style>
  <w:style w:type="character" w:customStyle="1" w:styleId="style211">
    <w:name w:val="style211"/>
    <w:qFormat/>
    <w:rPr>
      <w:sz w:val="20"/>
      <w:szCs w:val="20"/>
    </w:rPr>
  </w:style>
  <w:style w:type="paragraph" w:customStyle="1" w:styleId="affffffffffff8">
    <w:name w:val="正文图五"/>
    <w:basedOn w:val="a0"/>
    <w:qFormat/>
    <w:pPr>
      <w:widowControl/>
      <w:adjustRightInd w:val="0"/>
      <w:snapToGrid w:val="0"/>
      <w:jc w:val="center"/>
    </w:pPr>
    <w:rPr>
      <w:rFonts w:ascii="Arial" w:eastAsia="仿宋_GB2312" w:hAnsi="Arial" w:cs="宋体"/>
      <w:snapToGrid w:val="0"/>
      <w:kern w:val="0"/>
      <w:szCs w:val="21"/>
    </w:rPr>
  </w:style>
  <w:style w:type="paragraph" w:customStyle="1" w:styleId="1fff">
    <w:name w:val="1标题"/>
    <w:basedOn w:val="1"/>
    <w:link w:val="1Char9"/>
    <w:qFormat/>
    <w:pPr>
      <w:tabs>
        <w:tab w:val="left" w:pos="720"/>
      </w:tabs>
      <w:adjustRightInd w:val="0"/>
      <w:snapToGrid w:val="0"/>
      <w:spacing w:beforeLines="150" w:afterLines="100" w:line="480" w:lineRule="auto"/>
      <w:ind w:firstLineChars="188" w:firstLine="566"/>
      <w:jc w:val="left"/>
      <w:textAlignment w:val="baseline"/>
    </w:pPr>
    <w:rPr>
      <w:rFonts w:ascii="宋体" w:eastAsia="宋体" w:hAnsi="宋体"/>
      <w:b/>
      <w:sz w:val="30"/>
      <w:szCs w:val="30"/>
      <w:lang w:val="zh-CN"/>
    </w:rPr>
  </w:style>
  <w:style w:type="character" w:customStyle="1" w:styleId="1Char9">
    <w:name w:val="1标题 Char"/>
    <w:link w:val="1fff"/>
    <w:qFormat/>
    <w:rPr>
      <w:rFonts w:ascii="宋体" w:eastAsia="宋体" w:hAnsi="宋体" w:cs="Times New Roman"/>
      <w:b/>
      <w:kern w:val="44"/>
      <w:sz w:val="30"/>
      <w:szCs w:val="30"/>
      <w:lang w:val="zh-CN"/>
    </w:rPr>
  </w:style>
  <w:style w:type="paragraph" w:customStyle="1" w:styleId="3096">
    <w:name w:val="样式 样式3 + 首行缩进:  0.96 字符"/>
    <w:basedOn w:val="3a"/>
    <w:qFormat/>
    <w:pPr>
      <w:tabs>
        <w:tab w:val="left" w:pos="720"/>
        <w:tab w:val="left" w:pos="1440"/>
      </w:tabs>
      <w:snapToGrid/>
      <w:spacing w:beforeLines="50" w:line="360" w:lineRule="auto"/>
      <w:ind w:rightChars="-42" w:right="-126" w:firstLineChars="0" w:firstLine="0"/>
    </w:pPr>
    <w:rPr>
      <w:rFonts w:ascii="Times New Roman" w:eastAsia="宋体" w:hAnsi="Times New Roman"/>
      <w:b/>
      <w:bCs/>
      <w:sz w:val="88"/>
      <w:szCs w:val="84"/>
      <w:lang w:val="zh-CN"/>
    </w:rPr>
  </w:style>
  <w:style w:type="character" w:customStyle="1" w:styleId="112CharChar">
    <w:name w:val="1.1标题2 Char Char"/>
    <w:qFormat/>
    <w:rPr>
      <w:rFonts w:ascii="Arial" w:eastAsia="宋体" w:hAnsi="Arial"/>
      <w:b/>
      <w:bCs/>
      <w:kern w:val="2"/>
      <w:sz w:val="28"/>
      <w:szCs w:val="32"/>
      <w:lang w:val="en-US" w:eastAsia="zh-CN" w:bidi="ar-SA"/>
    </w:rPr>
  </w:style>
  <w:style w:type="paragraph" w:customStyle="1" w:styleId="cardlist-value">
    <w:name w:val="cardlist-value"/>
    <w:basedOn w:val="a0"/>
    <w:qFormat/>
    <w:pPr>
      <w:widowControl/>
      <w:spacing w:before="100" w:beforeAutospacing="1" w:after="100" w:afterAutospacing="1"/>
      <w:jc w:val="left"/>
    </w:pPr>
    <w:rPr>
      <w:rFonts w:ascii="宋体" w:eastAsia="宋体" w:hAnsi="宋体" w:cs="宋体"/>
      <w:kern w:val="0"/>
      <w:sz w:val="24"/>
      <w:szCs w:val="24"/>
    </w:rPr>
  </w:style>
  <w:style w:type="character" w:customStyle="1" w:styleId="Char1f4">
    <w:name w:val="标题 Char1"/>
    <w:qFormat/>
    <w:rPr>
      <w:rFonts w:ascii="Arial" w:eastAsia="宋体" w:hAnsi="Arial" w:cs="Arial"/>
      <w:b/>
      <w:bCs/>
      <w:kern w:val="2"/>
      <w:sz w:val="32"/>
      <w:szCs w:val="32"/>
      <w:lang w:val="en-US" w:eastAsia="zh-CN" w:bidi="ar-SA"/>
    </w:rPr>
  </w:style>
  <w:style w:type="character" w:customStyle="1" w:styleId="4CharChar">
    <w:name w:val="标题 4宋旭峰 Char Char"/>
    <w:qFormat/>
    <w:rPr>
      <w:rFonts w:eastAsia="黑体"/>
      <w:b/>
      <w:bCs/>
      <w:kern w:val="2"/>
      <w:sz w:val="24"/>
      <w:szCs w:val="28"/>
      <w:lang w:val="en-US" w:eastAsia="zh-CN" w:bidi="ar-SA"/>
    </w:rPr>
  </w:style>
  <w:style w:type="paragraph" w:customStyle="1" w:styleId="reader-word-layerreader-word-s4-1">
    <w:name w:val="reader-word-layer reader-word-s4-1"/>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4-17">
    <w:name w:val="reader-word-layer reader-word-s4-17"/>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4-2">
    <w:name w:val="reader-word-layer reader-word-s4-2"/>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0-5">
    <w:name w:val="reader-word-layer reader-word-s20-5"/>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0-6">
    <w:name w:val="reader-word-layer reader-word-s20-6"/>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CharCharCharCharCharCharCharCharCharCharCharCharCharCharCharChar">
    <w:name w:val="Char Char Char Char Char Char Char Char Char Char Char Char Char Char Char Char"/>
    <w:basedOn w:val="a0"/>
    <w:qFormat/>
    <w:pPr>
      <w:tabs>
        <w:tab w:val="left" w:pos="360"/>
      </w:tabs>
      <w:snapToGrid w:val="0"/>
      <w:spacing w:line="360" w:lineRule="auto"/>
      <w:ind w:firstLineChars="200" w:firstLine="480"/>
      <w:jc w:val="left"/>
    </w:pPr>
    <w:rPr>
      <w:rFonts w:ascii="Arial" w:eastAsia="宋体" w:hAnsi="Arial" w:cs="Times New Roman"/>
      <w:color w:val="000000"/>
      <w:sz w:val="24"/>
      <w:szCs w:val="20"/>
    </w:rPr>
  </w:style>
  <w:style w:type="character" w:customStyle="1" w:styleId="summarystyle557706141681">
    <w:name w:val="summarystyle557706141_681"/>
    <w:qFormat/>
    <w:rPr>
      <w:sz w:val="18"/>
      <w:szCs w:val="18"/>
    </w:rPr>
  </w:style>
  <w:style w:type="paragraph" w:customStyle="1" w:styleId="2fc">
    <w:name w:val="样式 小四 首行缩进:  2 字符"/>
    <w:basedOn w:val="a0"/>
    <w:qFormat/>
    <w:pPr>
      <w:spacing w:line="300" w:lineRule="auto"/>
      <w:ind w:firstLineChars="200" w:firstLine="480"/>
    </w:pPr>
    <w:rPr>
      <w:rFonts w:ascii="Times New Roman" w:eastAsia="宋体" w:hAnsi="Times New Roman" w:cs="Times New Roman"/>
      <w:color w:val="000000"/>
      <w:sz w:val="24"/>
      <w:szCs w:val="20"/>
    </w:rPr>
  </w:style>
  <w:style w:type="paragraph" w:customStyle="1" w:styleId="hzt2">
    <w:name w:val="hzt2"/>
    <w:basedOn w:val="a0"/>
    <w:qFormat/>
    <w:pPr>
      <w:widowControl/>
      <w:spacing w:before="100" w:beforeAutospacing="1" w:after="100" w:afterAutospacing="1" w:line="312" w:lineRule="auto"/>
      <w:jc w:val="left"/>
    </w:pPr>
    <w:rPr>
      <w:rFonts w:ascii="Arial Unicode MS" w:eastAsia="Arial Unicode MS" w:hAnsi="Arial Unicode MS" w:cs="Arial Unicode MS"/>
      <w:color w:val="000000"/>
      <w:kern w:val="0"/>
      <w:sz w:val="24"/>
      <w:szCs w:val="24"/>
    </w:rPr>
  </w:style>
  <w:style w:type="character" w:customStyle="1" w:styleId="p9">
    <w:name w:val="p9"/>
    <w:basedOn w:val="a1"/>
    <w:qFormat/>
  </w:style>
  <w:style w:type="paragraph" w:customStyle="1" w:styleId="085227">
    <w:name w:val="样式 样式 首行缩进:  0.85 厘米 + 首行缩进:  2.27 字符"/>
    <w:basedOn w:val="a0"/>
    <w:qFormat/>
    <w:pPr>
      <w:spacing w:after="120" w:line="360" w:lineRule="auto"/>
      <w:ind w:firstLine="504"/>
    </w:pPr>
    <w:rPr>
      <w:rFonts w:ascii="宋体" w:eastAsia="宋体" w:hAnsi="宋体" w:cs="Times New Roman"/>
      <w:spacing w:val="6"/>
      <w:sz w:val="24"/>
      <w:szCs w:val="20"/>
    </w:rPr>
  </w:style>
  <w:style w:type="paragraph" w:customStyle="1" w:styleId="4-A4">
    <w:name w:val="标题4-A4说明"/>
    <w:next w:val="-A4"/>
    <w:qFormat/>
    <w:pPr>
      <w:numPr>
        <w:ilvl w:val="3"/>
        <w:numId w:val="5"/>
      </w:numPr>
      <w:spacing w:before="240"/>
      <w:outlineLvl w:val="3"/>
    </w:pPr>
    <w:rPr>
      <w:rFonts w:ascii="Arial" w:hAnsi="Arial" w:cs="Arial"/>
      <w:kern w:val="44"/>
      <w:sz w:val="28"/>
      <w:szCs w:val="44"/>
    </w:rPr>
  </w:style>
  <w:style w:type="paragraph" w:customStyle="1" w:styleId="-A4">
    <w:name w:val="正文-A4说明"/>
    <w:link w:val="-A4Char"/>
    <w:pPr>
      <w:spacing w:line="560" w:lineRule="exact"/>
      <w:ind w:firstLineChars="200" w:firstLine="200"/>
    </w:pPr>
    <w:rPr>
      <w:rFonts w:ascii="Arial" w:eastAsiaTheme="minorEastAsia" w:hAnsi="Arial" w:cs="Arial"/>
      <w:kern w:val="44"/>
      <w:sz w:val="28"/>
      <w:szCs w:val="44"/>
    </w:rPr>
  </w:style>
  <w:style w:type="character" w:customStyle="1" w:styleId="-A4Char">
    <w:name w:val="正文-A4说明 Char"/>
    <w:link w:val="-A4"/>
    <w:qFormat/>
    <w:rPr>
      <w:rFonts w:ascii="Arial" w:hAnsi="Arial" w:cs="Arial"/>
      <w:kern w:val="44"/>
      <w:sz w:val="28"/>
      <w:szCs w:val="44"/>
    </w:rPr>
  </w:style>
  <w:style w:type="paragraph" w:customStyle="1" w:styleId="1-A4">
    <w:name w:val="标题1-A4说明"/>
    <w:next w:val="2-A4"/>
    <w:qFormat/>
    <w:pPr>
      <w:numPr>
        <w:numId w:val="5"/>
      </w:numPr>
      <w:spacing w:before="240" w:after="360"/>
      <w:jc w:val="center"/>
      <w:outlineLvl w:val="0"/>
    </w:pPr>
    <w:rPr>
      <w:rFonts w:ascii="Arial" w:eastAsia="黑体" w:hAnsi="Arial" w:cs="Arial"/>
      <w:b/>
      <w:kern w:val="44"/>
      <w:sz w:val="36"/>
      <w:szCs w:val="44"/>
    </w:rPr>
  </w:style>
  <w:style w:type="paragraph" w:customStyle="1" w:styleId="2-A4">
    <w:name w:val="标题2-A4说明"/>
    <w:next w:val="3-A4"/>
    <w:pPr>
      <w:numPr>
        <w:ilvl w:val="1"/>
        <w:numId w:val="5"/>
      </w:numPr>
      <w:spacing w:beforeLines="150" w:afterLines="50"/>
      <w:outlineLvl w:val="1"/>
    </w:pPr>
    <w:rPr>
      <w:rFonts w:ascii="Arial" w:eastAsia="黑体" w:hAnsi="Arial" w:cs="Arial"/>
      <w:kern w:val="44"/>
      <w:sz w:val="32"/>
      <w:szCs w:val="44"/>
    </w:rPr>
  </w:style>
  <w:style w:type="paragraph" w:customStyle="1" w:styleId="3-A4">
    <w:name w:val="标题3-A4说明"/>
    <w:next w:val="-A4"/>
    <w:qFormat/>
    <w:pPr>
      <w:numPr>
        <w:ilvl w:val="2"/>
        <w:numId w:val="5"/>
      </w:numPr>
      <w:spacing w:before="240" w:after="40"/>
      <w:outlineLvl w:val="2"/>
    </w:pPr>
    <w:rPr>
      <w:rFonts w:ascii="Arial" w:hAnsi="Arial" w:cs="Arial"/>
      <w:b/>
      <w:kern w:val="44"/>
      <w:sz w:val="28"/>
      <w:szCs w:val="44"/>
    </w:rPr>
  </w:style>
  <w:style w:type="paragraph" w:customStyle="1" w:styleId="-1">
    <w:name w:val="正文-1"/>
    <w:basedOn w:val="a0"/>
    <w:qFormat/>
    <w:pPr>
      <w:spacing w:line="360" w:lineRule="auto"/>
      <w:ind w:firstLineChars="225" w:firstLine="540"/>
    </w:pPr>
    <w:rPr>
      <w:rFonts w:ascii="宋体" w:eastAsia="宋体" w:hAnsi="宋体" w:cs="Times New Roman"/>
      <w:sz w:val="24"/>
      <w:szCs w:val="24"/>
    </w:rPr>
  </w:style>
  <w:style w:type="paragraph" w:customStyle="1" w:styleId="6CharCharCharCharCharChar1CharCharCharCharCharCharChar">
    <w:name w:val="6 Char Char Char Char Char Char1 Char Char Char Char Char Char Char"/>
    <w:basedOn w:val="a0"/>
    <w:qFormat/>
    <w:rPr>
      <w:rFonts w:ascii="Times New Roman" w:eastAsia="宋体" w:hAnsi="Times New Roman" w:cs="Times New Roman"/>
      <w:szCs w:val="24"/>
    </w:rPr>
  </w:style>
  <w:style w:type="paragraph" w:customStyle="1" w:styleId="ltext">
    <w:name w:val="l_text"/>
    <w:basedOn w:val="a0"/>
    <w:qFormat/>
    <w:pPr>
      <w:widowControl/>
      <w:overflowPunct w:val="0"/>
      <w:autoSpaceDE w:val="0"/>
      <w:autoSpaceDN w:val="0"/>
      <w:adjustRightInd w:val="0"/>
      <w:spacing w:after="30" w:line="300" w:lineRule="auto"/>
      <w:ind w:left="170" w:firstLine="567"/>
      <w:textAlignment w:val="baseline"/>
    </w:pPr>
    <w:rPr>
      <w:rFonts w:ascii="宋体" w:eastAsia="宋体" w:hAnsi="Times New Roman" w:cs="Times New Roman"/>
      <w:kern w:val="0"/>
      <w:sz w:val="28"/>
      <w:szCs w:val="20"/>
      <w:lang w:val="en-GB"/>
    </w:rPr>
  </w:style>
  <w:style w:type="paragraph" w:customStyle="1" w:styleId="affffffffffff9">
    <w:name w:val="样式 正文缩进表正文正文非缩进 +"/>
    <w:basedOn w:val="a8"/>
    <w:link w:val="Charfff5"/>
    <w:qFormat/>
    <w:pPr>
      <w:ind w:firstLine="200"/>
    </w:pPr>
    <w:rPr>
      <w:rFonts w:ascii="宋体" w:hAnsi="宋体"/>
      <w:sz w:val="28"/>
      <w:szCs w:val="24"/>
      <w:lang w:val="zh-CN"/>
    </w:rPr>
  </w:style>
  <w:style w:type="character" w:customStyle="1" w:styleId="Charfff5">
    <w:name w:val="样式 正文缩进表正文正文非缩进 + Char"/>
    <w:link w:val="affffffffffff9"/>
    <w:qFormat/>
    <w:rPr>
      <w:rFonts w:ascii="宋体" w:eastAsia="宋体" w:hAnsi="宋体" w:cs="Times New Roman"/>
      <w:kern w:val="0"/>
      <w:sz w:val="28"/>
      <w:szCs w:val="24"/>
      <w:lang w:val="zh-CN"/>
    </w:rPr>
  </w:style>
  <w:style w:type="paragraph" w:customStyle="1" w:styleId="1222">
    <w:name w:val="样式 样式 样式 样式 首行缩进:  1 字符 + 首行缩进:  2 字符2 + 首行缩进:  2 字符 +"/>
    <w:basedOn w:val="a0"/>
    <w:link w:val="1222Char"/>
    <w:qFormat/>
    <w:pPr>
      <w:spacing w:line="360" w:lineRule="auto"/>
      <w:ind w:firstLineChars="200" w:firstLine="480"/>
    </w:pPr>
    <w:rPr>
      <w:rFonts w:ascii="Times New Roman" w:eastAsia="宋体" w:hAnsi="Times New Roman" w:cs="Times New Roman"/>
      <w:kern w:val="0"/>
      <w:sz w:val="24"/>
      <w:szCs w:val="20"/>
      <w:lang w:val="zh-CN"/>
    </w:rPr>
  </w:style>
  <w:style w:type="character" w:customStyle="1" w:styleId="1222Char">
    <w:name w:val="样式 样式 样式 样式 首行缩进:  1 字符 + 首行缩进:  2 字符2 + 首行缩进:  2 字符 + Char"/>
    <w:link w:val="1222"/>
    <w:qFormat/>
    <w:rPr>
      <w:rFonts w:ascii="Times New Roman" w:eastAsia="宋体" w:hAnsi="Times New Roman" w:cs="Times New Roman"/>
      <w:kern w:val="0"/>
      <w:sz w:val="24"/>
      <w:szCs w:val="20"/>
      <w:lang w:val="zh-CN"/>
    </w:rPr>
  </w:style>
  <w:style w:type="paragraph" w:customStyle="1" w:styleId="14ALTZChar">
    <w:name w:val="样式 正文缩进特点首行缩进正文不缩正文非缩进段1。标题4ALT+Z表正文四号正文（首行缩进两字） Char..."/>
    <w:basedOn w:val="a8"/>
    <w:qFormat/>
    <w:pPr>
      <w:adjustRightInd w:val="0"/>
      <w:snapToGrid w:val="0"/>
      <w:spacing w:line="480" w:lineRule="atLeast"/>
      <w:ind w:firstLine="560"/>
    </w:pPr>
    <w:rPr>
      <w:rFonts w:ascii="宋体" w:hAnsi="宋体"/>
      <w:kern w:val="2"/>
      <w:sz w:val="28"/>
    </w:rPr>
  </w:style>
  <w:style w:type="character" w:customStyle="1" w:styleId="ca-121">
    <w:name w:val="ca-121"/>
    <w:qFormat/>
    <w:rPr>
      <w:rFonts w:ascii="宋体" w:eastAsia="宋体" w:hAnsi="宋体" w:hint="eastAsia"/>
      <w:sz w:val="24"/>
      <w:szCs w:val="24"/>
    </w:rPr>
  </w:style>
  <w:style w:type="paragraph" w:customStyle="1" w:styleId="affffffffffffa">
    <w:name w:val="表格文本 小五 居中"/>
    <w:basedOn w:val="a0"/>
    <w:qFormat/>
    <w:pPr>
      <w:adjustRightInd w:val="0"/>
      <w:snapToGrid w:val="0"/>
      <w:spacing w:line="360" w:lineRule="exact"/>
      <w:jc w:val="center"/>
    </w:pPr>
    <w:rPr>
      <w:rFonts w:ascii="Times New Roman" w:eastAsia="宋体" w:hAnsi="Times New Roman" w:cs="宋体"/>
      <w:spacing w:val="-16"/>
      <w:szCs w:val="21"/>
    </w:rPr>
  </w:style>
  <w:style w:type="paragraph" w:customStyle="1" w:styleId="08515">
    <w:name w:val="样式 首行缩进:  0.85 厘米 行距: 1.5 倍行距"/>
    <w:basedOn w:val="a0"/>
    <w:qFormat/>
    <w:pPr>
      <w:spacing w:line="360" w:lineRule="auto"/>
      <w:ind w:firstLine="480"/>
    </w:pPr>
    <w:rPr>
      <w:rFonts w:ascii="Times New Roman" w:eastAsia="楷体_GB2312" w:hAnsi="Times New Roman" w:cs="Times New Roman"/>
      <w:sz w:val="24"/>
      <w:szCs w:val="20"/>
    </w:rPr>
  </w:style>
  <w:style w:type="paragraph" w:customStyle="1" w:styleId="affffffffffffb">
    <w:name w:val="大纲正文"/>
    <w:basedOn w:val="a0"/>
    <w:qFormat/>
    <w:pPr>
      <w:widowControl/>
      <w:adjustRightInd w:val="0"/>
      <w:snapToGrid w:val="0"/>
      <w:spacing w:afterLines="50" w:line="300" w:lineRule="auto"/>
      <w:ind w:firstLineChars="200" w:firstLine="480"/>
    </w:pPr>
    <w:rPr>
      <w:rFonts w:ascii="Times New Roman" w:eastAsia="宋体" w:hAnsi="Times New Roman" w:cs="宋体"/>
      <w:sz w:val="24"/>
      <w:szCs w:val="20"/>
    </w:rPr>
  </w:style>
  <w:style w:type="paragraph" w:customStyle="1" w:styleId="666666-5">
    <w:name w:val="666666-表下注释"/>
    <w:qFormat/>
    <w:pPr>
      <w:spacing w:beforeLines="50"/>
      <w:ind w:firstLineChars="200" w:firstLine="200"/>
    </w:pPr>
    <w:rPr>
      <w:rFonts w:eastAsia="黑体"/>
      <w:kern w:val="2"/>
      <w:sz w:val="18"/>
      <w:szCs w:val="18"/>
    </w:rPr>
  </w:style>
  <w:style w:type="character" w:customStyle="1" w:styleId="A60">
    <w:name w:val="A6"/>
    <w:qFormat/>
    <w:rPr>
      <w:rFonts w:cs="微软雅黑碉！."/>
      <w:color w:val="000000"/>
      <w:sz w:val="22"/>
      <w:szCs w:val="22"/>
    </w:rPr>
  </w:style>
  <w:style w:type="paragraph" w:customStyle="1" w:styleId="Pa7">
    <w:name w:val="Pa7"/>
    <w:basedOn w:val="Default"/>
    <w:next w:val="Default"/>
    <w:qFormat/>
    <w:pPr>
      <w:spacing w:line="221" w:lineRule="atLeast"/>
    </w:pPr>
    <w:rPr>
      <w:rFonts w:ascii="微软雅黑泅.." w:eastAsia="微软雅黑泅.." w:hAnsi="Times New Roman" w:cs="Times New Roman"/>
      <w:color w:val="auto"/>
    </w:rPr>
  </w:style>
  <w:style w:type="paragraph" w:customStyle="1" w:styleId="affffffffffffc">
    <w:name w:val="正文文字一"/>
    <w:basedOn w:val="a0"/>
    <w:link w:val="Charfff6"/>
    <w:qFormat/>
    <w:pPr>
      <w:spacing w:line="360" w:lineRule="auto"/>
      <w:ind w:firstLineChars="200" w:firstLine="200"/>
    </w:pPr>
    <w:rPr>
      <w:rFonts w:ascii="Times New Roman" w:eastAsia="宋体" w:hAnsi="Times New Roman" w:cs="Times New Roman"/>
      <w:sz w:val="28"/>
      <w:szCs w:val="28"/>
      <w:lang w:val="zh-CN"/>
    </w:rPr>
  </w:style>
  <w:style w:type="character" w:customStyle="1" w:styleId="Charfff6">
    <w:name w:val="正文文字一 Char"/>
    <w:link w:val="affffffffffffc"/>
    <w:qFormat/>
    <w:rPr>
      <w:rFonts w:ascii="Times New Roman" w:eastAsia="宋体" w:hAnsi="Times New Roman" w:cs="Times New Roman"/>
      <w:sz w:val="28"/>
      <w:szCs w:val="28"/>
      <w:lang w:val="zh-CN"/>
    </w:rPr>
  </w:style>
  <w:style w:type="paragraph" w:customStyle="1" w:styleId="2fd">
    <w:name w:val="封面文字2"/>
    <w:basedOn w:val="a0"/>
    <w:qFormat/>
    <w:pPr>
      <w:spacing w:before="156" w:after="156" w:line="360" w:lineRule="auto"/>
      <w:jc w:val="center"/>
    </w:pPr>
    <w:rPr>
      <w:rFonts w:ascii="宋体" w:eastAsia="黑体" w:hAnsi="宋体" w:cs="Times New Roman"/>
      <w:color w:val="000000"/>
      <w:sz w:val="28"/>
      <w:szCs w:val="24"/>
    </w:rPr>
  </w:style>
  <w:style w:type="character" w:customStyle="1" w:styleId="key1">
    <w:name w:val="key1"/>
    <w:qFormat/>
    <w:rPr>
      <w:b/>
      <w:bCs/>
      <w:color w:val="FF6600"/>
    </w:rPr>
  </w:style>
  <w:style w:type="paragraph" w:customStyle="1" w:styleId="78152">
    <w:name w:val="样式 (中文) 仿宋 四号 段前: 7.8 磅 行距: 1.5 倍行距 首行缩进:  2 字符"/>
    <w:basedOn w:val="a0"/>
    <w:qFormat/>
    <w:pPr>
      <w:spacing w:line="360" w:lineRule="auto"/>
      <w:ind w:firstLineChars="200" w:firstLine="480"/>
    </w:pPr>
    <w:rPr>
      <w:rFonts w:ascii="Times New Roman" w:eastAsia="宋体" w:hAnsi="宋体" w:cs="Times New Roman"/>
      <w:sz w:val="24"/>
      <w:szCs w:val="24"/>
    </w:rPr>
  </w:style>
  <w:style w:type="paragraph" w:customStyle="1" w:styleId="MFS">
    <w:name w:val="MFS表格文字"/>
    <w:basedOn w:val="af5"/>
    <w:qFormat/>
    <w:pPr>
      <w:adjustRightInd w:val="0"/>
      <w:snapToGrid w:val="0"/>
      <w:spacing w:after="0" w:line="300" w:lineRule="auto"/>
      <w:ind w:firstLineChars="0" w:firstLine="0"/>
    </w:pPr>
    <w:rPr>
      <w:rFonts w:eastAsia="楷体_GB2312"/>
      <w:kern w:val="2"/>
      <w:sz w:val="21"/>
      <w:szCs w:val="21"/>
    </w:rPr>
  </w:style>
  <w:style w:type="paragraph" w:customStyle="1" w:styleId="3ReHead3WSA033CharH3BHeadh3style33r2">
    <w:name w:val="样式 标题 3ReHead 3 WSA标题03标题 3 CharH3B Headh3style3二级节名3r...2"/>
    <w:basedOn w:val="30"/>
    <w:qFormat/>
    <w:pPr>
      <w:tabs>
        <w:tab w:val="left" w:pos="720"/>
        <w:tab w:val="left" w:pos="2160"/>
      </w:tabs>
      <w:spacing w:before="120" w:after="120" w:line="360" w:lineRule="auto"/>
    </w:pPr>
    <w:rPr>
      <w:rFonts w:ascii="Times New Roman" w:eastAsia="黑体" w:hAnsi="Times New Roman" w:cs="宋体"/>
      <w:b w:val="0"/>
      <w:sz w:val="24"/>
      <w:szCs w:val="20"/>
    </w:rPr>
  </w:style>
  <w:style w:type="character" w:customStyle="1" w:styleId="CharChar130">
    <w:name w:val="Char Char13"/>
    <w:qFormat/>
    <w:rPr>
      <w:rFonts w:eastAsia="宋体"/>
      <w:kern w:val="2"/>
      <w:sz w:val="18"/>
      <w:szCs w:val="18"/>
      <w:lang w:val="en-US" w:eastAsia="zh-CN" w:bidi="ar-SA"/>
    </w:rPr>
  </w:style>
  <w:style w:type="paragraph" w:customStyle="1" w:styleId="zxz5">
    <w:name w:val="zxz5"/>
    <w:next w:val="a0"/>
    <w:qFormat/>
    <w:pPr>
      <w:tabs>
        <w:tab w:val="left" w:pos="0"/>
      </w:tabs>
      <w:jc w:val="center"/>
    </w:pPr>
    <w:rPr>
      <w:rFonts w:ascii="宋体" w:eastAsia="Times New Roman" w:hAnsi="宋体" w:cs="宋体"/>
      <w:bCs/>
      <w:kern w:val="2"/>
      <w:sz w:val="18"/>
      <w:szCs w:val="18"/>
    </w:rPr>
  </w:style>
  <w:style w:type="paragraph" w:customStyle="1" w:styleId="reader-word-layerreader-word-s2-29">
    <w:name w:val="reader-word-layer reader-word-s2-29"/>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1">
    <w:name w:val="reader-word-layer reader-word-s2-1"/>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35">
    <w:name w:val="reader-word-layer reader-word-s2-35"/>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36">
    <w:name w:val="reader-word-layer reader-word-s2-36"/>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4">
    <w:name w:val="reader-word-layer reader-word-s2-4"/>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4reader-word-s2-32">
    <w:name w:val="reader-word-layer reader-word-s2-4 reader-word-s2-32"/>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8">
    <w:name w:val="reader-word-layer reader-word-s2-8"/>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38">
    <w:name w:val="reader-word-layer reader-word-s2-38"/>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31">
    <w:name w:val="reader-word-layer reader-word-s2-31"/>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41">
    <w:name w:val="reader-word-layer reader-word-s2-41"/>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0-11">
    <w:name w:val="reader-word-layer reader-word-s10-11"/>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0-13">
    <w:name w:val="reader-word-layer reader-word-s10-13"/>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0-14">
    <w:name w:val="reader-word-layer reader-word-s10-14"/>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0-15">
    <w:name w:val="reader-word-layer reader-word-s10-15"/>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0-16">
    <w:name w:val="reader-word-layer reader-word-s10-16"/>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3-0">
    <w:name w:val="reader-word-layer reader-word-s3-0"/>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3-7reader-word-s3-13">
    <w:name w:val="reader-word-layer reader-word-s3-7 reader-word-s3-13"/>
    <w:basedOn w:val="a0"/>
    <w:qFormat/>
    <w:pPr>
      <w:widowControl/>
      <w:spacing w:before="100" w:beforeAutospacing="1" w:after="100" w:afterAutospacing="1"/>
      <w:jc w:val="left"/>
    </w:pPr>
    <w:rPr>
      <w:rFonts w:ascii="宋体" w:eastAsia="宋体" w:hAnsi="宋体" w:cs="宋体"/>
      <w:kern w:val="0"/>
      <w:sz w:val="24"/>
      <w:szCs w:val="24"/>
    </w:rPr>
  </w:style>
  <w:style w:type="character" w:customStyle="1" w:styleId="description">
    <w:name w:val="description"/>
    <w:basedOn w:val="a1"/>
    <w:qFormat/>
  </w:style>
  <w:style w:type="paragraph" w:customStyle="1" w:styleId="reader-word-layerreader-word-s15-3">
    <w:name w:val="reader-word-layer reader-word-s15-3"/>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5-5">
    <w:name w:val="reader-word-layer reader-word-s15-5"/>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5-17">
    <w:name w:val="reader-word-layer reader-word-s15-17"/>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5-19">
    <w:name w:val="reader-word-layer reader-word-s15-19"/>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15-8">
    <w:name w:val="reader-word-layer reader-word-s15-8"/>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0">
    <w:name w:val="reader-word-layer reader-word-s2-0"/>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reader-word-layerreader-word-s2-7">
    <w:name w:val="reader-word-layer reader-word-s2-7"/>
    <w:basedOn w:val="a0"/>
    <w:qFormat/>
    <w:pPr>
      <w:widowControl/>
      <w:spacing w:before="100" w:beforeAutospacing="1" w:after="100" w:afterAutospacing="1"/>
      <w:jc w:val="left"/>
    </w:pPr>
    <w:rPr>
      <w:rFonts w:ascii="宋体" w:eastAsia="宋体" w:hAnsi="宋体" w:cs="宋体"/>
      <w:kern w:val="0"/>
      <w:sz w:val="24"/>
      <w:szCs w:val="24"/>
    </w:rPr>
  </w:style>
  <w:style w:type="paragraph" w:customStyle="1" w:styleId="zw0">
    <w:name w:val="zw"/>
    <w:basedOn w:val="a0"/>
    <w:qFormat/>
    <w:pPr>
      <w:widowControl/>
      <w:spacing w:before="30"/>
      <w:ind w:left="100" w:right="100"/>
    </w:pPr>
    <w:rPr>
      <w:rFonts w:ascii="方正书宋简体" w:eastAsia="方正书宋简体" w:hAnsi="宋体" w:cs="Times New Roman"/>
      <w:color w:val="000000"/>
      <w:kern w:val="0"/>
      <w:szCs w:val="21"/>
    </w:rPr>
  </w:style>
  <w:style w:type="character" w:customStyle="1" w:styleId="3Char3">
    <w:name w:val="3标题 Char"/>
    <w:link w:val="3f7"/>
    <w:qFormat/>
    <w:rPr>
      <w:b/>
      <w:sz w:val="24"/>
      <w:szCs w:val="24"/>
    </w:rPr>
  </w:style>
  <w:style w:type="paragraph" w:customStyle="1" w:styleId="3f7">
    <w:name w:val="3标题"/>
    <w:basedOn w:val="30"/>
    <w:link w:val="3Char3"/>
    <w:qFormat/>
    <w:pPr>
      <w:widowControl/>
      <w:tabs>
        <w:tab w:val="left" w:pos="720"/>
        <w:tab w:val="left" w:pos="2160"/>
      </w:tabs>
      <w:spacing w:before="0" w:after="0" w:line="240" w:lineRule="auto"/>
    </w:pPr>
    <w:rPr>
      <w:bCs w:val="0"/>
      <w:sz w:val="24"/>
      <w:szCs w:val="24"/>
    </w:rPr>
  </w:style>
  <w:style w:type="paragraph" w:customStyle="1" w:styleId="5c">
    <w:name w:val="正文5"/>
    <w:qFormat/>
    <w:pPr>
      <w:jc w:val="both"/>
    </w:pPr>
    <w:rPr>
      <w:kern w:val="2"/>
      <w:sz w:val="21"/>
      <w:szCs w:val="21"/>
    </w:rPr>
  </w:style>
  <w:style w:type="character" w:customStyle="1" w:styleId="Charf2">
    <w:name w:val="表格内容 Char"/>
    <w:link w:val="afffff8"/>
    <w:qFormat/>
    <w:rPr>
      <w:rFonts w:ascii="Arial" w:eastAsia="仿宋_GB2312" w:hAnsi="Arial" w:cs="Times New Roman"/>
      <w:kern w:val="0"/>
      <w:sz w:val="24"/>
      <w:szCs w:val="24"/>
    </w:rPr>
  </w:style>
  <w:style w:type="paragraph" w:customStyle="1" w:styleId="affffffffffffd">
    <w:name w:val="图标标题"/>
    <w:basedOn w:val="a0"/>
    <w:qFormat/>
    <w:pPr>
      <w:jc w:val="center"/>
      <w:outlineLvl w:val="4"/>
    </w:pPr>
    <w:rPr>
      <w:rFonts w:ascii="Times New Roman" w:eastAsia="黑体" w:hAnsi="Times New Roman" w:cs="Times New Roman"/>
      <w:sz w:val="24"/>
      <w:lang w:bidi="bo-CN"/>
    </w:rPr>
  </w:style>
  <w:style w:type="character" w:customStyle="1" w:styleId="Charfff7">
    <w:name w:val="表头表格 Char"/>
    <w:link w:val="affffffffffffe"/>
    <w:qFormat/>
    <w:rPr>
      <w:b/>
      <w:bCs/>
      <w:color w:val="000000"/>
      <w:szCs w:val="21"/>
    </w:rPr>
  </w:style>
  <w:style w:type="paragraph" w:customStyle="1" w:styleId="affffffffffffe">
    <w:name w:val="表头表格"/>
    <w:basedOn w:val="a0"/>
    <w:link w:val="Charfff7"/>
    <w:qFormat/>
    <w:pPr>
      <w:snapToGrid w:val="0"/>
      <w:spacing w:beforeLines="50"/>
      <w:jc w:val="center"/>
    </w:pPr>
    <w:rPr>
      <w:b/>
      <w:bCs/>
      <w:color w:val="000000"/>
      <w:szCs w:val="21"/>
    </w:rPr>
  </w:style>
  <w:style w:type="paragraph" w:customStyle="1" w:styleId="320">
    <w:name w:val="正文_32"/>
    <w:pPr>
      <w:widowControl w:val="0"/>
      <w:jc w:val="both"/>
    </w:pPr>
    <w:rPr>
      <w:rFonts w:ascii="Calibri" w:hAnsi="Calibri"/>
      <w:kern w:val="2"/>
      <w:sz w:val="21"/>
    </w:rPr>
  </w:style>
  <w:style w:type="paragraph" w:customStyle="1" w:styleId="340">
    <w:name w:val="正文_34"/>
    <w:pPr>
      <w:widowControl w:val="0"/>
      <w:jc w:val="both"/>
    </w:pPr>
    <w:rPr>
      <w:rFonts w:ascii="Calibri" w:hAnsi="Calibri"/>
      <w:kern w:val="2"/>
      <w:sz w:val="21"/>
    </w:rPr>
  </w:style>
  <w:style w:type="paragraph" w:customStyle="1" w:styleId="350">
    <w:name w:val="正文_35"/>
    <w:basedOn w:val="a0"/>
    <w:rPr>
      <w:rFonts w:ascii="Calibri" w:eastAsia="宋体" w:hAnsi="Calibri" w:cs="Times New Roman"/>
      <w:szCs w:val="21"/>
      <w:lang w:bidi="bo-CN"/>
    </w:rPr>
  </w:style>
  <w:style w:type="paragraph" w:customStyle="1" w:styleId="75">
    <w:name w:val="正文_7"/>
    <w:qFormat/>
    <w:pPr>
      <w:widowControl w:val="0"/>
      <w:jc w:val="both"/>
    </w:pPr>
    <w:rPr>
      <w:rFonts w:ascii="Calibri" w:hAnsi="Calibri"/>
      <w:kern w:val="2"/>
      <w:sz w:val="21"/>
    </w:rPr>
  </w:style>
  <w:style w:type="paragraph" w:customStyle="1" w:styleId="Char40">
    <w:name w:val="Char4"/>
    <w:basedOn w:val="a0"/>
    <w:rPr>
      <w:rFonts w:ascii="Times New Roman" w:eastAsia="仿宋" w:hAnsi="Times New Roman" w:cs="Times New Roman"/>
      <w:sz w:val="28"/>
      <w:szCs w:val="24"/>
    </w:rPr>
  </w:style>
  <w:style w:type="paragraph" w:customStyle="1" w:styleId="afffffffffffff">
    <w:name w:val="王向东正文"/>
    <w:qFormat/>
    <w:pPr>
      <w:spacing w:line="360" w:lineRule="auto"/>
      <w:ind w:firstLineChars="200" w:firstLine="200"/>
      <w:jc w:val="both"/>
    </w:pPr>
    <w:rPr>
      <w:kern w:val="2"/>
      <w:position w:val="-4"/>
      <w:sz w:val="24"/>
      <w:szCs w:val="28"/>
    </w:rPr>
  </w:style>
  <w:style w:type="paragraph" w:customStyle="1" w:styleId="Q-">
    <w:name w:val="Q-正文"/>
    <w:basedOn w:val="a0"/>
    <w:next w:val="a0"/>
    <w:qFormat/>
    <w:pPr>
      <w:widowControl/>
      <w:adjustRightInd w:val="0"/>
      <w:snapToGrid w:val="0"/>
      <w:spacing w:line="360" w:lineRule="auto"/>
      <w:ind w:firstLineChars="200" w:firstLine="480"/>
    </w:pPr>
    <w:rPr>
      <w:rFonts w:ascii="Times New Roman" w:eastAsia="宋体" w:hAnsi="Times New Roman" w:cs="Times New Roman"/>
      <w:kern w:val="0"/>
      <w:sz w:val="24"/>
    </w:rPr>
  </w:style>
  <w:style w:type="paragraph" w:customStyle="1" w:styleId="Q-0">
    <w:name w:val="Q-表格文字"/>
    <w:basedOn w:val="2fe"/>
    <w:qFormat/>
    <w:pPr>
      <w:jc w:val="center"/>
    </w:pPr>
    <w:rPr>
      <w:sz w:val="21"/>
      <w:szCs w:val="18"/>
    </w:rPr>
  </w:style>
  <w:style w:type="paragraph" w:customStyle="1" w:styleId="2fe">
    <w:name w:val="无间隔2"/>
    <w:uiPriority w:val="1"/>
    <w:qFormat/>
    <w:pPr>
      <w:widowControl w:val="0"/>
      <w:jc w:val="both"/>
    </w:pPr>
    <w:rPr>
      <w:kern w:val="2"/>
      <w:sz w:val="24"/>
      <w:szCs w:val="22"/>
    </w:rPr>
  </w:style>
  <w:style w:type="table" w:customStyle="1" w:styleId="65">
    <w:name w:val="网格型6"/>
    <w:basedOn w:val="a2"/>
    <w:uiPriority w:val="39"/>
    <w:qFormat/>
    <w:rPr>
      <w:bCs/>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1">
    <w:name w:val="样式 首行缩进:  2 字符3"/>
    <w:basedOn w:val="a0"/>
    <w:semiHidden/>
    <w:qFormat/>
    <w:pPr>
      <w:widowControl/>
      <w:adjustRightInd w:val="0"/>
      <w:snapToGrid w:val="0"/>
      <w:spacing w:line="360" w:lineRule="auto"/>
      <w:ind w:firstLineChars="200" w:firstLine="200"/>
    </w:pPr>
    <w:rPr>
      <w:rFonts w:ascii="Times New Roman" w:eastAsia="宋体" w:hAnsi="Times New Roman" w:cs="宋体"/>
      <w:kern w:val="0"/>
      <w:sz w:val="24"/>
      <w:szCs w:val="20"/>
    </w:rPr>
  </w:style>
  <w:style w:type="table" w:customStyle="1" w:styleId="TableNormal5">
    <w:name w:val="Table Normal5"/>
    <w:uiPriority w:val="2"/>
    <w:unhideWhenUsed/>
    <w:qFormat/>
    <w:pPr>
      <w:widowControl w:val="0"/>
      <w:autoSpaceDE w:val="0"/>
      <w:autoSpaceDN w:val="0"/>
    </w:pPr>
    <w:rPr>
      <w:sz w:val="22"/>
      <w:lang w:eastAsia="en-US"/>
    </w:rPr>
    <w:tblPr>
      <w:tblCellMar>
        <w:top w:w="0" w:type="dxa"/>
        <w:left w:w="0" w:type="dxa"/>
        <w:bottom w:w="0" w:type="dxa"/>
        <w:right w:w="0" w:type="dxa"/>
      </w:tblCellMar>
    </w:tblPr>
  </w:style>
  <w:style w:type="paragraph" w:customStyle="1" w:styleId="tubiaoneirong">
    <w:name w:val="tubiaoneirong"/>
    <w:basedOn w:val="a0"/>
    <w:qFormat/>
    <w:pPr>
      <w:widowControl/>
      <w:jc w:val="center"/>
    </w:pPr>
    <w:rPr>
      <w:rFonts w:ascii="Times New Roman" w:hAnsi="Times New Roman"/>
      <w:color w:val="000000"/>
    </w:rPr>
  </w:style>
  <w:style w:type="paragraph" w:customStyle="1" w:styleId="tubiao">
    <w:name w:val="tubiao"/>
    <w:basedOn w:val="a0"/>
    <w:qFormat/>
    <w:pPr>
      <w:spacing w:line="360" w:lineRule="auto"/>
      <w:ind w:firstLineChars="200" w:firstLine="480"/>
      <w:jc w:val="center"/>
      <w:outlineLvl w:val="4"/>
    </w:pPr>
    <w:rPr>
      <w:rFonts w:ascii="Times New Roman" w:eastAsia="黑体" w:hAnsi="Times New Roman"/>
      <w:sz w:val="24"/>
      <w:szCs w:val="21"/>
    </w:rPr>
  </w:style>
  <w:style w:type="character" w:customStyle="1" w:styleId="3CharCharCharCharCharChar2">
    <w:name w:val="标题 3 Char Char Char Char Char Char2"/>
    <w:qFormat/>
    <w:rPr>
      <w:szCs w:val="24"/>
    </w:rPr>
  </w:style>
  <w:style w:type="paragraph" w:styleId="afffffffffffff0">
    <w:name w:val="Revision"/>
    <w:hidden/>
    <w:uiPriority w:val="99"/>
    <w:semiHidden/>
    <w:rsid w:val="0087355D"/>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4371571">
      <w:bodyDiv w:val="1"/>
      <w:marLeft w:val="0"/>
      <w:marRight w:val="0"/>
      <w:marTop w:val="0"/>
      <w:marBottom w:val="0"/>
      <w:divBdr>
        <w:top w:val="none" w:sz="0" w:space="0" w:color="auto"/>
        <w:left w:val="none" w:sz="0" w:space="0" w:color="auto"/>
        <w:bottom w:val="none" w:sz="0" w:space="0" w:color="auto"/>
        <w:right w:val="none" w:sz="0" w:space="0" w:color="auto"/>
      </w:divBdr>
    </w:div>
    <w:div w:id="6823240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6.emf"/><Relationship Id="rId39" Type="http://schemas.openxmlformats.org/officeDocument/2006/relationships/image" Target="media/image19.png"/><Relationship Id="rId21" Type="http://schemas.openxmlformats.org/officeDocument/2006/relationships/image" Target="media/image3.png"/><Relationship Id="rId34" Type="http://schemas.openxmlformats.org/officeDocument/2006/relationships/image" Target="media/image14.emf"/><Relationship Id="rId42" Type="http://schemas.openxmlformats.org/officeDocument/2006/relationships/image" Target="media/image22.png"/><Relationship Id="rId47" Type="http://schemas.openxmlformats.org/officeDocument/2006/relationships/header" Target="header10.xml"/><Relationship Id="rId50" Type="http://schemas.openxmlformats.org/officeDocument/2006/relationships/hyperlink" Target="http://kjs.mee.gov.cn/hjbhbz/bzwb/other/pjjsdz/201808/t20180814_451386.shtml" TargetMode="External"/><Relationship Id="rId55" Type="http://schemas.openxmlformats.org/officeDocument/2006/relationships/image" Target="media/image28.wmf"/><Relationship Id="rId63" Type="http://schemas.openxmlformats.org/officeDocument/2006/relationships/image" Target="media/image36.png"/><Relationship Id="rId68" Type="http://schemas.openxmlformats.org/officeDocument/2006/relationships/image" Target="media/image41.png"/><Relationship Id="rId76"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image" Target="media/image44.png"/><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image" Target="media/image4.emf"/><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emf"/><Relationship Id="rId45" Type="http://schemas.openxmlformats.org/officeDocument/2006/relationships/footer" Target="footer6.xml"/><Relationship Id="rId53" Type="http://schemas.openxmlformats.org/officeDocument/2006/relationships/image" Target="media/image26.png"/><Relationship Id="rId58" Type="http://schemas.openxmlformats.org/officeDocument/2006/relationships/image" Target="media/image31.wmf"/><Relationship Id="rId66" Type="http://schemas.openxmlformats.org/officeDocument/2006/relationships/image" Target="media/image39.png"/><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settings" Target="settings.xml"/><Relationship Id="rId61" Type="http://schemas.openxmlformats.org/officeDocument/2006/relationships/image" Target="media/image34.png"/><Relationship Id="rId82"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header" Target="header9.xml"/><Relationship Id="rId52" Type="http://schemas.openxmlformats.org/officeDocument/2006/relationships/image" Target="media/image25.wmf"/><Relationship Id="rId60" Type="http://schemas.openxmlformats.org/officeDocument/2006/relationships/image" Target="media/image33.wmf"/><Relationship Id="rId65" Type="http://schemas.openxmlformats.org/officeDocument/2006/relationships/image" Target="media/image38.jpe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emf"/><Relationship Id="rId43" Type="http://schemas.openxmlformats.org/officeDocument/2006/relationships/header" Target="header8.xml"/><Relationship Id="rId48" Type="http://schemas.openxmlformats.org/officeDocument/2006/relationships/footer" Target="footer8.xml"/><Relationship Id="rId56" Type="http://schemas.openxmlformats.org/officeDocument/2006/relationships/image" Target="media/image29.png"/><Relationship Id="rId64" Type="http://schemas.openxmlformats.org/officeDocument/2006/relationships/image" Target="media/image37.jpeg"/><Relationship Id="rId69" Type="http://schemas.openxmlformats.org/officeDocument/2006/relationships/image" Target="media/image42.png"/><Relationship Id="rId77"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45.png"/><Relationship Id="rId80"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5.emf"/><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footer" Target="footer7.xml"/><Relationship Id="rId59" Type="http://schemas.openxmlformats.org/officeDocument/2006/relationships/image" Target="media/image32.wmf"/><Relationship Id="rId67" Type="http://schemas.openxmlformats.org/officeDocument/2006/relationships/image" Target="media/image40.png"/><Relationship Id="rId20" Type="http://schemas.openxmlformats.org/officeDocument/2006/relationships/image" Target="media/image2.emf"/><Relationship Id="rId41" Type="http://schemas.openxmlformats.org/officeDocument/2006/relationships/image" Target="media/image21.png"/><Relationship Id="rId54" Type="http://schemas.openxmlformats.org/officeDocument/2006/relationships/image" Target="media/image27.wmf"/><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3.png"/><Relationship Id="rId57" Type="http://schemas.openxmlformats.org/officeDocument/2006/relationships/image" Target="media/image3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4BB97D7-9562-4FCC-B9F5-3EDFC1E7A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192</Pages>
  <Words>25050</Words>
  <Characters>142790</Characters>
  <Application>Microsoft Office Word</Application>
  <DocSecurity>0</DocSecurity>
  <Lines>1189</Lines>
  <Paragraphs>335</Paragraphs>
  <ScaleCrop>false</ScaleCrop>
  <Company/>
  <LinksUpToDate>false</LinksUpToDate>
  <CharactersWithSpaces>167505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29</cp:revision>
  <dcterms:created xsi:type="dcterms:W3CDTF">2022-12-19T07:32:00Z</dcterms:created>
  <dcterms:modified xsi:type="dcterms:W3CDTF">2022-12-23T14:00:00Z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E0A4BE55829D433391DC59272561DD38</vt:lpwstr>
  </property>
</Properties>
</file>